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5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664"/>
        <w:gridCol w:w="1723"/>
        <w:gridCol w:w="2893"/>
        <w:gridCol w:w="934"/>
      </w:tblGrid>
      <w:tr w:rsidR="00E20052" w:rsidRPr="00BE287D" w14:paraId="260CD352" w14:textId="77777777" w:rsidTr="00CF227A">
        <w:trPr>
          <w:gridAfter w:val="1"/>
          <w:wAfter w:w="507" w:type="pct"/>
          <w:trHeight w:val="1786"/>
        </w:trPr>
        <w:tc>
          <w:tcPr>
            <w:tcW w:w="4493" w:type="pct"/>
            <w:gridSpan w:val="3"/>
          </w:tcPr>
          <w:p w14:paraId="2BDEA4E5" w14:textId="77777777" w:rsidR="00E20052" w:rsidRPr="00BE287D" w:rsidRDefault="00E20052" w:rsidP="00CF227A">
            <w:pPr>
              <w:jc w:val="center"/>
              <w:rPr>
                <w:lang w:val="fr-CA"/>
              </w:rPr>
            </w:pPr>
            <w:r w:rsidRPr="00BE287D">
              <w:rPr>
                <w:rFonts w:eastAsia="Calibri" w:cs="Times New Roman"/>
                <w:szCs w:val="20"/>
                <w:lang w:val="fr-CA" w:eastAsia="en-CA"/>
              </w:rPr>
              <w:object w:dxaOrig="1365" w:dyaOrig="1440" w14:anchorId="22F1A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pt;height:64.15pt" o:ole="">
                  <v:imagedata r:id="rId7" o:title=""/>
                </v:shape>
                <o:OLEObject Type="Embed" ProgID="Presentations.Drawing.15" ShapeID="_x0000_i1025" DrawAspect="Content" ObjectID="_1766496789" r:id="rId8"/>
              </w:object>
            </w:r>
          </w:p>
          <w:p w14:paraId="1768AEF6" w14:textId="77777777" w:rsidR="00E20052" w:rsidRPr="00BE287D" w:rsidRDefault="00E20052" w:rsidP="00CF227A">
            <w:pPr>
              <w:spacing w:before="120" w:after="100" w:afterAutospacing="1"/>
              <w:jc w:val="center"/>
              <w:rPr>
                <w:lang w:val="fr-CA"/>
              </w:rPr>
            </w:pPr>
            <w:r w:rsidRPr="00BE287D">
              <w:rPr>
                <w:b/>
                <w:lang w:val="fr-CA"/>
              </w:rPr>
              <w:t>COUR SUPRÊME DU CANADA</w:t>
            </w:r>
          </w:p>
        </w:tc>
      </w:tr>
      <w:tr w:rsidR="00E20052" w:rsidRPr="00BE287D" w14:paraId="7E35A4D2" w14:textId="77777777" w:rsidTr="00CF227A">
        <w:tc>
          <w:tcPr>
            <w:tcW w:w="1988" w:type="pct"/>
            <w:tcMar>
              <w:top w:w="284" w:type="dxa"/>
            </w:tcMar>
          </w:tcPr>
          <w:p w14:paraId="5513B89B" w14:textId="77777777" w:rsidR="00E20052" w:rsidRPr="00BE287D" w:rsidRDefault="00E20052" w:rsidP="00CF227A">
            <w:pPr>
              <w:spacing w:before="100" w:beforeAutospacing="1"/>
              <w:rPr>
                <w:lang w:val="fr-CA"/>
              </w:rPr>
            </w:pPr>
            <w:r w:rsidRPr="00BE287D">
              <w:rPr>
                <w:b/>
                <w:smallCaps/>
                <w:lang w:val="fr-CA"/>
              </w:rPr>
              <w:t>Référence :</w:t>
            </w:r>
            <w:r w:rsidRPr="00BE287D">
              <w:rPr>
                <w:lang w:val="fr-CA"/>
              </w:rPr>
              <w:t xml:space="preserve"> R.</w:t>
            </w:r>
            <w:r w:rsidRPr="00BE287D">
              <w:rPr>
                <w:b/>
                <w:lang w:val="fr-CA"/>
              </w:rPr>
              <w:t xml:space="preserve"> </w:t>
            </w:r>
            <w:r w:rsidRPr="00BE287D">
              <w:rPr>
                <w:i/>
                <w:lang w:val="fr-CA"/>
              </w:rPr>
              <w:t>c.</w:t>
            </w:r>
            <w:r w:rsidRPr="00BE287D">
              <w:rPr>
                <w:b/>
                <w:lang w:val="fr-CA"/>
              </w:rPr>
              <w:t xml:space="preserve"> </w:t>
            </w:r>
            <w:r w:rsidRPr="00BE287D">
              <w:rPr>
                <w:lang w:val="fr-CA"/>
              </w:rPr>
              <w:t>R.V., 2021 CSC 10</w:t>
            </w:r>
            <w:r>
              <w:rPr>
                <w:lang w:val="fr-CA"/>
              </w:rPr>
              <w:t>, [2021] 1 R.C.S. 131</w:t>
            </w:r>
          </w:p>
        </w:tc>
        <w:tc>
          <w:tcPr>
            <w:tcW w:w="935" w:type="pct"/>
          </w:tcPr>
          <w:p w14:paraId="709E0343" w14:textId="77777777" w:rsidR="00E20052" w:rsidRPr="00BE287D" w:rsidRDefault="00E20052" w:rsidP="00CF227A">
            <w:pPr>
              <w:rPr>
                <w:b/>
                <w:smallCaps/>
                <w:lang w:val="fr-CA"/>
              </w:rPr>
            </w:pPr>
          </w:p>
        </w:tc>
        <w:tc>
          <w:tcPr>
            <w:tcW w:w="2077" w:type="pct"/>
            <w:gridSpan w:val="2"/>
            <w:tcMar>
              <w:top w:w="284" w:type="dxa"/>
            </w:tcMar>
          </w:tcPr>
          <w:p w14:paraId="78F0078A" w14:textId="77777777" w:rsidR="00E20052" w:rsidRPr="00BE287D" w:rsidRDefault="00E20052" w:rsidP="00CF227A">
            <w:pPr>
              <w:rPr>
                <w:lang w:val="fr-CA"/>
              </w:rPr>
            </w:pPr>
            <w:r w:rsidRPr="00BE287D">
              <w:rPr>
                <w:b/>
                <w:smallCaps/>
                <w:lang w:val="fr-CA"/>
              </w:rPr>
              <w:t>Appel entendu :</w:t>
            </w:r>
            <w:r w:rsidRPr="00BE287D">
              <w:rPr>
                <w:lang w:val="fr-CA"/>
              </w:rPr>
              <w:t xml:space="preserve"> 13 novembre 2020</w:t>
            </w:r>
          </w:p>
          <w:p w14:paraId="2B5E300C" w14:textId="77777777" w:rsidR="00E20052" w:rsidRPr="00BE287D" w:rsidRDefault="00E20052" w:rsidP="00CF227A">
            <w:pPr>
              <w:rPr>
                <w:smallCaps/>
                <w:lang w:val="fr-CA"/>
              </w:rPr>
            </w:pPr>
            <w:r w:rsidRPr="00BE287D">
              <w:rPr>
                <w:b/>
                <w:smallCaps/>
                <w:lang w:val="fr-CA"/>
              </w:rPr>
              <w:t xml:space="preserve">Jugement rendu : </w:t>
            </w:r>
            <w:r w:rsidRPr="00BE287D">
              <w:rPr>
                <w:lang w:val="fr-CA"/>
              </w:rPr>
              <w:t>12 mars 2021</w:t>
            </w:r>
          </w:p>
          <w:p w14:paraId="5765FA06" w14:textId="77777777" w:rsidR="00E20052" w:rsidRPr="00BE287D" w:rsidRDefault="00E20052" w:rsidP="00CF227A">
            <w:pPr>
              <w:rPr>
                <w:lang w:val="fr-CA"/>
              </w:rPr>
            </w:pPr>
            <w:r w:rsidRPr="00BE287D">
              <w:rPr>
                <w:b/>
                <w:smallCaps/>
                <w:lang w:val="fr-CA"/>
              </w:rPr>
              <w:t>Dossier :</w:t>
            </w:r>
            <w:r w:rsidRPr="00BE287D">
              <w:rPr>
                <w:lang w:val="fr-CA"/>
              </w:rPr>
              <w:t xml:space="preserve"> 38854</w:t>
            </w:r>
          </w:p>
        </w:tc>
      </w:tr>
    </w:tbl>
    <w:p w14:paraId="6B011B06" w14:textId="77777777" w:rsidR="00E20052" w:rsidRPr="00BE287D" w:rsidRDefault="00E20052" w:rsidP="00E20052">
      <w:pPr>
        <w:rPr>
          <w:rFonts w:eastAsiaTheme="minorHAnsi" w:cstheme="minorBidi"/>
          <w:szCs w:val="24"/>
          <w:lang w:val="fr-CA" w:eastAsia="en-US"/>
        </w:rPr>
      </w:pPr>
    </w:p>
    <w:p w14:paraId="2476B66F" w14:textId="77777777" w:rsidR="00E20052" w:rsidRPr="00BE287D" w:rsidRDefault="00E20052" w:rsidP="00E20052">
      <w:pPr>
        <w:rPr>
          <w:rFonts w:eastAsiaTheme="minorHAnsi" w:cstheme="minorBidi"/>
          <w:b/>
          <w:smallCaps/>
          <w:szCs w:val="24"/>
          <w:lang w:val="fr-CA" w:eastAsia="en-US"/>
        </w:rPr>
      </w:pPr>
      <w:r w:rsidRPr="00BE287D">
        <w:rPr>
          <w:rFonts w:eastAsiaTheme="minorHAnsi" w:cstheme="minorBidi"/>
          <w:b/>
          <w:smallCaps/>
          <w:szCs w:val="24"/>
          <w:lang w:val="fr-CA" w:eastAsia="en-US"/>
        </w:rPr>
        <w:t>Entre :</w:t>
      </w:r>
    </w:p>
    <w:p w14:paraId="79418089" w14:textId="77777777" w:rsidR="00E20052" w:rsidRPr="00BE287D" w:rsidRDefault="00E20052" w:rsidP="00E20052">
      <w:pPr>
        <w:jc w:val="center"/>
        <w:rPr>
          <w:rFonts w:eastAsiaTheme="minorHAnsi" w:cstheme="minorBidi"/>
          <w:b/>
          <w:szCs w:val="24"/>
          <w:lang w:val="fr-CA" w:eastAsia="en-US"/>
        </w:rPr>
      </w:pPr>
      <w:r w:rsidRPr="00BE287D">
        <w:rPr>
          <w:rFonts w:eastAsiaTheme="minorHAnsi" w:cstheme="minorBidi"/>
          <w:b/>
          <w:szCs w:val="24"/>
          <w:lang w:val="fr-CA" w:eastAsia="en-US"/>
        </w:rPr>
        <w:t>Sa Majesté la Reine</w:t>
      </w:r>
    </w:p>
    <w:p w14:paraId="60ECFB28" w14:textId="77777777" w:rsidR="00E20052" w:rsidRPr="00BE287D" w:rsidRDefault="00E20052" w:rsidP="00E20052">
      <w:pPr>
        <w:jc w:val="center"/>
        <w:rPr>
          <w:rFonts w:eastAsiaTheme="minorHAnsi" w:cstheme="minorBidi"/>
          <w:szCs w:val="24"/>
          <w:lang w:val="fr-CA" w:eastAsia="en-US"/>
        </w:rPr>
      </w:pPr>
      <w:r w:rsidRPr="00BE287D">
        <w:rPr>
          <w:rFonts w:eastAsiaTheme="minorHAnsi" w:cstheme="minorBidi"/>
          <w:szCs w:val="24"/>
          <w:lang w:val="fr-CA" w:eastAsia="en-US"/>
        </w:rPr>
        <w:t>Appelante</w:t>
      </w:r>
    </w:p>
    <w:p w14:paraId="7E6C233D" w14:textId="77777777" w:rsidR="00E20052" w:rsidRPr="00BE287D" w:rsidRDefault="00E20052" w:rsidP="00E20052">
      <w:pPr>
        <w:rPr>
          <w:rFonts w:eastAsiaTheme="minorHAnsi" w:cstheme="minorBidi"/>
          <w:szCs w:val="24"/>
          <w:lang w:val="fr-CA" w:eastAsia="en-US"/>
        </w:rPr>
      </w:pPr>
    </w:p>
    <w:p w14:paraId="1590E914" w14:textId="77777777" w:rsidR="00E20052" w:rsidRPr="00BE287D" w:rsidRDefault="00E20052" w:rsidP="00E20052">
      <w:pPr>
        <w:jc w:val="center"/>
        <w:rPr>
          <w:rFonts w:eastAsiaTheme="minorHAnsi" w:cstheme="minorBidi"/>
          <w:szCs w:val="24"/>
          <w:lang w:val="fr-CA" w:eastAsia="en-US"/>
        </w:rPr>
      </w:pPr>
      <w:proofErr w:type="gramStart"/>
      <w:r w:rsidRPr="00BE287D">
        <w:rPr>
          <w:rFonts w:eastAsiaTheme="minorHAnsi" w:cstheme="minorBidi"/>
          <w:szCs w:val="24"/>
          <w:lang w:val="fr-CA" w:eastAsia="en-US"/>
        </w:rPr>
        <w:t>et</w:t>
      </w:r>
      <w:proofErr w:type="gramEnd"/>
    </w:p>
    <w:p w14:paraId="734A58F0" w14:textId="77777777" w:rsidR="00E20052" w:rsidRPr="00BE287D" w:rsidRDefault="00E20052" w:rsidP="00E20052">
      <w:pPr>
        <w:jc w:val="center"/>
        <w:rPr>
          <w:rFonts w:eastAsiaTheme="minorHAnsi" w:cstheme="minorBidi"/>
          <w:b/>
          <w:szCs w:val="24"/>
          <w:lang w:val="fr-CA" w:eastAsia="en-US"/>
        </w:rPr>
      </w:pPr>
    </w:p>
    <w:p w14:paraId="0642E3A1" w14:textId="77777777" w:rsidR="00E20052" w:rsidRPr="00BE287D" w:rsidRDefault="00E20052" w:rsidP="00E20052">
      <w:pPr>
        <w:jc w:val="center"/>
        <w:rPr>
          <w:rFonts w:eastAsiaTheme="minorHAnsi" w:cstheme="minorBidi"/>
          <w:b/>
          <w:szCs w:val="24"/>
          <w:lang w:val="fr-CA" w:eastAsia="en-US"/>
        </w:rPr>
      </w:pPr>
      <w:r w:rsidRPr="00BE287D">
        <w:rPr>
          <w:rFonts w:eastAsiaTheme="minorHAnsi" w:cstheme="minorBidi"/>
          <w:b/>
          <w:szCs w:val="24"/>
          <w:lang w:val="fr-CA" w:eastAsia="en-US"/>
        </w:rPr>
        <w:t>R.V.</w:t>
      </w:r>
    </w:p>
    <w:p w14:paraId="4F235574" w14:textId="77777777" w:rsidR="00E20052" w:rsidRPr="00BE287D" w:rsidRDefault="00E20052" w:rsidP="00E20052">
      <w:pPr>
        <w:jc w:val="center"/>
        <w:rPr>
          <w:rFonts w:eastAsiaTheme="minorHAnsi" w:cstheme="minorBidi"/>
          <w:szCs w:val="24"/>
          <w:lang w:val="fr-CA" w:eastAsia="en-US"/>
        </w:rPr>
      </w:pPr>
      <w:r w:rsidRPr="00BE287D">
        <w:rPr>
          <w:rFonts w:eastAsiaTheme="minorHAnsi" w:cstheme="minorBidi"/>
          <w:szCs w:val="24"/>
          <w:lang w:val="fr-CA" w:eastAsia="en-US"/>
        </w:rPr>
        <w:t>Intimé</w:t>
      </w:r>
    </w:p>
    <w:p w14:paraId="1992254D" w14:textId="77777777" w:rsidR="00E20052" w:rsidRPr="00BE287D" w:rsidRDefault="00E20052" w:rsidP="00E20052">
      <w:pPr>
        <w:rPr>
          <w:rFonts w:eastAsiaTheme="minorHAnsi" w:cstheme="minorBidi"/>
          <w:szCs w:val="24"/>
          <w:lang w:val="fr-CA" w:eastAsia="en-US"/>
        </w:rPr>
      </w:pPr>
    </w:p>
    <w:p w14:paraId="16ADAC81" w14:textId="77777777" w:rsidR="00E20052" w:rsidRPr="00BE287D" w:rsidRDefault="00E20052" w:rsidP="00E20052">
      <w:pPr>
        <w:jc w:val="center"/>
        <w:rPr>
          <w:rFonts w:eastAsiaTheme="minorHAnsi" w:cstheme="minorBidi"/>
          <w:szCs w:val="24"/>
          <w:lang w:val="fr-CA" w:eastAsia="en-US"/>
        </w:rPr>
      </w:pPr>
      <w:r w:rsidRPr="00BE287D">
        <w:rPr>
          <w:rFonts w:eastAsiaTheme="minorHAnsi" w:cstheme="minorBidi"/>
          <w:szCs w:val="24"/>
          <w:lang w:val="fr-CA" w:eastAsia="en-US"/>
        </w:rPr>
        <w:t>- et -</w:t>
      </w:r>
    </w:p>
    <w:p w14:paraId="1FBF86D0" w14:textId="77777777" w:rsidR="00E20052" w:rsidRPr="00BE287D" w:rsidRDefault="00E20052" w:rsidP="00E20052">
      <w:pPr>
        <w:jc w:val="center"/>
        <w:rPr>
          <w:rFonts w:eastAsiaTheme="minorHAnsi" w:cstheme="minorBidi"/>
          <w:b/>
          <w:szCs w:val="24"/>
          <w:lang w:val="fr-CA" w:eastAsia="en-US"/>
        </w:rPr>
      </w:pPr>
    </w:p>
    <w:p w14:paraId="11A3AB03" w14:textId="77777777" w:rsidR="00E20052" w:rsidRPr="00BE287D" w:rsidRDefault="00E20052" w:rsidP="00E20052">
      <w:pPr>
        <w:jc w:val="center"/>
        <w:rPr>
          <w:rFonts w:eastAsiaTheme="minorHAnsi" w:cstheme="minorBidi"/>
          <w:b/>
          <w:szCs w:val="24"/>
          <w:lang w:val="fr-CA" w:eastAsia="en-US"/>
        </w:rPr>
      </w:pPr>
      <w:r w:rsidRPr="00BE287D">
        <w:rPr>
          <w:rFonts w:eastAsiaTheme="minorHAnsi" w:cstheme="minorBidi"/>
          <w:b/>
          <w:szCs w:val="24"/>
          <w:lang w:val="fr-CA" w:eastAsia="en-US"/>
        </w:rPr>
        <w:t xml:space="preserve">Procureur général de l’Alberta et </w:t>
      </w:r>
      <w:proofErr w:type="spellStart"/>
      <w:r w:rsidRPr="00BE287D">
        <w:rPr>
          <w:rFonts w:eastAsiaTheme="minorHAnsi" w:cstheme="minorBidi"/>
          <w:b/>
          <w:szCs w:val="24"/>
          <w:lang w:val="fr-CA" w:eastAsia="en-US"/>
        </w:rPr>
        <w:t>Criminal</w:t>
      </w:r>
      <w:proofErr w:type="spellEnd"/>
      <w:r w:rsidRPr="00BE287D">
        <w:rPr>
          <w:rFonts w:eastAsiaTheme="minorHAnsi" w:cstheme="minorBidi"/>
          <w:b/>
          <w:szCs w:val="24"/>
          <w:lang w:val="fr-CA" w:eastAsia="en-US"/>
        </w:rPr>
        <w:t xml:space="preserve"> </w:t>
      </w:r>
      <w:proofErr w:type="spellStart"/>
      <w:r w:rsidRPr="00BE287D">
        <w:rPr>
          <w:rFonts w:eastAsiaTheme="minorHAnsi" w:cstheme="minorBidi"/>
          <w:b/>
          <w:szCs w:val="24"/>
          <w:lang w:val="fr-CA" w:eastAsia="en-US"/>
        </w:rPr>
        <w:t>Lawyers</w:t>
      </w:r>
      <w:proofErr w:type="spellEnd"/>
      <w:r w:rsidRPr="00BE287D">
        <w:rPr>
          <w:rFonts w:eastAsiaTheme="minorHAnsi" w:cstheme="minorBidi"/>
          <w:b/>
          <w:szCs w:val="24"/>
          <w:lang w:val="fr-CA" w:eastAsia="en-US"/>
        </w:rPr>
        <w:t>’ Association of Ontario</w:t>
      </w:r>
    </w:p>
    <w:p w14:paraId="4EE45693" w14:textId="77777777" w:rsidR="00E20052" w:rsidRPr="00BE287D" w:rsidRDefault="00E20052" w:rsidP="00E20052">
      <w:pPr>
        <w:jc w:val="center"/>
        <w:rPr>
          <w:rFonts w:eastAsiaTheme="minorHAnsi" w:cstheme="minorBidi"/>
          <w:szCs w:val="24"/>
          <w:lang w:val="fr-CA" w:eastAsia="en-US"/>
        </w:rPr>
      </w:pPr>
      <w:r w:rsidRPr="00BE287D">
        <w:rPr>
          <w:rFonts w:eastAsiaTheme="minorHAnsi" w:cstheme="minorBidi"/>
          <w:szCs w:val="24"/>
          <w:lang w:val="fr-CA" w:eastAsia="en-US"/>
        </w:rPr>
        <w:t>Intervenants</w:t>
      </w:r>
    </w:p>
    <w:p w14:paraId="28DA1FFE" w14:textId="77777777" w:rsidR="00E20052" w:rsidRPr="00BE287D" w:rsidRDefault="00E20052" w:rsidP="00E20052">
      <w:pPr>
        <w:rPr>
          <w:rFonts w:eastAsiaTheme="minorHAnsi" w:cstheme="minorBidi"/>
          <w:szCs w:val="24"/>
          <w:lang w:val="fr-CA" w:eastAsia="en-US"/>
        </w:rPr>
      </w:pPr>
    </w:p>
    <w:p w14:paraId="530A1DE7" w14:textId="77777777" w:rsidR="00E20052" w:rsidRPr="00BE287D" w:rsidRDefault="00E20052" w:rsidP="00E20052">
      <w:pPr>
        <w:rPr>
          <w:rFonts w:eastAsiaTheme="minorHAnsi" w:cstheme="minorBidi"/>
          <w:szCs w:val="24"/>
          <w:lang w:val="fr-CA" w:eastAsia="en-US"/>
        </w:rPr>
      </w:pPr>
    </w:p>
    <w:p w14:paraId="4629FD76" w14:textId="77777777" w:rsidR="00E20052" w:rsidRPr="00BE287D" w:rsidRDefault="00E20052" w:rsidP="00E20052">
      <w:pPr>
        <w:jc w:val="center"/>
        <w:rPr>
          <w:rFonts w:eastAsiaTheme="minorHAnsi" w:cstheme="minorBidi"/>
          <w:b/>
          <w:smallCaps/>
          <w:szCs w:val="24"/>
          <w:lang w:val="fr-CA" w:eastAsia="en-US"/>
        </w:rPr>
      </w:pPr>
      <w:r w:rsidRPr="00BE287D">
        <w:rPr>
          <w:rFonts w:eastAsiaTheme="minorHAnsi" w:cstheme="minorBidi"/>
          <w:b/>
          <w:smallCaps/>
          <w:szCs w:val="24"/>
          <w:lang w:val="fr-CA" w:eastAsia="en-US"/>
        </w:rPr>
        <w:t>Traduction française officielle</w:t>
      </w:r>
    </w:p>
    <w:p w14:paraId="53ED69D6" w14:textId="77777777" w:rsidR="00E20052" w:rsidRPr="00BE287D" w:rsidRDefault="00E20052" w:rsidP="00E20052">
      <w:pPr>
        <w:rPr>
          <w:rFonts w:eastAsiaTheme="minorHAnsi" w:cstheme="minorBidi"/>
          <w:szCs w:val="24"/>
          <w:lang w:val="fr-CA" w:eastAsia="en-US"/>
        </w:rPr>
      </w:pPr>
    </w:p>
    <w:p w14:paraId="56022C01" w14:textId="77777777" w:rsidR="00E20052" w:rsidRPr="00BE287D" w:rsidRDefault="00E20052" w:rsidP="00E20052">
      <w:pPr>
        <w:rPr>
          <w:rFonts w:eastAsiaTheme="minorHAnsi" w:cstheme="minorBidi"/>
          <w:szCs w:val="24"/>
          <w:lang w:val="fr-CA" w:eastAsia="en-US"/>
        </w:rPr>
      </w:pPr>
      <w:r w:rsidRPr="00BE287D">
        <w:rPr>
          <w:rFonts w:eastAsiaTheme="minorHAnsi" w:cstheme="minorBidi"/>
          <w:b/>
          <w:smallCaps/>
          <w:szCs w:val="24"/>
          <w:lang w:val="fr-CA" w:eastAsia="en-US"/>
        </w:rPr>
        <w:t>Coram :</w:t>
      </w:r>
      <w:r w:rsidRPr="00BE287D">
        <w:rPr>
          <w:rFonts w:eastAsiaTheme="minorHAnsi" w:cstheme="minorBidi"/>
          <w:szCs w:val="24"/>
          <w:lang w:val="fr-CA" w:eastAsia="en-US"/>
        </w:rPr>
        <w:t xml:space="preserve"> Le juge en chef Wagner et les juges Abella, </w:t>
      </w:r>
      <w:proofErr w:type="spellStart"/>
      <w:r w:rsidRPr="00BE287D">
        <w:rPr>
          <w:rFonts w:eastAsiaTheme="minorHAnsi" w:cstheme="minorBidi"/>
          <w:szCs w:val="24"/>
          <w:lang w:val="fr-CA" w:eastAsia="en-US"/>
        </w:rPr>
        <w:t>Moldaver</w:t>
      </w:r>
      <w:proofErr w:type="spellEnd"/>
      <w:r w:rsidRPr="00BE287D">
        <w:rPr>
          <w:rFonts w:eastAsiaTheme="minorHAnsi" w:cstheme="minorBidi"/>
          <w:szCs w:val="24"/>
          <w:lang w:val="fr-CA" w:eastAsia="en-US"/>
        </w:rPr>
        <w:t xml:space="preserve">, </w:t>
      </w:r>
      <w:proofErr w:type="spellStart"/>
      <w:r w:rsidRPr="00BE287D">
        <w:rPr>
          <w:rFonts w:eastAsiaTheme="minorHAnsi" w:cstheme="minorBidi"/>
          <w:szCs w:val="24"/>
          <w:lang w:val="fr-CA" w:eastAsia="en-US"/>
        </w:rPr>
        <w:t>Karakatsanis</w:t>
      </w:r>
      <w:proofErr w:type="spellEnd"/>
      <w:r w:rsidRPr="00BE287D">
        <w:rPr>
          <w:rFonts w:eastAsiaTheme="minorHAnsi" w:cstheme="minorBidi"/>
          <w:szCs w:val="24"/>
          <w:lang w:val="fr-CA" w:eastAsia="en-US"/>
        </w:rPr>
        <w:t xml:space="preserve">, Côté, Brown, Rowe, Martin et </w:t>
      </w:r>
      <w:proofErr w:type="spellStart"/>
      <w:r w:rsidRPr="00BE287D">
        <w:rPr>
          <w:rFonts w:eastAsiaTheme="minorHAnsi" w:cstheme="minorBidi"/>
          <w:szCs w:val="24"/>
          <w:lang w:val="fr-CA" w:eastAsia="en-US"/>
        </w:rPr>
        <w:t>Kasirer</w:t>
      </w:r>
      <w:proofErr w:type="spellEnd"/>
    </w:p>
    <w:p w14:paraId="2C5F0678" w14:textId="77777777" w:rsidR="00E20052" w:rsidRPr="00BE287D" w:rsidRDefault="00E20052" w:rsidP="00E20052">
      <w:pPr>
        <w:rPr>
          <w:rFonts w:eastAsiaTheme="minorHAnsi" w:cstheme="minorBid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20052" w:rsidRPr="00B439B2" w14:paraId="10964F47" w14:textId="77777777" w:rsidTr="00CF227A">
        <w:trPr>
          <w:cantSplit/>
        </w:trPr>
        <w:tc>
          <w:tcPr>
            <w:tcW w:w="3618" w:type="dxa"/>
          </w:tcPr>
          <w:p w14:paraId="5487F6D8" w14:textId="77777777" w:rsidR="00E20052" w:rsidRPr="00BE287D" w:rsidRDefault="00E20052" w:rsidP="00CF227A">
            <w:pPr>
              <w:rPr>
                <w:lang w:val="fr-CA"/>
              </w:rPr>
            </w:pPr>
            <w:r w:rsidRPr="00BE287D">
              <w:rPr>
                <w:b/>
                <w:smallCaps/>
                <w:lang w:val="fr-CA"/>
              </w:rPr>
              <w:t>Motifs de jugement :</w:t>
            </w:r>
          </w:p>
          <w:p w14:paraId="7F15A0B8" w14:textId="77777777" w:rsidR="00E20052" w:rsidRPr="00BE287D" w:rsidRDefault="00E20052" w:rsidP="00CF227A">
            <w:pPr>
              <w:rPr>
                <w:lang w:val="fr-CA"/>
              </w:rPr>
            </w:pPr>
            <w:r w:rsidRPr="00BE287D">
              <w:rPr>
                <w:lang w:val="fr-CA"/>
              </w:rPr>
              <w:t>(par. 1 à 80)</w:t>
            </w:r>
          </w:p>
        </w:tc>
        <w:tc>
          <w:tcPr>
            <w:tcW w:w="5958" w:type="dxa"/>
          </w:tcPr>
          <w:p w14:paraId="7BC3B464" w14:textId="77777777" w:rsidR="00E20052" w:rsidRPr="00BE287D" w:rsidRDefault="00E20052" w:rsidP="00CF227A">
            <w:pPr>
              <w:rPr>
                <w:lang w:val="fr-CA"/>
              </w:rPr>
            </w:pPr>
            <w:r w:rsidRPr="00BE287D">
              <w:rPr>
                <w:lang w:val="fr-CA"/>
              </w:rPr>
              <w:t xml:space="preserve">Le juge </w:t>
            </w:r>
            <w:proofErr w:type="spellStart"/>
            <w:r w:rsidRPr="00BE287D">
              <w:rPr>
                <w:lang w:val="fr-CA"/>
              </w:rPr>
              <w:t>Moldaver</w:t>
            </w:r>
            <w:proofErr w:type="spellEnd"/>
            <w:r w:rsidRPr="00BE287D">
              <w:rPr>
                <w:lang w:val="fr-CA"/>
              </w:rPr>
              <w:t xml:space="preserve"> (avec l’accord du juge en chef Wagner et des juges Abella, </w:t>
            </w:r>
            <w:proofErr w:type="spellStart"/>
            <w:r w:rsidRPr="00BE287D">
              <w:rPr>
                <w:lang w:val="fr-CA"/>
              </w:rPr>
              <w:t>Karakatsanis</w:t>
            </w:r>
            <w:proofErr w:type="spellEnd"/>
            <w:r w:rsidRPr="00BE287D">
              <w:rPr>
                <w:lang w:val="fr-CA"/>
              </w:rPr>
              <w:t>, Côté, Rowe et Martin)</w:t>
            </w:r>
          </w:p>
          <w:p w14:paraId="1DEC62C8" w14:textId="77777777" w:rsidR="00E20052" w:rsidRPr="00BE287D" w:rsidRDefault="00E20052" w:rsidP="00CF227A">
            <w:pPr>
              <w:rPr>
                <w:lang w:val="fr-CA"/>
              </w:rPr>
            </w:pPr>
          </w:p>
        </w:tc>
      </w:tr>
      <w:tr w:rsidR="00E20052" w:rsidRPr="00B439B2" w14:paraId="501A26F5" w14:textId="77777777" w:rsidTr="00CF22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c>
          <w:tcPr>
            <w:tcW w:w="3618" w:type="dxa"/>
            <w:tcBorders>
              <w:top w:val="nil"/>
              <w:left w:val="nil"/>
              <w:bottom w:val="nil"/>
              <w:right w:val="nil"/>
            </w:tcBorders>
          </w:tcPr>
          <w:p w14:paraId="716C083E" w14:textId="77777777" w:rsidR="00E20052" w:rsidRPr="00BE287D" w:rsidRDefault="00E20052" w:rsidP="00CF227A">
            <w:pPr>
              <w:rPr>
                <w:b/>
                <w:smallCaps/>
                <w:lang w:val="fr-CA"/>
              </w:rPr>
            </w:pPr>
            <w:r w:rsidRPr="00BE287D">
              <w:rPr>
                <w:b/>
                <w:smallCaps/>
                <w:lang w:val="fr-CA"/>
              </w:rPr>
              <w:t>Motifs dissidents en partie :</w:t>
            </w:r>
          </w:p>
          <w:p w14:paraId="58852E3B" w14:textId="77777777" w:rsidR="00E20052" w:rsidRPr="00BE287D" w:rsidRDefault="00E20052" w:rsidP="00CF227A">
            <w:pPr>
              <w:rPr>
                <w:lang w:val="fr-CA"/>
              </w:rPr>
            </w:pPr>
            <w:r w:rsidRPr="00BE287D">
              <w:rPr>
                <w:lang w:val="fr-CA"/>
              </w:rPr>
              <w:t>(par. 81 à 103)</w:t>
            </w:r>
          </w:p>
        </w:tc>
        <w:tc>
          <w:tcPr>
            <w:tcW w:w="5958" w:type="dxa"/>
            <w:tcBorders>
              <w:top w:val="nil"/>
              <w:left w:val="nil"/>
              <w:bottom w:val="nil"/>
              <w:right w:val="nil"/>
            </w:tcBorders>
          </w:tcPr>
          <w:p w14:paraId="084B6315" w14:textId="77777777" w:rsidR="00E20052" w:rsidRPr="00BE287D" w:rsidRDefault="00E20052" w:rsidP="00CF227A">
            <w:pPr>
              <w:rPr>
                <w:lang w:val="fr-CA"/>
              </w:rPr>
            </w:pPr>
            <w:r w:rsidRPr="00BE287D">
              <w:rPr>
                <w:lang w:val="fr-CA"/>
              </w:rPr>
              <w:t xml:space="preserve">Le juge Brown (avec l’accord du juge </w:t>
            </w:r>
            <w:proofErr w:type="spellStart"/>
            <w:r w:rsidRPr="00BE287D">
              <w:rPr>
                <w:lang w:val="fr-CA"/>
              </w:rPr>
              <w:t>Kasirer</w:t>
            </w:r>
            <w:proofErr w:type="spellEnd"/>
            <w:r w:rsidRPr="00BE287D">
              <w:rPr>
                <w:lang w:val="fr-CA"/>
              </w:rPr>
              <w:t>)</w:t>
            </w:r>
          </w:p>
          <w:p w14:paraId="4F24C158" w14:textId="77777777" w:rsidR="00E20052" w:rsidRPr="00BE287D" w:rsidRDefault="00E20052" w:rsidP="00CF227A">
            <w:pPr>
              <w:rPr>
                <w:lang w:val="fr-CA"/>
              </w:rPr>
            </w:pPr>
          </w:p>
        </w:tc>
      </w:tr>
    </w:tbl>
    <w:p w14:paraId="1655649E" w14:textId="77777777" w:rsidR="00E20052" w:rsidRPr="00BE287D" w:rsidRDefault="00E20052" w:rsidP="00E20052">
      <w:pPr>
        <w:rPr>
          <w:rFonts w:eastAsiaTheme="minorHAnsi" w:cstheme="minorBidi"/>
          <w:szCs w:val="24"/>
          <w:lang w:val="fr-CA" w:eastAsia="en-US"/>
        </w:rPr>
      </w:pPr>
      <w:r w:rsidRPr="00BE287D">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0C37560D" wp14:editId="41ECF56F">
                <wp:simplePos x="0" y="0"/>
                <wp:positionH relativeFrom="column">
                  <wp:posOffset>1609725</wp:posOffset>
                </wp:positionH>
                <wp:positionV relativeFrom="paragraph">
                  <wp:posOffset>184150</wp:posOffset>
                </wp:positionV>
                <wp:extent cx="2505075" cy="0"/>
                <wp:effectExtent l="9525" t="1333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EF28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ToHgIAADs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xBm06B4CAAA7BAAADgAAAAAAAAAAAAAAAAAuAgAAZHJzL2Uyb0RvYy54bWxQSwEC&#10;LQAUAAYACAAAACEAqm+CLt0AAAAJAQAADwAAAAAAAAAAAAAAAAB4BAAAZHJzL2Rvd25yZXYueG1s&#10;UEsFBgAAAAAEAAQA8wAAAIIFAAAAAA==&#10;"/>
            </w:pict>
          </mc:Fallback>
        </mc:AlternateContent>
      </w:r>
    </w:p>
    <w:p w14:paraId="6501AC2E" w14:textId="77777777" w:rsidR="00E20052" w:rsidRDefault="00E20052" w:rsidP="00E20052">
      <w:pPr>
        <w:rPr>
          <w:rStyle w:val="SCCAppellantForRunningHeadChar"/>
          <w:lang w:val="fr-CA"/>
        </w:rPr>
      </w:pPr>
      <w:r>
        <w:rPr>
          <w:rStyle w:val="SCCAppellantForRunningHeadChar"/>
          <w:lang w:val="fr-CA"/>
        </w:rPr>
        <w:br w:type="page"/>
      </w:r>
    </w:p>
    <w:p w14:paraId="19556B1B" w14:textId="184DD427" w:rsidR="004D7D95" w:rsidRPr="006A7397" w:rsidRDefault="00DF435F" w:rsidP="00E03410">
      <w:pPr>
        <w:spacing w:after="720"/>
        <w:jc w:val="both"/>
        <w:rPr>
          <w:lang w:val="fr-CA"/>
        </w:rPr>
      </w:pPr>
      <w:bookmarkStart w:id="0" w:name="_GoBack"/>
      <w:bookmarkEnd w:id="0"/>
      <w:r>
        <w:rPr>
          <w:rStyle w:val="SCCAppellantForRunningHeadChar"/>
          <w:lang w:val="fr-CA"/>
        </w:rPr>
        <w:lastRenderedPageBreak/>
        <w:t>r</w:t>
      </w:r>
      <w:r w:rsidR="004D7D95" w:rsidRPr="006A7397">
        <w:rPr>
          <w:rStyle w:val="SCCAppellantForRunningHeadChar"/>
          <w:lang w:val="fr-CA"/>
        </w:rPr>
        <w:t>.</w:t>
      </w:r>
      <w:r w:rsidR="004D7D95" w:rsidRPr="006A7397">
        <w:rPr>
          <w:lang w:val="fr-CA"/>
        </w:rPr>
        <w:t xml:space="preserve"> </w:t>
      </w:r>
      <w:r w:rsidR="004D7D95" w:rsidRPr="006A7397">
        <w:rPr>
          <w:i/>
          <w:lang w:val="fr-CA"/>
        </w:rPr>
        <w:t>c.</w:t>
      </w:r>
      <w:r w:rsidR="004D7D95" w:rsidRPr="006A7397">
        <w:rPr>
          <w:lang w:val="fr-CA"/>
        </w:rPr>
        <w:t xml:space="preserve"> </w:t>
      </w:r>
      <w:proofErr w:type="spellStart"/>
      <w:r>
        <w:rPr>
          <w:rStyle w:val="SCCRespondentForRunningHeadChar"/>
          <w:lang w:val="fr-CA"/>
        </w:rPr>
        <w:t>r.v</w:t>
      </w:r>
      <w:proofErr w:type="spellEnd"/>
      <w:r>
        <w:rPr>
          <w:rStyle w:val="SCCRespondentForRunningHeadChar"/>
          <w:lang w:val="fr-CA"/>
        </w:rPr>
        <w:t>.</w:t>
      </w:r>
    </w:p>
    <w:p w14:paraId="7CFABC67" w14:textId="77777777" w:rsidR="004863D9" w:rsidRPr="006A7397" w:rsidRDefault="007C1CDE" w:rsidP="00E03410">
      <w:pPr>
        <w:pStyle w:val="SCCLsocLastPartyInRole"/>
        <w:rPr>
          <w:lang w:val="fr-CA"/>
        </w:rPr>
      </w:pPr>
      <w:r w:rsidRPr="006A7397">
        <w:rPr>
          <w:lang w:val="fr-CA"/>
        </w:rPr>
        <w:t>Sa Majesté la Reine</w:t>
      </w:r>
      <w:r w:rsidR="003A4F11" w:rsidRPr="006A7397">
        <w:rPr>
          <w:rStyle w:val="SCCLsocPartyRole"/>
          <w:lang w:val="fr-CA"/>
        </w:rPr>
        <w:tab/>
        <w:t>Appelante</w:t>
      </w:r>
    </w:p>
    <w:p w14:paraId="3A1AB434" w14:textId="77777777" w:rsidR="004863D9" w:rsidRPr="006A7397" w:rsidRDefault="007C1CDE" w:rsidP="00E03410">
      <w:pPr>
        <w:pStyle w:val="SCCLsocVersus"/>
        <w:rPr>
          <w:lang w:val="fr-CA"/>
        </w:rPr>
      </w:pPr>
      <w:proofErr w:type="gramStart"/>
      <w:r w:rsidRPr="006A7397">
        <w:rPr>
          <w:lang w:val="fr-CA"/>
        </w:rPr>
        <w:t>c</w:t>
      </w:r>
      <w:proofErr w:type="gramEnd"/>
      <w:r w:rsidRPr="006A7397">
        <w:rPr>
          <w:lang w:val="fr-CA"/>
        </w:rPr>
        <w:t>.</w:t>
      </w:r>
    </w:p>
    <w:p w14:paraId="2D80013D" w14:textId="77777777" w:rsidR="004863D9" w:rsidRPr="006A7397" w:rsidRDefault="007C1CDE" w:rsidP="00E03410">
      <w:pPr>
        <w:pStyle w:val="SCCLsocLastPartyInRole"/>
        <w:rPr>
          <w:lang w:val="fr-CA"/>
        </w:rPr>
      </w:pPr>
      <w:r w:rsidRPr="006A7397">
        <w:rPr>
          <w:lang w:val="fr-CA"/>
        </w:rPr>
        <w:t>R.V.</w:t>
      </w:r>
      <w:r w:rsidR="003A4F11" w:rsidRPr="006A7397">
        <w:rPr>
          <w:rStyle w:val="SCCLsocPartyRole"/>
          <w:lang w:val="fr-CA"/>
        </w:rPr>
        <w:tab/>
        <w:t>Intimé</w:t>
      </w:r>
    </w:p>
    <w:p w14:paraId="22BC4C8A" w14:textId="77777777" w:rsidR="004863D9" w:rsidRPr="006A7397" w:rsidRDefault="007C1CDE" w:rsidP="00E03410">
      <w:pPr>
        <w:pStyle w:val="SCCLsocOtherPartySeparator"/>
        <w:rPr>
          <w:lang w:val="fr-CA"/>
        </w:rPr>
      </w:pPr>
      <w:proofErr w:type="gramStart"/>
      <w:r w:rsidRPr="006A7397">
        <w:rPr>
          <w:lang w:val="fr-CA"/>
        </w:rPr>
        <w:t>et</w:t>
      </w:r>
      <w:proofErr w:type="gramEnd"/>
    </w:p>
    <w:p w14:paraId="2CD119A2" w14:textId="77777777" w:rsidR="003D0F81" w:rsidRPr="006A7397" w:rsidRDefault="003D0F81">
      <w:pPr>
        <w:pStyle w:val="SCCLsocParty"/>
        <w:rPr>
          <w:lang w:val="fr-CA"/>
        </w:rPr>
      </w:pPr>
      <w:r w:rsidRPr="006A7397">
        <w:rPr>
          <w:lang w:val="fr-CA"/>
        </w:rPr>
        <w:t>Procureur général de l’Alberta et</w:t>
      </w:r>
    </w:p>
    <w:p w14:paraId="2F6A8B78" w14:textId="5E9664EC" w:rsidR="004863D9" w:rsidRPr="006A7397" w:rsidRDefault="007C1CDE" w:rsidP="00414DEE">
      <w:pPr>
        <w:pStyle w:val="SCCLsocParty"/>
        <w:spacing w:after="720"/>
        <w:rPr>
          <w:lang w:val="en-US"/>
        </w:rPr>
      </w:pPr>
      <w:r w:rsidRPr="006A7397">
        <w:rPr>
          <w:lang w:val="en-US"/>
        </w:rPr>
        <w:t>Criminal Lawyers</w:t>
      </w:r>
      <w:r w:rsidR="003A4F11" w:rsidRPr="006A7397">
        <w:rPr>
          <w:lang w:val="en-US"/>
        </w:rPr>
        <w:t>’</w:t>
      </w:r>
      <w:r w:rsidR="003D0F81" w:rsidRPr="006A7397">
        <w:rPr>
          <w:lang w:val="en-US"/>
        </w:rPr>
        <w:t xml:space="preserve"> Association of Ontario</w:t>
      </w:r>
      <w:r w:rsidRPr="006A7397">
        <w:rPr>
          <w:rStyle w:val="SCCLsocPartyRole"/>
          <w:lang w:val="en-US"/>
        </w:rPr>
        <w:tab/>
      </w:r>
      <w:proofErr w:type="spellStart"/>
      <w:r w:rsidR="003D0F81" w:rsidRPr="006A7397">
        <w:rPr>
          <w:rStyle w:val="SCCLsocPartyRole"/>
          <w:lang w:val="en-US"/>
        </w:rPr>
        <w:t>Intervenant</w:t>
      </w:r>
      <w:r w:rsidRPr="006A7397">
        <w:rPr>
          <w:rStyle w:val="SCCLsocPartyRole"/>
          <w:lang w:val="en-US"/>
        </w:rPr>
        <w:t>s</w:t>
      </w:r>
      <w:proofErr w:type="spellEnd"/>
    </w:p>
    <w:p w14:paraId="25753B8F" w14:textId="11497453" w:rsidR="004D7D95" w:rsidRPr="006A7397" w:rsidRDefault="004D7D95" w:rsidP="00E03410">
      <w:pPr>
        <w:spacing w:after="720"/>
        <w:jc w:val="both"/>
        <w:rPr>
          <w:b/>
          <w:lang w:val="fr-CA"/>
        </w:rPr>
      </w:pPr>
      <w:r w:rsidRPr="006A7397">
        <w:rPr>
          <w:b/>
          <w:lang w:val="fr-CA"/>
        </w:rPr>
        <w:t>Répertorié</w:t>
      </w:r>
      <w:r w:rsidR="001E4069">
        <w:rPr>
          <w:b/>
          <w:lang w:val="fr-CA"/>
        </w:rPr>
        <w:t> :</w:t>
      </w:r>
      <w:r w:rsidRPr="006A7397">
        <w:rPr>
          <w:b/>
          <w:lang w:val="fr-CA"/>
        </w:rPr>
        <w:t> </w:t>
      </w:r>
      <w:r w:rsidRPr="006A7397">
        <w:rPr>
          <w:rStyle w:val="SCCAppellantForIndexChar"/>
          <w:lang w:val="fr-CA"/>
        </w:rPr>
        <w:t>R.</w:t>
      </w:r>
      <w:r w:rsidRPr="006A7397">
        <w:rPr>
          <w:b/>
          <w:lang w:val="fr-CA"/>
        </w:rPr>
        <w:t xml:space="preserve"> </w:t>
      </w:r>
      <w:r w:rsidRPr="006A7397">
        <w:rPr>
          <w:b/>
          <w:i/>
          <w:lang w:val="fr-CA"/>
        </w:rPr>
        <w:t>c.</w:t>
      </w:r>
      <w:r w:rsidRPr="006A7397">
        <w:rPr>
          <w:b/>
          <w:lang w:val="fr-CA"/>
        </w:rPr>
        <w:t xml:space="preserve"> </w:t>
      </w:r>
      <w:r w:rsidRPr="006A7397">
        <w:rPr>
          <w:rStyle w:val="SCCRespondentForIndexChar"/>
          <w:lang w:val="fr-CA"/>
        </w:rPr>
        <w:t>R.V.</w:t>
      </w:r>
    </w:p>
    <w:p w14:paraId="1D7AA2EF" w14:textId="77777777" w:rsidR="004D7D95" w:rsidRPr="006A7397" w:rsidRDefault="00D17B0E" w:rsidP="00E03410">
      <w:pPr>
        <w:pStyle w:val="SCCSystemYear"/>
        <w:spacing w:after="720"/>
        <w:jc w:val="both"/>
        <w:rPr>
          <w:lang w:val="fr-CA"/>
        </w:rPr>
      </w:pPr>
      <w:r w:rsidRPr="006A7397">
        <w:rPr>
          <w:lang w:val="fr-CA"/>
        </w:rPr>
        <w:t>2021</w:t>
      </w:r>
      <w:r w:rsidR="00F56326" w:rsidRPr="006A7397">
        <w:rPr>
          <w:lang w:val="fr-CA"/>
        </w:rPr>
        <w:t xml:space="preserve"> CSC 10</w:t>
      </w:r>
    </w:p>
    <w:p w14:paraId="04C97754" w14:textId="0ACB1A81" w:rsidR="004D7D95" w:rsidRPr="006A7397" w:rsidRDefault="004D7D95" w:rsidP="00E03410">
      <w:pPr>
        <w:spacing w:after="720"/>
        <w:jc w:val="both"/>
        <w:rPr>
          <w:lang w:val="fr-CA"/>
        </w:rPr>
      </w:pPr>
      <w:r w:rsidRPr="006A7397">
        <w:rPr>
          <w:lang w:val="fr-CA"/>
        </w:rPr>
        <w:t>N</w:t>
      </w:r>
      <w:r w:rsidRPr="006A7397">
        <w:rPr>
          <w:vertAlign w:val="superscript"/>
          <w:lang w:val="fr-CA"/>
        </w:rPr>
        <w:t>o</w:t>
      </w:r>
      <w:r w:rsidRPr="006A7397">
        <w:rPr>
          <w:lang w:val="fr-CA"/>
        </w:rPr>
        <w:t xml:space="preserve"> du greffe</w:t>
      </w:r>
      <w:r w:rsidR="001E4069">
        <w:rPr>
          <w:lang w:val="fr-CA"/>
        </w:rPr>
        <w:t> :</w:t>
      </w:r>
      <w:r w:rsidRPr="006A7397">
        <w:rPr>
          <w:lang w:val="fr-CA"/>
        </w:rPr>
        <w:t> 38854.</w:t>
      </w:r>
    </w:p>
    <w:p w14:paraId="3FF39673" w14:textId="6FB48BFB" w:rsidR="004D7D95" w:rsidRPr="006A7397" w:rsidRDefault="00D17B0E" w:rsidP="00E03410">
      <w:pPr>
        <w:spacing w:after="720"/>
        <w:jc w:val="both"/>
        <w:rPr>
          <w:lang w:val="fr-CA"/>
        </w:rPr>
      </w:pPr>
      <w:r w:rsidRPr="006A7397">
        <w:rPr>
          <w:lang w:val="fr-CA"/>
        </w:rPr>
        <w:t>2020</w:t>
      </w:r>
      <w:r w:rsidR="001E4069">
        <w:rPr>
          <w:lang w:val="fr-CA"/>
        </w:rPr>
        <w:t> :</w:t>
      </w:r>
      <w:r w:rsidR="00E03410" w:rsidRPr="006A7397">
        <w:rPr>
          <w:lang w:val="fr-CA"/>
        </w:rPr>
        <w:t> 13 </w:t>
      </w:r>
      <w:r w:rsidRPr="006A7397">
        <w:rPr>
          <w:lang w:val="fr-CA"/>
        </w:rPr>
        <w:t>novembre</w:t>
      </w:r>
      <w:r w:rsidR="00E03410" w:rsidRPr="006A7397">
        <w:rPr>
          <w:lang w:val="fr-CA"/>
        </w:rPr>
        <w:t>; 2021</w:t>
      </w:r>
      <w:r w:rsidR="001E4069">
        <w:rPr>
          <w:lang w:val="fr-CA"/>
        </w:rPr>
        <w:t> :</w:t>
      </w:r>
      <w:r w:rsidR="00E03410" w:rsidRPr="006A7397">
        <w:rPr>
          <w:lang w:val="fr-CA"/>
        </w:rPr>
        <w:t> 12 </w:t>
      </w:r>
      <w:r w:rsidR="00D9450B" w:rsidRPr="006A7397">
        <w:rPr>
          <w:lang w:val="fr-CA"/>
        </w:rPr>
        <w:t>mars</w:t>
      </w:r>
      <w:r w:rsidR="004D7D95" w:rsidRPr="006A7397">
        <w:rPr>
          <w:lang w:val="fr-CA"/>
        </w:rPr>
        <w:t>.</w:t>
      </w:r>
    </w:p>
    <w:p w14:paraId="7EDF97CF" w14:textId="2FFF83D2" w:rsidR="004D7D95" w:rsidRPr="006A7397" w:rsidRDefault="004D7D95" w:rsidP="00E03410">
      <w:pPr>
        <w:spacing w:after="720"/>
        <w:jc w:val="both"/>
        <w:rPr>
          <w:lang w:val="fr-CA"/>
        </w:rPr>
      </w:pPr>
      <w:r w:rsidRPr="006A7397">
        <w:rPr>
          <w:lang w:val="fr-CA"/>
        </w:rPr>
        <w:t>Présents</w:t>
      </w:r>
      <w:r w:rsidR="001E4069">
        <w:rPr>
          <w:lang w:val="fr-CA"/>
        </w:rPr>
        <w:t> :</w:t>
      </w:r>
      <w:r w:rsidRPr="006A7397">
        <w:rPr>
          <w:lang w:val="fr-CA"/>
        </w:rPr>
        <w:t xml:space="preserve"> Le juge en chef Wagner et les juges Abella, </w:t>
      </w:r>
      <w:proofErr w:type="spellStart"/>
      <w:r w:rsidRPr="006A7397">
        <w:rPr>
          <w:lang w:val="fr-CA"/>
        </w:rPr>
        <w:t>Moldaver</w:t>
      </w:r>
      <w:proofErr w:type="spellEnd"/>
      <w:r w:rsidRPr="006A7397">
        <w:rPr>
          <w:lang w:val="fr-CA"/>
        </w:rPr>
        <w:t xml:space="preserve">, </w:t>
      </w:r>
      <w:proofErr w:type="spellStart"/>
      <w:r w:rsidRPr="006A7397">
        <w:rPr>
          <w:lang w:val="fr-CA"/>
        </w:rPr>
        <w:t>Karakatsanis</w:t>
      </w:r>
      <w:proofErr w:type="spellEnd"/>
      <w:r w:rsidRPr="006A7397">
        <w:rPr>
          <w:lang w:val="fr-CA"/>
        </w:rPr>
        <w:t xml:space="preserve">, Côté, Brown, Rowe, Martin et </w:t>
      </w:r>
      <w:proofErr w:type="spellStart"/>
      <w:r w:rsidRPr="006A7397">
        <w:rPr>
          <w:lang w:val="fr-CA"/>
        </w:rPr>
        <w:t>Kasirer</w:t>
      </w:r>
      <w:proofErr w:type="spellEnd"/>
      <w:r w:rsidRPr="006A7397">
        <w:rPr>
          <w:lang w:val="fr-CA"/>
        </w:rPr>
        <w:t>.</w:t>
      </w:r>
    </w:p>
    <w:p w14:paraId="62CFDED4" w14:textId="77777777" w:rsidR="004D7D95" w:rsidRPr="006A7397" w:rsidRDefault="004D7D95" w:rsidP="00E03410">
      <w:pPr>
        <w:spacing w:after="720"/>
        <w:jc w:val="both"/>
        <w:rPr>
          <w:smallCaps/>
          <w:lang w:val="fr-CA"/>
        </w:rPr>
      </w:pPr>
      <w:r w:rsidRPr="006A7397">
        <w:rPr>
          <w:smallCaps/>
          <w:lang w:val="fr-CA"/>
        </w:rPr>
        <w:t>en appel de la cour d</w:t>
      </w:r>
      <w:r w:rsidR="003A4F11" w:rsidRPr="006A7397">
        <w:rPr>
          <w:smallCaps/>
          <w:lang w:val="fr-CA"/>
        </w:rPr>
        <w:t>’</w:t>
      </w:r>
      <w:r w:rsidRPr="006A7397">
        <w:rPr>
          <w:smallCaps/>
          <w:lang w:val="fr-CA"/>
        </w:rPr>
        <w:t xml:space="preserve">appel de </w:t>
      </w:r>
      <w:proofErr w:type="spellStart"/>
      <w:r w:rsidRPr="006A7397">
        <w:rPr>
          <w:smallCaps/>
          <w:lang w:val="fr-CA"/>
        </w:rPr>
        <w:t>l</w:t>
      </w:r>
      <w:r w:rsidR="003A4F11" w:rsidRPr="006A7397">
        <w:rPr>
          <w:smallCaps/>
          <w:lang w:val="fr-CA"/>
        </w:rPr>
        <w:t>’</w:t>
      </w:r>
      <w:r w:rsidRPr="006A7397">
        <w:rPr>
          <w:smallCaps/>
          <w:lang w:val="fr-CA"/>
        </w:rPr>
        <w:t>ontario</w:t>
      </w:r>
      <w:proofErr w:type="spellEnd"/>
    </w:p>
    <w:p w14:paraId="3D77EB6B" w14:textId="39278C28" w:rsidR="00FD71E1" w:rsidRPr="006A7397" w:rsidRDefault="004D7D95" w:rsidP="006A7397">
      <w:pPr>
        <w:pStyle w:val="SCCNormalDoubleSpacing"/>
        <w:spacing w:after="480"/>
        <w:rPr>
          <w:i/>
          <w:lang w:val="fr-CA"/>
        </w:rPr>
      </w:pPr>
      <w:r w:rsidRPr="006A7397">
        <w:rPr>
          <w:lang w:val="fr-CA"/>
        </w:rPr>
        <w:lastRenderedPageBreak/>
        <w:tab/>
      </w:r>
      <w:r w:rsidR="00FD71E1" w:rsidRPr="006A7397">
        <w:rPr>
          <w:i/>
          <w:lang w:val="fr-CA"/>
        </w:rPr>
        <w:t>Droit criminel — Appels — Verdict déraisonnable — Verdicts incompatibles — Exposé au jury — Accusé déclaré coupable par un jury de contacts sexuels et d’incitation à des contacts sexuels mais acquitté de l’infraction d’agression sexuelle — Mêmes actes commis sur une plaignante à l’origine des trois infractions — Appel formé par l’accusé contre les verdicts de culpabilité et appel incident interjeté par la Couronne contre le verdict d’acquittement — L’erreur de droit dans les directives au jury permet</w:t>
      </w:r>
      <w:r w:rsidR="001E4069">
        <w:rPr>
          <w:i/>
          <w:lang w:val="fr-CA"/>
        </w:rPr>
        <w:noBreakHyphen/>
      </w:r>
      <w:r w:rsidR="00FD71E1" w:rsidRPr="006A7397">
        <w:rPr>
          <w:i/>
          <w:lang w:val="fr-CA"/>
        </w:rPr>
        <w:t>elle de concilier des verdicts apparemment incompatibles? — Réparation convenable —</w:t>
      </w:r>
      <w:r w:rsidR="00BC4D02">
        <w:rPr>
          <w:i/>
          <w:lang w:val="fr-CA"/>
        </w:rPr>
        <w:t xml:space="preserve"> Code criminel, L.R.C. 1985, c. </w:t>
      </w:r>
      <w:r w:rsidR="00FD71E1" w:rsidRPr="006A7397">
        <w:rPr>
          <w:i/>
          <w:lang w:val="fr-CA"/>
        </w:rPr>
        <w:t>C</w:t>
      </w:r>
      <w:r w:rsidR="001E4069">
        <w:rPr>
          <w:i/>
          <w:lang w:val="fr-CA"/>
        </w:rPr>
        <w:noBreakHyphen/>
      </w:r>
      <w:r w:rsidR="00FD71E1" w:rsidRPr="006A7397">
        <w:rPr>
          <w:i/>
          <w:lang w:val="fr-CA"/>
        </w:rPr>
        <w:t xml:space="preserve">46, </w:t>
      </w:r>
      <w:r w:rsidR="001E4069">
        <w:rPr>
          <w:i/>
          <w:lang w:val="fr-CA"/>
        </w:rPr>
        <w:t>art. </w:t>
      </w:r>
      <w:r w:rsidR="00FD71E1" w:rsidRPr="006A7397">
        <w:rPr>
          <w:i/>
          <w:lang w:val="fr-CA"/>
        </w:rPr>
        <w:t>686(4), (8).</w:t>
      </w:r>
    </w:p>
    <w:p w14:paraId="60CCDE49" w14:textId="19FD98EB" w:rsidR="00FD71E1" w:rsidRPr="006A7397" w:rsidRDefault="00FD71E1" w:rsidP="006A7397">
      <w:pPr>
        <w:pStyle w:val="SCCNormalDoubleSpacing"/>
        <w:spacing w:after="480"/>
        <w:rPr>
          <w:lang w:val="fr-CA"/>
        </w:rPr>
      </w:pPr>
      <w:r w:rsidRPr="006A7397">
        <w:rPr>
          <w:lang w:val="fr-CA"/>
        </w:rPr>
        <w:tab/>
        <w:t xml:space="preserve">V a été accusé d’avoir commis </w:t>
      </w:r>
      <w:r w:rsidR="00DF435F">
        <w:rPr>
          <w:lang w:val="fr-CA"/>
        </w:rPr>
        <w:t>des</w:t>
      </w:r>
      <w:r w:rsidRPr="006A7397">
        <w:rPr>
          <w:lang w:val="fr-CA"/>
        </w:rPr>
        <w:t xml:space="preserve"> infractions d’ordre sexuel </w:t>
      </w:r>
      <w:r w:rsidR="00DF435F">
        <w:rPr>
          <w:lang w:val="fr-CA"/>
        </w:rPr>
        <w:t>historiques à l’égard d’</w:t>
      </w:r>
      <w:r w:rsidRPr="006A7397">
        <w:rPr>
          <w:lang w:val="fr-CA"/>
        </w:rPr>
        <w:t xml:space="preserve">une seule plaignante, et il a subi son procès devant juge et jury. Le jury l’a déclaré coupable de contacts sexuels et d’incitation à des contacts sexuels. Le même jury l’a acquitté de l’infraction d’agression sexuelle en se fondant sur les mêmes éléments de preuve. V a interjeté appel de ses déclarations de culpabilité, alléguant qu’elles étaient incompatibles avec son acquittement quant à l’accusation d’agression sexuelle et qu’elles étaient donc déraisonnables. La Couronne a formé un appel incident contre l’acquittement de </w:t>
      </w:r>
      <w:r w:rsidR="00CB0FF4" w:rsidRPr="006A7397">
        <w:rPr>
          <w:lang w:val="fr-CA"/>
        </w:rPr>
        <w:t>V</w:t>
      </w:r>
      <w:r w:rsidRPr="006A7397">
        <w:rPr>
          <w:lang w:val="fr-CA"/>
        </w:rPr>
        <w:t xml:space="preserve"> en affirmant que l’exposé au jury prêtait inutilement à confusion à un point tel qu’il constituait une erreur de droit, et que l’incompatibilité apparente des verdicts pouvait s’expliquer par les directives erronées données au jury, de sorte que les verdicts de culpabilité ne pouvaient pas être jugés déraisonnables. </w:t>
      </w:r>
    </w:p>
    <w:p w14:paraId="5F30376F" w14:textId="5A25D0AD" w:rsidR="00FD71E1" w:rsidRPr="006A7397" w:rsidRDefault="00FD71E1" w:rsidP="006A7397">
      <w:pPr>
        <w:pStyle w:val="SCCNormalDoubleSpacing"/>
        <w:spacing w:after="480"/>
        <w:rPr>
          <w:lang w:val="fr-CA"/>
        </w:rPr>
      </w:pPr>
      <w:r w:rsidRPr="006A7397">
        <w:rPr>
          <w:lang w:val="fr-CA"/>
        </w:rPr>
        <w:tab/>
        <w:t xml:space="preserve">Les juges majoritaires de la Cour d’appel ont conclu qu’il n’y avait aucune erreur de droit dans les directives données au jury et que les verdicts de culpabilité pour </w:t>
      </w:r>
      <w:r w:rsidRPr="006A7397">
        <w:rPr>
          <w:lang w:val="fr-CA"/>
        </w:rPr>
        <w:lastRenderedPageBreak/>
        <w:t>contacts sexuels et incitation à des contacts sexuels étaient déraisonnables, car ils étaient incompatibles avec l’acquittement quant à l’accusation d’agression sexuelle. Les juges majoritaires ont annulé les déclarations de culpabilité de</w:t>
      </w:r>
      <w:r w:rsidR="00CB0FF4" w:rsidRPr="006A7397">
        <w:rPr>
          <w:lang w:val="fr-CA"/>
        </w:rPr>
        <w:t xml:space="preserve"> V</w:t>
      </w:r>
      <w:r w:rsidRPr="006A7397">
        <w:rPr>
          <w:lang w:val="fr-CA"/>
        </w:rPr>
        <w:t xml:space="preserve"> et y ont substitué des verdicts d’acquittement. Ils ont aussi confirmé l’acquittement relatif à l’accusation d’agression sexuelle. Les juges minoritaires ont constaté la présence d’une erreur de droit dans les directives au jury, et ils auraient ordonné la tenue d’un nouveau procès à l’égard des trois accusations.</w:t>
      </w:r>
      <w:r w:rsidR="006A7397">
        <w:rPr>
          <w:lang w:val="fr-CA"/>
        </w:rPr>
        <w:t xml:space="preserve"> </w:t>
      </w:r>
    </w:p>
    <w:p w14:paraId="3772EC38" w14:textId="1F6FDFDE" w:rsidR="00FD71E1" w:rsidRPr="006A7397" w:rsidRDefault="00FD71E1" w:rsidP="006A7397">
      <w:pPr>
        <w:pStyle w:val="SCCNormalDoubleSpacing"/>
        <w:spacing w:after="480"/>
        <w:rPr>
          <w:lang w:val="fr-CA"/>
        </w:rPr>
      </w:pPr>
      <w:r w:rsidRPr="006A7397">
        <w:rPr>
          <w:lang w:val="fr-CA"/>
        </w:rPr>
        <w:tab/>
      </w:r>
      <w:r w:rsidRPr="006A7397">
        <w:rPr>
          <w:i/>
          <w:lang w:val="fr-CA"/>
        </w:rPr>
        <w:t xml:space="preserve">Arrêt </w:t>
      </w:r>
      <w:r w:rsidRPr="006A7397">
        <w:rPr>
          <w:lang w:val="fr-CA"/>
        </w:rPr>
        <w:t xml:space="preserve">(les juges Brown et </w:t>
      </w:r>
      <w:proofErr w:type="spellStart"/>
      <w:r w:rsidRPr="006A7397">
        <w:rPr>
          <w:lang w:val="fr-CA"/>
        </w:rPr>
        <w:t>Kasirer</w:t>
      </w:r>
      <w:proofErr w:type="spellEnd"/>
      <w:r w:rsidRPr="006A7397">
        <w:rPr>
          <w:lang w:val="fr-CA"/>
        </w:rPr>
        <w:t xml:space="preserve"> sont dissidents en partie)</w:t>
      </w:r>
      <w:r w:rsidR="001E4069">
        <w:rPr>
          <w:lang w:val="fr-CA"/>
        </w:rPr>
        <w:t> :</w:t>
      </w:r>
      <w:r w:rsidRPr="006A7397">
        <w:rPr>
          <w:lang w:val="fr-CA"/>
        </w:rPr>
        <w:t xml:space="preserve"> Le pourvoi est accueilli. </w:t>
      </w:r>
    </w:p>
    <w:p w14:paraId="0C9F43F5" w14:textId="21975127" w:rsidR="00FD71E1" w:rsidRPr="006A7397" w:rsidRDefault="00FD71E1" w:rsidP="006A7397">
      <w:pPr>
        <w:pStyle w:val="SCCNormalDoubleSpacing"/>
        <w:spacing w:after="480"/>
        <w:rPr>
          <w:lang w:val="fr-CA"/>
        </w:rPr>
      </w:pPr>
      <w:r w:rsidRPr="006A7397">
        <w:rPr>
          <w:lang w:val="fr-CA"/>
        </w:rPr>
        <w:tab/>
      </w:r>
      <w:r w:rsidRPr="006A7397">
        <w:rPr>
          <w:i/>
          <w:lang w:val="fr-CA"/>
        </w:rPr>
        <w:t xml:space="preserve">Le </w:t>
      </w:r>
      <w:r w:rsidRPr="006A7397">
        <w:rPr>
          <w:lang w:val="fr-CA"/>
        </w:rPr>
        <w:t xml:space="preserve">juge en chef Wagner et les juges Abella, </w:t>
      </w:r>
      <w:proofErr w:type="spellStart"/>
      <w:r w:rsidRPr="00A40984">
        <w:rPr>
          <w:lang w:val="fr-CA"/>
        </w:rPr>
        <w:t>Moldaver</w:t>
      </w:r>
      <w:proofErr w:type="spellEnd"/>
      <w:r w:rsidRPr="006A7397">
        <w:rPr>
          <w:lang w:val="fr-CA"/>
        </w:rPr>
        <w:t xml:space="preserve">, </w:t>
      </w:r>
      <w:proofErr w:type="spellStart"/>
      <w:r w:rsidRPr="006A7397">
        <w:rPr>
          <w:lang w:val="fr-CA"/>
        </w:rPr>
        <w:t>Karakatsanis</w:t>
      </w:r>
      <w:proofErr w:type="spellEnd"/>
      <w:r w:rsidRPr="006A7397">
        <w:rPr>
          <w:lang w:val="fr-CA"/>
        </w:rPr>
        <w:t>, Côté, Rowe et Martin</w:t>
      </w:r>
      <w:r w:rsidR="001E4069">
        <w:rPr>
          <w:lang w:val="fr-CA"/>
        </w:rPr>
        <w:t> :</w:t>
      </w:r>
      <w:r w:rsidRPr="006A7397">
        <w:rPr>
          <w:lang w:val="fr-CA"/>
        </w:rPr>
        <w:t xml:space="preserve"> La juge du procès a donné au jury des directives erronées sur l’accusation d’agression sexuelle. Cette erreur de droit a eu une incidence significative sur le verdict d</w:t>
      </w:r>
      <w:r w:rsidR="00CB0FF4" w:rsidRPr="006A7397">
        <w:rPr>
          <w:lang w:val="fr-CA"/>
        </w:rPr>
        <w:t xml:space="preserve">’acquittement, </w:t>
      </w:r>
      <w:r w:rsidRPr="006A7397">
        <w:rPr>
          <w:lang w:val="fr-CA"/>
        </w:rPr>
        <w:t>n’a eu aucune incidence sur les décla</w:t>
      </w:r>
      <w:r w:rsidR="00DF435F">
        <w:rPr>
          <w:lang w:val="fr-CA"/>
        </w:rPr>
        <w:t xml:space="preserve">rations de culpabilité, et </w:t>
      </w:r>
      <w:r w:rsidRPr="006A7397">
        <w:rPr>
          <w:lang w:val="fr-CA"/>
        </w:rPr>
        <w:t>permet de concilier les verdicts apparemment incompatibles. Comme les verdicts ne sont pas réellement incompatibles, les déclarations de culpabilité ne sont pas déraisonnables pour cause d’incompatibilité. Il y a donc lieu de rétablir les déclarations de culpabilité de V. Il convient d’écarter l’acquittement relativement à l’accusation d’agression sexuelle et, eu égard aux circonstances de l’espèce, l’arrêt des procédures doit être ordonné quant à cette accusation.</w:t>
      </w:r>
      <w:r w:rsidR="006A7397">
        <w:rPr>
          <w:lang w:val="fr-CA"/>
        </w:rPr>
        <w:t xml:space="preserve"> </w:t>
      </w:r>
    </w:p>
    <w:p w14:paraId="4FCC7544" w14:textId="60486AAC" w:rsidR="00FD71E1" w:rsidRPr="006A7397" w:rsidRDefault="00FD71E1" w:rsidP="006A7397">
      <w:pPr>
        <w:pStyle w:val="SCCNormalDoubleSpacing"/>
        <w:spacing w:after="480"/>
        <w:rPr>
          <w:lang w:val="fr-CA"/>
        </w:rPr>
      </w:pPr>
      <w:r w:rsidRPr="006A7397">
        <w:rPr>
          <w:lang w:val="fr-CA"/>
        </w:rPr>
        <w:tab/>
        <w:t xml:space="preserve">Dans un appel où une partie allègue qu’un jury a rendu des verdicts incompatibles, </w:t>
      </w:r>
      <w:r w:rsidRPr="006A7397">
        <w:rPr>
          <w:shd w:val="clear" w:color="auto" w:fill="FFFFFF"/>
          <w:lang w:val="fr-CA"/>
        </w:rPr>
        <w:t xml:space="preserve">la cour d’appel doit déterminer ultimement si les </w:t>
      </w:r>
      <w:r w:rsidRPr="006A7397">
        <w:rPr>
          <w:lang w:val="fr-CA"/>
        </w:rPr>
        <w:t xml:space="preserve">verdicts sont </w:t>
      </w:r>
      <w:r w:rsidRPr="006A7397">
        <w:rPr>
          <w:lang w:val="fr-CA"/>
        </w:rPr>
        <w:lastRenderedPageBreak/>
        <w:t xml:space="preserve">réellement incompatibles et donc déraisonnables. La Couronne </w:t>
      </w:r>
      <w:r w:rsidRPr="006A7397">
        <w:rPr>
          <w:shd w:val="clear" w:color="auto" w:fill="FFFFFF"/>
          <w:lang w:val="fr-CA"/>
        </w:rPr>
        <w:t>peut chercher à concilier des verdicts apparemment incompatibles au motif qu’ils découlent d’une erreur de droit dans les directives données au jury</w:t>
      </w:r>
      <w:r w:rsidRPr="006A7397">
        <w:rPr>
          <w:lang w:val="fr-CA"/>
        </w:rPr>
        <w:t xml:space="preserve">. </w:t>
      </w:r>
      <w:r w:rsidRPr="006A7397">
        <w:rPr>
          <w:szCs w:val="24"/>
          <w:shd w:val="clear" w:color="auto" w:fill="FFFFFF"/>
          <w:lang w:val="fr-CA"/>
        </w:rPr>
        <w:t>Lorsque la Couronne tente de concilier des verdicts apparemment incompatibles au motif qu’une erreur de droit a été commise, elle doit convaincre la cour d’appel avec une certitude élevée que les directives au jury comportent une erreur de droit et que cette erreur</w:t>
      </w:r>
      <w:r w:rsidR="001E4069">
        <w:rPr>
          <w:lang w:val="fr-CA"/>
        </w:rPr>
        <w:t> :</w:t>
      </w:r>
      <w:r w:rsidRPr="006A7397">
        <w:rPr>
          <w:lang w:val="fr-CA"/>
        </w:rPr>
        <w:t xml:space="preserve"> (1) a eu une incidence significative sur le verdict d’acquittement; (2) n’a pas eu d’incidence sur la déclaration de culpabilité; et (3) concilie les verdicts incompatibles en démontrant que le jury n’a pas déclaré l’accusé à la fois coupable et non coupable des mêmes actes. Si ces éléments ont été établis, les verdicts ne sont pas réellement incompatibles. Pour déterminer si la Couronne s’est acquittée de son fardeau, la cour d’appel ne doit pas se livrer à des conjectures inappropriées au sujet de ce que le jury a fait et n’a pas fait. La cour d’appel doit pouvoir reconstituer le raisonnement du jury avec une certitude suffisamment élevée pour exclure toutes les autres explications raisonnables quant à la manière dont le jury a rendu ses verdicts. </w:t>
      </w:r>
    </w:p>
    <w:p w14:paraId="411939DC" w14:textId="77777777" w:rsidR="00FD71E1" w:rsidRPr="006A7397" w:rsidRDefault="00FD71E1" w:rsidP="006A7397">
      <w:pPr>
        <w:pStyle w:val="SCCNormalDoubleSpacing"/>
        <w:spacing w:after="480"/>
        <w:rPr>
          <w:lang w:val="fr-CA"/>
        </w:rPr>
      </w:pPr>
      <w:r w:rsidRPr="006A7397">
        <w:rPr>
          <w:lang w:val="fr-CA"/>
        </w:rPr>
        <w:tab/>
        <w:t>Si la cour d’appel ne peut conclure avec une certitude élevée que l’erreur de droit n’a pas vicié la déclaration de culpabilité, la tenue d’un nouveau procès à l’égard de toutes les accusations sera nécessaire si l’acquittement est écarté. Dans les cas où la cour d’appel peut restreindre l’erreur de droit à l’acquittement, seule l’accusation dont l’accusé a été acquitté devrait faire l’objet d’un nouveau procès et la déclaration de culpabilité devrait être maintenue.</w:t>
      </w:r>
    </w:p>
    <w:p w14:paraId="0BC02C9E" w14:textId="5BE15A96" w:rsidR="00FD71E1" w:rsidRPr="006A7397" w:rsidRDefault="00FD71E1" w:rsidP="006A7397">
      <w:pPr>
        <w:pStyle w:val="SCCNormalDoubleSpacing"/>
        <w:spacing w:after="480"/>
        <w:rPr>
          <w:lang w:val="fr-CA"/>
        </w:rPr>
      </w:pPr>
      <w:r w:rsidRPr="006A7397">
        <w:rPr>
          <w:lang w:val="fr-CA"/>
        </w:rPr>
        <w:lastRenderedPageBreak/>
        <w:tab/>
        <w:t xml:space="preserve">Dans certaines situations, la réparation convenable pourrait consister à ordonner l’arrêt des procédures relativement à l’accusation dont l’accusé a été acquitté dans l’exercice du pouvoir résiduel dont est investie une cour d’appel par le </w:t>
      </w:r>
      <w:r w:rsidR="001E4069">
        <w:rPr>
          <w:lang w:val="fr-CA"/>
        </w:rPr>
        <w:t>par. </w:t>
      </w:r>
      <w:r w:rsidRPr="006A7397">
        <w:rPr>
          <w:lang w:val="fr-CA"/>
        </w:rPr>
        <w:t xml:space="preserve">686(8) du </w:t>
      </w:r>
      <w:r w:rsidRPr="006A7397">
        <w:rPr>
          <w:i/>
          <w:lang w:val="fr-CA"/>
        </w:rPr>
        <w:t>Code criminel</w:t>
      </w:r>
      <w:r w:rsidRPr="006A7397">
        <w:rPr>
          <w:lang w:val="fr-CA"/>
        </w:rPr>
        <w:t xml:space="preserve">. Pour qu’une cour d’appel ordonne l’arrêt des procédures en vertu du </w:t>
      </w:r>
      <w:r w:rsidR="001E4069">
        <w:rPr>
          <w:lang w:val="fr-CA"/>
        </w:rPr>
        <w:t>par. </w:t>
      </w:r>
      <w:r w:rsidRPr="006A7397">
        <w:rPr>
          <w:lang w:val="fr-CA"/>
        </w:rPr>
        <w:t>686(8), trois conditions doivent être réunies</w:t>
      </w:r>
      <w:r w:rsidR="001E4069">
        <w:rPr>
          <w:lang w:val="fr-CA"/>
        </w:rPr>
        <w:t> :</w:t>
      </w:r>
      <w:r w:rsidRPr="006A7397">
        <w:rPr>
          <w:lang w:val="fr-CA"/>
        </w:rPr>
        <w:t xml:space="preserve"> premièrement, la cour doit avoir exercé un des pouvoirs conférés par le </w:t>
      </w:r>
      <w:r w:rsidR="001E4069">
        <w:rPr>
          <w:lang w:val="fr-CA"/>
        </w:rPr>
        <w:t>par. </w:t>
      </w:r>
      <w:r w:rsidRPr="006A7397">
        <w:rPr>
          <w:lang w:val="fr-CA"/>
        </w:rPr>
        <w:t>686(2), (4), (6) ou (7); deuxièmement, l’ordonnance rendue doit être accessoire à l’exercice de ce pouvoir; et troisièmement, l’ordonnance doit en être une que la justice exige.</w:t>
      </w:r>
    </w:p>
    <w:p w14:paraId="4CA4C7CE" w14:textId="26D54304" w:rsidR="00FD71E1" w:rsidRPr="006A7397" w:rsidRDefault="00FD71E1" w:rsidP="006A7397">
      <w:pPr>
        <w:pStyle w:val="SCCNormalDoubleSpacing"/>
        <w:spacing w:after="480"/>
        <w:rPr>
          <w:i/>
          <w:lang w:val="fr-CA"/>
        </w:rPr>
      </w:pPr>
      <w:r w:rsidRPr="006A7397">
        <w:rPr>
          <w:lang w:val="fr-CA"/>
        </w:rPr>
        <w:tab/>
        <w:t>En l’espèce, la juge du procès a induit le jury en erreur en ce qui concerne l’accusation d’agression sexuelle en lui donnant la fausse impression que l’élément de « force » requis pour établir l’agression sexuelle était différent de l’élément de « toucher » requis pour établir les contacts sexuels et l’incitation à des contacts sexuels. Cette erreur de droit a amené le jury à rendre un verdict d’acquittement à l’égard de l’accusation d’agression sexuelle. Ell</w:t>
      </w:r>
      <w:r w:rsidR="006A7397" w:rsidRPr="006A7397">
        <w:rPr>
          <w:lang w:val="fr-CA"/>
        </w:rPr>
        <w:t>e</w:t>
      </w:r>
      <w:r w:rsidR="006A7397">
        <w:rPr>
          <w:lang w:val="fr-CA"/>
        </w:rPr>
        <w:t xml:space="preserve"> </w:t>
      </w:r>
      <w:r w:rsidR="006A7397" w:rsidRPr="006A7397">
        <w:rPr>
          <w:lang w:val="fr-CA"/>
        </w:rPr>
        <w:t>n</w:t>
      </w:r>
      <w:r w:rsidRPr="006A7397">
        <w:rPr>
          <w:lang w:val="fr-CA"/>
        </w:rPr>
        <w:t>’a eu aucune incidence sur les déclarations de culpabilité,</w:t>
      </w:r>
      <w:r w:rsidR="00CB0FF4" w:rsidRPr="006A7397">
        <w:rPr>
          <w:lang w:val="fr-CA"/>
        </w:rPr>
        <w:t xml:space="preserve"> et </w:t>
      </w:r>
      <w:r w:rsidRPr="006A7397">
        <w:rPr>
          <w:lang w:val="fr-CA"/>
        </w:rPr>
        <w:t xml:space="preserve">les directives de la juge du procès quant aux accusations de contacts sexuels et d’incitation à des contacts sexuels étaient fondées en droit. De plus, l’erreur de droit permet de concilier les verdicts apparemment incompatibles en expliquant de quelle manière le jury aurait pu rendre ses verdicts sans déclarer V à la fois coupable et non coupable des mêmes actes. Le jury a déclaré V coupable </w:t>
      </w:r>
      <w:r w:rsidR="00DF435F">
        <w:rPr>
          <w:lang w:val="fr-CA"/>
        </w:rPr>
        <w:t>d’avoir touché la plaignante sexuellement</w:t>
      </w:r>
      <w:r w:rsidRPr="006A7397">
        <w:rPr>
          <w:lang w:val="fr-CA"/>
        </w:rPr>
        <w:t>, d’où les déclarations de culpabilité, et non coupable d’avoir employé une force allant au</w:t>
      </w:r>
      <w:r w:rsidR="001E4069">
        <w:rPr>
          <w:lang w:val="fr-CA"/>
        </w:rPr>
        <w:noBreakHyphen/>
      </w:r>
      <w:r w:rsidRPr="006A7397">
        <w:rPr>
          <w:lang w:val="fr-CA"/>
        </w:rPr>
        <w:t xml:space="preserve">delà du toucher à l’endroit de la plaignante dans des circonstances de nature sexuelle, d’où l’acquittement. Ces deux conclusions ne sont </w:t>
      </w:r>
      <w:r w:rsidRPr="006A7397">
        <w:rPr>
          <w:lang w:val="fr-CA"/>
        </w:rPr>
        <w:lastRenderedPageBreak/>
        <w:t>pas incompatibles, et il y a lieu de rétablir les déclarations de culpabilité de V. En ce qui concerne l’</w:t>
      </w:r>
      <w:r w:rsidR="00FB2437" w:rsidRPr="006A7397">
        <w:rPr>
          <w:lang w:val="fr-CA"/>
        </w:rPr>
        <w:t>acquittement relatif à l’</w:t>
      </w:r>
      <w:r w:rsidRPr="006A7397">
        <w:rPr>
          <w:lang w:val="fr-CA"/>
        </w:rPr>
        <w:t xml:space="preserve">accusation d’agression sexuelle, </w:t>
      </w:r>
      <w:r w:rsidR="00DF435F">
        <w:rPr>
          <w:lang w:val="fr-CA"/>
        </w:rPr>
        <w:t>il doit être écarté</w:t>
      </w:r>
      <w:r w:rsidRPr="006A7397">
        <w:rPr>
          <w:lang w:val="fr-CA"/>
        </w:rPr>
        <w:t xml:space="preserve">. Eu égard aux circonstances de l’espèce, il est justifié pour la Cour d’ordonner l’arrêt des procédures plutôt que la tenue d’un nouveau procès </w:t>
      </w:r>
      <w:r w:rsidR="00DF435F">
        <w:rPr>
          <w:lang w:val="fr-CA"/>
        </w:rPr>
        <w:t>à l’égard de</w:t>
      </w:r>
      <w:r w:rsidRPr="006A7397">
        <w:rPr>
          <w:lang w:val="fr-CA"/>
        </w:rPr>
        <w:t xml:space="preserve"> cette accusation. </w:t>
      </w:r>
    </w:p>
    <w:p w14:paraId="447B9755" w14:textId="4EC78820" w:rsidR="00FD71E1" w:rsidRPr="006A7397" w:rsidRDefault="00FD71E1" w:rsidP="006A7397">
      <w:pPr>
        <w:pStyle w:val="SCCNormalDoubleSpacing"/>
        <w:spacing w:after="480"/>
        <w:rPr>
          <w:lang w:val="fr-CA"/>
        </w:rPr>
      </w:pPr>
      <w:r w:rsidRPr="006A7397">
        <w:rPr>
          <w:i/>
          <w:lang w:val="fr-CA"/>
        </w:rPr>
        <w:tab/>
        <w:t>Les</w:t>
      </w:r>
      <w:r w:rsidRPr="006A7397">
        <w:rPr>
          <w:lang w:val="fr-CA"/>
        </w:rPr>
        <w:t xml:space="preserve"> juges </w:t>
      </w:r>
      <w:r w:rsidRPr="00A40984">
        <w:rPr>
          <w:lang w:val="fr-CA"/>
        </w:rPr>
        <w:t>Brown</w:t>
      </w:r>
      <w:r w:rsidRPr="006A7397">
        <w:rPr>
          <w:lang w:val="fr-CA"/>
        </w:rPr>
        <w:t xml:space="preserve"> et </w:t>
      </w:r>
      <w:proofErr w:type="spellStart"/>
      <w:r w:rsidRPr="006A7397">
        <w:rPr>
          <w:lang w:val="fr-CA"/>
        </w:rPr>
        <w:t>Kasirer</w:t>
      </w:r>
      <w:proofErr w:type="spellEnd"/>
      <w:r w:rsidRPr="006A7397">
        <w:rPr>
          <w:lang w:val="fr-CA"/>
        </w:rPr>
        <w:t xml:space="preserve"> (dissidents en partie)</w:t>
      </w:r>
      <w:r w:rsidR="001E4069">
        <w:rPr>
          <w:lang w:val="fr-CA"/>
        </w:rPr>
        <w:t> :</w:t>
      </w:r>
      <w:r w:rsidRPr="006A7397">
        <w:rPr>
          <w:lang w:val="fr-CA"/>
        </w:rPr>
        <w:t xml:space="preserve"> Il y a accord avec les juges majoritaires sur l’incompatibilité des verdicts en l’espèce. Il y a également accord avec eux pour dire que </w:t>
      </w:r>
      <w:r w:rsidRPr="006A7397">
        <w:rPr>
          <w:noProof/>
          <w:lang w:val="fr-CA"/>
        </w:rPr>
        <w:t>le jury a reçu des directives erronées, et que celles</w:t>
      </w:r>
      <w:r w:rsidR="001E4069">
        <w:rPr>
          <w:noProof/>
          <w:lang w:val="fr-CA"/>
        </w:rPr>
        <w:noBreakHyphen/>
      </w:r>
      <w:r w:rsidRPr="006A7397">
        <w:rPr>
          <w:noProof/>
          <w:lang w:val="fr-CA"/>
        </w:rPr>
        <w:t>ci équivalaient à une erreur de droit dont il serait raisonnable de penser qu’elle a eu une incidence significative sur l’acquittement</w:t>
      </w:r>
      <w:r w:rsidRPr="006A7397">
        <w:rPr>
          <w:lang w:val="fr-CA"/>
        </w:rPr>
        <w:t xml:space="preserve">. Cependant, </w:t>
      </w:r>
      <w:r w:rsidRPr="006A7397">
        <w:rPr>
          <w:noProof/>
          <w:lang w:val="fr-CA"/>
        </w:rPr>
        <w:t>la seule réparation possible en réponse à l’appel du ministère public en l’espèce est l’ordonnance de la tenue d’un nouveau procès</w:t>
      </w:r>
      <w:r w:rsidRPr="006A7397">
        <w:rPr>
          <w:lang w:val="fr-CA"/>
        </w:rPr>
        <w:t xml:space="preserve">. Pour éviter </w:t>
      </w:r>
      <w:r w:rsidRPr="006A7397">
        <w:rPr>
          <w:noProof/>
          <w:lang w:val="fr-CA"/>
        </w:rPr>
        <w:t xml:space="preserve">de placer </w:t>
      </w:r>
      <w:r w:rsidR="00DF435F">
        <w:rPr>
          <w:noProof/>
          <w:lang w:val="fr-CA"/>
        </w:rPr>
        <w:t>V</w:t>
      </w:r>
      <w:r w:rsidRPr="006A7397">
        <w:rPr>
          <w:noProof/>
          <w:lang w:val="fr-CA"/>
        </w:rPr>
        <w:t xml:space="preserve"> en péril pour quelque chose dont il a été déclaré coupable, la tenue d’un nouveau procès quant aux trois accusations</w:t>
      </w:r>
      <w:r w:rsidR="00DF435F">
        <w:rPr>
          <w:noProof/>
          <w:lang w:val="fr-CA"/>
        </w:rPr>
        <w:t xml:space="preserve"> doit être ordonnée</w:t>
      </w:r>
      <w:r w:rsidRPr="006A7397">
        <w:rPr>
          <w:noProof/>
          <w:lang w:val="fr-CA"/>
        </w:rPr>
        <w:t xml:space="preserve">. </w:t>
      </w:r>
    </w:p>
    <w:p w14:paraId="69511323" w14:textId="30BB640B" w:rsidR="00FD71E1" w:rsidRPr="006A7397" w:rsidRDefault="00FD71E1" w:rsidP="006A7397">
      <w:pPr>
        <w:pStyle w:val="SCCNormalDoubleSpacing"/>
        <w:spacing w:after="480"/>
        <w:rPr>
          <w:lang w:val="fr-CA"/>
        </w:rPr>
      </w:pPr>
      <w:r w:rsidRPr="006A7397">
        <w:rPr>
          <w:lang w:val="fr-CA"/>
        </w:rPr>
        <w:tab/>
        <w:t>En précisant</w:t>
      </w:r>
      <w:r w:rsidR="00DF435F">
        <w:rPr>
          <w:lang w:val="fr-CA"/>
        </w:rPr>
        <w:t>,</w:t>
      </w:r>
      <w:r w:rsidRPr="006A7397">
        <w:rPr>
          <w:lang w:val="fr-CA"/>
        </w:rPr>
        <w:t xml:space="preserve"> au sous</w:t>
      </w:r>
      <w:r w:rsidR="001E4069">
        <w:rPr>
          <w:lang w:val="fr-CA"/>
        </w:rPr>
        <w:noBreakHyphen/>
        <w:t>al. </w:t>
      </w:r>
      <w:r w:rsidRPr="006A7397">
        <w:rPr>
          <w:lang w:val="fr-CA"/>
        </w:rPr>
        <w:t xml:space="preserve">686(4)b)(i) du </w:t>
      </w:r>
      <w:r w:rsidRPr="006A7397">
        <w:rPr>
          <w:i/>
          <w:lang w:val="fr-CA"/>
        </w:rPr>
        <w:t>Code criminel</w:t>
      </w:r>
      <w:r w:rsidR="00DF435F">
        <w:rPr>
          <w:lang w:val="fr-CA"/>
        </w:rPr>
        <w:t>,</w:t>
      </w:r>
      <w:r w:rsidRPr="006A7397">
        <w:rPr>
          <w:i/>
          <w:lang w:val="fr-CA"/>
        </w:rPr>
        <w:t xml:space="preserve"> </w:t>
      </w:r>
      <w:r w:rsidRPr="006A7397">
        <w:rPr>
          <w:lang w:val="fr-CA"/>
        </w:rPr>
        <w:t xml:space="preserve">que </w:t>
      </w:r>
      <w:r w:rsidRPr="006A7397">
        <w:rPr>
          <w:noProof/>
          <w:lang w:val="fr-CA"/>
        </w:rPr>
        <w:t>la tenue d’un nouveau procès est la seule réparation possible</w:t>
      </w:r>
      <w:r w:rsidRPr="006A7397">
        <w:rPr>
          <w:lang w:val="fr-CA"/>
        </w:rPr>
        <w:t xml:space="preserve"> </w:t>
      </w:r>
      <w:r w:rsidRPr="006A7397">
        <w:rPr>
          <w:noProof/>
          <w:lang w:val="fr-CA" w:bidi="en-US"/>
        </w:rPr>
        <w:t>lorsque le ministère public a gain de cause en appel d’un verdict d’acquittement par un jury</w:t>
      </w:r>
      <w:r w:rsidRPr="006A7397">
        <w:rPr>
          <w:lang w:val="fr-CA"/>
        </w:rPr>
        <w:t xml:space="preserve">, </w:t>
      </w:r>
      <w:r w:rsidRPr="006A7397">
        <w:rPr>
          <w:noProof/>
          <w:lang w:val="fr-CA"/>
        </w:rPr>
        <w:t>le Parlement n’accordait aucune importance aux degrés de certitude du tribunal de révision</w:t>
      </w:r>
      <w:r w:rsidRPr="006A7397">
        <w:rPr>
          <w:lang w:val="fr-CA"/>
        </w:rPr>
        <w:t>; c</w:t>
      </w:r>
      <w:r w:rsidRPr="006A7397">
        <w:rPr>
          <w:noProof/>
          <w:lang w:val="fr-CA"/>
        </w:rPr>
        <w:t xml:space="preserve">e que le Parlement croyait important est plutôt que l’absence de motifs de jugement par un jury signifie qu’un tribunal de révision ne peut jamais être certain de ce qu’avaient à l’esprit les jurés. </w:t>
      </w:r>
      <w:r w:rsidRPr="006A7397">
        <w:rPr>
          <w:lang w:val="fr-CA"/>
        </w:rPr>
        <w:t>L</w:t>
      </w:r>
      <w:r w:rsidRPr="006A7397">
        <w:rPr>
          <w:noProof/>
          <w:lang w:val="fr-CA"/>
        </w:rPr>
        <w:t xml:space="preserve">a reconstitution du raisonnement d’un jury, indépendamment du degré de certitude du </w:t>
      </w:r>
      <w:r w:rsidRPr="006A7397">
        <w:rPr>
          <w:noProof/>
          <w:lang w:val="fr-CA"/>
        </w:rPr>
        <w:lastRenderedPageBreak/>
        <w:t>tribunal de révision, est un type de contrôle (1) que le Parlement a exclu, (2) que la Cour n’a jamais sanctionné et (3) qui est, en pratique, impossible.</w:t>
      </w:r>
      <w:r w:rsidR="006A7397">
        <w:rPr>
          <w:noProof/>
          <w:lang w:val="fr-CA"/>
        </w:rPr>
        <w:t xml:space="preserve"> </w:t>
      </w:r>
    </w:p>
    <w:p w14:paraId="5E3ABF79" w14:textId="6AD76999" w:rsidR="00FD71E1" w:rsidRPr="006A7397" w:rsidRDefault="00FD71E1" w:rsidP="006A7397">
      <w:pPr>
        <w:pStyle w:val="SCCNormalDoubleSpacing"/>
        <w:spacing w:after="480"/>
        <w:rPr>
          <w:lang w:val="fr-CA"/>
        </w:rPr>
      </w:pPr>
      <w:r w:rsidRPr="006A7397">
        <w:rPr>
          <w:lang w:val="fr-CA"/>
        </w:rPr>
        <w:tab/>
        <w:t xml:space="preserve">La conclusion tirée par les juges majoritaires en l’espèce selon laquelle l’erreur de droit </w:t>
      </w:r>
      <w:r w:rsidRPr="006A7397">
        <w:rPr>
          <w:noProof/>
          <w:lang w:val="fr-CA"/>
        </w:rPr>
        <w:t xml:space="preserve">permet de concilier les verdicts apparemment incompatibles va manifestement à l’encontre du raisonnement adopté par la Cour dans l’arrêt </w:t>
      </w:r>
      <w:r w:rsidRPr="006A7397">
        <w:rPr>
          <w:i/>
          <w:noProof/>
          <w:lang w:val="fr-CA"/>
        </w:rPr>
        <w:t xml:space="preserve">R. c. </w:t>
      </w:r>
      <w:r w:rsidRPr="006A7397">
        <w:rPr>
          <w:i/>
          <w:lang w:val="fr-CA"/>
        </w:rPr>
        <w:t>J.F.</w:t>
      </w:r>
      <w:r w:rsidRPr="006A7397">
        <w:rPr>
          <w:lang w:val="fr-CA"/>
        </w:rPr>
        <w:t xml:space="preserve">, 2008 CSC 60, [2008] 3 R.C.S. 215, laquelle </w:t>
      </w:r>
      <w:r w:rsidRPr="006A7397">
        <w:rPr>
          <w:noProof/>
          <w:lang w:val="fr-CA"/>
        </w:rPr>
        <w:t>ne peut être plus claire</w:t>
      </w:r>
      <w:r w:rsidR="001E4069">
        <w:rPr>
          <w:noProof/>
          <w:lang w:val="fr-CA"/>
        </w:rPr>
        <w:t> :</w:t>
      </w:r>
      <w:r w:rsidRPr="006A7397">
        <w:rPr>
          <w:lang w:val="fr-CA"/>
        </w:rPr>
        <w:t xml:space="preserve"> l’existence d’une erreur de droit </w:t>
      </w:r>
      <w:r w:rsidRPr="006A7397">
        <w:rPr>
          <w:noProof/>
          <w:lang w:val="fr-CA"/>
        </w:rPr>
        <w:t>ne permet pas de concilier des verdicts incompatibles</w:t>
      </w:r>
      <w:r w:rsidRPr="006A7397">
        <w:rPr>
          <w:lang w:val="fr-CA"/>
        </w:rPr>
        <w:t xml:space="preserve">. Le cadre proposé par les juges majoritaires </w:t>
      </w:r>
      <w:r w:rsidRPr="006A7397">
        <w:rPr>
          <w:noProof/>
          <w:lang w:val="fr-CA"/>
        </w:rPr>
        <w:t>est une invitation à se livrer couramment à des conjectures quant au processus de raisonnement du jury</w:t>
      </w:r>
      <w:r w:rsidRPr="006A7397">
        <w:rPr>
          <w:lang w:val="fr-CA"/>
        </w:rPr>
        <w:t xml:space="preserve">. </w:t>
      </w:r>
      <w:r w:rsidRPr="006A7397">
        <w:rPr>
          <w:noProof/>
          <w:lang w:val="fr-CA"/>
        </w:rPr>
        <w:t xml:space="preserve">Il incitera au biais de confirmation, et il ne dissuade pas le ministère public d’avoir recours à la multiplicité des accusations ou de rédiger des actes d’accusation portant à confusion; en réalité, il fait l’inverse, en éliminant toute conséquence. </w:t>
      </w:r>
    </w:p>
    <w:p w14:paraId="6DB168AC" w14:textId="1DAE732A" w:rsidR="00FD71E1" w:rsidRPr="006A7397" w:rsidRDefault="001E4069" w:rsidP="001E4069">
      <w:pPr>
        <w:pStyle w:val="SCCNormalDoubleSpacing"/>
        <w:spacing w:after="480"/>
        <w:rPr>
          <w:lang w:val="fr-CA"/>
        </w:rPr>
      </w:pPr>
      <w:r>
        <w:rPr>
          <w:noProof/>
          <w:lang w:val="fr-CA"/>
        </w:rPr>
        <w:tab/>
      </w:r>
      <w:r w:rsidR="00FD71E1" w:rsidRPr="006A7397">
        <w:rPr>
          <w:noProof/>
          <w:lang w:val="fr-CA"/>
        </w:rPr>
        <w:t xml:space="preserve">Les cours </w:t>
      </w:r>
      <w:r w:rsidR="00FD71E1" w:rsidRPr="006A7397">
        <w:rPr>
          <w:lang w:val="fr-CA"/>
        </w:rPr>
        <w:t>d’appel</w:t>
      </w:r>
      <w:r w:rsidR="00FD71E1" w:rsidRPr="006A7397">
        <w:rPr>
          <w:noProof/>
          <w:lang w:val="fr-CA"/>
        </w:rPr>
        <w:t xml:space="preserve"> sont assujetties à certaines contraintes légales lorsqu’elles tranchent un appel formé par le ministère public contre un acquittement par un jury</w:t>
      </w:r>
      <w:r w:rsidR="00FD71E1" w:rsidRPr="006A7397">
        <w:rPr>
          <w:lang w:val="fr-CA"/>
        </w:rPr>
        <w:t xml:space="preserve"> et, à la suite du </w:t>
      </w:r>
      <w:r>
        <w:rPr>
          <w:lang w:val="fr-CA"/>
        </w:rPr>
        <w:t>par. </w:t>
      </w:r>
      <w:r w:rsidR="00FD71E1" w:rsidRPr="006A7397">
        <w:rPr>
          <w:lang w:val="fr-CA"/>
        </w:rPr>
        <w:t xml:space="preserve">686(4) du </w:t>
      </w:r>
      <w:r w:rsidR="00FD71E1" w:rsidRPr="006A7397">
        <w:rPr>
          <w:i/>
          <w:lang w:val="fr-CA"/>
        </w:rPr>
        <w:t>Code criminel</w:t>
      </w:r>
      <w:r w:rsidR="00FD71E1" w:rsidRPr="006A7397">
        <w:rPr>
          <w:lang w:val="fr-CA"/>
        </w:rPr>
        <w:t xml:space="preserve">, elles peuvent </w:t>
      </w:r>
      <w:r w:rsidR="00FD71E1" w:rsidRPr="006A7397">
        <w:rPr>
          <w:noProof/>
          <w:lang w:val="fr-CA" w:bidi="en-US"/>
        </w:rPr>
        <w:t>soit rejeter l’appel, soit accueillir l’appel, annuler le verdict et ordonner la tenue d’un nouveau procès</w:t>
      </w:r>
      <w:r w:rsidR="00FD71E1" w:rsidRPr="006A7397">
        <w:rPr>
          <w:lang w:val="fr-CA"/>
        </w:rPr>
        <w:t xml:space="preserve">. </w:t>
      </w:r>
      <w:r w:rsidR="00FD71E1" w:rsidRPr="006A7397">
        <w:rPr>
          <w:noProof/>
          <w:lang w:val="fr-CA"/>
        </w:rPr>
        <w:t xml:space="preserve">Bien que le </w:t>
      </w:r>
      <w:r>
        <w:rPr>
          <w:noProof/>
          <w:lang w:val="fr-CA"/>
        </w:rPr>
        <w:t>par. </w:t>
      </w:r>
      <w:r w:rsidR="00FD71E1" w:rsidRPr="006A7397">
        <w:rPr>
          <w:noProof/>
          <w:lang w:val="fr-CA"/>
        </w:rPr>
        <w:t>686(8) habilite une cour d’appel</w:t>
      </w:r>
      <w:r w:rsidR="00FD71E1" w:rsidRPr="006A7397">
        <w:rPr>
          <w:lang w:val="fr-CA"/>
        </w:rPr>
        <w:t xml:space="preserve"> à rendre une ordonnance supplémentaire en vertu du </w:t>
      </w:r>
      <w:r>
        <w:rPr>
          <w:lang w:val="fr-CA"/>
        </w:rPr>
        <w:t>par. </w:t>
      </w:r>
      <w:r w:rsidR="00FD71E1" w:rsidRPr="006A7397">
        <w:rPr>
          <w:lang w:val="fr-CA"/>
        </w:rPr>
        <w:t xml:space="preserve">686(4), les juges majoritaires rendent une autre ordonnance en inscrivant un arrêt des procédures. </w:t>
      </w:r>
      <w:r w:rsidR="00FD71E1" w:rsidRPr="006A7397">
        <w:rPr>
          <w:noProof/>
          <w:lang w:val="fr-CA"/>
        </w:rPr>
        <w:t>Le prononcé d’une ordonnance qui équivaut à un verdict de non</w:t>
      </w:r>
      <w:r>
        <w:rPr>
          <w:noProof/>
          <w:lang w:val="fr-CA"/>
        </w:rPr>
        <w:noBreakHyphen/>
      </w:r>
      <w:r w:rsidR="00FD71E1" w:rsidRPr="006A7397">
        <w:rPr>
          <w:noProof/>
          <w:lang w:val="fr-CA"/>
        </w:rPr>
        <w:t>culpabilité est tout à fait incompatible avec le jugement sous</w:t>
      </w:r>
      <w:r>
        <w:rPr>
          <w:noProof/>
          <w:lang w:val="fr-CA"/>
        </w:rPr>
        <w:noBreakHyphen/>
      </w:r>
      <w:r w:rsidR="00FD71E1" w:rsidRPr="006A7397">
        <w:rPr>
          <w:noProof/>
          <w:lang w:val="fr-CA"/>
        </w:rPr>
        <w:t xml:space="preserve">jacent de la majorité qui confirme la culpabilité de V pour exactement le même </w:t>
      </w:r>
      <w:r w:rsidR="00FD71E1" w:rsidRPr="006A7397">
        <w:rPr>
          <w:noProof/>
          <w:lang w:val="fr-CA"/>
        </w:rPr>
        <w:lastRenderedPageBreak/>
        <w:t xml:space="preserve">comportement criminel. La difficulté qu’ont les juges majoritaires à ordonner la tenue d’un nouveau procès quant à l’accusation d’agression sexuelle est qu’ils souhaitent également rétablir les déclarations de culpabilité de V, qui sont manifestement incompatibles avec l’acquittement. </w:t>
      </w:r>
      <w:r w:rsidR="00FD71E1" w:rsidRPr="006A7397">
        <w:rPr>
          <w:lang w:val="fr-CA"/>
        </w:rPr>
        <w:t>C</w:t>
      </w:r>
      <w:r w:rsidR="00FD71E1" w:rsidRPr="006A7397">
        <w:rPr>
          <w:noProof/>
          <w:lang w:val="fr-CA"/>
        </w:rPr>
        <w:t>’est justement pour éviter cette difficulté que le dispositif approprié dans une telle situation est la tenue d’un nouveau procès relativement à toutes les accusations</w:t>
      </w:r>
      <w:r w:rsidR="00FD71E1" w:rsidRPr="006A7397">
        <w:rPr>
          <w:lang w:val="fr-CA"/>
        </w:rPr>
        <w:t>.</w:t>
      </w:r>
    </w:p>
    <w:p w14:paraId="4A7A8A10" w14:textId="77777777" w:rsidR="004D7D95" w:rsidRPr="006A7397" w:rsidRDefault="004D7D95" w:rsidP="00E03410">
      <w:pPr>
        <w:pStyle w:val="SCCNormalDoubleSpacing"/>
        <w:spacing w:after="720" w:line="240" w:lineRule="auto"/>
        <w:rPr>
          <w:b/>
          <w:lang w:val="fr-CA"/>
        </w:rPr>
      </w:pPr>
      <w:r w:rsidRPr="006A7397">
        <w:rPr>
          <w:b/>
          <w:lang w:val="fr-CA"/>
        </w:rPr>
        <w:t>Jurisprudence</w:t>
      </w:r>
    </w:p>
    <w:p w14:paraId="5A0F64DF" w14:textId="77777777" w:rsidR="004D7D95" w:rsidRPr="006A7397" w:rsidRDefault="000F44E3" w:rsidP="00E03410">
      <w:pPr>
        <w:pStyle w:val="SCCNormalDoubleSpacing"/>
        <w:spacing w:after="720" w:line="240" w:lineRule="auto"/>
        <w:rPr>
          <w:lang w:val="fr-CA"/>
        </w:rPr>
      </w:pPr>
      <w:r w:rsidRPr="006A7397">
        <w:rPr>
          <w:lang w:val="fr-CA"/>
        </w:rPr>
        <w:t xml:space="preserve">Citée par le juge </w:t>
      </w:r>
      <w:proofErr w:type="spellStart"/>
      <w:r w:rsidRPr="006A7397">
        <w:rPr>
          <w:lang w:val="fr-CA"/>
        </w:rPr>
        <w:t>Moldaver</w:t>
      </w:r>
      <w:proofErr w:type="spellEnd"/>
    </w:p>
    <w:p w14:paraId="1B9DAFC8" w14:textId="125D88CD" w:rsidR="004D7D95" w:rsidRPr="006A7397" w:rsidRDefault="004D7D95" w:rsidP="00E03410">
      <w:pPr>
        <w:pStyle w:val="SCCNormalDoubleSpacing"/>
        <w:spacing w:after="480"/>
        <w:rPr>
          <w:b/>
          <w:lang w:val="fr-CA"/>
        </w:rPr>
      </w:pPr>
      <w:r w:rsidRPr="006A7397">
        <w:rPr>
          <w:lang w:val="fr-CA"/>
        </w:rPr>
        <w:tab/>
      </w:r>
      <w:r w:rsidR="00AA04BD">
        <w:rPr>
          <w:b/>
          <w:lang w:val="fr-CA"/>
        </w:rPr>
        <w:t xml:space="preserve">Arrêts examinés : </w:t>
      </w:r>
      <w:r w:rsidR="00AA04BD" w:rsidRPr="006A7397">
        <w:rPr>
          <w:i/>
          <w:lang w:val="fr-CA"/>
        </w:rPr>
        <w:t xml:space="preserve">R. c. </w:t>
      </w:r>
      <w:proofErr w:type="spellStart"/>
      <w:r w:rsidR="00AA04BD" w:rsidRPr="006A7397">
        <w:rPr>
          <w:i/>
          <w:lang w:val="fr-CA"/>
        </w:rPr>
        <w:t>Pittiman</w:t>
      </w:r>
      <w:proofErr w:type="spellEnd"/>
      <w:r w:rsidR="00AA04BD" w:rsidRPr="006A7397">
        <w:rPr>
          <w:lang w:val="fr-CA"/>
        </w:rPr>
        <w:t xml:space="preserve">, 2006 CSC 9, [2006] 1 R.C.S. 381; </w:t>
      </w:r>
      <w:r w:rsidR="00AA04BD" w:rsidRPr="006A7397">
        <w:rPr>
          <w:i/>
          <w:lang w:val="fr-CA"/>
        </w:rPr>
        <w:t>R. c. J.F.</w:t>
      </w:r>
      <w:r w:rsidR="00AA04BD" w:rsidRPr="006A7397">
        <w:rPr>
          <w:lang w:val="fr-CA"/>
        </w:rPr>
        <w:t xml:space="preserve">, 2008 CSC 60, [2008] 3 R.C.S. 215; </w:t>
      </w:r>
      <w:r w:rsidR="00AA04BD">
        <w:rPr>
          <w:b/>
          <w:lang w:val="fr-CA"/>
        </w:rPr>
        <w:t>a</w:t>
      </w:r>
      <w:r w:rsidRPr="006A7397">
        <w:rPr>
          <w:b/>
          <w:lang w:val="fr-CA"/>
        </w:rPr>
        <w:t>rrêts mentionnés</w:t>
      </w:r>
      <w:r w:rsidR="001E4069">
        <w:rPr>
          <w:b/>
          <w:lang w:val="fr-CA"/>
        </w:rPr>
        <w:t> :</w:t>
      </w:r>
      <w:r w:rsidRPr="006A7397">
        <w:rPr>
          <w:lang w:val="fr-CA"/>
        </w:rPr>
        <w:t xml:space="preserve"> </w:t>
      </w:r>
      <w:r w:rsidR="00F53F8C" w:rsidRPr="006A7397">
        <w:rPr>
          <w:i/>
          <w:lang w:val="fr-CA"/>
        </w:rPr>
        <w:t xml:space="preserve">R. </w:t>
      </w:r>
      <w:r w:rsidR="00130421" w:rsidRPr="006A7397">
        <w:rPr>
          <w:i/>
          <w:lang w:val="fr-CA"/>
        </w:rPr>
        <w:t>c.</w:t>
      </w:r>
      <w:r w:rsidR="00F53F8C" w:rsidRPr="006A7397">
        <w:rPr>
          <w:i/>
          <w:lang w:val="fr-CA"/>
        </w:rPr>
        <w:t xml:space="preserve"> S.L.</w:t>
      </w:r>
      <w:r w:rsidR="00F53F8C" w:rsidRPr="006A7397">
        <w:rPr>
          <w:lang w:val="fr-CA"/>
        </w:rPr>
        <w:t>,</w:t>
      </w:r>
      <w:r w:rsidR="00F53F8C" w:rsidRPr="006A7397">
        <w:rPr>
          <w:i/>
          <w:lang w:val="fr-CA"/>
        </w:rPr>
        <w:t xml:space="preserve"> </w:t>
      </w:r>
      <w:r w:rsidR="00F53F8C" w:rsidRPr="006A7397">
        <w:rPr>
          <w:lang w:val="fr-CA"/>
        </w:rPr>
        <w:t xml:space="preserve">2013 ONCA 176, 303 O.A.C. 103; </w:t>
      </w:r>
      <w:r w:rsidR="00F53F8C" w:rsidRPr="006A7397">
        <w:rPr>
          <w:i/>
          <w:lang w:val="fr-CA"/>
        </w:rPr>
        <w:t xml:space="preserve">R. </w:t>
      </w:r>
      <w:r w:rsidR="00130421" w:rsidRPr="006A7397">
        <w:rPr>
          <w:i/>
          <w:lang w:val="fr-CA"/>
        </w:rPr>
        <w:t>c.</w:t>
      </w:r>
      <w:r w:rsidR="00F53F8C" w:rsidRPr="006A7397">
        <w:rPr>
          <w:i/>
          <w:lang w:val="fr-CA"/>
        </w:rPr>
        <w:t xml:space="preserve"> K.D.M.</w:t>
      </w:r>
      <w:r w:rsidR="00F53F8C" w:rsidRPr="006A7397">
        <w:rPr>
          <w:lang w:val="fr-CA"/>
        </w:rPr>
        <w:t>,</w:t>
      </w:r>
      <w:r w:rsidR="00F53F8C" w:rsidRPr="006A7397">
        <w:rPr>
          <w:i/>
          <w:lang w:val="fr-CA"/>
        </w:rPr>
        <w:t xml:space="preserve"> </w:t>
      </w:r>
      <w:r w:rsidR="00F53F8C" w:rsidRPr="006A7397">
        <w:rPr>
          <w:lang w:val="fr-CA"/>
        </w:rPr>
        <w:t xml:space="preserve">2017 ONCA 510; </w:t>
      </w:r>
      <w:r w:rsidR="00F53F8C" w:rsidRPr="006A7397">
        <w:rPr>
          <w:i/>
          <w:lang w:val="fr-CA"/>
        </w:rPr>
        <w:t xml:space="preserve">R. </w:t>
      </w:r>
      <w:r w:rsidR="00130421" w:rsidRPr="006A7397">
        <w:rPr>
          <w:i/>
          <w:lang w:val="fr-CA"/>
        </w:rPr>
        <w:t>c.</w:t>
      </w:r>
      <w:r w:rsidR="00F53F8C" w:rsidRPr="006A7397">
        <w:rPr>
          <w:i/>
          <w:lang w:val="fr-CA"/>
        </w:rPr>
        <w:t xml:space="preserve"> Tyler</w:t>
      </w:r>
      <w:r w:rsidR="00F53F8C" w:rsidRPr="006A7397">
        <w:rPr>
          <w:lang w:val="fr-CA"/>
        </w:rPr>
        <w:t>,</w:t>
      </w:r>
      <w:r w:rsidR="00F53F8C" w:rsidRPr="006A7397">
        <w:rPr>
          <w:i/>
          <w:lang w:val="fr-CA"/>
        </w:rPr>
        <w:t xml:space="preserve"> </w:t>
      </w:r>
      <w:r w:rsidR="00F53F8C" w:rsidRPr="006A7397">
        <w:rPr>
          <w:lang w:val="fr-CA"/>
        </w:rPr>
        <w:t>2015 ONCA 599;</w:t>
      </w:r>
      <w:r w:rsidR="00F53F8C" w:rsidRPr="006A7397">
        <w:rPr>
          <w:rFonts w:eastAsiaTheme="minorHAnsi"/>
          <w:i/>
          <w:szCs w:val="22"/>
          <w:lang w:val="fr-CA" w:eastAsia="en-US" w:bidi="en-US"/>
        </w:rPr>
        <w:t xml:space="preserve"> </w:t>
      </w:r>
      <w:r w:rsidR="00F53F8C" w:rsidRPr="006A7397">
        <w:rPr>
          <w:i/>
          <w:lang w:val="fr-CA" w:bidi="en-US"/>
        </w:rPr>
        <w:t xml:space="preserve">R. </w:t>
      </w:r>
      <w:r w:rsidR="00130421" w:rsidRPr="006A7397">
        <w:rPr>
          <w:i/>
          <w:lang w:val="fr-CA" w:bidi="en-US"/>
        </w:rPr>
        <w:t>c.</w:t>
      </w:r>
      <w:r w:rsidR="00F53F8C" w:rsidRPr="006A7397">
        <w:rPr>
          <w:i/>
          <w:lang w:val="fr-CA" w:bidi="en-US"/>
        </w:rPr>
        <w:t xml:space="preserve"> Tremblay</w:t>
      </w:r>
      <w:r w:rsidR="00F53F8C" w:rsidRPr="006A7397">
        <w:rPr>
          <w:lang w:val="fr-CA" w:bidi="en-US"/>
        </w:rPr>
        <w:t>,</w:t>
      </w:r>
      <w:r w:rsidR="00F53F8C" w:rsidRPr="006A7397">
        <w:rPr>
          <w:i/>
          <w:lang w:val="fr-CA" w:bidi="en-US"/>
        </w:rPr>
        <w:t xml:space="preserve"> </w:t>
      </w:r>
      <w:r w:rsidR="00F53F8C" w:rsidRPr="006A7397">
        <w:rPr>
          <w:lang w:val="fr-CA" w:bidi="en-US"/>
        </w:rPr>
        <w:t xml:space="preserve">2016 ABCA 30, 612 A.R. 147; </w:t>
      </w:r>
      <w:r w:rsidR="00F53F8C" w:rsidRPr="006A7397">
        <w:rPr>
          <w:i/>
          <w:lang w:val="fr-CA" w:bidi="en-US"/>
        </w:rPr>
        <w:t xml:space="preserve">R. </w:t>
      </w:r>
      <w:r w:rsidR="00130421" w:rsidRPr="006A7397">
        <w:rPr>
          <w:i/>
          <w:lang w:val="fr-CA" w:bidi="en-US"/>
        </w:rPr>
        <w:t>c.</w:t>
      </w:r>
      <w:r w:rsidR="00F53F8C" w:rsidRPr="006A7397">
        <w:rPr>
          <w:i/>
          <w:lang w:val="fr-CA" w:bidi="en-US"/>
        </w:rPr>
        <w:t xml:space="preserve"> L.B.C.</w:t>
      </w:r>
      <w:r w:rsidR="00F53F8C" w:rsidRPr="006A7397">
        <w:rPr>
          <w:lang w:val="fr-CA" w:bidi="en-US"/>
        </w:rPr>
        <w:t>,</w:t>
      </w:r>
      <w:r w:rsidR="00F53F8C" w:rsidRPr="006A7397">
        <w:rPr>
          <w:i/>
          <w:lang w:val="fr-CA" w:bidi="en-US"/>
        </w:rPr>
        <w:t xml:space="preserve"> </w:t>
      </w:r>
      <w:r w:rsidR="00F53F8C" w:rsidRPr="006A7397">
        <w:rPr>
          <w:lang w:val="fr-CA" w:bidi="en-US"/>
        </w:rPr>
        <w:t>20</w:t>
      </w:r>
      <w:r w:rsidR="008F7556" w:rsidRPr="006A7397">
        <w:rPr>
          <w:lang w:val="fr-CA" w:bidi="en-US"/>
        </w:rPr>
        <w:t>19 ABCA 505, 383 C.C.C. (3d) 331</w:t>
      </w:r>
      <w:r w:rsidR="00F53F8C" w:rsidRPr="006A7397">
        <w:rPr>
          <w:lang w:val="fr-CA" w:bidi="en-US"/>
        </w:rPr>
        <w:t xml:space="preserve">; </w:t>
      </w:r>
      <w:r w:rsidR="00F53F8C" w:rsidRPr="006A7397">
        <w:rPr>
          <w:i/>
          <w:lang w:val="fr-CA" w:bidi="en-US"/>
        </w:rPr>
        <w:t xml:space="preserve">R. </w:t>
      </w:r>
      <w:r w:rsidR="00130421" w:rsidRPr="006A7397">
        <w:rPr>
          <w:i/>
          <w:lang w:val="fr-CA" w:bidi="en-US"/>
        </w:rPr>
        <w:t>c.</w:t>
      </w:r>
      <w:r w:rsidR="00F53F8C" w:rsidRPr="006A7397">
        <w:rPr>
          <w:i/>
          <w:lang w:val="fr-CA" w:bidi="en-US"/>
        </w:rPr>
        <w:t xml:space="preserve"> J.D.C.</w:t>
      </w:r>
      <w:r w:rsidR="00F53F8C" w:rsidRPr="006A7397">
        <w:rPr>
          <w:lang w:val="fr-CA" w:bidi="en-US"/>
        </w:rPr>
        <w:t>,</w:t>
      </w:r>
      <w:r w:rsidR="00F53F8C" w:rsidRPr="006A7397">
        <w:rPr>
          <w:i/>
          <w:lang w:val="fr-CA" w:bidi="en-US"/>
        </w:rPr>
        <w:t xml:space="preserve"> </w:t>
      </w:r>
      <w:r w:rsidR="00F53F8C" w:rsidRPr="006A7397">
        <w:rPr>
          <w:lang w:val="fr-CA" w:bidi="en-US"/>
        </w:rPr>
        <w:t xml:space="preserve">2018 NSCA 5; </w:t>
      </w:r>
      <w:r w:rsidR="00F53F8C" w:rsidRPr="006A7397">
        <w:rPr>
          <w:rStyle w:val="Emphasis"/>
          <w:szCs w:val="24"/>
          <w:shd w:val="clear" w:color="auto" w:fill="FFFFFF"/>
          <w:lang w:val="fr-CA"/>
        </w:rPr>
        <w:t xml:space="preserve">R. </w:t>
      </w:r>
      <w:r w:rsidR="00130421" w:rsidRPr="006A7397">
        <w:rPr>
          <w:rStyle w:val="Emphasis"/>
          <w:szCs w:val="24"/>
          <w:shd w:val="clear" w:color="auto" w:fill="FFFFFF"/>
          <w:lang w:val="fr-CA"/>
        </w:rPr>
        <w:t>c.</w:t>
      </w:r>
      <w:r w:rsidR="00F53F8C" w:rsidRPr="006A7397">
        <w:rPr>
          <w:rStyle w:val="Emphasis"/>
          <w:szCs w:val="24"/>
          <w:shd w:val="clear" w:color="auto" w:fill="FFFFFF"/>
          <w:lang w:val="fr-CA"/>
        </w:rPr>
        <w:t xml:space="preserve"> </w:t>
      </w:r>
      <w:proofErr w:type="spellStart"/>
      <w:r w:rsidR="00F53F8C" w:rsidRPr="006A7397">
        <w:rPr>
          <w:rStyle w:val="Emphasis"/>
          <w:szCs w:val="24"/>
          <w:shd w:val="clear" w:color="auto" w:fill="FFFFFF"/>
          <w:lang w:val="fr-CA"/>
        </w:rPr>
        <w:t>McShannock</w:t>
      </w:r>
      <w:proofErr w:type="spellEnd"/>
      <w:r w:rsidR="00F53F8C" w:rsidRPr="006A7397">
        <w:rPr>
          <w:shd w:val="clear" w:color="auto" w:fill="FFFFFF"/>
          <w:lang w:val="fr-CA"/>
        </w:rPr>
        <w:t xml:space="preserve"> </w:t>
      </w:r>
      <w:r w:rsidR="00F53F8C" w:rsidRPr="006A7397">
        <w:rPr>
          <w:rStyle w:val="reflex3-block"/>
          <w:szCs w:val="24"/>
          <w:shd w:val="clear" w:color="auto" w:fill="FFFFFF"/>
          <w:lang w:val="fr-CA"/>
        </w:rPr>
        <w:t xml:space="preserve">(1980), </w:t>
      </w:r>
      <w:r w:rsidR="00F53F8C" w:rsidRPr="006A7397">
        <w:rPr>
          <w:rStyle w:val="reflex3-alt"/>
          <w:szCs w:val="24"/>
          <w:shd w:val="clear" w:color="auto" w:fill="FFFFFF"/>
          <w:lang w:val="fr-CA"/>
        </w:rPr>
        <w:t xml:space="preserve">55 C.C.C. (2d) 53; </w:t>
      </w:r>
      <w:r w:rsidR="00F53F8C" w:rsidRPr="006A7397">
        <w:rPr>
          <w:i/>
          <w:shd w:val="clear" w:color="auto" w:fill="FFFFFF"/>
          <w:lang w:val="fr-CA"/>
        </w:rPr>
        <w:t xml:space="preserve">R. </w:t>
      </w:r>
      <w:r w:rsidR="00130421" w:rsidRPr="006A7397">
        <w:rPr>
          <w:i/>
          <w:shd w:val="clear" w:color="auto" w:fill="FFFFFF"/>
          <w:lang w:val="fr-CA"/>
        </w:rPr>
        <w:t>c.</w:t>
      </w:r>
      <w:r w:rsidR="00F53F8C" w:rsidRPr="006A7397">
        <w:rPr>
          <w:i/>
          <w:shd w:val="clear" w:color="auto" w:fill="FFFFFF"/>
          <w:lang w:val="fr-CA"/>
        </w:rPr>
        <w:t xml:space="preserve"> </w:t>
      </w:r>
      <w:proofErr w:type="spellStart"/>
      <w:r w:rsidR="00F53F8C" w:rsidRPr="006A7397">
        <w:rPr>
          <w:i/>
          <w:shd w:val="clear" w:color="auto" w:fill="FFFFFF"/>
          <w:lang w:val="fr-CA"/>
        </w:rPr>
        <w:t>Biniaris</w:t>
      </w:r>
      <w:proofErr w:type="spellEnd"/>
      <w:r w:rsidR="00F53F8C" w:rsidRPr="006A7397">
        <w:rPr>
          <w:shd w:val="clear" w:color="auto" w:fill="FFFFFF"/>
          <w:lang w:val="fr-CA"/>
        </w:rPr>
        <w:t>,</w:t>
      </w:r>
      <w:r w:rsidR="00F53F8C" w:rsidRPr="006A7397">
        <w:rPr>
          <w:i/>
          <w:shd w:val="clear" w:color="auto" w:fill="FFFFFF"/>
          <w:lang w:val="fr-CA"/>
        </w:rPr>
        <w:t xml:space="preserve"> </w:t>
      </w:r>
      <w:r w:rsidR="00F53F8C" w:rsidRPr="006A7397">
        <w:rPr>
          <w:shd w:val="clear" w:color="auto" w:fill="FFFFFF"/>
          <w:lang w:val="fr-CA"/>
        </w:rPr>
        <w:t xml:space="preserve">2000 </w:t>
      </w:r>
      <w:r w:rsidR="00130421" w:rsidRPr="006A7397">
        <w:rPr>
          <w:shd w:val="clear" w:color="auto" w:fill="FFFFFF"/>
          <w:lang w:val="fr-CA"/>
        </w:rPr>
        <w:t>CSC</w:t>
      </w:r>
      <w:r w:rsidR="00F53F8C" w:rsidRPr="006A7397">
        <w:rPr>
          <w:shd w:val="clear" w:color="auto" w:fill="FFFFFF"/>
          <w:lang w:val="fr-CA"/>
        </w:rPr>
        <w:t xml:space="preserve"> 15, [2000] 1 </w:t>
      </w:r>
      <w:r w:rsidR="00130421" w:rsidRPr="006A7397">
        <w:rPr>
          <w:shd w:val="clear" w:color="auto" w:fill="FFFFFF"/>
          <w:lang w:val="fr-CA"/>
        </w:rPr>
        <w:t>R.C.S.</w:t>
      </w:r>
      <w:r w:rsidR="00F53F8C" w:rsidRPr="006A7397">
        <w:rPr>
          <w:shd w:val="clear" w:color="auto" w:fill="FFFFFF"/>
          <w:lang w:val="fr-CA"/>
        </w:rPr>
        <w:t xml:space="preserve"> 381; </w:t>
      </w:r>
      <w:r w:rsidR="00F53F8C" w:rsidRPr="006A7397">
        <w:rPr>
          <w:i/>
          <w:lang w:val="fr-CA"/>
        </w:rPr>
        <w:t xml:space="preserve">R. </w:t>
      </w:r>
      <w:r w:rsidR="00130421" w:rsidRPr="006A7397">
        <w:rPr>
          <w:i/>
          <w:lang w:val="fr-CA"/>
        </w:rPr>
        <w:t>c.</w:t>
      </w:r>
      <w:r w:rsidR="00F53F8C" w:rsidRPr="006A7397">
        <w:rPr>
          <w:i/>
          <w:lang w:val="fr-CA"/>
        </w:rPr>
        <w:t xml:space="preserve"> </w:t>
      </w:r>
      <w:proofErr w:type="spellStart"/>
      <w:r w:rsidR="00F53F8C" w:rsidRPr="006A7397">
        <w:rPr>
          <w:i/>
          <w:lang w:val="fr-CA"/>
        </w:rPr>
        <w:t>Graveline</w:t>
      </w:r>
      <w:proofErr w:type="spellEnd"/>
      <w:r w:rsidR="00F53F8C" w:rsidRPr="006A7397">
        <w:rPr>
          <w:lang w:val="fr-CA"/>
        </w:rPr>
        <w:t xml:space="preserve">, 2006 </w:t>
      </w:r>
      <w:r w:rsidR="00130421" w:rsidRPr="006A7397">
        <w:rPr>
          <w:lang w:val="fr-CA"/>
        </w:rPr>
        <w:t>CSC</w:t>
      </w:r>
      <w:r w:rsidR="00F53F8C" w:rsidRPr="006A7397">
        <w:rPr>
          <w:lang w:val="fr-CA"/>
        </w:rPr>
        <w:t xml:space="preserve"> 16, [2006] 1 </w:t>
      </w:r>
      <w:r w:rsidR="00130421" w:rsidRPr="006A7397">
        <w:rPr>
          <w:lang w:val="fr-CA"/>
        </w:rPr>
        <w:t>R.C.S.</w:t>
      </w:r>
      <w:r w:rsidR="00F53F8C" w:rsidRPr="006A7397">
        <w:rPr>
          <w:lang w:val="fr-CA"/>
        </w:rPr>
        <w:t xml:space="preserve"> 609; </w:t>
      </w:r>
      <w:r w:rsidR="00F53F8C" w:rsidRPr="006A7397">
        <w:rPr>
          <w:i/>
          <w:lang w:val="fr-CA"/>
        </w:rPr>
        <w:t xml:space="preserve">R. </w:t>
      </w:r>
      <w:r w:rsidR="00130421" w:rsidRPr="006A7397">
        <w:rPr>
          <w:i/>
          <w:lang w:val="fr-CA"/>
        </w:rPr>
        <w:t>c.</w:t>
      </w:r>
      <w:r w:rsidR="00F53F8C" w:rsidRPr="006A7397">
        <w:rPr>
          <w:i/>
          <w:lang w:val="fr-CA"/>
        </w:rPr>
        <w:t xml:space="preserve"> </w:t>
      </w:r>
      <w:proofErr w:type="spellStart"/>
      <w:r w:rsidR="00F53F8C" w:rsidRPr="006A7397">
        <w:rPr>
          <w:i/>
          <w:lang w:val="fr-CA"/>
        </w:rPr>
        <w:t>Khela</w:t>
      </w:r>
      <w:proofErr w:type="spellEnd"/>
      <w:r w:rsidR="00F53F8C" w:rsidRPr="006A7397">
        <w:rPr>
          <w:lang w:val="fr-CA"/>
        </w:rPr>
        <w:t>,</w:t>
      </w:r>
      <w:r w:rsidR="00F53F8C" w:rsidRPr="006A7397">
        <w:rPr>
          <w:i/>
          <w:lang w:val="fr-CA"/>
        </w:rPr>
        <w:t xml:space="preserve"> </w:t>
      </w:r>
      <w:r w:rsidR="00F53F8C" w:rsidRPr="006A7397">
        <w:rPr>
          <w:lang w:val="fr-CA"/>
        </w:rPr>
        <w:t xml:space="preserve">2009 </w:t>
      </w:r>
      <w:r w:rsidR="00130421" w:rsidRPr="006A7397">
        <w:rPr>
          <w:lang w:val="fr-CA"/>
        </w:rPr>
        <w:t>CSC</w:t>
      </w:r>
      <w:r w:rsidR="00F53F8C" w:rsidRPr="006A7397">
        <w:rPr>
          <w:lang w:val="fr-CA"/>
        </w:rPr>
        <w:t xml:space="preserve"> 4, [2009] 1 </w:t>
      </w:r>
      <w:r w:rsidR="00130421" w:rsidRPr="006A7397">
        <w:rPr>
          <w:lang w:val="fr-CA"/>
        </w:rPr>
        <w:t>R.C.S.</w:t>
      </w:r>
      <w:r w:rsidR="00F53F8C" w:rsidRPr="006A7397">
        <w:rPr>
          <w:lang w:val="fr-CA"/>
        </w:rPr>
        <w:t xml:space="preserve"> 104; </w:t>
      </w:r>
      <w:r w:rsidR="00F53F8C" w:rsidRPr="006A7397">
        <w:rPr>
          <w:i/>
          <w:lang w:val="fr-CA"/>
        </w:rPr>
        <w:t xml:space="preserve">R. </w:t>
      </w:r>
      <w:r w:rsidR="00130421" w:rsidRPr="006A7397">
        <w:rPr>
          <w:i/>
          <w:lang w:val="fr-CA"/>
        </w:rPr>
        <w:t>c.</w:t>
      </w:r>
      <w:r w:rsidR="00F53F8C" w:rsidRPr="006A7397">
        <w:rPr>
          <w:i/>
          <w:lang w:val="fr-CA"/>
        </w:rPr>
        <w:t xml:space="preserve"> </w:t>
      </w:r>
      <w:proofErr w:type="spellStart"/>
      <w:r w:rsidR="00F53F8C" w:rsidRPr="006A7397">
        <w:rPr>
          <w:i/>
          <w:lang w:val="fr-CA"/>
        </w:rPr>
        <w:t>Illes</w:t>
      </w:r>
      <w:proofErr w:type="spellEnd"/>
      <w:r w:rsidR="00F53F8C" w:rsidRPr="006A7397">
        <w:rPr>
          <w:lang w:val="fr-CA"/>
        </w:rPr>
        <w:t xml:space="preserve">, 2008 </w:t>
      </w:r>
      <w:r w:rsidR="00130421" w:rsidRPr="006A7397">
        <w:rPr>
          <w:lang w:val="fr-CA"/>
        </w:rPr>
        <w:t>CSC</w:t>
      </w:r>
      <w:r w:rsidR="00F53F8C" w:rsidRPr="006A7397">
        <w:rPr>
          <w:lang w:val="fr-CA"/>
        </w:rPr>
        <w:t xml:space="preserve"> 57, [2008] 3 </w:t>
      </w:r>
      <w:r w:rsidR="00130421" w:rsidRPr="006A7397">
        <w:rPr>
          <w:lang w:val="fr-CA"/>
        </w:rPr>
        <w:t>R.C.S.</w:t>
      </w:r>
      <w:r w:rsidR="00F53F8C" w:rsidRPr="006A7397">
        <w:rPr>
          <w:lang w:val="fr-CA"/>
        </w:rPr>
        <w:t xml:space="preserve"> 134; </w:t>
      </w:r>
      <w:r w:rsidR="00F53F8C" w:rsidRPr="006A7397">
        <w:rPr>
          <w:i/>
          <w:lang w:val="fr-CA"/>
        </w:rPr>
        <w:t xml:space="preserve">Palmer </w:t>
      </w:r>
      <w:r w:rsidR="00130421" w:rsidRPr="006A7397">
        <w:rPr>
          <w:i/>
          <w:lang w:val="fr-CA"/>
        </w:rPr>
        <w:t>c.</w:t>
      </w:r>
      <w:r w:rsidR="00F53F8C" w:rsidRPr="006A7397">
        <w:rPr>
          <w:i/>
          <w:lang w:val="fr-CA"/>
        </w:rPr>
        <w:t xml:space="preserve"> </w:t>
      </w:r>
      <w:r w:rsidR="00EE24E3" w:rsidRPr="006A7397">
        <w:rPr>
          <w:i/>
          <w:lang w:val="fr-CA"/>
        </w:rPr>
        <w:t>La Reine</w:t>
      </w:r>
      <w:r w:rsidR="00F53F8C" w:rsidRPr="006A7397">
        <w:rPr>
          <w:lang w:val="fr-CA"/>
        </w:rPr>
        <w:t>,</w:t>
      </w:r>
      <w:r w:rsidR="00F53F8C" w:rsidRPr="006A7397">
        <w:rPr>
          <w:i/>
          <w:lang w:val="fr-CA"/>
        </w:rPr>
        <w:t xml:space="preserve"> </w:t>
      </w:r>
      <w:r w:rsidR="00F53F8C" w:rsidRPr="006A7397">
        <w:rPr>
          <w:lang w:val="fr-CA"/>
        </w:rPr>
        <w:t xml:space="preserve">[1980] 1 </w:t>
      </w:r>
      <w:r w:rsidR="00130421" w:rsidRPr="006A7397">
        <w:rPr>
          <w:lang w:val="fr-CA"/>
        </w:rPr>
        <w:t>R.C.S.</w:t>
      </w:r>
      <w:r w:rsidR="00F53F8C" w:rsidRPr="006A7397">
        <w:rPr>
          <w:lang w:val="fr-CA"/>
        </w:rPr>
        <w:t xml:space="preserve"> 759; </w:t>
      </w:r>
      <w:r w:rsidR="00F53F8C" w:rsidRPr="006A7397">
        <w:rPr>
          <w:i/>
          <w:lang w:val="fr-CA"/>
        </w:rPr>
        <w:t xml:space="preserve">R. </w:t>
      </w:r>
      <w:r w:rsidR="00130421" w:rsidRPr="006A7397">
        <w:rPr>
          <w:i/>
          <w:lang w:val="fr-CA"/>
        </w:rPr>
        <w:t>c.</w:t>
      </w:r>
      <w:r w:rsidR="00F53F8C" w:rsidRPr="006A7397">
        <w:rPr>
          <w:i/>
          <w:lang w:val="fr-CA"/>
        </w:rPr>
        <w:t xml:space="preserve"> Hay</w:t>
      </w:r>
      <w:r w:rsidR="00F53F8C" w:rsidRPr="006A7397">
        <w:rPr>
          <w:lang w:val="fr-CA"/>
        </w:rPr>
        <w:t>,</w:t>
      </w:r>
      <w:r w:rsidR="00F53F8C" w:rsidRPr="006A7397">
        <w:rPr>
          <w:i/>
          <w:lang w:val="fr-CA"/>
        </w:rPr>
        <w:t xml:space="preserve"> </w:t>
      </w:r>
      <w:r w:rsidR="00F53F8C" w:rsidRPr="006A7397">
        <w:rPr>
          <w:lang w:val="fr-CA"/>
        </w:rPr>
        <w:t xml:space="preserve">2013 </w:t>
      </w:r>
      <w:r w:rsidR="00130421" w:rsidRPr="006A7397">
        <w:rPr>
          <w:lang w:val="fr-CA"/>
        </w:rPr>
        <w:t>CSC</w:t>
      </w:r>
      <w:r w:rsidR="00F53F8C" w:rsidRPr="006A7397">
        <w:rPr>
          <w:lang w:val="fr-CA"/>
        </w:rPr>
        <w:t xml:space="preserve"> 61, [2013] 3 </w:t>
      </w:r>
      <w:r w:rsidR="00130421" w:rsidRPr="006A7397">
        <w:rPr>
          <w:lang w:val="fr-CA"/>
        </w:rPr>
        <w:t>R.C.S.</w:t>
      </w:r>
      <w:r w:rsidR="00F53F8C" w:rsidRPr="006A7397">
        <w:rPr>
          <w:lang w:val="fr-CA"/>
        </w:rPr>
        <w:t xml:space="preserve"> 694;</w:t>
      </w:r>
      <w:r w:rsidR="00F53F8C" w:rsidRPr="006A7397">
        <w:rPr>
          <w:i/>
          <w:lang w:val="fr-CA"/>
        </w:rPr>
        <w:t xml:space="preserve"> R. </w:t>
      </w:r>
      <w:r w:rsidR="00130421" w:rsidRPr="006A7397">
        <w:rPr>
          <w:i/>
          <w:lang w:val="fr-CA"/>
        </w:rPr>
        <w:t>c.</w:t>
      </w:r>
      <w:r w:rsidR="00F53F8C" w:rsidRPr="006A7397">
        <w:rPr>
          <w:i/>
          <w:lang w:val="fr-CA"/>
        </w:rPr>
        <w:t xml:space="preserve"> Plein</w:t>
      </w:r>
      <w:r w:rsidR="00F53F8C" w:rsidRPr="006A7397">
        <w:rPr>
          <w:lang w:val="fr-CA"/>
        </w:rPr>
        <w:t>,</w:t>
      </w:r>
      <w:r w:rsidR="00F53F8C" w:rsidRPr="006A7397">
        <w:rPr>
          <w:i/>
          <w:lang w:val="fr-CA"/>
        </w:rPr>
        <w:t xml:space="preserve"> </w:t>
      </w:r>
      <w:r w:rsidR="00F53F8C" w:rsidRPr="006A7397">
        <w:rPr>
          <w:lang w:val="fr-CA"/>
        </w:rPr>
        <w:t xml:space="preserve">2018 ONCA 748, 365 C.C.C. (3d) 437; </w:t>
      </w:r>
      <w:r w:rsidR="00F53F8C" w:rsidRPr="006A7397">
        <w:rPr>
          <w:i/>
          <w:lang w:val="fr-CA"/>
        </w:rPr>
        <w:t xml:space="preserve">R. </w:t>
      </w:r>
      <w:r w:rsidR="00130421" w:rsidRPr="006A7397">
        <w:rPr>
          <w:i/>
          <w:lang w:val="fr-CA"/>
        </w:rPr>
        <w:t>c.</w:t>
      </w:r>
      <w:r w:rsidR="00F53F8C" w:rsidRPr="006A7397">
        <w:rPr>
          <w:i/>
          <w:lang w:val="fr-CA"/>
        </w:rPr>
        <w:t xml:space="preserve"> Chase</w:t>
      </w:r>
      <w:r w:rsidR="00F53F8C" w:rsidRPr="006A7397">
        <w:rPr>
          <w:lang w:val="fr-CA"/>
        </w:rPr>
        <w:t>,</w:t>
      </w:r>
      <w:r w:rsidR="00F53F8C" w:rsidRPr="006A7397">
        <w:rPr>
          <w:i/>
          <w:lang w:val="fr-CA"/>
        </w:rPr>
        <w:t xml:space="preserve"> </w:t>
      </w:r>
      <w:r w:rsidR="00F53F8C" w:rsidRPr="006A7397">
        <w:rPr>
          <w:lang w:val="fr-CA"/>
        </w:rPr>
        <w:t xml:space="preserve">[1987] 2 </w:t>
      </w:r>
      <w:r w:rsidR="00130421" w:rsidRPr="006A7397">
        <w:rPr>
          <w:lang w:val="fr-CA"/>
        </w:rPr>
        <w:t>R.C.S.</w:t>
      </w:r>
      <w:r w:rsidR="00F53F8C" w:rsidRPr="006A7397">
        <w:rPr>
          <w:lang w:val="fr-CA"/>
        </w:rPr>
        <w:t xml:space="preserve"> 293; </w:t>
      </w:r>
      <w:r w:rsidR="00F53F8C" w:rsidRPr="006A7397">
        <w:rPr>
          <w:i/>
          <w:lang w:val="fr-CA"/>
        </w:rPr>
        <w:t xml:space="preserve">R. </w:t>
      </w:r>
      <w:r w:rsidR="00130421" w:rsidRPr="006A7397">
        <w:rPr>
          <w:i/>
          <w:lang w:val="fr-CA"/>
        </w:rPr>
        <w:t>c.</w:t>
      </w:r>
      <w:r w:rsidR="00F53F8C" w:rsidRPr="006A7397">
        <w:rPr>
          <w:i/>
          <w:lang w:val="fr-CA"/>
        </w:rPr>
        <w:t xml:space="preserve"> </w:t>
      </w:r>
      <w:proofErr w:type="spellStart"/>
      <w:r w:rsidR="00F53F8C" w:rsidRPr="006A7397">
        <w:rPr>
          <w:i/>
          <w:lang w:val="fr-CA"/>
        </w:rPr>
        <w:t>Ewanchuk</w:t>
      </w:r>
      <w:proofErr w:type="spellEnd"/>
      <w:r w:rsidR="00F53F8C" w:rsidRPr="006A7397">
        <w:rPr>
          <w:lang w:val="fr-CA"/>
        </w:rPr>
        <w:t>,</w:t>
      </w:r>
      <w:r w:rsidR="00F53F8C" w:rsidRPr="006A7397">
        <w:rPr>
          <w:i/>
          <w:lang w:val="fr-CA"/>
        </w:rPr>
        <w:t xml:space="preserve"> </w:t>
      </w:r>
      <w:r w:rsidR="00F53F8C" w:rsidRPr="006A7397">
        <w:rPr>
          <w:lang w:val="fr-CA"/>
        </w:rPr>
        <w:t xml:space="preserve">[1999] 1 </w:t>
      </w:r>
      <w:r w:rsidR="00130421" w:rsidRPr="006A7397">
        <w:rPr>
          <w:lang w:val="fr-CA"/>
        </w:rPr>
        <w:t>R.C.S.</w:t>
      </w:r>
      <w:r w:rsidR="00F53F8C" w:rsidRPr="006A7397">
        <w:rPr>
          <w:lang w:val="fr-CA"/>
        </w:rPr>
        <w:t xml:space="preserve"> 330; </w:t>
      </w:r>
      <w:r w:rsidR="00F53F8C" w:rsidRPr="006A7397">
        <w:rPr>
          <w:i/>
          <w:lang w:val="fr-CA" w:bidi="en-US"/>
        </w:rPr>
        <w:t xml:space="preserve">R. </w:t>
      </w:r>
      <w:r w:rsidR="00130421" w:rsidRPr="006A7397">
        <w:rPr>
          <w:i/>
          <w:lang w:val="fr-CA" w:bidi="en-US"/>
        </w:rPr>
        <w:t>c.</w:t>
      </w:r>
      <w:r w:rsidR="00F53F8C" w:rsidRPr="006A7397">
        <w:rPr>
          <w:i/>
          <w:lang w:val="fr-CA" w:bidi="en-US"/>
        </w:rPr>
        <w:t xml:space="preserve"> Barton</w:t>
      </w:r>
      <w:r w:rsidR="00F53F8C" w:rsidRPr="006A7397">
        <w:rPr>
          <w:lang w:val="fr-CA" w:bidi="en-US"/>
        </w:rPr>
        <w:t>,</w:t>
      </w:r>
      <w:r w:rsidR="00F53F8C" w:rsidRPr="006A7397">
        <w:rPr>
          <w:i/>
          <w:lang w:val="fr-CA" w:bidi="en-US"/>
        </w:rPr>
        <w:t xml:space="preserve"> </w:t>
      </w:r>
      <w:r w:rsidR="00F53F8C" w:rsidRPr="006A7397">
        <w:rPr>
          <w:lang w:val="fr-CA" w:bidi="en-US"/>
        </w:rPr>
        <w:t>2017 ABCA 2</w:t>
      </w:r>
      <w:r w:rsidR="00130421" w:rsidRPr="006A7397">
        <w:rPr>
          <w:lang w:val="fr-CA" w:bidi="en-US"/>
        </w:rPr>
        <w:t xml:space="preserve">16, 55 Alta. L.R. (6th) 1, </w:t>
      </w:r>
      <w:proofErr w:type="spellStart"/>
      <w:r w:rsidR="00130421" w:rsidRPr="006A7397">
        <w:rPr>
          <w:lang w:val="fr-CA" w:bidi="en-US"/>
        </w:rPr>
        <w:t>conf</w:t>
      </w:r>
      <w:proofErr w:type="spellEnd"/>
      <w:r w:rsidR="00130421" w:rsidRPr="006A7397">
        <w:rPr>
          <w:lang w:val="fr-CA" w:bidi="en-US"/>
        </w:rPr>
        <w:t xml:space="preserve">. </w:t>
      </w:r>
      <w:proofErr w:type="gramStart"/>
      <w:r w:rsidR="00130421" w:rsidRPr="006A7397">
        <w:rPr>
          <w:lang w:val="fr-CA" w:bidi="en-US"/>
        </w:rPr>
        <w:t>par</w:t>
      </w:r>
      <w:proofErr w:type="gramEnd"/>
      <w:r w:rsidR="00F53F8C" w:rsidRPr="006A7397">
        <w:rPr>
          <w:lang w:val="fr-CA" w:bidi="en-US"/>
        </w:rPr>
        <w:t xml:space="preserve"> 2019 </w:t>
      </w:r>
      <w:r w:rsidR="00130421" w:rsidRPr="006A7397">
        <w:rPr>
          <w:lang w:val="fr-CA" w:bidi="en-US"/>
        </w:rPr>
        <w:t>CSC</w:t>
      </w:r>
      <w:r w:rsidR="00F53F8C" w:rsidRPr="006A7397">
        <w:rPr>
          <w:lang w:val="fr-CA" w:bidi="en-US"/>
        </w:rPr>
        <w:t xml:space="preserve"> 33</w:t>
      </w:r>
      <w:r w:rsidR="00A40984">
        <w:rPr>
          <w:lang w:val="fr-CA" w:bidi="en-US"/>
        </w:rPr>
        <w:t>, [2019] 2 R.C.S. 579</w:t>
      </w:r>
      <w:r w:rsidR="00F53F8C" w:rsidRPr="006A7397">
        <w:rPr>
          <w:lang w:val="fr-CA" w:bidi="en-US"/>
        </w:rPr>
        <w:t xml:space="preserve">; </w:t>
      </w:r>
      <w:r w:rsidR="00F53F8C" w:rsidRPr="006A7397">
        <w:rPr>
          <w:i/>
          <w:lang w:val="fr-CA"/>
        </w:rPr>
        <w:t xml:space="preserve">R. </w:t>
      </w:r>
      <w:r w:rsidR="00130421" w:rsidRPr="006A7397">
        <w:rPr>
          <w:i/>
          <w:lang w:val="fr-CA"/>
        </w:rPr>
        <w:t>c.</w:t>
      </w:r>
      <w:r w:rsidR="00F53F8C" w:rsidRPr="006A7397">
        <w:rPr>
          <w:i/>
          <w:lang w:val="fr-CA"/>
        </w:rPr>
        <w:t xml:space="preserve"> </w:t>
      </w:r>
      <w:proofErr w:type="spellStart"/>
      <w:r w:rsidR="00F53F8C" w:rsidRPr="006A7397">
        <w:rPr>
          <w:i/>
          <w:lang w:val="fr-CA"/>
        </w:rPr>
        <w:t>Cuerrier</w:t>
      </w:r>
      <w:proofErr w:type="spellEnd"/>
      <w:r w:rsidR="00F53F8C" w:rsidRPr="006A7397">
        <w:rPr>
          <w:lang w:val="fr-CA"/>
        </w:rPr>
        <w:t>,</w:t>
      </w:r>
      <w:r w:rsidR="00F53F8C" w:rsidRPr="006A7397">
        <w:rPr>
          <w:i/>
          <w:lang w:val="fr-CA"/>
        </w:rPr>
        <w:t xml:space="preserve"> </w:t>
      </w:r>
      <w:r w:rsidR="00F53F8C" w:rsidRPr="006A7397">
        <w:rPr>
          <w:lang w:val="fr-CA"/>
        </w:rPr>
        <w:t xml:space="preserve">[1998] 2 </w:t>
      </w:r>
      <w:r w:rsidR="00130421" w:rsidRPr="006A7397">
        <w:rPr>
          <w:lang w:val="fr-CA"/>
        </w:rPr>
        <w:t>R.C.S.</w:t>
      </w:r>
      <w:r w:rsidR="00F53F8C" w:rsidRPr="006A7397">
        <w:rPr>
          <w:lang w:val="fr-CA"/>
        </w:rPr>
        <w:t xml:space="preserve"> 371; </w:t>
      </w:r>
      <w:r w:rsidR="00F53F8C" w:rsidRPr="006A7397">
        <w:rPr>
          <w:i/>
          <w:lang w:val="fr-CA"/>
        </w:rPr>
        <w:t xml:space="preserve">R. </w:t>
      </w:r>
      <w:r w:rsidR="00130421" w:rsidRPr="006A7397">
        <w:rPr>
          <w:i/>
          <w:lang w:val="fr-CA"/>
        </w:rPr>
        <w:t>c.</w:t>
      </w:r>
      <w:r w:rsidR="00F53F8C" w:rsidRPr="006A7397">
        <w:rPr>
          <w:i/>
          <w:lang w:val="fr-CA"/>
        </w:rPr>
        <w:t xml:space="preserve"> J.A.</w:t>
      </w:r>
      <w:r w:rsidR="00F53F8C" w:rsidRPr="006A7397">
        <w:rPr>
          <w:lang w:val="fr-CA"/>
        </w:rPr>
        <w:t xml:space="preserve">, 2011 </w:t>
      </w:r>
      <w:r w:rsidR="00130421" w:rsidRPr="006A7397">
        <w:rPr>
          <w:lang w:val="fr-CA"/>
        </w:rPr>
        <w:t>CSC</w:t>
      </w:r>
      <w:r w:rsidR="00F53F8C" w:rsidRPr="006A7397">
        <w:rPr>
          <w:lang w:val="fr-CA"/>
        </w:rPr>
        <w:t xml:space="preserve"> 28, [2011] 2 </w:t>
      </w:r>
      <w:r w:rsidR="00130421" w:rsidRPr="006A7397">
        <w:rPr>
          <w:lang w:val="fr-CA"/>
        </w:rPr>
        <w:t>R.C.S.</w:t>
      </w:r>
      <w:r w:rsidR="00F53F8C" w:rsidRPr="006A7397">
        <w:rPr>
          <w:lang w:val="fr-CA"/>
        </w:rPr>
        <w:t xml:space="preserve"> 440; </w:t>
      </w:r>
      <w:r w:rsidR="00F53F8C" w:rsidRPr="006A7397">
        <w:rPr>
          <w:i/>
          <w:lang w:val="fr-CA"/>
        </w:rPr>
        <w:t xml:space="preserve">R. </w:t>
      </w:r>
      <w:r w:rsidR="00130421" w:rsidRPr="006A7397">
        <w:rPr>
          <w:i/>
          <w:lang w:val="fr-CA"/>
        </w:rPr>
        <w:t>c.</w:t>
      </w:r>
      <w:r w:rsidR="00F53F8C" w:rsidRPr="006A7397">
        <w:rPr>
          <w:i/>
          <w:lang w:val="fr-CA"/>
        </w:rPr>
        <w:t xml:space="preserve"> Mack</w:t>
      </w:r>
      <w:r w:rsidR="00F53F8C" w:rsidRPr="006A7397">
        <w:rPr>
          <w:lang w:val="fr-CA"/>
        </w:rPr>
        <w:t xml:space="preserve">, 2014 </w:t>
      </w:r>
      <w:r w:rsidR="00130421" w:rsidRPr="006A7397">
        <w:rPr>
          <w:lang w:val="fr-CA"/>
        </w:rPr>
        <w:t>CSC</w:t>
      </w:r>
      <w:r w:rsidR="00F53F8C" w:rsidRPr="006A7397">
        <w:rPr>
          <w:lang w:val="fr-CA"/>
        </w:rPr>
        <w:t xml:space="preserve"> 58, [2014] 3 </w:t>
      </w:r>
      <w:r w:rsidR="00130421" w:rsidRPr="006A7397">
        <w:rPr>
          <w:lang w:val="fr-CA"/>
        </w:rPr>
        <w:t>R.C.S.</w:t>
      </w:r>
      <w:r w:rsidR="00F53F8C" w:rsidRPr="006A7397">
        <w:rPr>
          <w:lang w:val="fr-CA"/>
        </w:rPr>
        <w:t xml:space="preserve"> 3; </w:t>
      </w:r>
      <w:r w:rsidR="00F53F8C" w:rsidRPr="006A7397">
        <w:rPr>
          <w:i/>
          <w:lang w:val="fr-CA"/>
        </w:rPr>
        <w:t xml:space="preserve">R. </w:t>
      </w:r>
      <w:r w:rsidR="00130421" w:rsidRPr="006A7397">
        <w:rPr>
          <w:i/>
          <w:lang w:val="fr-CA"/>
        </w:rPr>
        <w:t>c.</w:t>
      </w:r>
      <w:r w:rsidR="00F53F8C" w:rsidRPr="006A7397">
        <w:rPr>
          <w:i/>
          <w:lang w:val="fr-CA"/>
        </w:rPr>
        <w:t xml:space="preserve"> </w:t>
      </w:r>
      <w:proofErr w:type="spellStart"/>
      <w:r w:rsidR="00F53F8C" w:rsidRPr="006A7397">
        <w:rPr>
          <w:i/>
          <w:lang w:val="fr-CA"/>
        </w:rPr>
        <w:t>Rodgerson</w:t>
      </w:r>
      <w:proofErr w:type="spellEnd"/>
      <w:r w:rsidR="00F53F8C" w:rsidRPr="006A7397">
        <w:rPr>
          <w:lang w:val="fr-CA"/>
        </w:rPr>
        <w:t xml:space="preserve">, 2015 </w:t>
      </w:r>
      <w:r w:rsidR="00130421" w:rsidRPr="006A7397">
        <w:rPr>
          <w:lang w:val="fr-CA"/>
        </w:rPr>
        <w:t>CSC</w:t>
      </w:r>
      <w:r w:rsidR="00F53F8C" w:rsidRPr="006A7397">
        <w:rPr>
          <w:lang w:val="fr-CA"/>
        </w:rPr>
        <w:t xml:space="preserve"> 38, [2015] 2 </w:t>
      </w:r>
      <w:r w:rsidR="00130421" w:rsidRPr="006A7397">
        <w:rPr>
          <w:lang w:val="fr-CA"/>
        </w:rPr>
        <w:t>R.C.S.</w:t>
      </w:r>
      <w:r w:rsidR="00F53F8C" w:rsidRPr="006A7397">
        <w:rPr>
          <w:lang w:val="fr-CA"/>
        </w:rPr>
        <w:t xml:space="preserve"> </w:t>
      </w:r>
      <w:r w:rsidR="00F53F8C" w:rsidRPr="006A7397">
        <w:rPr>
          <w:lang w:val="fr-CA"/>
        </w:rPr>
        <w:lastRenderedPageBreak/>
        <w:t xml:space="preserve">760; </w:t>
      </w:r>
      <w:r w:rsidR="00F53F8C" w:rsidRPr="006A7397">
        <w:rPr>
          <w:i/>
          <w:lang w:val="fr-CA"/>
        </w:rPr>
        <w:t xml:space="preserve">R. </w:t>
      </w:r>
      <w:r w:rsidR="00130421" w:rsidRPr="006A7397">
        <w:rPr>
          <w:i/>
          <w:lang w:val="fr-CA"/>
        </w:rPr>
        <w:t>c.</w:t>
      </w:r>
      <w:r w:rsidR="00F53F8C" w:rsidRPr="006A7397">
        <w:rPr>
          <w:i/>
          <w:lang w:val="fr-CA"/>
        </w:rPr>
        <w:t xml:space="preserve"> Jacquard</w:t>
      </w:r>
      <w:r w:rsidR="00F53F8C" w:rsidRPr="006A7397">
        <w:rPr>
          <w:lang w:val="fr-CA"/>
        </w:rPr>
        <w:t xml:space="preserve">, [1997] 1 </w:t>
      </w:r>
      <w:r w:rsidR="00130421" w:rsidRPr="006A7397">
        <w:rPr>
          <w:lang w:val="fr-CA"/>
        </w:rPr>
        <w:t>R.C.S.</w:t>
      </w:r>
      <w:r w:rsidR="00F53F8C" w:rsidRPr="006A7397">
        <w:rPr>
          <w:lang w:val="fr-CA"/>
        </w:rPr>
        <w:t xml:space="preserve"> 314; </w:t>
      </w:r>
      <w:r w:rsidR="00F53F8C" w:rsidRPr="006A7397">
        <w:rPr>
          <w:i/>
          <w:lang w:val="fr-CA"/>
        </w:rPr>
        <w:t xml:space="preserve">R. </w:t>
      </w:r>
      <w:r w:rsidR="00130421" w:rsidRPr="006A7397">
        <w:rPr>
          <w:i/>
          <w:lang w:val="fr-CA"/>
        </w:rPr>
        <w:t>c.</w:t>
      </w:r>
      <w:r w:rsidR="00F53F8C" w:rsidRPr="006A7397">
        <w:rPr>
          <w:i/>
          <w:lang w:val="fr-CA"/>
        </w:rPr>
        <w:t xml:space="preserve"> Haughton</w:t>
      </w:r>
      <w:r w:rsidR="00F53F8C" w:rsidRPr="006A7397">
        <w:rPr>
          <w:lang w:val="fr-CA"/>
        </w:rPr>
        <w:t xml:space="preserve"> </w:t>
      </w:r>
      <w:r w:rsidR="00F53F8C" w:rsidRPr="006A7397">
        <w:rPr>
          <w:rStyle w:val="reflex3-block"/>
          <w:lang w:val="fr-CA"/>
        </w:rPr>
        <w:t xml:space="preserve">(1992), </w:t>
      </w:r>
      <w:r w:rsidR="00F53F8C" w:rsidRPr="006A7397">
        <w:rPr>
          <w:rStyle w:val="reflex3-alt"/>
          <w:lang w:val="fr-CA"/>
        </w:rPr>
        <w:t>11 O.R. (3d) 621,</w:t>
      </w:r>
      <w:r w:rsidR="00F53F8C" w:rsidRPr="006A7397">
        <w:rPr>
          <w:rStyle w:val="reflex3-block"/>
          <w:lang w:val="fr-CA"/>
        </w:rPr>
        <w:t xml:space="preserve"> </w:t>
      </w:r>
      <w:proofErr w:type="spellStart"/>
      <w:r w:rsidR="00130421" w:rsidRPr="006A7397">
        <w:rPr>
          <w:lang w:val="fr-CA"/>
        </w:rPr>
        <w:t>conf</w:t>
      </w:r>
      <w:proofErr w:type="spellEnd"/>
      <w:r w:rsidR="00130421" w:rsidRPr="006A7397">
        <w:rPr>
          <w:lang w:val="fr-CA"/>
        </w:rPr>
        <w:t xml:space="preserve">. </w:t>
      </w:r>
      <w:proofErr w:type="gramStart"/>
      <w:r w:rsidR="00130421" w:rsidRPr="006A7397">
        <w:rPr>
          <w:lang w:val="fr-CA"/>
        </w:rPr>
        <w:t>par</w:t>
      </w:r>
      <w:proofErr w:type="gramEnd"/>
      <w:r w:rsidR="00F53F8C" w:rsidRPr="006A7397">
        <w:rPr>
          <w:rStyle w:val="reflex3-block"/>
          <w:lang w:val="fr-CA"/>
        </w:rPr>
        <w:t xml:space="preserve"> </w:t>
      </w:r>
      <w:r w:rsidR="00F53F8C" w:rsidRPr="006A7397">
        <w:rPr>
          <w:rStyle w:val="reflex3-alt"/>
          <w:lang w:val="fr-CA"/>
        </w:rPr>
        <w:t xml:space="preserve">[1994] 3 </w:t>
      </w:r>
      <w:r w:rsidR="00130421" w:rsidRPr="006A7397">
        <w:rPr>
          <w:rStyle w:val="reflex3-alt"/>
          <w:lang w:val="fr-CA"/>
        </w:rPr>
        <w:t>R.C.S.</w:t>
      </w:r>
      <w:r w:rsidR="00F53F8C" w:rsidRPr="006A7397">
        <w:rPr>
          <w:rStyle w:val="reflex3-alt"/>
          <w:lang w:val="fr-CA"/>
        </w:rPr>
        <w:t xml:space="preserve"> 516; </w:t>
      </w:r>
      <w:r w:rsidR="00F53F8C" w:rsidRPr="006A7397">
        <w:rPr>
          <w:i/>
          <w:lang w:val="fr-CA"/>
        </w:rPr>
        <w:t xml:space="preserve">R. </w:t>
      </w:r>
      <w:r w:rsidR="00130421" w:rsidRPr="006A7397">
        <w:rPr>
          <w:i/>
          <w:lang w:val="fr-CA"/>
        </w:rPr>
        <w:t>c.</w:t>
      </w:r>
      <w:r w:rsidR="00F53F8C" w:rsidRPr="006A7397">
        <w:rPr>
          <w:i/>
          <w:lang w:val="fr-CA"/>
        </w:rPr>
        <w:t xml:space="preserve"> Thomas</w:t>
      </w:r>
      <w:r w:rsidR="00F53F8C" w:rsidRPr="006A7397">
        <w:rPr>
          <w:lang w:val="fr-CA"/>
        </w:rPr>
        <w:t xml:space="preserve">, [1998] 3 </w:t>
      </w:r>
      <w:r w:rsidR="00130421" w:rsidRPr="006A7397">
        <w:rPr>
          <w:lang w:val="fr-CA"/>
        </w:rPr>
        <w:t>R.C.S.</w:t>
      </w:r>
      <w:r w:rsidR="00F53F8C" w:rsidRPr="006A7397">
        <w:rPr>
          <w:lang w:val="fr-CA"/>
        </w:rPr>
        <w:t xml:space="preserve"> 535; </w:t>
      </w:r>
      <w:r w:rsidR="00F53F8C" w:rsidRPr="006A7397">
        <w:rPr>
          <w:i/>
          <w:lang w:val="fr-CA"/>
        </w:rPr>
        <w:t xml:space="preserve">R. </w:t>
      </w:r>
      <w:r w:rsidR="00130421" w:rsidRPr="006A7397">
        <w:rPr>
          <w:i/>
          <w:lang w:val="fr-CA"/>
        </w:rPr>
        <w:t>c.</w:t>
      </w:r>
      <w:r w:rsidR="00F53F8C" w:rsidRPr="006A7397">
        <w:rPr>
          <w:i/>
          <w:lang w:val="fr-CA"/>
        </w:rPr>
        <w:t xml:space="preserve"> </w:t>
      </w:r>
      <w:proofErr w:type="spellStart"/>
      <w:r w:rsidR="00F53F8C" w:rsidRPr="006A7397">
        <w:rPr>
          <w:i/>
          <w:lang w:val="fr-CA"/>
        </w:rPr>
        <w:t>Hinse</w:t>
      </w:r>
      <w:proofErr w:type="spellEnd"/>
      <w:r w:rsidR="00F53F8C" w:rsidRPr="006A7397">
        <w:rPr>
          <w:lang w:val="fr-CA"/>
        </w:rPr>
        <w:t xml:space="preserve">, [1995] 4 </w:t>
      </w:r>
      <w:r w:rsidR="00130421" w:rsidRPr="006A7397">
        <w:rPr>
          <w:lang w:val="fr-CA"/>
        </w:rPr>
        <w:t>R.C.S.</w:t>
      </w:r>
      <w:r w:rsidR="00F53F8C" w:rsidRPr="006A7397">
        <w:rPr>
          <w:lang w:val="fr-CA"/>
        </w:rPr>
        <w:t xml:space="preserve"> 597</w:t>
      </w:r>
      <w:r w:rsidR="005D586C" w:rsidRPr="006A7397">
        <w:rPr>
          <w:lang w:val="fr-CA"/>
        </w:rPr>
        <w:t xml:space="preserve">; </w:t>
      </w:r>
      <w:r w:rsidR="005D586C" w:rsidRPr="006A7397">
        <w:rPr>
          <w:i/>
          <w:lang w:val="fr-CA"/>
        </w:rPr>
        <w:t>R. c. Power</w:t>
      </w:r>
      <w:r w:rsidR="005D586C" w:rsidRPr="006A7397">
        <w:rPr>
          <w:lang w:val="fr-CA"/>
        </w:rPr>
        <w:t>, [1994] 1 R.C.S. 601</w:t>
      </w:r>
      <w:r w:rsidR="00F53F8C" w:rsidRPr="006A7397">
        <w:rPr>
          <w:lang w:val="fr-CA"/>
        </w:rPr>
        <w:t xml:space="preserve">; </w:t>
      </w:r>
      <w:r w:rsidR="00F53F8C" w:rsidRPr="006A7397">
        <w:rPr>
          <w:i/>
          <w:lang w:val="fr-CA"/>
        </w:rPr>
        <w:t xml:space="preserve">R. </w:t>
      </w:r>
      <w:r w:rsidR="00130421" w:rsidRPr="006A7397">
        <w:rPr>
          <w:i/>
          <w:lang w:val="fr-CA"/>
        </w:rPr>
        <w:t>c.</w:t>
      </w:r>
      <w:r w:rsidR="00F53F8C" w:rsidRPr="006A7397">
        <w:rPr>
          <w:i/>
          <w:lang w:val="fr-CA"/>
        </w:rPr>
        <w:t xml:space="preserve"> Provo</w:t>
      </w:r>
      <w:r w:rsidR="00F53F8C" w:rsidRPr="006A7397">
        <w:rPr>
          <w:lang w:val="fr-CA"/>
        </w:rPr>
        <w:t xml:space="preserve">, [1989] 2 </w:t>
      </w:r>
      <w:r w:rsidR="00130421" w:rsidRPr="006A7397">
        <w:rPr>
          <w:lang w:val="fr-CA"/>
        </w:rPr>
        <w:t>R.C.S.</w:t>
      </w:r>
      <w:r w:rsidR="00F53F8C" w:rsidRPr="006A7397">
        <w:rPr>
          <w:lang w:val="fr-CA"/>
        </w:rPr>
        <w:t xml:space="preserve"> 3; </w:t>
      </w:r>
      <w:proofErr w:type="spellStart"/>
      <w:r w:rsidR="00F53F8C" w:rsidRPr="006A7397">
        <w:rPr>
          <w:i/>
          <w:lang w:val="fr-CA"/>
        </w:rPr>
        <w:t>Terlecki</w:t>
      </w:r>
      <w:proofErr w:type="spellEnd"/>
      <w:r w:rsidR="00F53F8C" w:rsidRPr="006A7397">
        <w:rPr>
          <w:i/>
          <w:lang w:val="fr-CA"/>
        </w:rPr>
        <w:t xml:space="preserve"> </w:t>
      </w:r>
      <w:r w:rsidR="00130421" w:rsidRPr="006A7397">
        <w:rPr>
          <w:i/>
          <w:lang w:val="fr-CA"/>
        </w:rPr>
        <w:t>c.</w:t>
      </w:r>
      <w:r w:rsidR="00F53F8C" w:rsidRPr="006A7397">
        <w:rPr>
          <w:i/>
          <w:lang w:val="fr-CA"/>
        </w:rPr>
        <w:t xml:space="preserve"> </w:t>
      </w:r>
      <w:r w:rsidR="00384531" w:rsidRPr="006A7397">
        <w:rPr>
          <w:i/>
          <w:lang w:val="fr-CA"/>
        </w:rPr>
        <w:t>La Reine</w:t>
      </w:r>
      <w:r w:rsidR="00F53F8C" w:rsidRPr="006A7397">
        <w:rPr>
          <w:lang w:val="fr-CA"/>
        </w:rPr>
        <w:t xml:space="preserve">, [1985] 2 </w:t>
      </w:r>
      <w:r w:rsidR="00130421" w:rsidRPr="006A7397">
        <w:rPr>
          <w:lang w:val="fr-CA"/>
        </w:rPr>
        <w:t>R.C.S.</w:t>
      </w:r>
      <w:r w:rsidR="00F53F8C" w:rsidRPr="006A7397">
        <w:rPr>
          <w:lang w:val="fr-CA"/>
        </w:rPr>
        <w:t xml:space="preserve"> 483; </w:t>
      </w:r>
      <w:r w:rsidR="00F53F8C" w:rsidRPr="006A7397">
        <w:rPr>
          <w:i/>
          <w:lang w:val="fr-CA"/>
        </w:rPr>
        <w:t xml:space="preserve">R. </w:t>
      </w:r>
      <w:r w:rsidR="00130421" w:rsidRPr="006A7397">
        <w:rPr>
          <w:i/>
          <w:lang w:val="fr-CA"/>
        </w:rPr>
        <w:t>c.</w:t>
      </w:r>
      <w:r w:rsidR="00F53F8C" w:rsidRPr="006A7397">
        <w:rPr>
          <w:i/>
          <w:lang w:val="fr-CA"/>
        </w:rPr>
        <w:t xml:space="preserve"> </w:t>
      </w:r>
      <w:proofErr w:type="spellStart"/>
      <w:r w:rsidR="00F53F8C" w:rsidRPr="006A7397">
        <w:rPr>
          <w:i/>
          <w:lang w:val="fr-CA"/>
        </w:rPr>
        <w:t>Warsing</w:t>
      </w:r>
      <w:proofErr w:type="spellEnd"/>
      <w:r w:rsidR="00F53F8C" w:rsidRPr="006A7397">
        <w:rPr>
          <w:lang w:val="fr-CA"/>
        </w:rPr>
        <w:t xml:space="preserve">, [1998] 3 </w:t>
      </w:r>
      <w:r w:rsidR="00130421" w:rsidRPr="006A7397">
        <w:rPr>
          <w:lang w:val="fr-CA"/>
        </w:rPr>
        <w:t>R.C.S.</w:t>
      </w:r>
      <w:r w:rsidR="00F53F8C" w:rsidRPr="006A7397">
        <w:rPr>
          <w:lang w:val="fr-CA"/>
        </w:rPr>
        <w:t xml:space="preserve"> 579; </w:t>
      </w:r>
      <w:r w:rsidR="00F53F8C" w:rsidRPr="006A7397">
        <w:rPr>
          <w:i/>
          <w:lang w:val="fr-CA"/>
        </w:rPr>
        <w:t xml:space="preserve">R. </w:t>
      </w:r>
      <w:r w:rsidR="00130421" w:rsidRPr="006A7397">
        <w:rPr>
          <w:i/>
          <w:lang w:val="fr-CA"/>
        </w:rPr>
        <w:t>c.</w:t>
      </w:r>
      <w:r w:rsidR="00F53F8C" w:rsidRPr="006A7397">
        <w:rPr>
          <w:i/>
          <w:lang w:val="fr-CA"/>
        </w:rPr>
        <w:t xml:space="preserve"> </w:t>
      </w:r>
      <w:proofErr w:type="spellStart"/>
      <w:r w:rsidR="00F53F8C" w:rsidRPr="006A7397">
        <w:rPr>
          <w:i/>
          <w:lang w:val="fr-CA"/>
        </w:rPr>
        <w:t>Bellusci</w:t>
      </w:r>
      <w:proofErr w:type="spellEnd"/>
      <w:r w:rsidR="00F53F8C" w:rsidRPr="006A7397">
        <w:rPr>
          <w:lang w:val="fr-CA"/>
        </w:rPr>
        <w:t xml:space="preserve">, 2012 </w:t>
      </w:r>
      <w:r w:rsidR="00130421" w:rsidRPr="006A7397">
        <w:rPr>
          <w:lang w:val="fr-CA"/>
        </w:rPr>
        <w:t>CSC</w:t>
      </w:r>
      <w:r w:rsidR="00F53F8C" w:rsidRPr="006A7397">
        <w:rPr>
          <w:lang w:val="fr-CA"/>
        </w:rPr>
        <w:t xml:space="preserve"> 44, [2012] 2 </w:t>
      </w:r>
      <w:r w:rsidR="00130421" w:rsidRPr="006A7397">
        <w:rPr>
          <w:lang w:val="fr-CA"/>
        </w:rPr>
        <w:t>R.C.S.</w:t>
      </w:r>
      <w:r w:rsidR="00F53F8C" w:rsidRPr="006A7397">
        <w:rPr>
          <w:lang w:val="fr-CA"/>
        </w:rPr>
        <w:t xml:space="preserve"> 509; </w:t>
      </w:r>
      <w:r w:rsidR="00F53F8C" w:rsidRPr="006A7397">
        <w:rPr>
          <w:i/>
          <w:lang w:val="fr-CA"/>
        </w:rPr>
        <w:t xml:space="preserve">R. </w:t>
      </w:r>
      <w:r w:rsidR="00130421" w:rsidRPr="006A7397">
        <w:rPr>
          <w:i/>
          <w:lang w:val="fr-CA"/>
        </w:rPr>
        <w:t>c.</w:t>
      </w:r>
      <w:r w:rsidR="00F53F8C" w:rsidRPr="006A7397">
        <w:rPr>
          <w:i/>
          <w:lang w:val="fr-CA"/>
        </w:rPr>
        <w:t xml:space="preserve"> Smith</w:t>
      </w:r>
      <w:r w:rsidR="00F53F8C" w:rsidRPr="006A7397">
        <w:rPr>
          <w:lang w:val="fr-CA"/>
        </w:rPr>
        <w:t xml:space="preserve">, 2004 </w:t>
      </w:r>
      <w:r w:rsidR="00130421" w:rsidRPr="006A7397">
        <w:rPr>
          <w:lang w:val="fr-CA"/>
        </w:rPr>
        <w:t>CSC</w:t>
      </w:r>
      <w:r w:rsidR="00F53F8C" w:rsidRPr="006A7397">
        <w:rPr>
          <w:lang w:val="fr-CA"/>
        </w:rPr>
        <w:t xml:space="preserve"> 14, [2004] 1 </w:t>
      </w:r>
      <w:r w:rsidR="00130421" w:rsidRPr="006A7397">
        <w:rPr>
          <w:lang w:val="fr-CA"/>
        </w:rPr>
        <w:t>R.C.S.</w:t>
      </w:r>
      <w:r w:rsidR="00F53F8C" w:rsidRPr="006A7397">
        <w:rPr>
          <w:lang w:val="fr-CA"/>
        </w:rPr>
        <w:t xml:space="preserve"> 385; </w:t>
      </w:r>
      <w:r w:rsidR="00F53F8C" w:rsidRPr="006A7397">
        <w:rPr>
          <w:i/>
          <w:lang w:val="fr-CA"/>
        </w:rPr>
        <w:t xml:space="preserve">R. </w:t>
      </w:r>
      <w:r w:rsidR="00130421" w:rsidRPr="006A7397">
        <w:rPr>
          <w:i/>
          <w:lang w:val="fr-CA"/>
        </w:rPr>
        <w:t>c.</w:t>
      </w:r>
      <w:r w:rsidR="00F53F8C" w:rsidRPr="006A7397">
        <w:rPr>
          <w:i/>
          <w:lang w:val="fr-CA"/>
        </w:rPr>
        <w:t xml:space="preserve"> </w:t>
      </w:r>
      <w:proofErr w:type="spellStart"/>
      <w:r w:rsidR="00F53F8C" w:rsidRPr="006A7397">
        <w:rPr>
          <w:i/>
          <w:lang w:val="fr-CA"/>
        </w:rPr>
        <w:t>Jewitt</w:t>
      </w:r>
      <w:proofErr w:type="spellEnd"/>
      <w:r w:rsidR="00F53F8C" w:rsidRPr="006A7397">
        <w:rPr>
          <w:lang w:val="fr-CA"/>
        </w:rPr>
        <w:t xml:space="preserve">, [1985] 2 </w:t>
      </w:r>
      <w:r w:rsidR="00130421" w:rsidRPr="006A7397">
        <w:rPr>
          <w:lang w:val="fr-CA"/>
        </w:rPr>
        <w:t>R.C.S.</w:t>
      </w:r>
      <w:r w:rsidR="00F53F8C" w:rsidRPr="006A7397">
        <w:rPr>
          <w:lang w:val="fr-CA"/>
        </w:rPr>
        <w:t xml:space="preserve"> 128; </w:t>
      </w:r>
      <w:r w:rsidR="00F53F8C" w:rsidRPr="006A7397">
        <w:rPr>
          <w:i/>
          <w:lang w:val="fr-CA"/>
        </w:rPr>
        <w:t xml:space="preserve">R. </w:t>
      </w:r>
      <w:r w:rsidR="00130421" w:rsidRPr="006A7397">
        <w:rPr>
          <w:i/>
          <w:lang w:val="fr-CA"/>
        </w:rPr>
        <w:t>c.</w:t>
      </w:r>
      <w:r w:rsidR="00F53F8C" w:rsidRPr="006A7397">
        <w:rPr>
          <w:i/>
          <w:lang w:val="fr-CA"/>
        </w:rPr>
        <w:t xml:space="preserve"> </w:t>
      </w:r>
      <w:proofErr w:type="spellStart"/>
      <w:r w:rsidR="00F53F8C" w:rsidRPr="006A7397">
        <w:rPr>
          <w:i/>
          <w:lang w:val="fr-CA"/>
        </w:rPr>
        <w:t>Kalanj</w:t>
      </w:r>
      <w:proofErr w:type="spellEnd"/>
      <w:r w:rsidR="00F53F8C" w:rsidRPr="006A7397">
        <w:rPr>
          <w:lang w:val="fr-CA"/>
        </w:rPr>
        <w:t xml:space="preserve">, [1989] 1 </w:t>
      </w:r>
      <w:r w:rsidR="00130421" w:rsidRPr="006A7397">
        <w:rPr>
          <w:lang w:val="fr-CA"/>
        </w:rPr>
        <w:t>R.C.S.</w:t>
      </w:r>
      <w:r w:rsidR="00F53F8C" w:rsidRPr="006A7397">
        <w:rPr>
          <w:lang w:val="fr-CA"/>
        </w:rPr>
        <w:t xml:space="preserve"> 1594; </w:t>
      </w:r>
      <w:r w:rsidR="00F53F8C" w:rsidRPr="006A7397">
        <w:rPr>
          <w:i/>
          <w:lang w:val="fr-CA"/>
        </w:rPr>
        <w:t xml:space="preserve">R. </w:t>
      </w:r>
      <w:r w:rsidR="00130421" w:rsidRPr="006A7397">
        <w:rPr>
          <w:i/>
          <w:lang w:val="fr-CA"/>
        </w:rPr>
        <w:t>c.</w:t>
      </w:r>
      <w:r w:rsidR="00F53F8C" w:rsidRPr="006A7397">
        <w:rPr>
          <w:i/>
          <w:lang w:val="fr-CA"/>
        </w:rPr>
        <w:t xml:space="preserve"> Puskas</w:t>
      </w:r>
      <w:r w:rsidR="00F53F8C" w:rsidRPr="006A7397">
        <w:rPr>
          <w:lang w:val="fr-CA"/>
        </w:rPr>
        <w:t xml:space="preserve">, [1998] 1 </w:t>
      </w:r>
      <w:r w:rsidR="00130421" w:rsidRPr="006A7397">
        <w:rPr>
          <w:lang w:val="fr-CA"/>
        </w:rPr>
        <w:t>R.C.S.</w:t>
      </w:r>
      <w:r w:rsidR="00F53F8C" w:rsidRPr="006A7397">
        <w:rPr>
          <w:lang w:val="fr-CA"/>
        </w:rPr>
        <w:t xml:space="preserve"> 1207; </w:t>
      </w:r>
      <w:proofErr w:type="spellStart"/>
      <w:r w:rsidR="00F53F8C" w:rsidRPr="006A7397">
        <w:rPr>
          <w:i/>
          <w:lang w:val="fr-CA"/>
        </w:rPr>
        <w:t>Kienapple</w:t>
      </w:r>
      <w:proofErr w:type="spellEnd"/>
      <w:r w:rsidR="00F53F8C" w:rsidRPr="006A7397">
        <w:rPr>
          <w:i/>
          <w:lang w:val="fr-CA"/>
        </w:rPr>
        <w:t xml:space="preserve"> </w:t>
      </w:r>
      <w:r w:rsidR="00130421" w:rsidRPr="006A7397">
        <w:rPr>
          <w:i/>
          <w:lang w:val="fr-CA"/>
        </w:rPr>
        <w:t>c.</w:t>
      </w:r>
      <w:r w:rsidR="00F53F8C" w:rsidRPr="006A7397">
        <w:rPr>
          <w:i/>
          <w:lang w:val="fr-CA"/>
        </w:rPr>
        <w:t xml:space="preserve"> </w:t>
      </w:r>
      <w:r w:rsidR="00053382" w:rsidRPr="006A7397">
        <w:rPr>
          <w:i/>
          <w:lang w:val="fr-CA"/>
        </w:rPr>
        <w:t>La Reine</w:t>
      </w:r>
      <w:r w:rsidR="00F53F8C" w:rsidRPr="006A7397">
        <w:rPr>
          <w:lang w:val="fr-CA"/>
        </w:rPr>
        <w:t xml:space="preserve">, [1975] 1 </w:t>
      </w:r>
      <w:r w:rsidR="00130421" w:rsidRPr="006A7397">
        <w:rPr>
          <w:lang w:val="fr-CA"/>
        </w:rPr>
        <w:t>R.C.S.</w:t>
      </w:r>
      <w:r w:rsidR="00F53F8C" w:rsidRPr="006A7397">
        <w:rPr>
          <w:lang w:val="fr-CA"/>
        </w:rPr>
        <w:t xml:space="preserve"> 729.</w:t>
      </w:r>
    </w:p>
    <w:p w14:paraId="0B6D4D4C" w14:textId="77777777" w:rsidR="000F44E3" w:rsidRPr="006A7397" w:rsidRDefault="000F44E3" w:rsidP="00E03410">
      <w:pPr>
        <w:pStyle w:val="SCCNormalDoubleSpacing"/>
        <w:spacing w:after="720" w:line="240" w:lineRule="auto"/>
        <w:rPr>
          <w:lang w:val="fr-CA"/>
        </w:rPr>
      </w:pPr>
      <w:r w:rsidRPr="006A7397">
        <w:rPr>
          <w:lang w:val="fr-CA"/>
        </w:rPr>
        <w:t>Citée par le juge Brown (dissident</w:t>
      </w:r>
      <w:r w:rsidR="005D71D9" w:rsidRPr="006A7397">
        <w:rPr>
          <w:lang w:val="fr-CA"/>
        </w:rPr>
        <w:t xml:space="preserve"> en partie</w:t>
      </w:r>
      <w:r w:rsidRPr="006A7397">
        <w:rPr>
          <w:lang w:val="fr-CA"/>
        </w:rPr>
        <w:t>)</w:t>
      </w:r>
    </w:p>
    <w:p w14:paraId="7B3B1494" w14:textId="77777777" w:rsidR="000F44E3" w:rsidRPr="006A7397" w:rsidRDefault="000F44E3" w:rsidP="00E03410">
      <w:pPr>
        <w:pStyle w:val="SCCNormalDoubleSpacing"/>
        <w:spacing w:after="480"/>
        <w:rPr>
          <w:b/>
          <w:lang w:val="fr-CA"/>
        </w:rPr>
      </w:pPr>
      <w:r w:rsidRPr="006A7397">
        <w:rPr>
          <w:lang w:val="fr-CA"/>
        </w:rPr>
        <w:tab/>
      </w:r>
      <w:r w:rsidR="00F53F8C" w:rsidRPr="006A7397">
        <w:rPr>
          <w:i/>
          <w:lang w:val="fr-CA"/>
        </w:rPr>
        <w:t xml:space="preserve">R. </w:t>
      </w:r>
      <w:r w:rsidR="00130421" w:rsidRPr="006A7397">
        <w:rPr>
          <w:i/>
          <w:lang w:val="fr-CA"/>
        </w:rPr>
        <w:t>c.</w:t>
      </w:r>
      <w:r w:rsidR="00F53F8C" w:rsidRPr="006A7397">
        <w:rPr>
          <w:i/>
          <w:lang w:val="fr-CA"/>
        </w:rPr>
        <w:t xml:space="preserve"> J.F.</w:t>
      </w:r>
      <w:r w:rsidR="00F53F8C" w:rsidRPr="006A7397">
        <w:rPr>
          <w:lang w:val="fr-CA"/>
        </w:rPr>
        <w:t xml:space="preserve">, 2008 </w:t>
      </w:r>
      <w:r w:rsidR="00130421" w:rsidRPr="006A7397">
        <w:rPr>
          <w:lang w:val="fr-CA"/>
        </w:rPr>
        <w:t>CSC</w:t>
      </w:r>
      <w:r w:rsidR="00F53F8C" w:rsidRPr="006A7397">
        <w:rPr>
          <w:lang w:val="fr-CA"/>
        </w:rPr>
        <w:t xml:space="preserve"> 60, [2008] 3 </w:t>
      </w:r>
      <w:r w:rsidR="00130421" w:rsidRPr="006A7397">
        <w:rPr>
          <w:lang w:val="fr-CA"/>
        </w:rPr>
        <w:t>R.C.S.</w:t>
      </w:r>
      <w:r w:rsidR="00F53F8C" w:rsidRPr="006A7397">
        <w:rPr>
          <w:lang w:val="fr-CA"/>
        </w:rPr>
        <w:t xml:space="preserve"> 215; </w:t>
      </w:r>
      <w:r w:rsidR="00F53F8C" w:rsidRPr="006A7397">
        <w:rPr>
          <w:i/>
          <w:lang w:val="fr-CA" w:bidi="en-US"/>
        </w:rPr>
        <w:t xml:space="preserve">R. </w:t>
      </w:r>
      <w:r w:rsidR="00130421" w:rsidRPr="006A7397">
        <w:rPr>
          <w:i/>
          <w:lang w:val="fr-CA" w:bidi="en-US"/>
        </w:rPr>
        <w:t>c.</w:t>
      </w:r>
      <w:r w:rsidR="00F53F8C" w:rsidRPr="006A7397">
        <w:rPr>
          <w:i/>
          <w:lang w:val="fr-CA" w:bidi="en-US"/>
        </w:rPr>
        <w:t xml:space="preserve"> Pan</w:t>
      </w:r>
      <w:r w:rsidR="00F53F8C" w:rsidRPr="006A7397">
        <w:rPr>
          <w:lang w:val="fr-CA" w:bidi="en-US"/>
        </w:rPr>
        <w:t xml:space="preserve">, 2001 </w:t>
      </w:r>
      <w:r w:rsidR="00130421" w:rsidRPr="006A7397">
        <w:rPr>
          <w:lang w:val="fr-CA" w:bidi="en-US"/>
        </w:rPr>
        <w:t>CSC</w:t>
      </w:r>
      <w:r w:rsidR="00F53F8C" w:rsidRPr="006A7397">
        <w:rPr>
          <w:lang w:val="fr-CA" w:bidi="en-US"/>
        </w:rPr>
        <w:t xml:space="preserve"> 42, [2001] 2 </w:t>
      </w:r>
      <w:r w:rsidR="00130421" w:rsidRPr="006A7397">
        <w:rPr>
          <w:lang w:val="fr-CA" w:bidi="en-US"/>
        </w:rPr>
        <w:t>R.C.S.</w:t>
      </w:r>
      <w:r w:rsidR="00F53F8C" w:rsidRPr="006A7397">
        <w:rPr>
          <w:lang w:val="fr-CA" w:bidi="en-US"/>
        </w:rPr>
        <w:t xml:space="preserve"> 344; </w:t>
      </w:r>
      <w:r w:rsidR="00F53F8C" w:rsidRPr="006A7397">
        <w:rPr>
          <w:i/>
          <w:lang w:val="fr-CA" w:bidi="en-US"/>
        </w:rPr>
        <w:t xml:space="preserve">R. </w:t>
      </w:r>
      <w:r w:rsidR="00130421" w:rsidRPr="006A7397">
        <w:rPr>
          <w:i/>
          <w:lang w:val="fr-CA" w:bidi="en-US"/>
        </w:rPr>
        <w:t>c.</w:t>
      </w:r>
      <w:r w:rsidR="00F53F8C" w:rsidRPr="006A7397">
        <w:rPr>
          <w:i/>
          <w:lang w:val="fr-CA" w:bidi="en-US"/>
        </w:rPr>
        <w:t xml:space="preserve"> </w:t>
      </w:r>
      <w:proofErr w:type="spellStart"/>
      <w:r w:rsidR="00F53F8C" w:rsidRPr="006A7397">
        <w:rPr>
          <w:i/>
          <w:lang w:val="fr-CA" w:bidi="en-US"/>
        </w:rPr>
        <w:t>Graveline</w:t>
      </w:r>
      <w:proofErr w:type="spellEnd"/>
      <w:r w:rsidR="00F53F8C" w:rsidRPr="006A7397">
        <w:rPr>
          <w:lang w:val="fr-CA" w:bidi="en-US"/>
        </w:rPr>
        <w:t xml:space="preserve">, 2006 </w:t>
      </w:r>
      <w:r w:rsidR="00130421" w:rsidRPr="006A7397">
        <w:rPr>
          <w:lang w:val="fr-CA" w:bidi="en-US"/>
        </w:rPr>
        <w:t>CSC</w:t>
      </w:r>
      <w:r w:rsidR="00F53F8C" w:rsidRPr="006A7397">
        <w:rPr>
          <w:lang w:val="fr-CA" w:bidi="en-US"/>
        </w:rPr>
        <w:t xml:space="preserve"> 16, [2006] 1 </w:t>
      </w:r>
      <w:r w:rsidR="00130421" w:rsidRPr="006A7397">
        <w:rPr>
          <w:lang w:val="fr-CA" w:bidi="en-US"/>
        </w:rPr>
        <w:t>R.C.S.</w:t>
      </w:r>
      <w:r w:rsidR="00F53F8C" w:rsidRPr="006A7397">
        <w:rPr>
          <w:lang w:val="fr-CA" w:bidi="en-US"/>
        </w:rPr>
        <w:t xml:space="preserve"> 609; </w:t>
      </w:r>
      <w:r w:rsidR="00F53F8C" w:rsidRPr="006A7397">
        <w:rPr>
          <w:i/>
          <w:lang w:val="fr-CA"/>
        </w:rPr>
        <w:t xml:space="preserve">R. </w:t>
      </w:r>
      <w:r w:rsidR="00130421" w:rsidRPr="006A7397">
        <w:rPr>
          <w:i/>
          <w:lang w:val="fr-CA"/>
        </w:rPr>
        <w:t>c.</w:t>
      </w:r>
      <w:r w:rsidR="00F53F8C" w:rsidRPr="006A7397">
        <w:rPr>
          <w:i/>
          <w:lang w:val="fr-CA"/>
        </w:rPr>
        <w:t xml:space="preserve"> Morin</w:t>
      </w:r>
      <w:r w:rsidR="00F53F8C" w:rsidRPr="006A7397">
        <w:rPr>
          <w:lang w:val="fr-CA"/>
        </w:rPr>
        <w:t xml:space="preserve">, [1988] 2 </w:t>
      </w:r>
      <w:r w:rsidR="00130421" w:rsidRPr="006A7397">
        <w:rPr>
          <w:lang w:val="fr-CA"/>
        </w:rPr>
        <w:t>R.C.S.</w:t>
      </w:r>
      <w:r w:rsidR="00F53F8C" w:rsidRPr="006A7397">
        <w:rPr>
          <w:lang w:val="fr-CA"/>
        </w:rPr>
        <w:t xml:space="preserve"> 345; </w:t>
      </w:r>
      <w:r w:rsidR="00F53F8C" w:rsidRPr="006A7397">
        <w:rPr>
          <w:i/>
          <w:lang w:val="fr-CA"/>
        </w:rPr>
        <w:t xml:space="preserve">R. </w:t>
      </w:r>
      <w:r w:rsidR="00130421" w:rsidRPr="006A7397">
        <w:rPr>
          <w:i/>
          <w:lang w:val="fr-CA"/>
        </w:rPr>
        <w:t>c.</w:t>
      </w:r>
      <w:r w:rsidR="00F53F8C" w:rsidRPr="006A7397">
        <w:rPr>
          <w:lang w:val="fr-CA"/>
        </w:rPr>
        <w:t xml:space="preserve"> </w:t>
      </w:r>
      <w:proofErr w:type="spellStart"/>
      <w:r w:rsidR="00F53F8C" w:rsidRPr="006A7397">
        <w:rPr>
          <w:i/>
          <w:lang w:val="fr-CA"/>
        </w:rPr>
        <w:t>Pittiman</w:t>
      </w:r>
      <w:proofErr w:type="spellEnd"/>
      <w:r w:rsidR="00F53F8C" w:rsidRPr="006A7397">
        <w:rPr>
          <w:lang w:val="fr-CA"/>
        </w:rPr>
        <w:t xml:space="preserve">, 2006 </w:t>
      </w:r>
      <w:r w:rsidR="00130421" w:rsidRPr="006A7397">
        <w:rPr>
          <w:lang w:val="fr-CA"/>
        </w:rPr>
        <w:t>CSC</w:t>
      </w:r>
      <w:r w:rsidR="00F53F8C" w:rsidRPr="006A7397">
        <w:rPr>
          <w:lang w:val="fr-CA"/>
        </w:rPr>
        <w:t xml:space="preserve"> 9</w:t>
      </w:r>
      <w:r w:rsidR="00132927" w:rsidRPr="006A7397">
        <w:rPr>
          <w:lang w:val="fr-CA"/>
        </w:rPr>
        <w:t>, [2006] 1 R</w:t>
      </w:r>
      <w:r w:rsidR="00F53F8C" w:rsidRPr="006A7397">
        <w:rPr>
          <w:lang w:val="fr-CA"/>
        </w:rPr>
        <w:t>.</w:t>
      </w:r>
      <w:r w:rsidR="00132927" w:rsidRPr="006A7397">
        <w:rPr>
          <w:lang w:val="fr-CA"/>
        </w:rPr>
        <w:t>C.S.</w:t>
      </w:r>
      <w:r w:rsidR="00F53F8C" w:rsidRPr="006A7397">
        <w:rPr>
          <w:lang w:val="fr-CA"/>
        </w:rPr>
        <w:t xml:space="preserve"> 381; </w:t>
      </w:r>
      <w:r w:rsidR="00F53F8C" w:rsidRPr="006A7397">
        <w:rPr>
          <w:i/>
          <w:lang w:val="fr-CA"/>
        </w:rPr>
        <w:t xml:space="preserve">R. </w:t>
      </w:r>
      <w:r w:rsidR="00130421" w:rsidRPr="006A7397">
        <w:rPr>
          <w:i/>
          <w:lang w:val="fr-CA"/>
        </w:rPr>
        <w:t>c.</w:t>
      </w:r>
      <w:r w:rsidR="00F53F8C" w:rsidRPr="006A7397">
        <w:rPr>
          <w:i/>
          <w:lang w:val="fr-CA"/>
        </w:rPr>
        <w:t xml:space="preserve"> Plein</w:t>
      </w:r>
      <w:r w:rsidR="00F53F8C" w:rsidRPr="006A7397">
        <w:rPr>
          <w:lang w:val="fr-CA"/>
        </w:rPr>
        <w:t>,</w:t>
      </w:r>
      <w:r w:rsidR="00F53F8C" w:rsidRPr="006A7397">
        <w:rPr>
          <w:i/>
          <w:lang w:val="fr-CA"/>
        </w:rPr>
        <w:t xml:space="preserve"> </w:t>
      </w:r>
      <w:r w:rsidR="00F53F8C" w:rsidRPr="006A7397">
        <w:rPr>
          <w:lang w:val="fr-CA"/>
        </w:rPr>
        <w:t xml:space="preserve">2018 ONCA 748, 365 C.C.C. (3d) 437; </w:t>
      </w:r>
      <w:r w:rsidR="00F53F8C" w:rsidRPr="006A7397">
        <w:rPr>
          <w:i/>
          <w:lang w:val="fr-CA"/>
        </w:rPr>
        <w:t xml:space="preserve">R. </w:t>
      </w:r>
      <w:r w:rsidR="00130421" w:rsidRPr="006A7397">
        <w:rPr>
          <w:i/>
          <w:lang w:val="fr-CA"/>
        </w:rPr>
        <w:t>c.</w:t>
      </w:r>
      <w:r w:rsidR="00F53F8C" w:rsidRPr="006A7397">
        <w:rPr>
          <w:i/>
          <w:lang w:val="fr-CA"/>
        </w:rPr>
        <w:t xml:space="preserve"> </w:t>
      </w:r>
      <w:proofErr w:type="spellStart"/>
      <w:r w:rsidR="00F53F8C" w:rsidRPr="006A7397">
        <w:rPr>
          <w:i/>
          <w:lang w:val="fr-CA"/>
        </w:rPr>
        <w:t>Bellusci</w:t>
      </w:r>
      <w:proofErr w:type="spellEnd"/>
      <w:r w:rsidR="00F53F8C" w:rsidRPr="006A7397">
        <w:rPr>
          <w:lang w:val="fr-CA"/>
        </w:rPr>
        <w:t xml:space="preserve">, 2012 </w:t>
      </w:r>
      <w:r w:rsidR="00130421" w:rsidRPr="006A7397">
        <w:rPr>
          <w:lang w:val="fr-CA"/>
        </w:rPr>
        <w:t>CSC</w:t>
      </w:r>
      <w:r w:rsidR="00F53F8C" w:rsidRPr="006A7397">
        <w:rPr>
          <w:lang w:val="fr-CA"/>
        </w:rPr>
        <w:t xml:space="preserve"> 44, [2012] 2 </w:t>
      </w:r>
      <w:r w:rsidR="00130421" w:rsidRPr="006A7397">
        <w:rPr>
          <w:lang w:val="fr-CA"/>
        </w:rPr>
        <w:t>R.C.S.</w:t>
      </w:r>
      <w:r w:rsidR="00F53F8C" w:rsidRPr="006A7397">
        <w:rPr>
          <w:lang w:val="fr-CA"/>
        </w:rPr>
        <w:t xml:space="preserve"> 509; </w:t>
      </w:r>
      <w:r w:rsidR="00F53F8C" w:rsidRPr="006A7397">
        <w:rPr>
          <w:i/>
          <w:lang w:val="fr-CA"/>
        </w:rPr>
        <w:t xml:space="preserve">R. </w:t>
      </w:r>
      <w:r w:rsidR="00130421" w:rsidRPr="006A7397">
        <w:rPr>
          <w:i/>
          <w:lang w:val="fr-CA"/>
        </w:rPr>
        <w:t>c.</w:t>
      </w:r>
      <w:r w:rsidR="00F53F8C" w:rsidRPr="006A7397">
        <w:rPr>
          <w:i/>
          <w:lang w:val="fr-CA"/>
        </w:rPr>
        <w:t xml:space="preserve"> </w:t>
      </w:r>
      <w:proofErr w:type="spellStart"/>
      <w:r w:rsidR="00F53F8C" w:rsidRPr="006A7397">
        <w:rPr>
          <w:i/>
          <w:lang w:val="fr-CA"/>
        </w:rPr>
        <w:t>Hinse</w:t>
      </w:r>
      <w:proofErr w:type="spellEnd"/>
      <w:r w:rsidR="00F53F8C" w:rsidRPr="006A7397">
        <w:rPr>
          <w:lang w:val="fr-CA"/>
        </w:rPr>
        <w:t xml:space="preserve">, [1995] 4 </w:t>
      </w:r>
      <w:r w:rsidR="00130421" w:rsidRPr="006A7397">
        <w:rPr>
          <w:lang w:val="fr-CA"/>
        </w:rPr>
        <w:t>R.C.S.</w:t>
      </w:r>
      <w:r w:rsidR="00F53F8C" w:rsidRPr="006A7397">
        <w:rPr>
          <w:lang w:val="fr-CA"/>
        </w:rPr>
        <w:t xml:space="preserve"> 597; </w:t>
      </w:r>
      <w:r w:rsidR="00F53F8C" w:rsidRPr="006A7397">
        <w:rPr>
          <w:i/>
          <w:spacing w:val="-3"/>
          <w:shd w:val="clear" w:color="auto" w:fill="FFFFFF"/>
          <w:lang w:val="fr-CA"/>
        </w:rPr>
        <w:t xml:space="preserve">R. </w:t>
      </w:r>
      <w:r w:rsidR="00130421" w:rsidRPr="006A7397">
        <w:rPr>
          <w:i/>
          <w:spacing w:val="-3"/>
          <w:shd w:val="clear" w:color="auto" w:fill="FFFFFF"/>
          <w:lang w:val="fr-CA"/>
        </w:rPr>
        <w:t>c.</w:t>
      </w:r>
      <w:r w:rsidR="00F53F8C" w:rsidRPr="006A7397">
        <w:rPr>
          <w:i/>
          <w:spacing w:val="-3"/>
          <w:shd w:val="clear" w:color="auto" w:fill="FFFFFF"/>
          <w:lang w:val="fr-CA"/>
        </w:rPr>
        <w:t xml:space="preserve"> Thomas</w:t>
      </w:r>
      <w:r w:rsidR="00F53F8C" w:rsidRPr="006A7397">
        <w:rPr>
          <w:spacing w:val="-3"/>
          <w:shd w:val="clear" w:color="auto" w:fill="FFFFFF"/>
          <w:lang w:val="fr-CA"/>
        </w:rPr>
        <w:t xml:space="preserve">, [1998] 3 </w:t>
      </w:r>
      <w:r w:rsidR="00130421" w:rsidRPr="006A7397">
        <w:rPr>
          <w:spacing w:val="-3"/>
          <w:shd w:val="clear" w:color="auto" w:fill="FFFFFF"/>
          <w:lang w:val="fr-CA"/>
        </w:rPr>
        <w:t>R.C.S.</w:t>
      </w:r>
      <w:r w:rsidR="00F53F8C" w:rsidRPr="006A7397">
        <w:rPr>
          <w:spacing w:val="-3"/>
          <w:shd w:val="clear" w:color="auto" w:fill="FFFFFF"/>
          <w:lang w:val="fr-CA"/>
        </w:rPr>
        <w:t xml:space="preserve"> 535; </w:t>
      </w:r>
      <w:r w:rsidR="00F53F8C" w:rsidRPr="006A7397">
        <w:rPr>
          <w:i/>
          <w:lang w:val="fr-CA"/>
        </w:rPr>
        <w:t xml:space="preserve">R. </w:t>
      </w:r>
      <w:r w:rsidR="00130421" w:rsidRPr="006A7397">
        <w:rPr>
          <w:i/>
          <w:lang w:val="fr-CA"/>
        </w:rPr>
        <w:t>c.</w:t>
      </w:r>
      <w:r w:rsidR="00F53F8C" w:rsidRPr="006A7397">
        <w:rPr>
          <w:i/>
          <w:lang w:val="fr-CA"/>
        </w:rPr>
        <w:t xml:space="preserve"> Hebert</w:t>
      </w:r>
      <w:r w:rsidR="00F53F8C" w:rsidRPr="006A7397">
        <w:rPr>
          <w:lang w:val="fr-CA"/>
        </w:rPr>
        <w:t xml:space="preserve">, [1996] 2 </w:t>
      </w:r>
      <w:r w:rsidR="00130421" w:rsidRPr="006A7397">
        <w:rPr>
          <w:lang w:val="fr-CA"/>
        </w:rPr>
        <w:t>R.C.S.</w:t>
      </w:r>
      <w:r w:rsidR="00F53F8C" w:rsidRPr="006A7397">
        <w:rPr>
          <w:lang w:val="fr-CA"/>
        </w:rPr>
        <w:t xml:space="preserve"> 272; </w:t>
      </w:r>
      <w:r w:rsidR="00F53F8C" w:rsidRPr="006A7397">
        <w:rPr>
          <w:i/>
          <w:lang w:val="fr-CA"/>
        </w:rPr>
        <w:t xml:space="preserve">R. </w:t>
      </w:r>
      <w:r w:rsidR="00130421" w:rsidRPr="006A7397">
        <w:rPr>
          <w:i/>
          <w:lang w:val="fr-CA"/>
        </w:rPr>
        <w:t>c.</w:t>
      </w:r>
      <w:r w:rsidR="00F53F8C" w:rsidRPr="006A7397">
        <w:rPr>
          <w:i/>
          <w:lang w:val="fr-CA"/>
        </w:rPr>
        <w:t xml:space="preserve"> </w:t>
      </w:r>
      <w:proofErr w:type="spellStart"/>
      <w:r w:rsidR="00F53F8C" w:rsidRPr="006A7397">
        <w:rPr>
          <w:i/>
          <w:lang w:val="fr-CA"/>
        </w:rPr>
        <w:t>Rodgerson</w:t>
      </w:r>
      <w:proofErr w:type="spellEnd"/>
      <w:r w:rsidR="00F53F8C" w:rsidRPr="006A7397">
        <w:rPr>
          <w:lang w:val="fr-CA"/>
        </w:rPr>
        <w:t xml:space="preserve">, 2015 </w:t>
      </w:r>
      <w:r w:rsidR="00130421" w:rsidRPr="006A7397">
        <w:rPr>
          <w:lang w:val="fr-CA"/>
        </w:rPr>
        <w:t>CSC</w:t>
      </w:r>
      <w:r w:rsidR="00F53F8C" w:rsidRPr="006A7397">
        <w:rPr>
          <w:lang w:val="fr-CA"/>
        </w:rPr>
        <w:t xml:space="preserve"> 38, [2015] 2 </w:t>
      </w:r>
      <w:r w:rsidR="00130421" w:rsidRPr="006A7397">
        <w:rPr>
          <w:lang w:val="fr-CA"/>
        </w:rPr>
        <w:t>R.C.S.</w:t>
      </w:r>
      <w:r w:rsidR="00F53F8C" w:rsidRPr="006A7397">
        <w:rPr>
          <w:lang w:val="fr-CA"/>
        </w:rPr>
        <w:t xml:space="preserve"> 760.</w:t>
      </w:r>
    </w:p>
    <w:p w14:paraId="249165E8" w14:textId="77777777" w:rsidR="004D7D95" w:rsidRPr="006A7397" w:rsidRDefault="004D7D95" w:rsidP="00E03410">
      <w:pPr>
        <w:pStyle w:val="SCCNormalDoubleSpacing"/>
        <w:spacing w:after="720" w:line="240" w:lineRule="auto"/>
        <w:rPr>
          <w:b/>
          <w:lang w:val="fr-CA"/>
        </w:rPr>
      </w:pPr>
      <w:r w:rsidRPr="006A7397">
        <w:rPr>
          <w:b/>
          <w:lang w:val="fr-CA"/>
        </w:rPr>
        <w:t>Lois et règlements cités</w:t>
      </w:r>
    </w:p>
    <w:p w14:paraId="78FF3DBC" w14:textId="4C302AA3" w:rsidR="003519FB" w:rsidRPr="006A7397" w:rsidRDefault="001462BB" w:rsidP="00E03410">
      <w:pPr>
        <w:pStyle w:val="SCCNormalDoubleSpacing"/>
        <w:spacing w:after="240" w:line="240" w:lineRule="auto"/>
        <w:ind w:left="539" w:hanging="539"/>
        <w:rPr>
          <w:lang w:val="fr-CA" w:bidi="en-US"/>
        </w:rPr>
      </w:pPr>
      <w:r w:rsidRPr="006A7397">
        <w:rPr>
          <w:i/>
          <w:lang w:val="fr-CA"/>
        </w:rPr>
        <w:t>Charte canadienne des droits et libertés</w:t>
      </w:r>
      <w:r w:rsidR="003519FB" w:rsidRPr="006A7397">
        <w:rPr>
          <w:lang w:val="fr-CA"/>
        </w:rPr>
        <w:t xml:space="preserve">, </w:t>
      </w:r>
      <w:r w:rsidR="001E4069">
        <w:rPr>
          <w:lang w:val="fr-CA"/>
        </w:rPr>
        <w:t>art. </w:t>
      </w:r>
      <w:r w:rsidR="003519FB" w:rsidRPr="006A7397">
        <w:rPr>
          <w:lang w:val="fr-CA"/>
        </w:rPr>
        <w:t>11(</w:t>
      </w:r>
      <w:r w:rsidR="003519FB" w:rsidRPr="006A7397">
        <w:rPr>
          <w:i/>
          <w:lang w:val="fr-CA"/>
        </w:rPr>
        <w:t>h</w:t>
      </w:r>
      <w:r w:rsidR="003519FB" w:rsidRPr="006A7397">
        <w:rPr>
          <w:lang w:val="fr-CA"/>
        </w:rPr>
        <w:t>).</w:t>
      </w:r>
    </w:p>
    <w:p w14:paraId="72F047EF" w14:textId="356161FE" w:rsidR="003519FB" w:rsidRPr="006A7397" w:rsidRDefault="003519FB" w:rsidP="00E03410">
      <w:pPr>
        <w:pStyle w:val="SCCNormalDoubleSpacing"/>
        <w:spacing w:after="720" w:line="240" w:lineRule="auto"/>
        <w:ind w:left="540" w:hanging="540"/>
        <w:rPr>
          <w:lang w:val="fr-CA" w:bidi="en-US"/>
        </w:rPr>
      </w:pPr>
      <w:r w:rsidRPr="006A7397">
        <w:rPr>
          <w:i/>
          <w:lang w:val="fr-CA" w:bidi="en-US"/>
        </w:rPr>
        <w:t>Code</w:t>
      </w:r>
      <w:r w:rsidR="001462BB" w:rsidRPr="006A7397">
        <w:rPr>
          <w:i/>
          <w:lang w:val="fr-CA" w:bidi="en-US"/>
        </w:rPr>
        <w:t xml:space="preserve"> criminel</w:t>
      </w:r>
      <w:r w:rsidRPr="006A7397">
        <w:rPr>
          <w:lang w:val="fr-CA" w:bidi="en-US"/>
        </w:rPr>
        <w:t xml:space="preserve">, </w:t>
      </w:r>
      <w:r w:rsidR="001462BB" w:rsidRPr="006A7397">
        <w:rPr>
          <w:lang w:val="fr-CA" w:bidi="en-US"/>
        </w:rPr>
        <w:t>L.R.C</w:t>
      </w:r>
      <w:r w:rsidR="00E03410" w:rsidRPr="006A7397">
        <w:rPr>
          <w:lang w:val="fr-CA" w:bidi="en-US"/>
        </w:rPr>
        <w:t>. 1985, c. C</w:t>
      </w:r>
      <w:r w:rsidR="001E4069">
        <w:rPr>
          <w:lang w:val="fr-CA" w:bidi="en-US"/>
        </w:rPr>
        <w:noBreakHyphen/>
      </w:r>
      <w:r w:rsidRPr="006A7397">
        <w:rPr>
          <w:lang w:val="fr-CA" w:bidi="en-US"/>
        </w:rPr>
        <w:t xml:space="preserve">46, </w:t>
      </w:r>
      <w:r w:rsidR="001E4069">
        <w:rPr>
          <w:lang w:val="fr-CA" w:bidi="en-US"/>
        </w:rPr>
        <w:t>art. </w:t>
      </w:r>
      <w:r w:rsidRPr="006A7397">
        <w:rPr>
          <w:lang w:val="fr-CA" w:bidi="en-US"/>
        </w:rPr>
        <w:t>151, 152, 265(1), (2), 271, 649, 675, 676, 686, 695(1).</w:t>
      </w:r>
    </w:p>
    <w:p w14:paraId="070498BC" w14:textId="77777777" w:rsidR="004D7D95" w:rsidRPr="006A7397" w:rsidRDefault="004D7D95" w:rsidP="00E03410">
      <w:pPr>
        <w:pStyle w:val="SCCNormalDoubleSpacing"/>
        <w:spacing w:after="720" w:line="240" w:lineRule="auto"/>
        <w:rPr>
          <w:b/>
          <w:lang w:val="fr-CA"/>
        </w:rPr>
      </w:pPr>
      <w:r w:rsidRPr="006A7397">
        <w:rPr>
          <w:b/>
          <w:lang w:val="fr-CA"/>
        </w:rPr>
        <w:t>Doctrine et autres documents cités</w:t>
      </w:r>
    </w:p>
    <w:p w14:paraId="56640FFB" w14:textId="77777777" w:rsidR="003519FB" w:rsidRPr="006A7397" w:rsidRDefault="003519FB" w:rsidP="00E03410">
      <w:pPr>
        <w:pStyle w:val="SCCNormalDoubleSpacing"/>
        <w:spacing w:after="720" w:line="240" w:lineRule="auto"/>
        <w:ind w:left="540" w:hanging="540"/>
      </w:pPr>
      <w:r w:rsidRPr="006A7397">
        <w:rPr>
          <w:lang w:val="fr-CA"/>
        </w:rPr>
        <w:lastRenderedPageBreak/>
        <w:t xml:space="preserve">Watt, David. </w:t>
      </w:r>
      <w:r w:rsidRPr="006A7397">
        <w:rPr>
          <w:i/>
        </w:rPr>
        <w:t>Watt’s Manual of Criminal Jury Instructions</w:t>
      </w:r>
      <w:r w:rsidRPr="006A7397">
        <w:t>,</w:t>
      </w:r>
      <w:r w:rsidRPr="006A7397">
        <w:rPr>
          <w:i/>
        </w:rPr>
        <w:t xml:space="preserve"> </w:t>
      </w:r>
      <w:r w:rsidRPr="006A7397">
        <w:t>2nd ed.</w:t>
      </w:r>
      <w:r w:rsidR="001462BB" w:rsidRPr="006A7397">
        <w:t>, Toronto,</w:t>
      </w:r>
      <w:r w:rsidRPr="006A7397">
        <w:t xml:space="preserve"> Carswell, 2015.</w:t>
      </w:r>
    </w:p>
    <w:p w14:paraId="57C5E60D" w14:textId="25A0BC74" w:rsidR="004D7D95" w:rsidRPr="006A7397" w:rsidRDefault="003C5DB8" w:rsidP="00E03410">
      <w:pPr>
        <w:pStyle w:val="SCCNormalDoubleSpacing"/>
        <w:spacing w:after="480"/>
        <w:rPr>
          <w:lang w:val="fr-CA"/>
        </w:rPr>
      </w:pPr>
      <w:r w:rsidRPr="006A7397">
        <w:rPr>
          <w:lang w:val="en-US"/>
        </w:rPr>
        <w:tab/>
      </w:r>
      <w:r w:rsidR="004D7D95" w:rsidRPr="006A7397">
        <w:rPr>
          <w:lang w:val="fr-CA"/>
        </w:rPr>
        <w:t>POURVOI contre un arrêt de la Cour d</w:t>
      </w:r>
      <w:r w:rsidR="003A4F11" w:rsidRPr="006A7397">
        <w:rPr>
          <w:lang w:val="fr-CA"/>
        </w:rPr>
        <w:t>’</w:t>
      </w:r>
      <w:r w:rsidR="004D7D95" w:rsidRPr="006A7397">
        <w:rPr>
          <w:lang w:val="fr-CA"/>
        </w:rPr>
        <w:t>appel de l</w:t>
      </w:r>
      <w:r w:rsidR="003A4F11" w:rsidRPr="006A7397">
        <w:rPr>
          <w:lang w:val="fr-CA"/>
        </w:rPr>
        <w:t>’</w:t>
      </w:r>
      <w:r w:rsidR="004D7D95" w:rsidRPr="006A7397">
        <w:rPr>
          <w:lang w:val="fr-CA"/>
        </w:rPr>
        <w:t>Ontario</w:t>
      </w:r>
      <w:r w:rsidR="008B39FB" w:rsidRPr="006A7397">
        <w:rPr>
          <w:lang w:val="fr-CA"/>
        </w:rPr>
        <w:t xml:space="preserve"> (</w:t>
      </w:r>
      <w:r w:rsidR="00EF5FAB">
        <w:rPr>
          <w:lang w:val="fr-CA"/>
        </w:rPr>
        <w:t xml:space="preserve">le juge en chef </w:t>
      </w:r>
      <w:proofErr w:type="spellStart"/>
      <w:r w:rsidR="008B39FB" w:rsidRPr="006A7397">
        <w:rPr>
          <w:lang w:val="fr-CA"/>
        </w:rPr>
        <w:t>Strathy</w:t>
      </w:r>
      <w:proofErr w:type="spellEnd"/>
      <w:r w:rsidR="008B39FB" w:rsidRPr="006A7397">
        <w:rPr>
          <w:lang w:val="fr-CA"/>
        </w:rPr>
        <w:t xml:space="preserve"> et </w:t>
      </w:r>
      <w:r w:rsidR="00EF5FAB">
        <w:rPr>
          <w:lang w:val="fr-CA"/>
        </w:rPr>
        <w:t xml:space="preserve">les juges </w:t>
      </w:r>
      <w:r w:rsidR="008B39FB" w:rsidRPr="006A7397">
        <w:rPr>
          <w:lang w:val="fr-CA"/>
        </w:rPr>
        <w:t xml:space="preserve">Rouleau, </w:t>
      </w:r>
      <w:proofErr w:type="spellStart"/>
      <w:r w:rsidR="008B39FB" w:rsidRPr="006A7397">
        <w:rPr>
          <w:lang w:val="fr-CA"/>
        </w:rPr>
        <w:t>Pardu</w:t>
      </w:r>
      <w:proofErr w:type="spellEnd"/>
      <w:r w:rsidR="008B39FB" w:rsidRPr="006A7397">
        <w:rPr>
          <w:lang w:val="fr-CA"/>
        </w:rPr>
        <w:t xml:space="preserve">, Miller </w:t>
      </w:r>
      <w:r w:rsidR="00EF5FAB">
        <w:rPr>
          <w:lang w:val="fr-CA"/>
        </w:rPr>
        <w:t>et</w:t>
      </w:r>
      <w:r w:rsidR="008B39FB" w:rsidRPr="006A7397">
        <w:rPr>
          <w:lang w:val="fr-CA"/>
        </w:rPr>
        <w:t xml:space="preserve"> Trotter), 2019 ONCA 664, 147 O.R. (3d) 657, 379 C.C.C. (3d) 219, </w:t>
      </w:r>
      <w:r w:rsidR="008B39FB" w:rsidRPr="006A7397">
        <w:rPr>
          <w:bCs/>
          <w:lang w:val="fr-CA"/>
        </w:rPr>
        <w:t xml:space="preserve">[2019] O.J. </w:t>
      </w:r>
      <w:r w:rsidR="001E4069">
        <w:rPr>
          <w:bCs/>
          <w:lang w:val="fr-CA"/>
        </w:rPr>
        <w:t>No. </w:t>
      </w:r>
      <w:r w:rsidR="008B39FB" w:rsidRPr="006A7397">
        <w:rPr>
          <w:bCs/>
          <w:lang w:val="fr-CA"/>
        </w:rPr>
        <w:t xml:space="preserve">4355 (QL), 2019 </w:t>
      </w:r>
      <w:proofErr w:type="spellStart"/>
      <w:r w:rsidR="008B39FB" w:rsidRPr="006A7397">
        <w:rPr>
          <w:bCs/>
          <w:lang w:val="fr-CA"/>
        </w:rPr>
        <w:t>CarswellOnt</w:t>
      </w:r>
      <w:proofErr w:type="spellEnd"/>
      <w:r w:rsidR="008B39FB" w:rsidRPr="006A7397">
        <w:rPr>
          <w:bCs/>
          <w:lang w:val="fr-CA"/>
        </w:rPr>
        <w:t xml:space="preserve"> 13561 (WL Can.), </w:t>
      </w:r>
      <w:r w:rsidR="000F5C3C" w:rsidRPr="006A7397">
        <w:rPr>
          <w:lang w:val="fr-CA"/>
        </w:rPr>
        <w:t>qui a annulé</w:t>
      </w:r>
      <w:r w:rsidR="008B39FB" w:rsidRPr="006A7397">
        <w:rPr>
          <w:lang w:val="fr-CA"/>
        </w:rPr>
        <w:t xml:space="preserve"> les </w:t>
      </w:r>
      <w:r w:rsidR="000F5C3C" w:rsidRPr="006A7397">
        <w:rPr>
          <w:lang w:val="fr-CA"/>
        </w:rPr>
        <w:t xml:space="preserve">déclarations </w:t>
      </w:r>
      <w:r w:rsidR="008B39FB" w:rsidRPr="006A7397">
        <w:rPr>
          <w:lang w:val="fr-CA"/>
        </w:rPr>
        <w:t>de culpabilité</w:t>
      </w:r>
      <w:r w:rsidR="00FA4645" w:rsidRPr="006A7397">
        <w:rPr>
          <w:lang w:val="fr-CA"/>
        </w:rPr>
        <w:t xml:space="preserve"> </w:t>
      </w:r>
      <w:r w:rsidR="000F5C3C" w:rsidRPr="006A7397">
        <w:rPr>
          <w:lang w:val="fr-CA"/>
        </w:rPr>
        <w:t>pour contacts sexue</w:t>
      </w:r>
      <w:r w:rsidR="00087849" w:rsidRPr="006A7397">
        <w:rPr>
          <w:lang w:val="fr-CA"/>
        </w:rPr>
        <w:t>ls et incitation</w:t>
      </w:r>
      <w:r w:rsidR="000F5C3C" w:rsidRPr="006A7397">
        <w:rPr>
          <w:lang w:val="fr-CA"/>
        </w:rPr>
        <w:t xml:space="preserve"> à des contacts sexuels</w:t>
      </w:r>
      <w:r w:rsidR="00086C25">
        <w:rPr>
          <w:lang w:val="fr-CA"/>
        </w:rPr>
        <w:t xml:space="preserve"> et</w:t>
      </w:r>
      <w:r w:rsidR="00FD71E1" w:rsidRPr="006A7397">
        <w:rPr>
          <w:lang w:val="fr-CA"/>
        </w:rPr>
        <w:t xml:space="preserve"> inscrit </w:t>
      </w:r>
      <w:r w:rsidR="000F5C3C" w:rsidRPr="006A7397">
        <w:rPr>
          <w:lang w:val="fr-CA"/>
        </w:rPr>
        <w:t xml:space="preserve">des verdicts d’acquittement, et </w:t>
      </w:r>
      <w:r w:rsidR="00087849" w:rsidRPr="006A7397">
        <w:rPr>
          <w:lang w:val="fr-CA"/>
        </w:rPr>
        <w:t>confirmé</w:t>
      </w:r>
      <w:r w:rsidR="000F5C3C" w:rsidRPr="006A7397">
        <w:rPr>
          <w:lang w:val="fr-CA"/>
        </w:rPr>
        <w:t xml:space="preserve"> l’acquittement </w:t>
      </w:r>
      <w:r w:rsidR="00FD71E1" w:rsidRPr="006A7397">
        <w:rPr>
          <w:lang w:val="fr-CA"/>
        </w:rPr>
        <w:t>quant à l’accusation d’</w:t>
      </w:r>
      <w:r w:rsidR="000F5C3C" w:rsidRPr="006A7397">
        <w:rPr>
          <w:lang w:val="fr-CA"/>
        </w:rPr>
        <w:t>agression sexuelle</w:t>
      </w:r>
      <w:r w:rsidR="008B39FB" w:rsidRPr="006A7397">
        <w:rPr>
          <w:lang w:val="fr-CA"/>
        </w:rPr>
        <w:t>.</w:t>
      </w:r>
      <w:r w:rsidR="000F5C3C" w:rsidRPr="006A7397">
        <w:rPr>
          <w:lang w:val="fr-CA"/>
        </w:rPr>
        <w:t xml:space="preserve"> </w:t>
      </w:r>
      <w:r w:rsidR="008B39FB" w:rsidRPr="006A7397">
        <w:rPr>
          <w:lang w:val="fr-CA"/>
        </w:rPr>
        <w:t xml:space="preserve">Pourvoi </w:t>
      </w:r>
      <w:r w:rsidR="000F5C3C" w:rsidRPr="006A7397">
        <w:rPr>
          <w:lang w:val="fr-CA"/>
        </w:rPr>
        <w:t xml:space="preserve">accueilli, les juges Brown et </w:t>
      </w:r>
      <w:proofErr w:type="spellStart"/>
      <w:r w:rsidR="000F5C3C" w:rsidRPr="006A7397">
        <w:rPr>
          <w:lang w:val="fr-CA"/>
        </w:rPr>
        <w:t>Kasirer</w:t>
      </w:r>
      <w:proofErr w:type="spellEnd"/>
      <w:r w:rsidR="000F5C3C" w:rsidRPr="006A7397">
        <w:rPr>
          <w:lang w:val="fr-CA"/>
        </w:rPr>
        <w:t xml:space="preserve"> sont dissidents en partie</w:t>
      </w:r>
      <w:r w:rsidR="008B39FB" w:rsidRPr="006A7397">
        <w:rPr>
          <w:lang w:val="fr-CA"/>
        </w:rPr>
        <w:t>.</w:t>
      </w:r>
    </w:p>
    <w:p w14:paraId="5E1760B4" w14:textId="77777777" w:rsidR="004863D9" w:rsidRPr="006A7397" w:rsidRDefault="007C1CDE" w:rsidP="00E03410">
      <w:pPr>
        <w:pStyle w:val="SCCNormalDoubleSpacing"/>
        <w:spacing w:after="480"/>
        <w:rPr>
          <w:lang w:val="fr-CA"/>
        </w:rPr>
      </w:pPr>
      <w:r w:rsidRPr="006A7397">
        <w:rPr>
          <w:rStyle w:val="SCCCounselNameChar"/>
          <w:lang w:val="fr-CA"/>
        </w:rPr>
        <w:tab/>
        <w:t>Christopher Webb</w:t>
      </w:r>
      <w:r w:rsidRPr="006A7397">
        <w:rPr>
          <w:rStyle w:val="SCCCounselSeparatorChar"/>
          <w:lang w:val="fr-CA"/>
        </w:rPr>
        <w:t xml:space="preserve"> et </w:t>
      </w:r>
      <w:proofErr w:type="spellStart"/>
      <w:r w:rsidRPr="006A7397">
        <w:rPr>
          <w:rStyle w:val="SCCCounselNameChar"/>
          <w:lang w:val="fr-CA"/>
        </w:rPr>
        <w:t>Hatim</w:t>
      </w:r>
      <w:proofErr w:type="spellEnd"/>
      <w:r w:rsidRPr="006A7397">
        <w:rPr>
          <w:rStyle w:val="SCCCounselNameChar"/>
          <w:lang w:val="fr-CA"/>
        </w:rPr>
        <w:t xml:space="preserve"> </w:t>
      </w:r>
      <w:proofErr w:type="spellStart"/>
      <w:r w:rsidRPr="006A7397">
        <w:rPr>
          <w:rStyle w:val="SCCCounselNameChar"/>
          <w:lang w:val="fr-CA"/>
        </w:rPr>
        <w:t>Kheir</w:t>
      </w:r>
      <w:proofErr w:type="spellEnd"/>
      <w:r w:rsidRPr="006A7397">
        <w:rPr>
          <w:rStyle w:val="SCCCounselPartyRoleChar"/>
          <w:lang w:val="fr-CA"/>
        </w:rPr>
        <w:t>, pour l</w:t>
      </w:r>
      <w:r w:rsidR="003A4F11" w:rsidRPr="006A7397">
        <w:rPr>
          <w:rStyle w:val="SCCCounselPartyRoleChar"/>
          <w:lang w:val="fr-CA"/>
        </w:rPr>
        <w:t>’</w:t>
      </w:r>
      <w:r w:rsidRPr="006A7397">
        <w:rPr>
          <w:rStyle w:val="SCCCounselPartyRoleChar"/>
          <w:lang w:val="fr-CA"/>
        </w:rPr>
        <w:t>appelante.</w:t>
      </w:r>
    </w:p>
    <w:p w14:paraId="41E5CD61" w14:textId="77777777" w:rsidR="004863D9" w:rsidRPr="006A7397" w:rsidRDefault="007C1CDE" w:rsidP="00E03410">
      <w:pPr>
        <w:pStyle w:val="SCCNormalDoubleSpacing"/>
        <w:spacing w:after="480"/>
        <w:rPr>
          <w:lang w:val="fr-CA"/>
        </w:rPr>
      </w:pPr>
      <w:r w:rsidRPr="006A7397">
        <w:rPr>
          <w:rStyle w:val="SCCCounselNameChar"/>
          <w:lang w:val="fr-CA"/>
        </w:rPr>
        <w:tab/>
        <w:t>Philip Campbell</w:t>
      </w:r>
      <w:r w:rsidRPr="006A7397">
        <w:rPr>
          <w:rStyle w:val="SCCCounselSeparatorChar"/>
          <w:lang w:val="fr-CA"/>
        </w:rPr>
        <w:t xml:space="preserve"> et </w:t>
      </w:r>
      <w:r w:rsidRPr="006A7397">
        <w:rPr>
          <w:rStyle w:val="SCCCounselNameChar"/>
          <w:lang w:val="fr-CA"/>
        </w:rPr>
        <w:t xml:space="preserve">Neill </w:t>
      </w:r>
      <w:proofErr w:type="spellStart"/>
      <w:r w:rsidRPr="006A7397">
        <w:rPr>
          <w:rStyle w:val="SCCCounselNameChar"/>
          <w:lang w:val="fr-CA"/>
        </w:rPr>
        <w:t>Fitzmaurice</w:t>
      </w:r>
      <w:proofErr w:type="spellEnd"/>
      <w:r w:rsidRPr="006A7397">
        <w:rPr>
          <w:rStyle w:val="SCCCounselPartyRoleChar"/>
          <w:lang w:val="fr-CA"/>
        </w:rPr>
        <w:t>, pour l</w:t>
      </w:r>
      <w:r w:rsidR="003A4F11" w:rsidRPr="006A7397">
        <w:rPr>
          <w:rStyle w:val="SCCCounselPartyRoleChar"/>
          <w:lang w:val="fr-CA"/>
        </w:rPr>
        <w:t>’</w:t>
      </w:r>
      <w:r w:rsidRPr="006A7397">
        <w:rPr>
          <w:rStyle w:val="SCCCounselPartyRoleChar"/>
          <w:lang w:val="fr-CA"/>
        </w:rPr>
        <w:t>intimé.</w:t>
      </w:r>
    </w:p>
    <w:p w14:paraId="2804E2F9" w14:textId="77777777" w:rsidR="007C1CDE" w:rsidRPr="006A7397" w:rsidRDefault="007C1CDE" w:rsidP="00E03410">
      <w:pPr>
        <w:pStyle w:val="SCCNormalDoubleSpacing"/>
        <w:spacing w:after="480"/>
        <w:rPr>
          <w:rStyle w:val="SCCCounselPartyRoleChar"/>
          <w:lang w:val="fr-CA"/>
        </w:rPr>
      </w:pPr>
      <w:r w:rsidRPr="006A7397">
        <w:rPr>
          <w:rStyle w:val="SCCCounselNameChar"/>
          <w:lang w:val="fr-CA"/>
        </w:rPr>
        <w:tab/>
        <w:t xml:space="preserve">Joanne </w:t>
      </w:r>
      <w:proofErr w:type="spellStart"/>
      <w:r w:rsidRPr="006A7397">
        <w:rPr>
          <w:rStyle w:val="SCCCounselNameChar"/>
          <w:lang w:val="fr-CA"/>
        </w:rPr>
        <w:t>Dartana</w:t>
      </w:r>
      <w:proofErr w:type="spellEnd"/>
      <w:r w:rsidRPr="006A7397">
        <w:rPr>
          <w:rStyle w:val="SCCCounselNameChar"/>
          <w:i w:val="0"/>
          <w:lang w:val="fr-CA"/>
        </w:rPr>
        <w:t>,</w:t>
      </w:r>
      <w:r w:rsidRPr="006A7397">
        <w:rPr>
          <w:rStyle w:val="SCCCounselNameChar"/>
          <w:lang w:val="fr-CA"/>
        </w:rPr>
        <w:t xml:space="preserve"> </w:t>
      </w:r>
      <w:proofErr w:type="spellStart"/>
      <w:proofErr w:type="gramStart"/>
      <w:r w:rsidR="00BA59C4" w:rsidRPr="006A7397">
        <w:rPr>
          <w:rStyle w:val="SCCCounselNameChar"/>
          <w:lang w:val="fr-CA"/>
        </w:rPr>
        <w:t>c</w:t>
      </w:r>
      <w:r w:rsidRPr="006A7397">
        <w:rPr>
          <w:rStyle w:val="SCCCounselNameChar"/>
          <w:lang w:val="fr-CA"/>
        </w:rPr>
        <w:t>.</w:t>
      </w:r>
      <w:r w:rsidR="00BA59C4" w:rsidRPr="006A7397">
        <w:rPr>
          <w:rStyle w:val="SCCCounselNameChar"/>
          <w:lang w:val="fr-CA"/>
        </w:rPr>
        <w:t>r</w:t>
      </w:r>
      <w:proofErr w:type="spellEnd"/>
      <w:r w:rsidRPr="006A7397">
        <w:rPr>
          <w:rStyle w:val="SCCCounselNameChar"/>
          <w:lang w:val="fr-CA"/>
        </w:rPr>
        <w:t>.</w:t>
      </w:r>
      <w:r w:rsidRPr="006A7397">
        <w:rPr>
          <w:rStyle w:val="SCCCounselPartyRoleChar"/>
          <w:lang w:val="fr-CA"/>
        </w:rPr>
        <w:t>,</w:t>
      </w:r>
      <w:proofErr w:type="gramEnd"/>
      <w:r w:rsidRPr="006A7397">
        <w:rPr>
          <w:rStyle w:val="SCCCounselPartyRoleChar"/>
          <w:lang w:val="fr-CA"/>
        </w:rPr>
        <w:t xml:space="preserve"> pour l’intervenant </w:t>
      </w:r>
      <w:r w:rsidR="00BA59C4" w:rsidRPr="006A7397">
        <w:rPr>
          <w:rStyle w:val="SCCCounselPartyRoleChar"/>
          <w:lang w:val="fr-CA"/>
        </w:rPr>
        <w:t xml:space="preserve">le </w:t>
      </w:r>
      <w:r w:rsidRPr="006A7397">
        <w:rPr>
          <w:rStyle w:val="SCCCounselPartyRoleChar"/>
          <w:lang w:val="fr-CA"/>
        </w:rPr>
        <w:t>Procureur général de l’Alberta.</w:t>
      </w:r>
    </w:p>
    <w:p w14:paraId="5D65FACD" w14:textId="77777777" w:rsidR="00A40984" w:rsidRDefault="007C1CDE" w:rsidP="00A40984">
      <w:pPr>
        <w:pStyle w:val="SCCNormalDoubleSpacing"/>
        <w:spacing w:after="480"/>
        <w:rPr>
          <w:rStyle w:val="SCCCounselPartyRoleChar"/>
          <w:lang w:val="fr-CA"/>
        </w:rPr>
      </w:pPr>
      <w:r w:rsidRPr="006A7397">
        <w:rPr>
          <w:rStyle w:val="SCCCounselNameChar"/>
          <w:lang w:val="fr-CA"/>
        </w:rPr>
        <w:tab/>
        <w:t xml:space="preserve">Michael </w:t>
      </w:r>
      <w:proofErr w:type="spellStart"/>
      <w:r w:rsidRPr="006A7397">
        <w:rPr>
          <w:rStyle w:val="SCCCounselNameChar"/>
          <w:lang w:val="fr-CA"/>
        </w:rPr>
        <w:t>Dineen</w:t>
      </w:r>
      <w:proofErr w:type="spellEnd"/>
      <w:r w:rsidRPr="006A7397">
        <w:rPr>
          <w:rStyle w:val="SCCCounselPartyRoleChar"/>
          <w:lang w:val="fr-CA"/>
        </w:rPr>
        <w:t>, pour l</w:t>
      </w:r>
      <w:r w:rsidR="003A4F11" w:rsidRPr="006A7397">
        <w:rPr>
          <w:rStyle w:val="SCCCounselPartyRoleChar"/>
          <w:lang w:val="fr-CA"/>
        </w:rPr>
        <w:t>’</w:t>
      </w:r>
      <w:r w:rsidRPr="006A7397">
        <w:rPr>
          <w:rStyle w:val="SCCCounselPartyRoleChar"/>
          <w:lang w:val="fr-CA"/>
        </w:rPr>
        <w:t xml:space="preserve">intervenante </w:t>
      </w:r>
      <w:proofErr w:type="spellStart"/>
      <w:r w:rsidRPr="006A7397">
        <w:rPr>
          <w:rStyle w:val="SCCCounselPartyRoleChar"/>
          <w:lang w:val="fr-CA"/>
        </w:rPr>
        <w:t>Criminal</w:t>
      </w:r>
      <w:proofErr w:type="spellEnd"/>
      <w:r w:rsidRPr="006A7397">
        <w:rPr>
          <w:rStyle w:val="SCCCounselPartyRoleChar"/>
          <w:lang w:val="fr-CA"/>
        </w:rPr>
        <w:t xml:space="preserve"> </w:t>
      </w:r>
      <w:proofErr w:type="spellStart"/>
      <w:r w:rsidRPr="006A7397">
        <w:rPr>
          <w:rStyle w:val="SCCCounselPartyRoleChar"/>
          <w:lang w:val="fr-CA"/>
        </w:rPr>
        <w:t>Lawyers</w:t>
      </w:r>
      <w:proofErr w:type="spellEnd"/>
      <w:r w:rsidR="003A4F11" w:rsidRPr="006A7397">
        <w:rPr>
          <w:rStyle w:val="SCCCounselPartyRoleChar"/>
          <w:lang w:val="fr-CA"/>
        </w:rPr>
        <w:t>’</w:t>
      </w:r>
      <w:r w:rsidRPr="006A7397">
        <w:rPr>
          <w:rStyle w:val="SCCCounselPartyRoleChar"/>
          <w:lang w:val="fr-CA"/>
        </w:rPr>
        <w:t xml:space="preserve"> Association of Ontario.</w:t>
      </w:r>
    </w:p>
    <w:p w14:paraId="5D5ADB38" w14:textId="49221D55" w:rsidR="00BE287D" w:rsidRDefault="00A40984" w:rsidP="00A40984">
      <w:pPr>
        <w:pStyle w:val="SCCNormalDoubleSpacing"/>
        <w:spacing w:after="480"/>
        <w:rPr>
          <w:lang w:val="fr-CA"/>
        </w:rPr>
      </w:pPr>
      <w:r>
        <w:rPr>
          <w:rStyle w:val="SCCCounselPartyRoleChar"/>
          <w:lang w:val="fr-CA"/>
        </w:rPr>
        <w:tab/>
      </w:r>
      <w:r w:rsidR="00BE287D" w:rsidRPr="00173A02">
        <w:rPr>
          <w:lang w:val="fr-CA"/>
        </w:rPr>
        <w:t xml:space="preserve">Version française du jugement </w:t>
      </w:r>
      <w:r w:rsidR="00BE287D">
        <w:rPr>
          <w:lang w:val="fr-CA"/>
        </w:rPr>
        <w:t xml:space="preserve">du juge en chef Wagner et </w:t>
      </w:r>
      <w:r w:rsidR="00BE287D" w:rsidRPr="00173A02">
        <w:rPr>
          <w:lang w:val="fr-CA"/>
        </w:rPr>
        <w:t xml:space="preserve">des juges </w:t>
      </w:r>
      <w:r w:rsidR="00BE287D" w:rsidRPr="004672E3">
        <w:rPr>
          <w:lang w:val="fr-CA"/>
        </w:rPr>
        <w:t xml:space="preserve">Abella, </w:t>
      </w:r>
      <w:proofErr w:type="spellStart"/>
      <w:r w:rsidR="00BE287D" w:rsidRPr="004672E3">
        <w:rPr>
          <w:lang w:val="fr-CA"/>
        </w:rPr>
        <w:t>Moldaver</w:t>
      </w:r>
      <w:proofErr w:type="spellEnd"/>
      <w:r w:rsidR="00BE287D" w:rsidRPr="004672E3">
        <w:rPr>
          <w:lang w:val="fr-CA"/>
        </w:rPr>
        <w:t xml:space="preserve">, </w:t>
      </w:r>
      <w:proofErr w:type="spellStart"/>
      <w:r w:rsidR="00BE287D" w:rsidRPr="004672E3">
        <w:rPr>
          <w:lang w:val="fr-CA"/>
        </w:rPr>
        <w:t>Karakatsanis</w:t>
      </w:r>
      <w:proofErr w:type="spellEnd"/>
      <w:r w:rsidR="00BE287D" w:rsidRPr="004672E3">
        <w:rPr>
          <w:lang w:val="fr-CA"/>
        </w:rPr>
        <w:t xml:space="preserve">, Côté, Rowe </w:t>
      </w:r>
      <w:r w:rsidR="00BE287D" w:rsidRPr="00173A02">
        <w:rPr>
          <w:lang w:val="fr-CA"/>
        </w:rPr>
        <w:t xml:space="preserve">et </w:t>
      </w:r>
      <w:r w:rsidR="00BE287D" w:rsidRPr="004672E3">
        <w:rPr>
          <w:lang w:val="fr-CA"/>
        </w:rPr>
        <w:t>Martin</w:t>
      </w:r>
      <w:r w:rsidR="00BE287D" w:rsidRPr="00173A02">
        <w:rPr>
          <w:lang w:val="fr-CA"/>
        </w:rPr>
        <w:t xml:space="preserve"> rendu par</w:t>
      </w:r>
    </w:p>
    <w:p w14:paraId="626816F1" w14:textId="77777777" w:rsidR="00BE287D" w:rsidRPr="00CF10F0" w:rsidRDefault="00BE287D" w:rsidP="00BE287D">
      <w:pPr>
        <w:pStyle w:val="JudgeJuge"/>
        <w:spacing w:before="480"/>
        <w:rPr>
          <w:lang w:val="fr-CA"/>
        </w:rPr>
      </w:pPr>
      <w:r w:rsidRPr="00CF10F0">
        <w:rPr>
          <w:lang w:val="fr-CA"/>
        </w:rPr>
        <w:tab/>
        <w:t xml:space="preserve">Le juge </w:t>
      </w:r>
      <w:proofErr w:type="spellStart"/>
      <w:r w:rsidRPr="00CF10F0">
        <w:rPr>
          <w:lang w:val="fr-CA"/>
        </w:rPr>
        <w:t>Moldaver</w:t>
      </w:r>
      <w:proofErr w:type="spellEnd"/>
      <w:r w:rsidRPr="00CF10F0">
        <w:rPr>
          <w:lang w:val="fr-CA"/>
        </w:rPr>
        <w:t xml:space="preserve"> — </w:t>
      </w:r>
    </w:p>
    <w:p w14:paraId="4E44F7DD" w14:textId="77777777" w:rsidR="00BE287D" w:rsidRPr="00CF10F0" w:rsidRDefault="00BE287D" w:rsidP="00BE287D">
      <w:pPr>
        <w:pStyle w:val="Title1LevelTitre1Niveau-AltL"/>
        <w:ind w:left="578" w:hanging="578"/>
        <w:rPr>
          <w:rFonts w:cs="Times New Roman"/>
          <w:lang w:val="fr-CA"/>
        </w:rPr>
      </w:pPr>
      <w:r w:rsidRPr="00CF10F0">
        <w:rPr>
          <w:rFonts w:cs="Times New Roman"/>
          <w:lang w:val="fr-CA"/>
        </w:rPr>
        <w:lastRenderedPageBreak/>
        <w:t>Aperçu</w:t>
      </w:r>
    </w:p>
    <w:p w14:paraId="46E5AABB" w14:textId="77777777" w:rsidR="00BE287D" w:rsidRPr="00CF10F0" w:rsidRDefault="00BE287D" w:rsidP="00BE287D">
      <w:pPr>
        <w:pStyle w:val="ParaNoNdepar-AltN"/>
        <w:rPr>
          <w:rFonts w:cs="Times New Roman"/>
          <w:lang w:val="fr-CA"/>
        </w:rPr>
      </w:pPr>
      <w:r w:rsidRPr="00CF10F0">
        <w:rPr>
          <w:rFonts w:cs="Times New Roman"/>
          <w:lang w:val="fr-CA"/>
        </w:rPr>
        <w:t xml:space="preserve">Un jury rend des verdicts incompatibles lorsqu’il déclare l’accusé à la fois coupable et non coupable des mêmes actes. Selon l’intimé, R.V., c’est ce qui s’est produit en l’espèce. R.V. a été accusé d’avoir commis </w:t>
      </w:r>
      <w:r>
        <w:rPr>
          <w:rFonts w:cs="Times New Roman"/>
          <w:lang w:val="fr-CA"/>
        </w:rPr>
        <w:t>des</w:t>
      </w:r>
      <w:r w:rsidRPr="00CF10F0">
        <w:rPr>
          <w:rFonts w:cs="Times New Roman"/>
          <w:lang w:val="fr-CA"/>
        </w:rPr>
        <w:t xml:space="preserve"> infractions d’ordre sexuel </w:t>
      </w:r>
      <w:r>
        <w:rPr>
          <w:rFonts w:cs="Times New Roman"/>
          <w:lang w:val="fr-CA"/>
        </w:rPr>
        <w:t>dites « historiques » à l’égard d’</w:t>
      </w:r>
      <w:r w:rsidRPr="00CF10F0">
        <w:rPr>
          <w:rFonts w:cs="Times New Roman"/>
          <w:lang w:val="fr-CA"/>
        </w:rPr>
        <w:t>une seule plaignante. Il a subi son procès devant juge et jury. Le jury l’a déclaré coupable de contacts sexuels, une infraction à l’</w:t>
      </w:r>
      <w:r>
        <w:rPr>
          <w:rFonts w:cs="Times New Roman"/>
          <w:lang w:val="fr-CA"/>
        </w:rPr>
        <w:t>art. </w:t>
      </w:r>
      <w:r w:rsidRPr="00CF10F0">
        <w:rPr>
          <w:rFonts w:cs="Times New Roman"/>
          <w:lang w:val="fr-CA"/>
        </w:rPr>
        <w:t xml:space="preserve">151 du </w:t>
      </w:r>
      <w:r w:rsidRPr="00CF10F0">
        <w:rPr>
          <w:rFonts w:cs="Times New Roman"/>
          <w:i/>
          <w:lang w:val="fr-CA"/>
        </w:rPr>
        <w:t>Code criminel</w:t>
      </w:r>
      <w:r w:rsidRPr="00CF10F0">
        <w:rPr>
          <w:rFonts w:cs="Times New Roman"/>
          <w:lang w:val="fr-CA"/>
        </w:rPr>
        <w:t>, L.R.C. 1985, c. C</w:t>
      </w:r>
      <w:r>
        <w:rPr>
          <w:rFonts w:cs="Times New Roman"/>
          <w:lang w:val="fr-CA"/>
        </w:rPr>
        <w:noBreakHyphen/>
      </w:r>
      <w:r w:rsidRPr="00CF10F0">
        <w:rPr>
          <w:rFonts w:cs="Times New Roman"/>
          <w:lang w:val="fr-CA"/>
        </w:rPr>
        <w:t>46, et coupable d’incitation à des contacts sexuels, une infraction à l’</w:t>
      </w:r>
      <w:r>
        <w:rPr>
          <w:rFonts w:cs="Times New Roman"/>
          <w:lang w:val="fr-CA"/>
        </w:rPr>
        <w:t>art. </w:t>
      </w:r>
      <w:r w:rsidRPr="00CF10F0">
        <w:rPr>
          <w:rFonts w:cs="Times New Roman"/>
          <w:lang w:val="fr-CA"/>
        </w:rPr>
        <w:t>152. Le même jury l’a acquitté de l’infraction d’agression sexuelle prévue à l’</w:t>
      </w:r>
      <w:r>
        <w:rPr>
          <w:rFonts w:cs="Times New Roman"/>
          <w:lang w:val="fr-CA"/>
        </w:rPr>
        <w:t>art. </w:t>
      </w:r>
      <w:r w:rsidRPr="00CF10F0">
        <w:rPr>
          <w:rFonts w:cs="Times New Roman"/>
          <w:lang w:val="fr-CA"/>
        </w:rPr>
        <w:t xml:space="preserve">271 en se fondant sur les mêmes éléments de preuve. </w:t>
      </w:r>
    </w:p>
    <w:p w14:paraId="73D3B2C7" w14:textId="77777777" w:rsidR="00BE287D" w:rsidRPr="00CF10F0" w:rsidRDefault="00BE287D" w:rsidP="00BE287D">
      <w:pPr>
        <w:pStyle w:val="ParaNoNdepar-AltN"/>
        <w:rPr>
          <w:rFonts w:cs="Times New Roman"/>
          <w:lang w:val="fr-CA"/>
        </w:rPr>
      </w:pPr>
      <w:r w:rsidRPr="00CF10F0">
        <w:rPr>
          <w:rFonts w:cs="Times New Roman"/>
          <w:lang w:val="fr-CA"/>
        </w:rPr>
        <w:t>R.V. a interjeté appel de ses déclarations de culpabilité devant la Cour d’appel de l’Ontario, alléguant qu’elles étaient incompatibles avec son acquittement quant à l’accusation d’agression sexuelle et qu’elles étaient donc déraisonnables. La Couronne a formé un appel incident contre l’acquittement de R.V. en affirmant que l’exposé au jury prêtait inutilement à confusion à un point tel qu’il constituait une erreur de droit. La Couronne a fait valoir que, même si la Cour suprême du Canada et la Cour d’appel de l’Ontario ont rendu des décisions qu’elle a qualifiées de contradictoires en ce qui concerne l’incidence de directives erronées données au jury sur l’examen de la question de savoir si des verdicts sont incompatibles, l’incompatibilité apparente des verdicts rendus par le jury en l’espèce s’expliquait par les directives erronées qui lui ont été données, de sorte que les verdicts de culpabilité ne pouvaient pas être jugés déraisonnables.</w:t>
      </w:r>
    </w:p>
    <w:p w14:paraId="1B7E7D3F" w14:textId="77777777" w:rsidR="00BE287D" w:rsidRPr="00CF10F0" w:rsidRDefault="00BE287D" w:rsidP="00BE287D">
      <w:pPr>
        <w:pStyle w:val="ParaNoNdepar-AltN"/>
        <w:rPr>
          <w:rFonts w:cs="Times New Roman"/>
          <w:lang w:val="fr-CA"/>
        </w:rPr>
      </w:pPr>
      <w:r w:rsidRPr="00CF10F0">
        <w:rPr>
          <w:rFonts w:cs="Times New Roman"/>
          <w:lang w:val="fr-CA"/>
        </w:rPr>
        <w:lastRenderedPageBreak/>
        <w:t xml:space="preserve">S’exprimant au nom des juges majoritaires, le juge en chef </w:t>
      </w:r>
      <w:proofErr w:type="spellStart"/>
      <w:r w:rsidRPr="00CF10F0">
        <w:rPr>
          <w:rFonts w:cs="Times New Roman"/>
          <w:lang w:val="fr-CA"/>
        </w:rPr>
        <w:t>Strathy</w:t>
      </w:r>
      <w:proofErr w:type="spellEnd"/>
      <w:r w:rsidRPr="00CF10F0">
        <w:rPr>
          <w:rFonts w:cs="Times New Roman"/>
          <w:lang w:val="fr-CA"/>
        </w:rPr>
        <w:t xml:space="preserve"> n’a pas souscrit à l’opinion de la Couronne selon laquelle la Cour suprême du Canada a rendu des jugements contradictoires sur les verdicts incompatibles. Les juges majoritaires ont toutefois convenu qu’il était nécessaire de clarifier la jurisprudence de la Cour d’appel sur le rôle des directives données au jury dans les affaires où des verdicts incompatibles sont rendus. Ce faisant, ils ont écarté les décisions antérieures de la cour dans les affaires </w:t>
      </w:r>
      <w:r w:rsidRPr="00CF10F0">
        <w:rPr>
          <w:rFonts w:cs="Times New Roman"/>
          <w:i/>
          <w:lang w:val="fr-CA"/>
        </w:rPr>
        <w:t>R. c. S.L.</w:t>
      </w:r>
      <w:r w:rsidRPr="00CF10F0">
        <w:rPr>
          <w:rFonts w:cs="Times New Roman"/>
          <w:lang w:val="fr-CA"/>
        </w:rPr>
        <w:t>,</w:t>
      </w:r>
      <w:r w:rsidRPr="00CF10F0">
        <w:rPr>
          <w:rFonts w:cs="Times New Roman"/>
          <w:i/>
          <w:lang w:val="fr-CA"/>
        </w:rPr>
        <w:t xml:space="preserve"> </w:t>
      </w:r>
      <w:r w:rsidRPr="00CF10F0">
        <w:rPr>
          <w:rFonts w:cs="Times New Roman"/>
          <w:lang w:val="fr-CA"/>
        </w:rPr>
        <w:t xml:space="preserve">2013 ONCA 176, 303 O.A.C. 103; </w:t>
      </w:r>
      <w:r w:rsidRPr="00CF10F0">
        <w:rPr>
          <w:rFonts w:cs="Times New Roman"/>
          <w:i/>
          <w:lang w:val="fr-CA"/>
        </w:rPr>
        <w:t>R. c. K.D.M.</w:t>
      </w:r>
      <w:r w:rsidRPr="00CF10F0">
        <w:rPr>
          <w:rFonts w:cs="Times New Roman"/>
          <w:lang w:val="fr-CA"/>
        </w:rPr>
        <w:t>,</w:t>
      </w:r>
      <w:r w:rsidRPr="00CF10F0">
        <w:rPr>
          <w:rFonts w:cs="Times New Roman"/>
          <w:i/>
          <w:lang w:val="fr-CA"/>
        </w:rPr>
        <w:t xml:space="preserve"> </w:t>
      </w:r>
      <w:r w:rsidRPr="00CF10F0">
        <w:rPr>
          <w:rFonts w:cs="Times New Roman"/>
          <w:lang w:val="fr-CA"/>
        </w:rPr>
        <w:t xml:space="preserve">2017 ONCA 510; et </w:t>
      </w:r>
      <w:r w:rsidRPr="00CF10F0">
        <w:rPr>
          <w:rFonts w:cs="Times New Roman"/>
          <w:i/>
          <w:lang w:val="fr-CA"/>
        </w:rPr>
        <w:t>R. c. Tyler</w:t>
      </w:r>
      <w:r w:rsidRPr="00CF10F0">
        <w:rPr>
          <w:rFonts w:cs="Times New Roman"/>
          <w:lang w:val="fr-CA"/>
        </w:rPr>
        <w:t>,</w:t>
      </w:r>
      <w:r w:rsidRPr="00CF10F0">
        <w:rPr>
          <w:rFonts w:cs="Times New Roman"/>
          <w:i/>
          <w:lang w:val="fr-CA"/>
        </w:rPr>
        <w:t xml:space="preserve"> </w:t>
      </w:r>
      <w:r w:rsidRPr="00CF10F0">
        <w:rPr>
          <w:rFonts w:cs="Times New Roman"/>
          <w:lang w:val="fr-CA"/>
        </w:rPr>
        <w:t xml:space="preserve">2015 ONCA 599 –– et ils ont, par voie de conséquence, rejeté l’approche adoptée dans d’autres provinces (voir, </w:t>
      </w:r>
      <w:r>
        <w:rPr>
          <w:rFonts w:cs="Times New Roman"/>
          <w:lang w:val="fr-CA"/>
        </w:rPr>
        <w:t>p. </w:t>
      </w:r>
      <w:r w:rsidRPr="00CF10F0">
        <w:rPr>
          <w:rFonts w:cs="Times New Roman"/>
          <w:lang w:val="fr-CA"/>
        </w:rPr>
        <w:t xml:space="preserve">ex., </w:t>
      </w:r>
      <w:r w:rsidRPr="00CF10F0">
        <w:rPr>
          <w:rFonts w:cs="Times New Roman"/>
          <w:i/>
          <w:lang w:val="fr-CA"/>
        </w:rPr>
        <w:t>R. c. Tremblay</w:t>
      </w:r>
      <w:r w:rsidRPr="00CF10F0">
        <w:rPr>
          <w:rFonts w:cs="Times New Roman"/>
          <w:lang w:val="fr-CA"/>
        </w:rPr>
        <w:t>,</w:t>
      </w:r>
      <w:r w:rsidRPr="00CF10F0">
        <w:rPr>
          <w:rFonts w:cs="Times New Roman"/>
          <w:i/>
          <w:lang w:val="fr-CA"/>
        </w:rPr>
        <w:t xml:space="preserve"> </w:t>
      </w:r>
      <w:r w:rsidRPr="00CF10F0">
        <w:rPr>
          <w:rFonts w:cs="Times New Roman"/>
          <w:lang w:val="fr-CA"/>
        </w:rPr>
        <w:t xml:space="preserve">2016 ABCA 30, 612 A.R. 147; </w:t>
      </w:r>
      <w:r w:rsidRPr="00CF10F0">
        <w:rPr>
          <w:rFonts w:cs="Times New Roman"/>
          <w:i/>
          <w:lang w:val="fr-CA"/>
        </w:rPr>
        <w:t>R. c. L.B.C.</w:t>
      </w:r>
      <w:r w:rsidRPr="00CF10F0">
        <w:rPr>
          <w:rFonts w:cs="Times New Roman"/>
          <w:lang w:val="fr-CA"/>
        </w:rPr>
        <w:t>,</w:t>
      </w:r>
      <w:r w:rsidRPr="00CF10F0">
        <w:rPr>
          <w:rFonts w:cs="Times New Roman"/>
          <w:i/>
          <w:lang w:val="fr-CA"/>
        </w:rPr>
        <w:t xml:space="preserve"> </w:t>
      </w:r>
      <w:r w:rsidRPr="00CF10F0">
        <w:rPr>
          <w:rFonts w:cs="Times New Roman"/>
          <w:lang w:val="fr-CA"/>
        </w:rPr>
        <w:t xml:space="preserve">2019 ABCA 505, 383 C.C.C. (3d) 331; </w:t>
      </w:r>
      <w:r w:rsidRPr="00CF10F0">
        <w:rPr>
          <w:rFonts w:cs="Times New Roman"/>
          <w:i/>
          <w:lang w:val="fr-CA"/>
        </w:rPr>
        <w:t>R. c. J.D.C.</w:t>
      </w:r>
      <w:r w:rsidRPr="00CF10F0">
        <w:rPr>
          <w:rFonts w:cs="Times New Roman"/>
          <w:lang w:val="fr-CA"/>
        </w:rPr>
        <w:t>,</w:t>
      </w:r>
      <w:r w:rsidRPr="00CF10F0">
        <w:rPr>
          <w:rFonts w:cs="Times New Roman"/>
          <w:i/>
          <w:lang w:val="fr-CA"/>
        </w:rPr>
        <w:t xml:space="preserve"> </w:t>
      </w:r>
      <w:r w:rsidRPr="00CF10F0">
        <w:rPr>
          <w:rFonts w:cs="Times New Roman"/>
          <w:lang w:val="fr-CA"/>
        </w:rPr>
        <w:t xml:space="preserve">2018 NSCA 5). Les juges majoritaires ont donc conclu qu’il n’y avait aucune erreur de droit dans les directives données au jury et que les verdicts de culpabilité pour contacts sexuels et incitation à des contacts sexuels étaient déraisonnables, car ils étaient incompatibles avec l’acquittement de R.V. quant à l’accusation d’agression sexuelle. Ils ont annulé les déclarations de culpabilité de R.V. et y ont substitué des verdicts d’acquittement. Le juge Rouleau a exprimé sa dissidence sur la question de savoir si les directives données au jury constituaient une erreur de droit et sur la réparation qu’il convenait d’accorder. La Couronne se pourvoit maintenant devant notre Cour. Elle demande que les déclarations de culpabilité prononcées contre R.V. soient rétablies et que son acquittement soit écarté. </w:t>
      </w:r>
    </w:p>
    <w:p w14:paraId="5E97A497" w14:textId="77777777" w:rsidR="00BE287D" w:rsidRPr="00CF10F0" w:rsidRDefault="00BE287D" w:rsidP="00BE287D">
      <w:pPr>
        <w:pStyle w:val="ParaNoNdepar-AltN"/>
        <w:rPr>
          <w:rFonts w:cs="Times New Roman"/>
          <w:lang w:val="fr-CA"/>
        </w:rPr>
      </w:pPr>
      <w:r w:rsidRPr="00CF10F0">
        <w:rPr>
          <w:rFonts w:cs="Times New Roman"/>
          <w:lang w:val="fr-CA"/>
        </w:rPr>
        <w:t xml:space="preserve">La présente affaire nous donne l’occasion de préciser la marche à suivre lorsqu’une des parties allègue l’incompatibilité des verdicts. Notre Cour a certes établi </w:t>
      </w:r>
      <w:r w:rsidRPr="00CF10F0">
        <w:rPr>
          <w:rFonts w:cs="Times New Roman"/>
          <w:lang w:val="fr-CA"/>
        </w:rPr>
        <w:lastRenderedPageBreak/>
        <w:t xml:space="preserve">les principes de base applicables aux verdicts incompatibles, mais nous n’avons pas encore examiné explicitement l’incidence de directives au jury erronées en droit sur l’examen de la question de savoir si des verdicts sont incompatibles. Ce faisant, je m’efforcerai en l’espèce d’établir un juste équilibre entre l’intégrité judiciaire et l’équité envers l’accusé, tout en respectant le rôle que jouent les jurys dans notre système de justice. </w:t>
      </w:r>
    </w:p>
    <w:p w14:paraId="7A92125D" w14:textId="77777777" w:rsidR="00BE287D" w:rsidRPr="00CF10F0" w:rsidRDefault="00BE287D" w:rsidP="00BE287D">
      <w:pPr>
        <w:pStyle w:val="ParaNoNdepar-AltN"/>
        <w:rPr>
          <w:rFonts w:cs="Times New Roman"/>
          <w:lang w:val="fr-CA"/>
        </w:rPr>
      </w:pPr>
      <w:r w:rsidRPr="00CF10F0">
        <w:rPr>
          <w:rFonts w:cs="Times New Roman"/>
          <w:lang w:val="fr-CA"/>
        </w:rPr>
        <w:t xml:space="preserve">Comme je l’expliquerai, la Couronne peut chercher à concilier des verdicts apparemment incompatibles en démontrant, avec une certitude élevée, que l’acquittement résulte d’une erreur de droit dans les directives au jury, que cette erreur n’a eu aucune incidence sur la déclaration de culpabilité, et que l’erreur permet de remédier à l’incompatibilité en démontrant que le jury n’a pas déclaré l’accusé à la fois coupable et non coupable des mêmes actes. Si la Couronne s’acquitte de son fardeau, l’intervention d’une cour d’appel à l’égard de la déclaration de culpabilité n’est pas </w:t>
      </w:r>
      <w:proofErr w:type="gramStart"/>
      <w:r w:rsidRPr="00CF10F0">
        <w:rPr>
          <w:rFonts w:cs="Times New Roman"/>
          <w:lang w:val="fr-CA"/>
        </w:rPr>
        <w:t>justifiée</w:t>
      </w:r>
      <w:proofErr w:type="gramEnd"/>
      <w:r w:rsidRPr="00CF10F0">
        <w:rPr>
          <w:rFonts w:cs="Times New Roman"/>
          <w:lang w:val="fr-CA"/>
        </w:rPr>
        <w:t>, car les verdicts ne sont pas réellement incompatibles et ne sont donc pas déraisonnables pour cause d’incompatibilité.</w:t>
      </w:r>
    </w:p>
    <w:p w14:paraId="50D76E00" w14:textId="77777777" w:rsidR="00BE287D" w:rsidRPr="00CF10F0" w:rsidRDefault="00BE287D" w:rsidP="00BE287D">
      <w:pPr>
        <w:pStyle w:val="ParaNoNdepar-AltN"/>
        <w:rPr>
          <w:rFonts w:cs="Times New Roman"/>
          <w:lang w:val="fr-CA"/>
        </w:rPr>
      </w:pPr>
      <w:r w:rsidRPr="00CF10F0">
        <w:rPr>
          <w:rFonts w:cs="Times New Roman"/>
          <w:lang w:val="fr-CA"/>
        </w:rPr>
        <w:t xml:space="preserve">Pour les motifs qui suivent, et soit dit en tout respect, je suis d’avis qu’en l’espèce la juge du procès a donné au jury des directives erronées sur l’accusation d’agression sexuelle en lui donnant la fausse impression que l’élément de « force » nécessaire pour qu’il y ait agression sexuelle était différent de l’élément de « toucher » requis pour qu’il y ait contacts sexuels et incitation à des contacts sexuels. Plus particulièrement, le fait de ne pas expliquer clairement au jury que l’élément de </w:t>
      </w:r>
      <w:r w:rsidRPr="00CF10F0">
        <w:rPr>
          <w:rFonts w:cs="Times New Roman"/>
          <w:lang w:val="fr-CA"/>
        </w:rPr>
        <w:lastRenderedPageBreak/>
        <w:t xml:space="preserve">« force » requis pour prouver l’agression sexuelle est identique à l’élément de « toucher » nécessaire pour établir les deux autres infractions constituait une absence de directives équivalant à des directives erronées. L’incidence de cette erreur sur les verdicts apparemment incompatibles est importante. Un examen de l’exposé au jury dans son ensemble me permet de conclure, avec une certitude élevée, que l’erreur a eu une incidence significative sur le verdict d’acquittement. De plus, je suis convaincu que l’erreur n’a eu aucune incidence sur les déclarations de culpabilité et qu’elle permet plutôt de concilier les verdicts apparemment incompatibles. Par conséquent, les verdicts ne sont pas réellement incompatibles et les déclarations de culpabilité ne sont pas déraisonnables pour cause d’incompatibilité. </w:t>
      </w:r>
    </w:p>
    <w:p w14:paraId="73A3C559" w14:textId="77777777" w:rsidR="00BE287D" w:rsidRPr="00CF10F0" w:rsidRDefault="00BE287D" w:rsidP="00BE287D">
      <w:pPr>
        <w:pStyle w:val="ParaNoNdepar-AltN"/>
        <w:rPr>
          <w:rFonts w:cs="Times New Roman"/>
          <w:lang w:val="fr-CA"/>
        </w:rPr>
      </w:pPr>
      <w:r w:rsidRPr="00CF10F0">
        <w:rPr>
          <w:rFonts w:cs="Times New Roman"/>
          <w:lang w:val="fr-CA"/>
        </w:rPr>
        <w:t>En conséquence, je suis d’avis d’accueillir l’appel et de rétablir les déclarations de culpabilité. Je suis également d’avis d’écarter l’acquittement et, comme je l’expliquerai plus loin, d’ordonner l’arrêt des procédures relativement à l’accusation d’agression sexuelle.</w:t>
      </w:r>
    </w:p>
    <w:p w14:paraId="6CD6CEE1" w14:textId="77777777" w:rsidR="00BE287D" w:rsidRPr="00CF10F0" w:rsidRDefault="00BE287D" w:rsidP="00BE287D">
      <w:pPr>
        <w:pStyle w:val="Title1LevelTitre1Niveau-AltL"/>
        <w:rPr>
          <w:rFonts w:cs="Times New Roman"/>
          <w:lang w:val="fr-CA"/>
        </w:rPr>
      </w:pPr>
      <w:r w:rsidRPr="00CF10F0">
        <w:rPr>
          <w:rFonts w:cs="Times New Roman"/>
          <w:lang w:val="fr-CA"/>
        </w:rPr>
        <w:t>Contexte et décisions des juridictions inférieures</w:t>
      </w:r>
    </w:p>
    <w:p w14:paraId="07CB8F25" w14:textId="77777777" w:rsidR="00BE287D" w:rsidRPr="00CF10F0" w:rsidRDefault="00BE287D" w:rsidP="00BE287D">
      <w:pPr>
        <w:pStyle w:val="ParaNoNdepar-AltN"/>
        <w:rPr>
          <w:rFonts w:cs="Times New Roman"/>
          <w:lang w:val="fr-CA"/>
        </w:rPr>
      </w:pPr>
      <w:r w:rsidRPr="00CF10F0">
        <w:rPr>
          <w:rFonts w:cs="Times New Roman"/>
          <w:lang w:val="fr-CA"/>
        </w:rPr>
        <w:t xml:space="preserve">R.V. a été accusé d’avoir commis </w:t>
      </w:r>
      <w:r>
        <w:rPr>
          <w:rFonts w:cs="Times New Roman"/>
          <w:lang w:val="fr-CA"/>
        </w:rPr>
        <w:t>de</w:t>
      </w:r>
      <w:r w:rsidRPr="00CF10F0">
        <w:rPr>
          <w:rFonts w:cs="Times New Roman"/>
          <w:lang w:val="fr-CA"/>
        </w:rPr>
        <w:t xml:space="preserve">s infractions d’ordre sexuel </w:t>
      </w:r>
      <w:r>
        <w:rPr>
          <w:rFonts w:cs="Times New Roman"/>
          <w:lang w:val="fr-CA"/>
        </w:rPr>
        <w:t>historiques à l’égard de</w:t>
      </w:r>
      <w:r w:rsidRPr="00CF10F0">
        <w:rPr>
          <w:rFonts w:cs="Times New Roman"/>
          <w:lang w:val="fr-CA"/>
        </w:rPr>
        <w:t xml:space="preserve"> la plaignante, la fille de la femme qui était sa conjointe à l’époque des infractions reprochées. Les accusations portent sur des infractions commises de 1995 à 2003, notamment l’agression sexuelle, les contacts sexuels et l’incitation à des contacts sexuels.</w:t>
      </w:r>
    </w:p>
    <w:p w14:paraId="273F263B" w14:textId="77777777" w:rsidR="00BE287D" w:rsidRPr="00CF10F0" w:rsidRDefault="00BE287D" w:rsidP="00BE287D">
      <w:pPr>
        <w:pStyle w:val="Title2LevelTitre2Niveau"/>
        <w:rPr>
          <w:rFonts w:cs="Times New Roman"/>
          <w:lang w:val="fr-CA"/>
        </w:rPr>
      </w:pPr>
      <w:r w:rsidRPr="00CF10F0">
        <w:rPr>
          <w:rFonts w:cs="Times New Roman"/>
          <w:lang w:val="fr-CA"/>
        </w:rPr>
        <w:lastRenderedPageBreak/>
        <w:t>Cour supérieure de justice de l’Ontario (la juge </w:t>
      </w:r>
      <w:proofErr w:type="spellStart"/>
      <w:r w:rsidRPr="00CF10F0">
        <w:rPr>
          <w:rFonts w:cs="Times New Roman"/>
          <w:lang w:val="fr-CA"/>
        </w:rPr>
        <w:t>Vallee</w:t>
      </w:r>
      <w:proofErr w:type="spellEnd"/>
      <w:r w:rsidRPr="00CF10F0">
        <w:rPr>
          <w:rFonts w:cs="Times New Roman"/>
          <w:lang w:val="fr-CA"/>
        </w:rPr>
        <w:t>, siégeant avec jury)</w:t>
      </w:r>
    </w:p>
    <w:p w14:paraId="3CAA6A38" w14:textId="77777777" w:rsidR="00BE287D" w:rsidRPr="00CF10F0" w:rsidRDefault="00BE287D" w:rsidP="00BE287D">
      <w:pPr>
        <w:pStyle w:val="ParaNoNdepar-AltN"/>
        <w:rPr>
          <w:rFonts w:cs="Times New Roman"/>
          <w:lang w:val="fr-CA"/>
        </w:rPr>
      </w:pPr>
      <w:r w:rsidRPr="00CF10F0">
        <w:rPr>
          <w:rFonts w:cs="Times New Roman"/>
          <w:lang w:val="fr-CA"/>
        </w:rPr>
        <w:t>Le procès de R.V. a duré deux jours. La plaignante était le seul témoin. Elle a témoigné avoir été victime d’</w:t>
      </w:r>
      <w:r>
        <w:rPr>
          <w:rFonts w:cs="Times New Roman"/>
          <w:lang w:val="fr-CA"/>
        </w:rPr>
        <w:t>abus</w:t>
      </w:r>
      <w:r w:rsidRPr="00CF10F0">
        <w:rPr>
          <w:rFonts w:cs="Times New Roman"/>
          <w:lang w:val="fr-CA"/>
        </w:rPr>
        <w:t xml:space="preserve"> sexuelles multiples de la part de R.V. lorsqu’elle était âgée entre 7 et 13 ans. Selon son témoignage, R.V.</w:t>
      </w:r>
      <w:r>
        <w:rPr>
          <w:rFonts w:cs="Times New Roman"/>
          <w:lang w:val="fr-CA"/>
        </w:rPr>
        <w:t> :</w:t>
      </w:r>
      <w:r w:rsidRPr="00CF10F0">
        <w:rPr>
          <w:rFonts w:cs="Times New Roman"/>
          <w:lang w:val="fr-CA"/>
        </w:rPr>
        <w:t xml:space="preserve"> </w:t>
      </w:r>
    </w:p>
    <w:p w14:paraId="70B9B670" w14:textId="77777777" w:rsidR="00BE287D" w:rsidRPr="00CF10F0" w:rsidRDefault="00BE287D" w:rsidP="00A40984">
      <w:pPr>
        <w:pStyle w:val="Citation-AltC"/>
        <w:numPr>
          <w:ilvl w:val="0"/>
          <w:numId w:val="16"/>
        </w:numPr>
        <w:spacing w:after="240" w:line="480" w:lineRule="auto"/>
        <w:ind w:left="709" w:hanging="567"/>
        <w:contextualSpacing w:val="0"/>
        <w:rPr>
          <w:lang w:val="fr-CA"/>
        </w:rPr>
      </w:pPr>
      <w:r w:rsidRPr="00CF10F0">
        <w:rPr>
          <w:lang w:val="fr-CA"/>
        </w:rPr>
        <w:t xml:space="preserve">lui a saisi la main et lui a fait toucher son pénis; </w:t>
      </w:r>
    </w:p>
    <w:p w14:paraId="1F98ED90" w14:textId="77777777" w:rsidR="00BE287D" w:rsidRPr="00CF10F0" w:rsidRDefault="00BE287D" w:rsidP="00A40984">
      <w:pPr>
        <w:pStyle w:val="Citation-AltC"/>
        <w:numPr>
          <w:ilvl w:val="0"/>
          <w:numId w:val="16"/>
        </w:numPr>
        <w:spacing w:after="240" w:line="480" w:lineRule="auto"/>
        <w:ind w:left="709" w:hanging="567"/>
        <w:contextualSpacing w:val="0"/>
        <w:rPr>
          <w:lang w:val="fr-CA"/>
        </w:rPr>
      </w:pPr>
      <w:r w:rsidRPr="00CF10F0">
        <w:rPr>
          <w:lang w:val="fr-CA"/>
        </w:rPr>
        <w:t xml:space="preserve">a touché </w:t>
      </w:r>
      <w:r>
        <w:rPr>
          <w:lang w:val="fr-CA"/>
        </w:rPr>
        <w:t>son sein</w:t>
      </w:r>
      <w:r w:rsidRPr="00CF10F0">
        <w:rPr>
          <w:lang w:val="fr-CA"/>
        </w:rPr>
        <w:t xml:space="preserve"> par</w:t>
      </w:r>
      <w:r>
        <w:rPr>
          <w:lang w:val="fr-CA"/>
        </w:rPr>
        <w:noBreakHyphen/>
      </w:r>
      <w:r w:rsidRPr="00CF10F0">
        <w:rPr>
          <w:lang w:val="fr-CA"/>
        </w:rPr>
        <w:t xml:space="preserve">dessus ses vêtements; </w:t>
      </w:r>
    </w:p>
    <w:p w14:paraId="48DE5EFD" w14:textId="77777777" w:rsidR="00BE287D" w:rsidRPr="00CF10F0" w:rsidRDefault="00BE287D" w:rsidP="00A40984">
      <w:pPr>
        <w:pStyle w:val="Citation-AltC"/>
        <w:numPr>
          <w:ilvl w:val="0"/>
          <w:numId w:val="16"/>
        </w:numPr>
        <w:spacing w:after="240" w:line="480" w:lineRule="auto"/>
        <w:ind w:left="709" w:hanging="567"/>
        <w:contextualSpacing w:val="0"/>
        <w:rPr>
          <w:lang w:val="fr-CA"/>
        </w:rPr>
      </w:pPr>
      <w:r w:rsidRPr="00CF10F0">
        <w:rPr>
          <w:lang w:val="fr-CA"/>
        </w:rPr>
        <w:t>a touché son vagin par</w:t>
      </w:r>
      <w:r>
        <w:rPr>
          <w:lang w:val="fr-CA"/>
        </w:rPr>
        <w:noBreakHyphen/>
      </w:r>
      <w:r w:rsidRPr="00CF10F0">
        <w:rPr>
          <w:lang w:val="fr-CA"/>
        </w:rPr>
        <w:t xml:space="preserve">dessus ses vêtements; </w:t>
      </w:r>
    </w:p>
    <w:p w14:paraId="15EEFA29" w14:textId="77777777" w:rsidR="00BE287D" w:rsidRPr="00CF10F0" w:rsidRDefault="00BE287D" w:rsidP="00A40984">
      <w:pPr>
        <w:pStyle w:val="Citation-AltC"/>
        <w:numPr>
          <w:ilvl w:val="0"/>
          <w:numId w:val="16"/>
        </w:numPr>
        <w:spacing w:after="240" w:line="480" w:lineRule="auto"/>
        <w:ind w:left="709" w:hanging="567"/>
        <w:contextualSpacing w:val="0"/>
        <w:rPr>
          <w:lang w:val="fr-CA"/>
        </w:rPr>
      </w:pPr>
      <w:r w:rsidRPr="00CF10F0">
        <w:rPr>
          <w:lang w:val="fr-CA"/>
        </w:rPr>
        <w:t xml:space="preserve">a pris sa main et l’a utilisée pour se masturber; </w:t>
      </w:r>
    </w:p>
    <w:p w14:paraId="0BFFC01A" w14:textId="77777777" w:rsidR="00BE287D" w:rsidRPr="00CF10F0" w:rsidRDefault="00BE287D" w:rsidP="00A40984">
      <w:pPr>
        <w:pStyle w:val="Citation-AltC"/>
        <w:numPr>
          <w:ilvl w:val="0"/>
          <w:numId w:val="16"/>
        </w:numPr>
        <w:spacing w:after="240" w:line="480" w:lineRule="auto"/>
        <w:ind w:left="709" w:hanging="567"/>
        <w:contextualSpacing w:val="0"/>
        <w:rPr>
          <w:lang w:val="fr-CA"/>
        </w:rPr>
      </w:pPr>
      <w:r w:rsidRPr="00CF10F0">
        <w:rPr>
          <w:lang w:val="fr-CA"/>
        </w:rPr>
        <w:t xml:space="preserve">s’est couché nu sous elle alors qu’elle était vêtue et a simulé un rapport sexuel avant d’éjaculer sur son ventre; </w:t>
      </w:r>
    </w:p>
    <w:p w14:paraId="6D796AAD" w14:textId="77777777" w:rsidR="00BE287D" w:rsidRPr="00CF10F0" w:rsidRDefault="00BE287D" w:rsidP="00A40984">
      <w:pPr>
        <w:pStyle w:val="Citation-AltC"/>
        <w:numPr>
          <w:ilvl w:val="0"/>
          <w:numId w:val="16"/>
        </w:numPr>
        <w:spacing w:after="240" w:line="480" w:lineRule="auto"/>
        <w:ind w:left="709" w:hanging="567"/>
        <w:contextualSpacing w:val="0"/>
        <w:rPr>
          <w:lang w:val="fr-CA"/>
        </w:rPr>
      </w:pPr>
      <w:r w:rsidRPr="00CF10F0">
        <w:rPr>
          <w:lang w:val="fr-CA"/>
        </w:rPr>
        <w:t xml:space="preserve">s’est couché habillé sous elle, qui était nue, et a simulé un rapport sexuel; </w:t>
      </w:r>
    </w:p>
    <w:p w14:paraId="65FE68C1" w14:textId="77777777" w:rsidR="00BE287D" w:rsidRPr="00CF10F0" w:rsidRDefault="00BE287D" w:rsidP="00A40984">
      <w:pPr>
        <w:pStyle w:val="Citation-AltC"/>
        <w:numPr>
          <w:ilvl w:val="0"/>
          <w:numId w:val="16"/>
        </w:numPr>
        <w:spacing w:after="480" w:line="480" w:lineRule="auto"/>
        <w:ind w:left="709" w:hanging="567"/>
        <w:contextualSpacing w:val="0"/>
        <w:rPr>
          <w:lang w:val="fr-CA"/>
        </w:rPr>
      </w:pPr>
      <w:r w:rsidRPr="00CF10F0">
        <w:rPr>
          <w:lang w:val="fr-CA"/>
        </w:rPr>
        <w:t>a touché sa tête et l’a poussé</w:t>
      </w:r>
      <w:r>
        <w:rPr>
          <w:lang w:val="fr-CA"/>
        </w:rPr>
        <w:t>e</w:t>
      </w:r>
      <w:r w:rsidRPr="00CF10F0">
        <w:rPr>
          <w:lang w:val="fr-CA"/>
        </w:rPr>
        <w:t xml:space="preserve"> vers son pénis. </w:t>
      </w:r>
    </w:p>
    <w:p w14:paraId="6C05A255" w14:textId="77777777" w:rsidR="00BE287D" w:rsidRPr="00CF10F0" w:rsidRDefault="00BE287D" w:rsidP="00BE287D">
      <w:pPr>
        <w:pStyle w:val="ParaNoNdepar-AltN"/>
        <w:rPr>
          <w:rFonts w:cs="Times New Roman"/>
          <w:b/>
          <w:i/>
          <w:lang w:val="fr-CA"/>
        </w:rPr>
      </w:pPr>
      <w:r w:rsidRPr="00CF10F0">
        <w:rPr>
          <w:rFonts w:cs="Times New Roman"/>
          <w:lang w:val="fr-CA"/>
        </w:rPr>
        <w:t xml:space="preserve">La Couronne n’a présenté aucun autre élément de preuve au procès. La défense a soutenu que le témoignage de la plaignante était contradictoire et qu’il n’était donc pas suffisamment crédible pour conclure hors de tout doute raisonnable à la culpabilité. La défense a également affirmé que la plaignante avait des raisons de fabriquer son témoignage. </w:t>
      </w:r>
    </w:p>
    <w:p w14:paraId="2F317823" w14:textId="77777777" w:rsidR="00BE287D" w:rsidRPr="00CF10F0" w:rsidRDefault="00BE287D" w:rsidP="00BE287D">
      <w:pPr>
        <w:pStyle w:val="ParaNoNdepar-AltN"/>
        <w:rPr>
          <w:rFonts w:cs="Times New Roman"/>
          <w:lang w:val="fr-CA"/>
        </w:rPr>
      </w:pPr>
      <w:r w:rsidRPr="00CF10F0">
        <w:rPr>
          <w:rFonts w:cs="Times New Roman"/>
          <w:lang w:val="fr-CA"/>
        </w:rPr>
        <w:lastRenderedPageBreak/>
        <w:t xml:space="preserve">À la fin du procès, la juge a donné des directives au jury sur chacune des infractions de façon séparée en suivant le modèle de directives proposé dans le </w:t>
      </w:r>
      <w:proofErr w:type="spellStart"/>
      <w:r w:rsidRPr="00CF10F0">
        <w:rPr>
          <w:rFonts w:cs="Times New Roman"/>
          <w:i/>
          <w:lang w:val="fr-CA"/>
        </w:rPr>
        <w:t>Watt’s</w:t>
      </w:r>
      <w:proofErr w:type="spellEnd"/>
      <w:r w:rsidRPr="00CF10F0">
        <w:rPr>
          <w:rFonts w:cs="Times New Roman"/>
          <w:i/>
          <w:lang w:val="fr-CA"/>
        </w:rPr>
        <w:t xml:space="preserve"> </w:t>
      </w:r>
      <w:proofErr w:type="spellStart"/>
      <w:r w:rsidRPr="00CF10F0">
        <w:rPr>
          <w:rFonts w:cs="Times New Roman"/>
          <w:i/>
          <w:lang w:val="fr-CA"/>
        </w:rPr>
        <w:t>Manual</w:t>
      </w:r>
      <w:proofErr w:type="spellEnd"/>
      <w:r w:rsidRPr="00CF10F0">
        <w:rPr>
          <w:rFonts w:cs="Times New Roman"/>
          <w:i/>
          <w:lang w:val="fr-CA"/>
        </w:rPr>
        <w:t xml:space="preserve"> of Jury Instructions</w:t>
      </w:r>
      <w:r w:rsidRPr="00CF10F0">
        <w:rPr>
          <w:rFonts w:cs="Times New Roman"/>
          <w:lang w:val="fr-CA"/>
        </w:rPr>
        <w:t xml:space="preserve"> (2</w:t>
      </w:r>
      <w:r w:rsidRPr="00CF10F0">
        <w:rPr>
          <w:rFonts w:cs="Times New Roman"/>
          <w:vertAlign w:val="superscript"/>
          <w:lang w:val="fr-CA"/>
        </w:rPr>
        <w:t>e</w:t>
      </w:r>
      <w:r w:rsidRPr="00CF10F0">
        <w:rPr>
          <w:rFonts w:cs="Times New Roman"/>
          <w:lang w:val="fr-CA"/>
        </w:rPr>
        <w:t> éd. 2015). Les mêmes éléments de preuve ont été présentés pour les trois accusations.</w:t>
      </w:r>
    </w:p>
    <w:p w14:paraId="17DAA7DD" w14:textId="77777777" w:rsidR="00BE287D" w:rsidRPr="00CF10F0" w:rsidRDefault="00BE287D" w:rsidP="00BE287D">
      <w:pPr>
        <w:pStyle w:val="ParaNoNdepar-AltN"/>
        <w:rPr>
          <w:rFonts w:cs="Times New Roman"/>
          <w:lang w:val="fr-CA"/>
        </w:rPr>
      </w:pPr>
      <w:r w:rsidRPr="00CF10F0">
        <w:rPr>
          <w:rFonts w:cs="Times New Roman"/>
          <w:lang w:val="fr-CA"/>
        </w:rPr>
        <w:t>En ce qui concerne l’accusation d’agression sexuelle, la juge du procès a indiqué au jury qu’il pouvait déclarer R.V. coupable s’il était convaincu que la Couronne avait prouvé hors de tout doute raisonnable que R.V. avait intentionnellement utilisé la force contre la plaignante dans des circonstances de nature sexuelle (</w:t>
      </w:r>
      <w:proofErr w:type="spellStart"/>
      <w:proofErr w:type="gramStart"/>
      <w:r w:rsidRPr="00CF10F0">
        <w:rPr>
          <w:rFonts w:cs="Times New Roman"/>
          <w:lang w:val="fr-CA"/>
        </w:rPr>
        <w:t>d.a</w:t>
      </w:r>
      <w:proofErr w:type="spellEnd"/>
      <w:r w:rsidRPr="00CF10F0">
        <w:rPr>
          <w:rFonts w:cs="Times New Roman"/>
          <w:lang w:val="fr-CA"/>
        </w:rPr>
        <w:t>.,</w:t>
      </w:r>
      <w:proofErr w:type="gramEnd"/>
      <w:r w:rsidRPr="00CF10F0">
        <w:rPr>
          <w:rFonts w:cs="Times New Roman"/>
          <w:lang w:val="fr-CA"/>
        </w:rPr>
        <w:t xml:space="preserve"> </w:t>
      </w:r>
      <w:r>
        <w:rPr>
          <w:rFonts w:cs="Times New Roman"/>
          <w:lang w:val="fr-CA"/>
        </w:rPr>
        <w:t>p. </w:t>
      </w:r>
      <w:r w:rsidRPr="00CF10F0">
        <w:rPr>
          <w:rFonts w:cs="Times New Roman"/>
          <w:lang w:val="fr-CA"/>
        </w:rPr>
        <w:t>161). Comme la plaignante était âgée de moins de 16 ans au moment des incidents allégués, le consentement n’était pas en litige.</w:t>
      </w:r>
      <w:r w:rsidRPr="00CF10F0">
        <w:rPr>
          <w:rFonts w:cs="Times New Roman"/>
          <w:szCs w:val="24"/>
          <w:lang w:val="fr-CA"/>
        </w:rPr>
        <w:t xml:space="preserve"> La juge du procès a également précisé au jury qu’il devait déclarer R.V. non coupable d’agression sexuelle, mais coupable de voies de fait, s’il n’était pas convaincu que R.V. avait employé la force dans des circonstances de nature sexuelle (</w:t>
      </w:r>
      <w:r w:rsidRPr="00CF10F0">
        <w:rPr>
          <w:rFonts w:cs="Times New Roman"/>
          <w:i/>
          <w:szCs w:val="24"/>
          <w:lang w:val="fr-CA"/>
        </w:rPr>
        <w:t>ibid.</w:t>
      </w:r>
      <w:r w:rsidRPr="00CF10F0">
        <w:rPr>
          <w:rFonts w:cs="Times New Roman"/>
          <w:szCs w:val="24"/>
          <w:lang w:val="fr-CA"/>
        </w:rPr>
        <w:t xml:space="preserve">). </w:t>
      </w:r>
    </w:p>
    <w:p w14:paraId="3A669843" w14:textId="77777777" w:rsidR="00BE287D" w:rsidRPr="00CF10F0" w:rsidRDefault="00BE287D" w:rsidP="00BE287D">
      <w:pPr>
        <w:pStyle w:val="ParaNoNdepar-AltN"/>
        <w:rPr>
          <w:rFonts w:cs="Times New Roman"/>
          <w:lang w:val="fr-CA"/>
        </w:rPr>
      </w:pPr>
      <w:r w:rsidRPr="00CF10F0">
        <w:rPr>
          <w:rFonts w:cs="Times New Roman"/>
          <w:szCs w:val="24"/>
          <w:lang w:val="fr-CA"/>
        </w:rPr>
        <w:t>En ce qui a trait à l’accusation de contacts sexuels, la juge du procès a indiqué au jury qu’il pouvait déclarer R.V. coupable s’il était convaincu que la plaignante était âgée de moins de 16 ans au moment des faits en cause, que R.V. avait touché la plaignante et qu’il l’avait fait à des fins d’ordre sexuel (</w:t>
      </w:r>
      <w:r>
        <w:rPr>
          <w:rFonts w:cs="Times New Roman"/>
          <w:szCs w:val="24"/>
          <w:lang w:val="fr-CA"/>
        </w:rPr>
        <w:t>p. </w:t>
      </w:r>
      <w:r w:rsidRPr="00CF10F0">
        <w:rPr>
          <w:rFonts w:cs="Times New Roman"/>
          <w:szCs w:val="24"/>
          <w:lang w:val="fr-CA"/>
        </w:rPr>
        <w:t>162</w:t>
      </w:r>
      <w:r>
        <w:rPr>
          <w:rFonts w:cs="Times New Roman"/>
          <w:szCs w:val="24"/>
          <w:lang w:val="fr-CA"/>
        </w:rPr>
        <w:noBreakHyphen/>
      </w:r>
      <w:r w:rsidRPr="00CF10F0">
        <w:rPr>
          <w:rFonts w:cs="Times New Roman"/>
          <w:szCs w:val="24"/>
          <w:lang w:val="fr-CA"/>
        </w:rPr>
        <w:t>163).</w:t>
      </w:r>
      <w:r w:rsidRPr="00CF10F0">
        <w:rPr>
          <w:rFonts w:cs="Times New Roman"/>
          <w:szCs w:val="24"/>
          <w:lang w:val="fr-CA" w:eastAsia="en-CA"/>
        </w:rPr>
        <w:t xml:space="preserve"> </w:t>
      </w:r>
    </w:p>
    <w:p w14:paraId="0CEC070D" w14:textId="77777777" w:rsidR="00BE287D" w:rsidRPr="00CF10F0" w:rsidRDefault="00BE287D" w:rsidP="00BE287D">
      <w:pPr>
        <w:pStyle w:val="ParaNoNdepar-AltN"/>
        <w:rPr>
          <w:rFonts w:cs="Times New Roman"/>
          <w:lang w:val="fr-CA"/>
        </w:rPr>
      </w:pPr>
      <w:r w:rsidRPr="00CF10F0">
        <w:rPr>
          <w:rFonts w:cs="Times New Roman"/>
          <w:lang w:val="fr-CA" w:eastAsia="en-CA"/>
        </w:rPr>
        <w:t>Quant à l’accusation d’incitation à des contacts sexuels, la juge du procès a dit au jury qu’il pouvait déclarer R.V. coupable s’il était convaincu que la plaignante était âgée de moins de 16 ans au moment des faits en cause, que R.V. avait invité la plaignante à le toucher et qu’il l’avait fait à des fins d’ordre sexuel (</w:t>
      </w:r>
      <w:r>
        <w:rPr>
          <w:rFonts w:cs="Times New Roman"/>
          <w:lang w:val="fr-CA" w:eastAsia="en-CA"/>
        </w:rPr>
        <w:t>p. </w:t>
      </w:r>
      <w:r w:rsidRPr="00CF10F0">
        <w:rPr>
          <w:rFonts w:cs="Times New Roman"/>
          <w:lang w:val="fr-CA" w:eastAsia="en-CA"/>
        </w:rPr>
        <w:t>166).</w:t>
      </w:r>
      <w:r w:rsidRPr="00CF10F0">
        <w:rPr>
          <w:rFonts w:cs="Times New Roman"/>
          <w:lang w:val="fr-CA"/>
        </w:rPr>
        <w:t xml:space="preserve"> </w:t>
      </w:r>
    </w:p>
    <w:p w14:paraId="55D746DA" w14:textId="77777777" w:rsidR="00BE287D" w:rsidRPr="00CF10F0" w:rsidRDefault="00BE287D" w:rsidP="00BE287D">
      <w:pPr>
        <w:pStyle w:val="ParaNoNdepar-AltN"/>
        <w:rPr>
          <w:rFonts w:cs="Times New Roman"/>
          <w:lang w:val="fr-CA"/>
        </w:rPr>
      </w:pPr>
      <w:r w:rsidRPr="00CF10F0">
        <w:rPr>
          <w:rFonts w:cs="Times New Roman"/>
          <w:lang w:val="fr-CA"/>
        </w:rPr>
        <w:lastRenderedPageBreak/>
        <w:t>Une copie écrite des directives n’a pas été fournie au jury pour qu’il l’apporte dans la salle des jurés. La juge lui a plutôt remis une feuille de verdict qui contenait une liste des verdicts qu’il pouvait rendre</w:t>
      </w:r>
      <w:r>
        <w:rPr>
          <w:rFonts w:cs="Times New Roman"/>
          <w:lang w:val="fr-CA"/>
        </w:rPr>
        <w:t> :</w:t>
      </w:r>
    </w:p>
    <w:p w14:paraId="3EC5FDD3" w14:textId="77777777" w:rsidR="00BE287D" w:rsidRPr="00CF10F0" w:rsidRDefault="00BE287D" w:rsidP="00BE287D">
      <w:pPr>
        <w:pStyle w:val="Citation-AltC"/>
        <w:ind w:hanging="1166"/>
        <w:rPr>
          <w:lang w:val="fr-CA"/>
        </w:rPr>
      </w:pPr>
      <w:r w:rsidRPr="00CF10F0">
        <w:rPr>
          <w:lang w:val="fr-CA"/>
        </w:rPr>
        <w:tab/>
        <w:t>[</w:t>
      </w:r>
      <w:r w:rsidRPr="00CF10F0">
        <w:rPr>
          <w:smallCaps/>
          <w:lang w:val="fr-CA"/>
        </w:rPr>
        <w:t>traduction</w:t>
      </w:r>
      <w:r w:rsidRPr="00CF10F0">
        <w:rPr>
          <w:lang w:val="fr-CA"/>
        </w:rPr>
        <w:t>]</w:t>
      </w:r>
    </w:p>
    <w:p w14:paraId="4CA75F51" w14:textId="77777777" w:rsidR="00BE287D" w:rsidRPr="00CF10F0" w:rsidRDefault="00BE287D" w:rsidP="00BE287D">
      <w:pPr>
        <w:pStyle w:val="Citation-AltC"/>
        <w:ind w:hanging="1166"/>
        <w:rPr>
          <w:lang w:val="fr-CA"/>
        </w:rPr>
      </w:pPr>
      <w:r w:rsidRPr="00CF10F0">
        <w:rPr>
          <w:lang w:val="fr-CA"/>
        </w:rPr>
        <w:tab/>
        <w:t>Chef d’accusation n</w:t>
      </w:r>
      <w:r w:rsidRPr="00CF10F0">
        <w:rPr>
          <w:vertAlign w:val="superscript"/>
          <w:lang w:val="fr-CA"/>
        </w:rPr>
        <w:t>o</w:t>
      </w:r>
      <w:r w:rsidRPr="00CF10F0">
        <w:rPr>
          <w:lang w:val="fr-CA"/>
        </w:rPr>
        <w:t> 1 — Non coupable d’agression sexuelle; coupable</w:t>
      </w:r>
    </w:p>
    <w:p w14:paraId="4C009432" w14:textId="77777777" w:rsidR="00BE287D" w:rsidRPr="00CF10F0" w:rsidRDefault="00BE287D" w:rsidP="00BE287D">
      <w:pPr>
        <w:pStyle w:val="Citation-AltC"/>
        <w:ind w:hanging="1166"/>
        <w:rPr>
          <w:lang w:val="fr-CA"/>
        </w:rPr>
      </w:pPr>
      <w:r w:rsidRPr="00CF10F0">
        <w:rPr>
          <w:lang w:val="fr-CA"/>
        </w:rPr>
        <w:tab/>
        <w:t>Chef d’accusation n</w:t>
      </w:r>
      <w:r w:rsidRPr="00CF10F0">
        <w:rPr>
          <w:vertAlign w:val="superscript"/>
          <w:lang w:val="fr-CA"/>
        </w:rPr>
        <w:t>o</w:t>
      </w:r>
      <w:r w:rsidRPr="00CF10F0">
        <w:rPr>
          <w:lang w:val="fr-CA"/>
        </w:rPr>
        <w:t xml:space="preserve"> 2 — Non coupable de contacts sexuels; coupable </w:t>
      </w:r>
    </w:p>
    <w:p w14:paraId="4D421FF9" w14:textId="77777777" w:rsidR="00BE287D" w:rsidRPr="00CF10F0" w:rsidRDefault="00BE287D" w:rsidP="00BE287D">
      <w:pPr>
        <w:pStyle w:val="Citation-AltC"/>
        <w:ind w:hanging="1166"/>
        <w:rPr>
          <w:lang w:val="fr-CA"/>
        </w:rPr>
      </w:pPr>
      <w:r w:rsidRPr="00CF10F0">
        <w:rPr>
          <w:lang w:val="fr-CA"/>
        </w:rPr>
        <w:tab/>
        <w:t>Chef d’accusation n</w:t>
      </w:r>
      <w:r w:rsidRPr="00CF10F0">
        <w:rPr>
          <w:vertAlign w:val="superscript"/>
          <w:lang w:val="fr-CA"/>
        </w:rPr>
        <w:t>o</w:t>
      </w:r>
      <w:r w:rsidRPr="00CF10F0">
        <w:rPr>
          <w:lang w:val="fr-CA"/>
        </w:rPr>
        <w:t> 3 — Non coupable d’incitation à des contacts sexuels; coupable [</w:t>
      </w:r>
      <w:r>
        <w:rPr>
          <w:lang w:val="fr-CA"/>
        </w:rPr>
        <w:t>p. </w:t>
      </w:r>
      <w:r w:rsidRPr="00CF10F0">
        <w:rPr>
          <w:lang w:val="fr-CA"/>
        </w:rPr>
        <w:t>174]</w:t>
      </w:r>
    </w:p>
    <w:p w14:paraId="7CD17D2D" w14:textId="77777777" w:rsidR="00BE287D" w:rsidRPr="00CF10F0" w:rsidRDefault="00BE287D" w:rsidP="00BE287D">
      <w:pPr>
        <w:pStyle w:val="ParaNoNdepar-AltN"/>
        <w:rPr>
          <w:rFonts w:cs="Times New Roman"/>
          <w:lang w:val="fr-CA" w:eastAsia="en-CA"/>
        </w:rPr>
      </w:pPr>
      <w:r w:rsidRPr="00CF10F0">
        <w:rPr>
          <w:rFonts w:cs="Times New Roman"/>
          <w:lang w:val="fr-CA"/>
        </w:rPr>
        <w:t xml:space="preserve">La juge du procès a également fourni au jury un arbre décisionnel pour chacun des chefs d’accusation. Selon l’arbre décisionnel relatif à l’accusation d’agression sexuelle, l’accusé pouvait être déclaré </w:t>
      </w:r>
      <w:r w:rsidRPr="00CF10F0">
        <w:rPr>
          <w:rFonts w:cs="Times New Roman"/>
          <w:smallCaps/>
          <w:lang w:val="fr-CA"/>
        </w:rPr>
        <w:t xml:space="preserve">[traduction] </w:t>
      </w:r>
      <w:r w:rsidRPr="00CF10F0">
        <w:rPr>
          <w:rFonts w:cs="Times New Roman"/>
          <w:lang w:val="fr-CA"/>
        </w:rPr>
        <w:t>« non coupable d’agression sexuelle, mais coupable de voies de fait » (</w:t>
      </w:r>
      <w:r>
        <w:rPr>
          <w:rFonts w:cs="Times New Roman"/>
          <w:lang w:val="fr-CA"/>
        </w:rPr>
        <w:t>p. </w:t>
      </w:r>
      <w:r w:rsidRPr="00CF10F0">
        <w:rPr>
          <w:rFonts w:cs="Times New Roman"/>
          <w:lang w:val="fr-CA"/>
        </w:rPr>
        <w:t xml:space="preserve">223). </w:t>
      </w:r>
    </w:p>
    <w:p w14:paraId="0BBC32DE" w14:textId="77777777" w:rsidR="00BE287D" w:rsidRPr="00CF10F0" w:rsidRDefault="00BE287D" w:rsidP="00BE287D">
      <w:pPr>
        <w:pStyle w:val="ParaNoNdepar-AltN"/>
        <w:rPr>
          <w:rFonts w:cs="Times New Roman"/>
          <w:lang w:val="fr-CA"/>
        </w:rPr>
      </w:pPr>
      <w:r w:rsidRPr="00CF10F0">
        <w:rPr>
          <w:rFonts w:cs="Times New Roman"/>
          <w:lang w:val="fr-CA"/>
        </w:rPr>
        <w:t>Après environ une heure de délibérations, le jury a transmis la question suivante à la juge du procès au sujet des verdicts qu’il pouvait rendre à l’égard de l’accusation d’agression sexuelle</w:t>
      </w:r>
      <w:r>
        <w:rPr>
          <w:rFonts w:cs="Times New Roman"/>
          <w:lang w:val="fr-CA"/>
        </w:rPr>
        <w:t> :</w:t>
      </w:r>
      <w:r w:rsidRPr="00CF10F0">
        <w:rPr>
          <w:rFonts w:cs="Times New Roman"/>
          <w:lang w:val="fr-CA"/>
        </w:rPr>
        <w:t xml:space="preserve"> </w:t>
      </w:r>
    </w:p>
    <w:p w14:paraId="4DF82A84" w14:textId="77777777" w:rsidR="00BE287D" w:rsidRPr="00CF10F0" w:rsidRDefault="00BE287D" w:rsidP="00BE287D">
      <w:pPr>
        <w:pStyle w:val="Citation-AltC"/>
        <w:ind w:hanging="1166"/>
        <w:rPr>
          <w:smallCaps/>
          <w:lang w:val="fr-CA"/>
        </w:rPr>
      </w:pPr>
      <w:r w:rsidRPr="00CF10F0">
        <w:rPr>
          <w:smallCaps/>
          <w:lang w:val="fr-CA"/>
        </w:rPr>
        <w:tab/>
        <w:t>[traduction]</w:t>
      </w:r>
    </w:p>
    <w:p w14:paraId="4483E8D0" w14:textId="77777777" w:rsidR="00BE287D" w:rsidRPr="00CF10F0" w:rsidRDefault="00BE287D" w:rsidP="00BE287D">
      <w:pPr>
        <w:pStyle w:val="Citation-AltC"/>
        <w:ind w:hanging="1166"/>
        <w:rPr>
          <w:lang w:val="fr-CA"/>
        </w:rPr>
      </w:pPr>
      <w:r w:rsidRPr="00CF10F0">
        <w:rPr>
          <w:smallCaps/>
          <w:lang w:val="fr-CA"/>
        </w:rPr>
        <w:tab/>
      </w:r>
      <w:r w:rsidRPr="00CF10F0">
        <w:rPr>
          <w:lang w:val="fr-CA"/>
        </w:rPr>
        <w:t>Lorsqu’on compare l’arbre décisionnel et la feuille de verdict, cette dernière ne comprend que deux verdicts possibles concernant le premier chef d’accusation, alors que l’arbre décisionnel en prévoit trois. Le premier est</w:t>
      </w:r>
      <w:r>
        <w:rPr>
          <w:lang w:val="fr-CA"/>
        </w:rPr>
        <w:t> :</w:t>
      </w:r>
      <w:r w:rsidRPr="00CF10F0">
        <w:rPr>
          <w:lang w:val="fr-CA"/>
        </w:rPr>
        <w:t xml:space="preserve"> coupable d’agression sexuelle. Le deuxième est</w:t>
      </w:r>
      <w:r>
        <w:rPr>
          <w:lang w:val="fr-CA"/>
        </w:rPr>
        <w:t> :</w:t>
      </w:r>
      <w:r w:rsidRPr="00CF10F0">
        <w:rPr>
          <w:lang w:val="fr-CA"/>
        </w:rPr>
        <w:t xml:space="preserve"> non coupable d’agression sexuelle, mais coupable de voies de fait. Le troisième est</w:t>
      </w:r>
      <w:r>
        <w:rPr>
          <w:lang w:val="fr-CA"/>
        </w:rPr>
        <w:t> :</w:t>
      </w:r>
      <w:r w:rsidRPr="00CF10F0">
        <w:rPr>
          <w:lang w:val="fr-CA"/>
        </w:rPr>
        <w:t xml:space="preserve"> non coupable. Que doit</w:t>
      </w:r>
      <w:r>
        <w:rPr>
          <w:lang w:val="fr-CA"/>
        </w:rPr>
        <w:noBreakHyphen/>
      </w:r>
      <w:r w:rsidRPr="00CF10F0">
        <w:rPr>
          <w:lang w:val="fr-CA"/>
        </w:rPr>
        <w:t>on faire? Le juré numéro 5. [</w:t>
      </w:r>
      <w:r>
        <w:rPr>
          <w:lang w:val="fr-CA"/>
        </w:rPr>
        <w:t>p. </w:t>
      </w:r>
      <w:r w:rsidRPr="00CF10F0">
        <w:rPr>
          <w:lang w:val="fr-CA"/>
        </w:rPr>
        <w:t>184]</w:t>
      </w:r>
    </w:p>
    <w:p w14:paraId="13874BC2" w14:textId="77777777" w:rsidR="00BE287D" w:rsidRPr="00CF10F0" w:rsidRDefault="00BE287D" w:rsidP="00BE287D">
      <w:pPr>
        <w:pStyle w:val="ParaNoNdepar-AltN"/>
        <w:rPr>
          <w:rFonts w:cs="Times New Roman"/>
          <w:szCs w:val="24"/>
          <w:lang w:val="fr-CA" w:eastAsia="en-CA"/>
        </w:rPr>
      </w:pPr>
      <w:r w:rsidRPr="00CF10F0">
        <w:rPr>
          <w:rFonts w:cs="Times New Roman"/>
          <w:szCs w:val="24"/>
          <w:lang w:val="fr-CA" w:eastAsia="en-CA"/>
        </w:rPr>
        <w:lastRenderedPageBreak/>
        <w:t>Afin de corriger la divergence entre la feuille de verdict et l’arbre décisionnel concernant l’accusation d’agression sexuelle, la juge du procès a fourni au jury une nouvelle feuille de verdict contenant la modification suivante</w:t>
      </w:r>
      <w:r>
        <w:rPr>
          <w:rFonts w:cs="Times New Roman"/>
          <w:szCs w:val="24"/>
          <w:lang w:val="fr-CA" w:eastAsia="en-CA"/>
        </w:rPr>
        <w:t> :</w:t>
      </w:r>
      <w:r w:rsidRPr="00CF10F0">
        <w:rPr>
          <w:rFonts w:cs="Times New Roman"/>
          <w:szCs w:val="24"/>
          <w:lang w:val="fr-CA" w:eastAsia="en-CA"/>
        </w:rPr>
        <w:t xml:space="preserve"> </w:t>
      </w:r>
    </w:p>
    <w:p w14:paraId="4871FCEF" w14:textId="77777777" w:rsidR="00BE287D" w:rsidRPr="00CF10F0" w:rsidRDefault="00BE287D" w:rsidP="00BE287D">
      <w:pPr>
        <w:pStyle w:val="Citation-AltC"/>
        <w:ind w:hanging="1166"/>
        <w:rPr>
          <w:smallCaps/>
          <w:lang w:val="fr-CA"/>
        </w:rPr>
      </w:pPr>
      <w:r w:rsidRPr="00CF10F0">
        <w:rPr>
          <w:smallCaps/>
          <w:lang w:val="fr-CA"/>
        </w:rPr>
        <w:tab/>
        <w:t>[traduction]</w:t>
      </w:r>
    </w:p>
    <w:p w14:paraId="58014426" w14:textId="77777777" w:rsidR="00BE287D" w:rsidRPr="00CF10F0" w:rsidRDefault="00BE287D" w:rsidP="00BE287D">
      <w:pPr>
        <w:pStyle w:val="Citation-AltC"/>
        <w:ind w:hanging="1166"/>
        <w:rPr>
          <w:lang w:val="fr-CA"/>
        </w:rPr>
      </w:pPr>
      <w:r w:rsidRPr="00CF10F0">
        <w:rPr>
          <w:lang w:val="fr-CA"/>
        </w:rPr>
        <w:tab/>
        <w:t>Chef d’accusation n</w:t>
      </w:r>
      <w:r w:rsidRPr="00CF10F0">
        <w:rPr>
          <w:vertAlign w:val="superscript"/>
          <w:lang w:val="fr-CA"/>
        </w:rPr>
        <w:t>o</w:t>
      </w:r>
      <w:r w:rsidRPr="00CF10F0">
        <w:rPr>
          <w:lang w:val="fr-CA"/>
        </w:rPr>
        <w:t> 1 </w:t>
      </w:r>
    </w:p>
    <w:p w14:paraId="43A05227" w14:textId="77777777" w:rsidR="00BE287D" w:rsidRPr="00CF10F0" w:rsidRDefault="00BE287D" w:rsidP="00BE287D">
      <w:pPr>
        <w:pStyle w:val="Citation-AltC"/>
        <w:ind w:hanging="1166"/>
        <w:rPr>
          <w:lang w:val="fr-CA"/>
        </w:rPr>
      </w:pPr>
      <w:r w:rsidRPr="00CF10F0">
        <w:rPr>
          <w:lang w:val="fr-CA"/>
        </w:rPr>
        <w:tab/>
      </w:r>
      <w:r w:rsidRPr="00CF10F0">
        <w:rPr>
          <w:lang w:val="fr-CA"/>
        </w:rPr>
        <w:tab/>
        <w:t>Non coupable d’agression sexuelle</w:t>
      </w:r>
    </w:p>
    <w:p w14:paraId="787C6EAB" w14:textId="77777777" w:rsidR="00BE287D" w:rsidRPr="00CF10F0" w:rsidRDefault="00BE287D" w:rsidP="00BE287D">
      <w:pPr>
        <w:pStyle w:val="Citation-AltC"/>
        <w:ind w:left="1440" w:hanging="1166"/>
        <w:rPr>
          <w:lang w:val="fr-CA"/>
        </w:rPr>
      </w:pPr>
      <w:r w:rsidRPr="00CF10F0">
        <w:rPr>
          <w:lang w:val="fr-CA"/>
        </w:rPr>
        <w:tab/>
      </w:r>
      <w:r w:rsidRPr="00CF10F0">
        <w:rPr>
          <w:u w:val="single"/>
          <w:lang w:val="fr-CA"/>
        </w:rPr>
        <w:t>Non coupable d’agression sexuelle, mais coupable de voies de fait</w:t>
      </w:r>
      <w:r w:rsidRPr="00CF10F0">
        <w:rPr>
          <w:lang w:val="fr-CA"/>
        </w:rPr>
        <w:t xml:space="preserve"> Coupable d’agression sexuelle [Je souligne; </w:t>
      </w:r>
      <w:r>
        <w:rPr>
          <w:lang w:val="fr-CA"/>
        </w:rPr>
        <w:t>p. </w:t>
      </w:r>
      <w:r w:rsidRPr="00CF10F0">
        <w:rPr>
          <w:lang w:val="fr-CA"/>
        </w:rPr>
        <w:t>236.]</w:t>
      </w:r>
    </w:p>
    <w:p w14:paraId="58AE816B" w14:textId="77777777" w:rsidR="00BE287D" w:rsidRPr="00CF10F0" w:rsidRDefault="00BE287D" w:rsidP="00BE287D">
      <w:pPr>
        <w:pStyle w:val="ParaNoNdepar-AltN"/>
        <w:rPr>
          <w:rFonts w:cs="Times New Roman"/>
          <w:lang w:val="fr-CA" w:eastAsia="en-CA"/>
        </w:rPr>
      </w:pPr>
      <w:r w:rsidRPr="00CF10F0">
        <w:rPr>
          <w:rFonts w:cs="Times New Roman"/>
          <w:lang w:val="fr-CA" w:eastAsia="en-CA"/>
        </w:rPr>
        <w:t>Le jury a rendu des verdicts de culpabilité relativement aux accusations de contacts sexuels et d’incitation à des contacts sexuels, et de non</w:t>
      </w:r>
      <w:r>
        <w:rPr>
          <w:rFonts w:cs="Times New Roman"/>
          <w:lang w:val="fr-CA" w:eastAsia="en-CA"/>
        </w:rPr>
        <w:noBreakHyphen/>
      </w:r>
      <w:r w:rsidRPr="00CF10F0">
        <w:rPr>
          <w:rFonts w:cs="Times New Roman"/>
          <w:lang w:val="fr-CA" w:eastAsia="en-CA"/>
        </w:rPr>
        <w:t xml:space="preserve">culpabilité relativement à l’accusation d’agression sexuelle. </w:t>
      </w:r>
    </w:p>
    <w:p w14:paraId="39A7C3E8" w14:textId="77777777" w:rsidR="00BE287D" w:rsidRPr="00CF10F0" w:rsidRDefault="00BE287D" w:rsidP="00BE287D">
      <w:pPr>
        <w:pStyle w:val="Title2LevelTitre2Niveau"/>
        <w:rPr>
          <w:rFonts w:cs="Times New Roman"/>
          <w:szCs w:val="24"/>
          <w:lang w:val="fr-CA"/>
        </w:rPr>
      </w:pPr>
      <w:r w:rsidRPr="00CF10F0">
        <w:rPr>
          <w:rFonts w:cs="Times New Roman"/>
          <w:lang w:val="fr-CA"/>
        </w:rPr>
        <w:t xml:space="preserve">Cour d’appel de l’Ontario </w:t>
      </w:r>
      <w:r w:rsidRPr="00CF10F0">
        <w:rPr>
          <w:rFonts w:cs="Times New Roman"/>
          <w:szCs w:val="24"/>
          <w:lang w:val="fr-CA"/>
        </w:rPr>
        <w:t>(2019 ONCA 664, 147 O.R. (3d) 657)</w:t>
      </w:r>
      <w:r w:rsidRPr="00CF10F0">
        <w:rPr>
          <w:rFonts w:cs="Times New Roman"/>
          <w:lang w:val="fr-CA"/>
        </w:rPr>
        <w:t xml:space="preserve"> (le juge en chef </w:t>
      </w:r>
      <w:proofErr w:type="spellStart"/>
      <w:r w:rsidRPr="00CF10F0">
        <w:rPr>
          <w:rFonts w:cs="Times New Roman"/>
          <w:szCs w:val="24"/>
          <w:lang w:val="fr-CA"/>
        </w:rPr>
        <w:t>Strathy</w:t>
      </w:r>
      <w:proofErr w:type="spellEnd"/>
      <w:r w:rsidRPr="00CF10F0">
        <w:rPr>
          <w:rFonts w:cs="Times New Roman"/>
          <w:szCs w:val="24"/>
          <w:lang w:val="fr-CA"/>
        </w:rPr>
        <w:t xml:space="preserve"> et les juges Rouleau, </w:t>
      </w:r>
      <w:proofErr w:type="spellStart"/>
      <w:r w:rsidRPr="00CF10F0">
        <w:rPr>
          <w:rFonts w:cs="Times New Roman"/>
          <w:szCs w:val="24"/>
          <w:lang w:val="fr-CA"/>
        </w:rPr>
        <w:t>Pardu</w:t>
      </w:r>
      <w:proofErr w:type="spellEnd"/>
      <w:r w:rsidRPr="00CF10F0">
        <w:rPr>
          <w:rFonts w:cs="Times New Roman"/>
          <w:szCs w:val="24"/>
          <w:lang w:val="fr-CA"/>
        </w:rPr>
        <w:t xml:space="preserve">, Miller et Trotter) </w:t>
      </w:r>
    </w:p>
    <w:p w14:paraId="7413738B" w14:textId="77777777" w:rsidR="00BE287D" w:rsidRPr="00CF10F0" w:rsidRDefault="00BE287D" w:rsidP="00BE287D">
      <w:pPr>
        <w:pStyle w:val="ParaNoNdepar-AltN"/>
        <w:rPr>
          <w:rFonts w:cs="Times New Roman"/>
          <w:lang w:val="fr-CA"/>
        </w:rPr>
      </w:pPr>
      <w:r w:rsidRPr="00CF10F0">
        <w:rPr>
          <w:rFonts w:cs="Times New Roman"/>
          <w:lang w:val="fr-CA"/>
        </w:rPr>
        <w:t>La Cour d’appel a convenu à l’unanimité que les déclarations de culpabilité de R.V. étaient incompatibles avec l’acquittement et ne pouvaient pas être maintenues. La cour était toutefois divisée en ce qui concerne la décision à rendre sur l’appel incident de la Couronne et la réparation à accorder par suite de l’appel interjeté par R.V. contre ses déclarations de culpabilité.</w:t>
      </w:r>
    </w:p>
    <w:p w14:paraId="29449AA7" w14:textId="77777777" w:rsidR="00BE287D" w:rsidRPr="00CF10F0" w:rsidRDefault="00BE287D" w:rsidP="00BE287D">
      <w:pPr>
        <w:pStyle w:val="ParaNoNdepar-AltN"/>
        <w:rPr>
          <w:rFonts w:cs="Times New Roman"/>
          <w:lang w:val="fr-CA"/>
        </w:rPr>
      </w:pPr>
      <w:r w:rsidRPr="00CF10F0">
        <w:rPr>
          <w:rFonts w:cs="Times New Roman"/>
          <w:lang w:val="fr-CA"/>
        </w:rPr>
        <w:t xml:space="preserve">Après avoir examiné à fond la jurisprudence sur les verdicts incompatibles, les juges majoritaires (le juge en chef </w:t>
      </w:r>
      <w:proofErr w:type="spellStart"/>
      <w:r w:rsidRPr="00CF10F0">
        <w:rPr>
          <w:rFonts w:cs="Times New Roman"/>
          <w:lang w:val="fr-CA"/>
        </w:rPr>
        <w:t>Strathy</w:t>
      </w:r>
      <w:proofErr w:type="spellEnd"/>
      <w:r w:rsidRPr="00CF10F0">
        <w:rPr>
          <w:rFonts w:cs="Times New Roman"/>
          <w:lang w:val="fr-CA"/>
        </w:rPr>
        <w:t xml:space="preserve"> et les juges </w:t>
      </w:r>
      <w:proofErr w:type="spellStart"/>
      <w:r w:rsidRPr="00CF10F0">
        <w:rPr>
          <w:rFonts w:cs="Times New Roman"/>
          <w:lang w:val="fr-CA"/>
        </w:rPr>
        <w:t>Pardu</w:t>
      </w:r>
      <w:proofErr w:type="spellEnd"/>
      <w:r w:rsidRPr="00CF10F0">
        <w:rPr>
          <w:rFonts w:cs="Times New Roman"/>
          <w:lang w:val="fr-CA"/>
        </w:rPr>
        <w:t xml:space="preserve"> et Trotter) ont statué que, si R.V. a été déclaré coupable de contacts sexuels et d’incitation à des contacts </w:t>
      </w:r>
      <w:r w:rsidRPr="00CF10F0">
        <w:rPr>
          <w:rFonts w:cs="Times New Roman"/>
          <w:lang w:val="fr-CA"/>
        </w:rPr>
        <w:lastRenderedPageBreak/>
        <w:t>sexuels, il était nécessairement coupable d’agression sexuelle</w:t>
      </w:r>
      <w:r>
        <w:rPr>
          <w:rFonts w:cs="Times New Roman"/>
          <w:lang w:val="fr-CA"/>
        </w:rPr>
        <w:t> :</w:t>
      </w:r>
      <w:r w:rsidRPr="00CF10F0">
        <w:rPr>
          <w:rFonts w:cs="Times New Roman"/>
          <w:lang w:val="fr-CA"/>
        </w:rPr>
        <w:t xml:space="preserve"> le contact nécessaire pour le déclarer coupable relativement à ces deux accusations répond à la définition juridique de la force requise pour conclure qu’il y a eu agression sexuelle. Ayant cerné cette incohérence, les juges majoritaires ont affirmé que les questions suivantes restaient à trancher</w:t>
      </w:r>
      <w:r>
        <w:rPr>
          <w:rFonts w:cs="Times New Roman"/>
          <w:lang w:val="fr-CA"/>
        </w:rPr>
        <w:t> :</w:t>
      </w:r>
      <w:r w:rsidRPr="00CF10F0">
        <w:rPr>
          <w:rFonts w:cs="Times New Roman"/>
          <w:lang w:val="fr-CA"/>
        </w:rPr>
        <w:t xml:space="preserve"> (1) la directive prétendument confuse sur l’accusation d’agression sexuelle peut</w:t>
      </w:r>
      <w:r>
        <w:rPr>
          <w:rFonts w:cs="Times New Roman"/>
          <w:lang w:val="fr-CA"/>
        </w:rPr>
        <w:noBreakHyphen/>
      </w:r>
      <w:r w:rsidRPr="00CF10F0">
        <w:rPr>
          <w:rFonts w:cs="Times New Roman"/>
          <w:lang w:val="fr-CA"/>
        </w:rPr>
        <w:t>elle expliquer l’incompatibilité des verdicts? (2) l’appel incident de la Couronne peut</w:t>
      </w:r>
      <w:r>
        <w:rPr>
          <w:rFonts w:cs="Times New Roman"/>
          <w:lang w:val="fr-CA"/>
        </w:rPr>
        <w:noBreakHyphen/>
      </w:r>
      <w:r w:rsidRPr="00CF10F0">
        <w:rPr>
          <w:rFonts w:cs="Times New Roman"/>
          <w:lang w:val="fr-CA"/>
        </w:rPr>
        <w:t>il remédier à l’incompatibilité des verdicts? et, dans la négative, (3) la tenue d’un nouveau procès peut</w:t>
      </w:r>
      <w:r>
        <w:rPr>
          <w:rFonts w:cs="Times New Roman"/>
          <w:lang w:val="fr-CA"/>
        </w:rPr>
        <w:noBreakHyphen/>
      </w:r>
      <w:r w:rsidRPr="00CF10F0">
        <w:rPr>
          <w:rFonts w:cs="Times New Roman"/>
          <w:lang w:val="fr-CA"/>
        </w:rPr>
        <w:t xml:space="preserve">elle être ordonnée compte tenu de l’acquittement? </w:t>
      </w:r>
    </w:p>
    <w:p w14:paraId="47EDB596" w14:textId="77777777" w:rsidR="00BE287D" w:rsidRPr="00CF10F0" w:rsidRDefault="00BE287D" w:rsidP="00BE287D">
      <w:pPr>
        <w:pStyle w:val="ParaNoNdepar-AltN"/>
        <w:rPr>
          <w:rFonts w:cs="Times New Roman"/>
          <w:lang w:val="fr-CA"/>
        </w:rPr>
      </w:pPr>
      <w:r w:rsidRPr="00CF10F0">
        <w:rPr>
          <w:rFonts w:cs="Times New Roman"/>
          <w:lang w:val="fr-CA"/>
        </w:rPr>
        <w:t>En ce qui concerne la première question, les juges majoritaires ont statué que la directive prétendument confuse sur l’accusation d’agression sexuelle ne permettait pas de concilier les verdicts, car la cause de l’incompatibilité des verdicts relevait de la pure conjecture. En fait, la préoccupation relative à des conjectures inappropriées a amené les juges majoritaires à conclure qu’en droit, des directives portant à confusion, même celles qui constituent une erreur de droit, ne permettent jamais de concilier des verdicts incompatibles.</w:t>
      </w:r>
    </w:p>
    <w:p w14:paraId="055C08D2" w14:textId="77777777" w:rsidR="00BE287D" w:rsidRPr="00CF10F0" w:rsidRDefault="00BE287D" w:rsidP="00BE287D">
      <w:pPr>
        <w:pStyle w:val="ParaNoNdepar-AltN"/>
        <w:rPr>
          <w:rFonts w:cs="Times New Roman"/>
          <w:lang w:val="fr-CA"/>
        </w:rPr>
      </w:pPr>
      <w:r w:rsidRPr="00CF10F0">
        <w:rPr>
          <w:rFonts w:cs="Times New Roman"/>
          <w:lang w:val="fr-CA"/>
        </w:rPr>
        <w:t>Pour ce qui est de la deuxième question, les juges majoritaires ont conclu que l’appel incident de la Couronne ne pouvait pas être accueilli parce que la juge du procès a donné des directives correctes sur le plan juridique. La juge a expressément dit au jury à deux reprises que tout contact physique, même fait avec douceur, pouvait correspondre à la</w:t>
      </w:r>
      <w:r w:rsidRPr="00CF10F0">
        <w:rPr>
          <w:rFonts w:cs="Times New Roman"/>
          <w:smallCaps/>
          <w:lang w:val="fr-CA"/>
        </w:rPr>
        <w:t xml:space="preserve"> </w:t>
      </w:r>
      <w:r w:rsidRPr="00CF10F0">
        <w:rPr>
          <w:rFonts w:cs="Times New Roman"/>
          <w:lang w:val="fr-CA"/>
        </w:rPr>
        <w:t xml:space="preserve">« force » nécessaire pour établir l’agression sexuelle. Elle a également établi un lien entre la « force » et le « toucher » à plusieurs endroits dans ses </w:t>
      </w:r>
      <w:r w:rsidRPr="00CF10F0">
        <w:rPr>
          <w:rFonts w:cs="Times New Roman"/>
          <w:lang w:val="fr-CA"/>
        </w:rPr>
        <w:lastRenderedPageBreak/>
        <w:t xml:space="preserve">directives. La Couronne n’ayant pas pu démontrer l’existence d’une erreur de droit, les juges majoritaires ont conclu que l’acquittement devait être maintenu. </w:t>
      </w:r>
    </w:p>
    <w:p w14:paraId="36CB2526" w14:textId="77777777" w:rsidR="00BE287D" w:rsidRPr="00CF10F0" w:rsidRDefault="00BE287D" w:rsidP="00BE287D">
      <w:pPr>
        <w:pStyle w:val="ParaNoNdepar-AltN"/>
        <w:rPr>
          <w:rFonts w:cs="Times New Roman"/>
          <w:lang w:val="fr-CA"/>
        </w:rPr>
      </w:pPr>
      <w:r w:rsidRPr="00CF10F0">
        <w:rPr>
          <w:rFonts w:cs="Times New Roman"/>
          <w:lang w:val="fr-CA"/>
        </w:rPr>
        <w:t xml:space="preserve">Ayant statué que l’acquittement devait être maintenu, les juges majoritaires ont déclaré que le fait d’ordonner la tenue d’un nouveau procès à l’égard des déclarations de culpabilité aurait pour effet d’inviter le jury à rendre des verdicts incompatibles avec l’acquittement et que la </w:t>
      </w:r>
      <w:proofErr w:type="spellStart"/>
      <w:r w:rsidRPr="00CF10F0">
        <w:rPr>
          <w:rFonts w:cs="Times New Roman"/>
          <w:lang w:val="fr-CA"/>
        </w:rPr>
        <w:t>préclusion</w:t>
      </w:r>
      <w:proofErr w:type="spellEnd"/>
      <w:r w:rsidRPr="00CF10F0">
        <w:rPr>
          <w:rFonts w:cs="Times New Roman"/>
          <w:lang w:val="fr-CA"/>
        </w:rPr>
        <w:t xml:space="preserve"> découlant d’une question déjà tranchée pourrait alors être invoquée. Par conséquent, les juges majoritaires ont annulé les déclarations de culpabilité et substitué des verdicts d’acquittement à l’égard des accusations de contacts sexuels et d’incitation à des contacts sexuels. </w:t>
      </w:r>
    </w:p>
    <w:p w14:paraId="2A5CF9DF" w14:textId="77777777" w:rsidR="00BE287D" w:rsidRPr="00CF10F0" w:rsidRDefault="00BE287D" w:rsidP="00BE287D">
      <w:pPr>
        <w:pStyle w:val="ParaNoNdepar-AltN"/>
        <w:rPr>
          <w:rFonts w:cs="Times New Roman"/>
          <w:lang w:val="fr-CA"/>
        </w:rPr>
      </w:pPr>
      <w:r w:rsidRPr="00CF10F0">
        <w:rPr>
          <w:rFonts w:cs="Times New Roman"/>
          <w:lang w:val="fr-CA"/>
        </w:rPr>
        <w:t>Dissidents, les juges minoritaires (les juges Rouleau et Miller) auraient eux aussi accueilli l’appel de R.V. en ce qui a trait à l’allégation d’incompatibilité des verdicts, mais ils auraient également accueilli l’appel incident de la Couronne au motif que les directives données au jury étaient erronées en droit. Plus précisément, compte tenu du contexte global, il était raisonnable de conclure que le jury n’avait pas compris qu’un simple contact constituait la force nécessaire pour établir l’infraction d’agression sexuelle. Étant donné la structure de l’exposé au jury, où chaque chef d’accusation était expliqué de façon séparée, il fallait dire au jury en quoi les trois infractions étaient liées l’une à l’autre. En ne faisant pas cette précision, la juge du procès a commis une erreur de droit qui a amené le jury à acquitter R.V. de l’accusation d’agression sexuelle.</w:t>
      </w:r>
    </w:p>
    <w:p w14:paraId="4BEABC66" w14:textId="77777777" w:rsidR="00BE287D" w:rsidRPr="00CF10F0" w:rsidRDefault="00BE287D" w:rsidP="00BE287D">
      <w:pPr>
        <w:pStyle w:val="ParaNoNdepar-AltN"/>
        <w:rPr>
          <w:rFonts w:cs="Times New Roman"/>
          <w:lang w:val="fr-CA"/>
        </w:rPr>
      </w:pPr>
      <w:r w:rsidRPr="00CF10F0">
        <w:rPr>
          <w:rFonts w:cs="Times New Roman"/>
          <w:lang w:val="fr-CA"/>
        </w:rPr>
        <w:t xml:space="preserve">Quant à la réparation à accorder, les juges minoritaires ont souligné que, dans les cas où une déclaration de culpabilité et un acquittement sont portés en appel, </w:t>
      </w:r>
      <w:r w:rsidRPr="00CF10F0">
        <w:rPr>
          <w:rFonts w:cs="Times New Roman"/>
          <w:lang w:val="fr-CA"/>
        </w:rPr>
        <w:lastRenderedPageBreak/>
        <w:t xml:space="preserve">et où une erreur de droit dans les directives données au jury explique l’incompatibilité des verdicts, il convient d’ordonner la tenue d’un nouveau procès à l’égard de toutes les accusations. </w:t>
      </w:r>
    </w:p>
    <w:p w14:paraId="074A6D79" w14:textId="77777777" w:rsidR="00BE287D" w:rsidRPr="00CF10F0" w:rsidRDefault="00BE287D" w:rsidP="00BE287D">
      <w:pPr>
        <w:pStyle w:val="Title1LevelTitre1Niveau-AltL"/>
        <w:ind w:left="578" w:hanging="578"/>
        <w:rPr>
          <w:rFonts w:cs="Times New Roman"/>
          <w:lang w:val="fr-CA"/>
        </w:rPr>
      </w:pPr>
      <w:r w:rsidRPr="00CF10F0">
        <w:rPr>
          <w:rFonts w:cs="Times New Roman"/>
          <w:lang w:val="fr-CA"/>
        </w:rPr>
        <w:t xml:space="preserve">Questions en litige </w:t>
      </w:r>
    </w:p>
    <w:p w14:paraId="4D567B52" w14:textId="77777777" w:rsidR="00BE287D" w:rsidRPr="00CF10F0" w:rsidRDefault="00BE287D" w:rsidP="00BE287D">
      <w:pPr>
        <w:pStyle w:val="ParaNoNdepar-AltN"/>
        <w:rPr>
          <w:rFonts w:cs="Times New Roman"/>
          <w:lang w:val="fr-CA"/>
        </w:rPr>
      </w:pPr>
      <w:r w:rsidRPr="00CF10F0">
        <w:rPr>
          <w:rFonts w:cs="Times New Roman"/>
          <w:lang w:val="fr-CA"/>
        </w:rPr>
        <w:t>Je reformulerais comme suit les principales questions en litige dans le présent pourvoi</w:t>
      </w:r>
      <w:r>
        <w:rPr>
          <w:rFonts w:cs="Times New Roman"/>
          <w:lang w:val="fr-CA"/>
        </w:rPr>
        <w:t> :</w:t>
      </w:r>
      <w:r w:rsidRPr="00CF10F0">
        <w:rPr>
          <w:rFonts w:cs="Times New Roman"/>
          <w:lang w:val="fr-CA"/>
        </w:rPr>
        <w:t xml:space="preserve"> </w:t>
      </w:r>
    </w:p>
    <w:p w14:paraId="09C5D3C1" w14:textId="77777777" w:rsidR="00BE287D" w:rsidRPr="00CF10F0" w:rsidRDefault="00BE287D" w:rsidP="00A40984">
      <w:pPr>
        <w:pStyle w:val="Citation-AltC"/>
        <w:numPr>
          <w:ilvl w:val="0"/>
          <w:numId w:val="17"/>
        </w:numPr>
        <w:spacing w:after="480" w:line="480" w:lineRule="auto"/>
        <w:ind w:left="709" w:hanging="567"/>
        <w:contextualSpacing w:val="0"/>
        <w:rPr>
          <w:lang w:val="fr-CA"/>
        </w:rPr>
      </w:pPr>
      <w:r w:rsidRPr="00CF10F0">
        <w:rPr>
          <w:lang w:val="fr-CA"/>
        </w:rPr>
        <w:t>Une erreur de droit dans les directives données au jury permet</w:t>
      </w:r>
      <w:r>
        <w:rPr>
          <w:lang w:val="fr-CA"/>
        </w:rPr>
        <w:noBreakHyphen/>
      </w:r>
      <w:r w:rsidRPr="00CF10F0">
        <w:rPr>
          <w:lang w:val="fr-CA"/>
        </w:rPr>
        <w:t>elle de concilier des verdicts apparemment incompatibles?</w:t>
      </w:r>
    </w:p>
    <w:p w14:paraId="05595A39" w14:textId="77777777" w:rsidR="00BE287D" w:rsidRPr="00CF10F0" w:rsidRDefault="00BE287D" w:rsidP="00A40984">
      <w:pPr>
        <w:pStyle w:val="Citation-AltC"/>
        <w:numPr>
          <w:ilvl w:val="0"/>
          <w:numId w:val="17"/>
        </w:numPr>
        <w:spacing w:after="480" w:line="480" w:lineRule="auto"/>
        <w:ind w:left="709" w:hanging="567"/>
        <w:contextualSpacing w:val="0"/>
        <w:rPr>
          <w:lang w:val="fr-CA"/>
        </w:rPr>
      </w:pPr>
      <w:r w:rsidRPr="00CF10F0">
        <w:rPr>
          <w:lang w:val="fr-CA"/>
        </w:rPr>
        <w:t xml:space="preserve">Quelle est la décision à rendre dans un appel sur des verdicts incompatibles lorsque les directives données au jury comportent une erreur de droit? </w:t>
      </w:r>
    </w:p>
    <w:p w14:paraId="4FE6FEA5" w14:textId="77777777" w:rsidR="00BE287D" w:rsidRPr="00CF10F0" w:rsidRDefault="00BE287D" w:rsidP="00A40984">
      <w:pPr>
        <w:pStyle w:val="Citation-AltC"/>
        <w:numPr>
          <w:ilvl w:val="0"/>
          <w:numId w:val="17"/>
        </w:numPr>
        <w:spacing w:after="480" w:line="480" w:lineRule="auto"/>
        <w:ind w:left="709" w:hanging="567"/>
        <w:contextualSpacing w:val="0"/>
        <w:rPr>
          <w:lang w:val="fr-CA"/>
        </w:rPr>
      </w:pPr>
      <w:r w:rsidRPr="00CF10F0">
        <w:rPr>
          <w:lang w:val="fr-CA"/>
        </w:rPr>
        <w:t>Les verdicts rendus par le jury dans le cas de R.V. étaient</w:t>
      </w:r>
      <w:r>
        <w:rPr>
          <w:lang w:val="fr-CA"/>
        </w:rPr>
        <w:noBreakHyphen/>
      </w:r>
      <w:r w:rsidRPr="00CF10F0">
        <w:rPr>
          <w:lang w:val="fr-CA"/>
        </w:rPr>
        <w:t>ils incompatibles?</w:t>
      </w:r>
    </w:p>
    <w:p w14:paraId="6BC3D3C9" w14:textId="77777777" w:rsidR="00BE287D" w:rsidRPr="00CF10F0" w:rsidRDefault="00BE287D" w:rsidP="00BE287D">
      <w:pPr>
        <w:pStyle w:val="Title1LevelTitre1Niveau-AltL"/>
        <w:ind w:left="578" w:hanging="578"/>
        <w:rPr>
          <w:rFonts w:cs="Times New Roman"/>
          <w:lang w:val="fr-CA"/>
        </w:rPr>
      </w:pPr>
      <w:r w:rsidRPr="00CF10F0">
        <w:rPr>
          <w:rFonts w:cs="Times New Roman"/>
          <w:lang w:val="fr-CA"/>
        </w:rPr>
        <w:t xml:space="preserve">Analyse </w:t>
      </w:r>
    </w:p>
    <w:p w14:paraId="52A0A9AC" w14:textId="77777777" w:rsidR="00BE287D" w:rsidRPr="00CF10F0" w:rsidRDefault="00BE287D" w:rsidP="00BE287D">
      <w:pPr>
        <w:pStyle w:val="Title2LevelTitre2Niveau"/>
        <w:rPr>
          <w:rFonts w:cs="Times New Roman"/>
          <w:lang w:val="fr-CA"/>
        </w:rPr>
      </w:pPr>
      <w:r w:rsidRPr="00CF10F0">
        <w:rPr>
          <w:rFonts w:cs="Times New Roman"/>
          <w:lang w:val="fr-CA"/>
        </w:rPr>
        <w:t>Verdicts incompatibles</w:t>
      </w:r>
    </w:p>
    <w:p w14:paraId="789A1BCC" w14:textId="77777777" w:rsidR="00BE287D" w:rsidRPr="00CF10F0" w:rsidRDefault="00BE287D" w:rsidP="00BE287D">
      <w:pPr>
        <w:pStyle w:val="ParaNoNdepar-AltN"/>
        <w:rPr>
          <w:rFonts w:cs="Times New Roman"/>
          <w:lang w:val="fr-CA"/>
        </w:rPr>
      </w:pPr>
      <w:r w:rsidRPr="00CF10F0">
        <w:rPr>
          <w:rFonts w:cs="Times New Roman"/>
          <w:lang w:val="fr-CA"/>
        </w:rPr>
        <w:t xml:space="preserve">Le </w:t>
      </w:r>
      <w:r w:rsidRPr="00CF10F0">
        <w:rPr>
          <w:rFonts w:cs="Times New Roman"/>
          <w:i/>
          <w:lang w:val="fr-CA"/>
        </w:rPr>
        <w:t xml:space="preserve">Code criminel </w:t>
      </w:r>
      <w:r w:rsidRPr="00CF10F0">
        <w:rPr>
          <w:rFonts w:cs="Times New Roman"/>
          <w:lang w:val="fr-CA"/>
        </w:rPr>
        <w:t xml:space="preserve">n’indique pas expressément que des verdicts incompatibles constituent un motif d’annulation d’une déclaration de culpabilité. Pour qu’une cour d’appel puisse modifier un verdict de culpabilité au motif qu’il est </w:t>
      </w:r>
      <w:r w:rsidRPr="00CF10F0">
        <w:rPr>
          <w:rFonts w:cs="Times New Roman"/>
          <w:lang w:val="fr-CA"/>
        </w:rPr>
        <w:lastRenderedPageBreak/>
        <w:t>incompatible avec un acquittement, elle doit conclure qu’il est déraisonnable</w:t>
      </w:r>
      <w:r w:rsidRPr="00CF10F0">
        <w:rPr>
          <w:rFonts w:cs="Times New Roman"/>
          <w:shd w:val="clear" w:color="auto" w:fill="FFFFFF"/>
          <w:lang w:val="fr-CA"/>
        </w:rPr>
        <w:t xml:space="preserve"> </w:t>
      </w:r>
      <w:r w:rsidRPr="00CF10F0">
        <w:rPr>
          <w:rFonts w:cs="Times New Roman"/>
          <w:lang w:val="fr-CA"/>
        </w:rPr>
        <w:t>(</w:t>
      </w:r>
      <w:r w:rsidRPr="00CF10F0">
        <w:rPr>
          <w:rFonts w:cs="Times New Roman"/>
          <w:i/>
          <w:lang w:val="fr-CA"/>
        </w:rPr>
        <w:t xml:space="preserve">R. c. </w:t>
      </w:r>
      <w:proofErr w:type="spellStart"/>
      <w:r w:rsidRPr="00CF10F0">
        <w:rPr>
          <w:rFonts w:cs="Times New Roman"/>
          <w:i/>
          <w:lang w:val="fr-CA"/>
        </w:rPr>
        <w:t>Pittiman</w:t>
      </w:r>
      <w:proofErr w:type="spellEnd"/>
      <w:r w:rsidRPr="00CF10F0">
        <w:rPr>
          <w:rFonts w:cs="Times New Roman"/>
          <w:lang w:val="fr-CA"/>
        </w:rPr>
        <w:t>, 2006 CSC 9, [2006] 1 R.C.S. 381,</w:t>
      </w:r>
      <w:r w:rsidRPr="00CF10F0">
        <w:rPr>
          <w:rFonts w:cs="Times New Roman"/>
          <w:i/>
          <w:lang w:val="fr-CA"/>
        </w:rPr>
        <w:t xml:space="preserve"> </w:t>
      </w:r>
      <w:r>
        <w:rPr>
          <w:rFonts w:cs="Times New Roman"/>
          <w:lang w:val="fr-CA"/>
        </w:rPr>
        <w:t>par. </w:t>
      </w:r>
      <w:r w:rsidRPr="00CF10F0">
        <w:rPr>
          <w:rFonts w:cs="Times New Roman"/>
          <w:lang w:val="fr-CA"/>
        </w:rPr>
        <w:t xml:space="preserve">6, citant le </w:t>
      </w:r>
      <w:r w:rsidRPr="00CF10F0">
        <w:rPr>
          <w:rFonts w:cs="Times New Roman"/>
          <w:i/>
          <w:lang w:val="fr-CA"/>
        </w:rPr>
        <w:t>Code criminel</w:t>
      </w:r>
      <w:r w:rsidRPr="00CF10F0">
        <w:rPr>
          <w:rFonts w:cs="Times New Roman"/>
          <w:lang w:val="fr-CA"/>
        </w:rPr>
        <w:t>,</w:t>
      </w:r>
      <w:r w:rsidRPr="00CF10F0">
        <w:rPr>
          <w:rFonts w:cs="Times New Roman"/>
          <w:i/>
          <w:lang w:val="fr-CA"/>
        </w:rPr>
        <w:t xml:space="preserve"> </w:t>
      </w:r>
      <w:r w:rsidRPr="00CF10F0">
        <w:rPr>
          <w:rFonts w:cs="Times New Roman"/>
          <w:lang w:val="fr-CA"/>
        </w:rPr>
        <w:t>sous</w:t>
      </w:r>
      <w:r>
        <w:rPr>
          <w:rFonts w:cs="Times New Roman"/>
          <w:lang w:val="fr-CA"/>
        </w:rPr>
        <w:noBreakHyphen/>
        <w:t>al. </w:t>
      </w:r>
      <w:r w:rsidRPr="00CF10F0">
        <w:rPr>
          <w:rFonts w:cs="Times New Roman"/>
          <w:lang w:val="fr-CA"/>
        </w:rPr>
        <w:t>686(1</w:t>
      </w:r>
      <w:proofErr w:type="gramStart"/>
      <w:r w:rsidRPr="00CF10F0">
        <w:rPr>
          <w:rFonts w:cs="Times New Roman"/>
          <w:lang w:val="fr-CA"/>
        </w:rPr>
        <w:t>)a</w:t>
      </w:r>
      <w:proofErr w:type="gramEnd"/>
      <w:r w:rsidRPr="00CF10F0">
        <w:rPr>
          <w:rFonts w:cs="Times New Roman"/>
          <w:lang w:val="fr-CA"/>
        </w:rPr>
        <w:t>)(i)). Il incombe à l’accusé de démontrer qu’un verdict est déraisonnable (</w:t>
      </w:r>
      <w:proofErr w:type="spellStart"/>
      <w:r w:rsidRPr="00CF10F0">
        <w:rPr>
          <w:rFonts w:cs="Times New Roman"/>
          <w:i/>
          <w:lang w:val="fr-CA"/>
        </w:rPr>
        <w:t>Pittiman</w:t>
      </w:r>
      <w:proofErr w:type="spellEnd"/>
      <w:r w:rsidRPr="00CF10F0">
        <w:rPr>
          <w:rFonts w:cs="Times New Roman"/>
          <w:lang w:val="fr-CA"/>
        </w:rPr>
        <w:t>,</w:t>
      </w:r>
      <w:r w:rsidRPr="00CF10F0">
        <w:rPr>
          <w:rFonts w:cs="Times New Roman"/>
          <w:i/>
          <w:lang w:val="fr-CA"/>
        </w:rPr>
        <w:t xml:space="preserve"> </w:t>
      </w:r>
      <w:r>
        <w:rPr>
          <w:rFonts w:cs="Times New Roman"/>
          <w:lang w:val="fr-CA"/>
        </w:rPr>
        <w:t>par. </w:t>
      </w:r>
      <w:r w:rsidRPr="00CF10F0">
        <w:rPr>
          <w:rFonts w:cs="Times New Roman"/>
          <w:lang w:val="fr-CA"/>
        </w:rPr>
        <w:t>6).</w:t>
      </w:r>
      <w:r w:rsidRPr="00CF10F0">
        <w:rPr>
          <w:rFonts w:cs="Times New Roman"/>
          <w:shd w:val="clear" w:color="auto" w:fill="FFFFFF"/>
          <w:lang w:val="fr-CA"/>
        </w:rPr>
        <w:t xml:space="preserve"> </w:t>
      </w:r>
    </w:p>
    <w:p w14:paraId="4B296C07" w14:textId="77777777" w:rsidR="00BE287D" w:rsidRPr="00CF10F0" w:rsidRDefault="00BE287D" w:rsidP="00BE287D">
      <w:pPr>
        <w:pStyle w:val="ParaNoNdepar-AltN"/>
        <w:rPr>
          <w:rFonts w:cs="Times New Roman"/>
          <w:lang w:val="fr-CA"/>
        </w:rPr>
      </w:pPr>
      <w:r w:rsidRPr="00CF10F0">
        <w:rPr>
          <w:rFonts w:cs="Times New Roman"/>
          <w:lang w:val="fr-CA"/>
        </w:rPr>
        <w:t>Dans un appel portant sur des verdicts incompatibles, le critère servant à déterminer si le verdict d’un jury est déraisonnable est le suivant</w:t>
      </w:r>
      <w:r>
        <w:rPr>
          <w:rFonts w:cs="Times New Roman"/>
          <w:lang w:val="fr-CA"/>
        </w:rPr>
        <w:t> :</w:t>
      </w:r>
      <w:r w:rsidRPr="00CF10F0">
        <w:rPr>
          <w:rFonts w:cs="Times New Roman"/>
          <w:lang w:val="fr-CA"/>
        </w:rPr>
        <w:t xml:space="preserve"> « les verdicts sont</w:t>
      </w:r>
      <w:r>
        <w:rPr>
          <w:rFonts w:cs="Times New Roman"/>
          <w:lang w:val="fr-CA"/>
        </w:rPr>
        <w:noBreakHyphen/>
      </w:r>
      <w:r w:rsidRPr="00CF10F0">
        <w:rPr>
          <w:rFonts w:cs="Times New Roman"/>
          <w:lang w:val="fr-CA"/>
        </w:rPr>
        <w:t>ils à ce point inconciliables qu’aucun jury raisonnable, ayant reçu des directives appropriées, n’aurait pu les prononcer au vu de la preuve? » (</w:t>
      </w:r>
      <w:proofErr w:type="spellStart"/>
      <w:r w:rsidRPr="00CF10F0">
        <w:rPr>
          <w:rFonts w:cs="Times New Roman"/>
          <w:i/>
          <w:lang w:val="fr-CA"/>
        </w:rPr>
        <w:t>Pittiman</w:t>
      </w:r>
      <w:proofErr w:type="spellEnd"/>
      <w:r w:rsidRPr="00CF10F0">
        <w:rPr>
          <w:rFonts w:cs="Times New Roman"/>
          <w:lang w:val="fr-CA"/>
        </w:rPr>
        <w:t xml:space="preserve">, </w:t>
      </w:r>
      <w:r>
        <w:rPr>
          <w:rFonts w:cs="Times New Roman"/>
          <w:lang w:val="fr-CA"/>
        </w:rPr>
        <w:t>par. </w:t>
      </w:r>
      <w:r w:rsidRPr="00CF10F0">
        <w:rPr>
          <w:rFonts w:cs="Times New Roman"/>
          <w:lang w:val="fr-CA"/>
        </w:rPr>
        <w:t>10). Autrement dit, une déclaration de culpabilité est déraisonnable et doit être annulée si les verdicts ne peuvent pas être conciliés pour quelque motif rationnel ou logique, et si aucun jury ayant reçu des directives appropriées et agissant raisonnablement n’aurait pu les prononcer au vu de la preuve</w:t>
      </w:r>
      <w:r w:rsidRPr="00CF10F0">
        <w:rPr>
          <w:rFonts w:cs="Times New Roman"/>
          <w:shd w:val="clear" w:color="auto" w:fill="FFFFFF"/>
          <w:lang w:val="fr-CA"/>
        </w:rPr>
        <w:t xml:space="preserve"> (</w:t>
      </w:r>
      <w:r w:rsidRPr="00CF10F0">
        <w:rPr>
          <w:rStyle w:val="Emphasis"/>
          <w:rFonts w:cs="Times New Roman"/>
          <w:szCs w:val="24"/>
          <w:shd w:val="clear" w:color="auto" w:fill="FFFFFF"/>
          <w:lang w:val="fr-CA"/>
        </w:rPr>
        <w:t xml:space="preserve">R. c. </w:t>
      </w:r>
      <w:proofErr w:type="spellStart"/>
      <w:r w:rsidRPr="00CF10F0">
        <w:rPr>
          <w:rStyle w:val="Emphasis"/>
          <w:rFonts w:cs="Times New Roman"/>
          <w:szCs w:val="24"/>
          <w:shd w:val="clear" w:color="auto" w:fill="FFFFFF"/>
          <w:lang w:val="fr-CA"/>
        </w:rPr>
        <w:t>McShannoc</w:t>
      </w:r>
      <w:r>
        <w:rPr>
          <w:rStyle w:val="Emphasis"/>
          <w:rFonts w:cs="Times New Roman"/>
          <w:szCs w:val="24"/>
          <w:shd w:val="clear" w:color="auto" w:fill="FFFFFF"/>
          <w:lang w:val="fr-CA"/>
        </w:rPr>
        <w:t>k</w:t>
      </w:r>
      <w:proofErr w:type="spellEnd"/>
      <w:r w:rsidRPr="00CF10F0">
        <w:rPr>
          <w:rStyle w:val="Emphasis"/>
          <w:rFonts w:cs="Times New Roman"/>
          <w:szCs w:val="24"/>
          <w:shd w:val="clear" w:color="auto" w:fill="FFFFFF"/>
          <w:lang w:val="fr-CA"/>
        </w:rPr>
        <w:t xml:space="preserve"> </w:t>
      </w:r>
      <w:r w:rsidRPr="00CF10F0">
        <w:rPr>
          <w:rStyle w:val="reflex3-block"/>
          <w:rFonts w:cs="Times New Roman"/>
          <w:szCs w:val="24"/>
          <w:shd w:val="clear" w:color="auto" w:fill="FFFFFF"/>
          <w:lang w:val="fr-CA"/>
        </w:rPr>
        <w:t xml:space="preserve">(1980), </w:t>
      </w:r>
      <w:r w:rsidRPr="00CF10F0">
        <w:rPr>
          <w:rStyle w:val="reflex3-alt"/>
          <w:rFonts w:cs="Times New Roman"/>
          <w:szCs w:val="24"/>
          <w:shd w:val="clear" w:color="auto" w:fill="FFFFFF"/>
          <w:lang w:val="fr-CA"/>
        </w:rPr>
        <w:t>55 C.C.C. (2d) 53 (C.A. Ont.),</w:t>
      </w:r>
      <w:r w:rsidRPr="00CF10F0">
        <w:rPr>
          <w:rStyle w:val="reflex3-block"/>
          <w:rFonts w:cs="Times New Roman"/>
          <w:szCs w:val="24"/>
          <w:shd w:val="clear" w:color="auto" w:fill="FFFFFF"/>
          <w:lang w:val="fr-CA"/>
        </w:rPr>
        <w:t xml:space="preserve"> </w:t>
      </w:r>
      <w:r>
        <w:rPr>
          <w:rStyle w:val="reflex3-block"/>
          <w:rFonts w:cs="Times New Roman"/>
          <w:szCs w:val="24"/>
          <w:shd w:val="clear" w:color="auto" w:fill="FFFFFF"/>
          <w:lang w:val="fr-CA"/>
        </w:rPr>
        <w:t>p. </w:t>
      </w:r>
      <w:r w:rsidRPr="00CF10F0">
        <w:rPr>
          <w:rStyle w:val="reflex3-block"/>
          <w:rFonts w:cs="Times New Roman"/>
          <w:szCs w:val="24"/>
          <w:shd w:val="clear" w:color="auto" w:fill="FFFFFF"/>
          <w:lang w:val="fr-CA"/>
        </w:rPr>
        <w:t xml:space="preserve">56; </w:t>
      </w:r>
      <w:proofErr w:type="spellStart"/>
      <w:r w:rsidRPr="00CF10F0">
        <w:rPr>
          <w:rFonts w:cs="Times New Roman"/>
          <w:i/>
          <w:shd w:val="clear" w:color="auto" w:fill="FFFFFF"/>
          <w:lang w:val="fr-CA"/>
        </w:rPr>
        <w:t>Pittiman</w:t>
      </w:r>
      <w:proofErr w:type="spellEnd"/>
      <w:r w:rsidRPr="00CF10F0">
        <w:rPr>
          <w:rFonts w:cs="Times New Roman"/>
          <w:shd w:val="clear" w:color="auto" w:fill="FFFFFF"/>
          <w:lang w:val="fr-CA"/>
        </w:rPr>
        <w:t>,</w:t>
      </w:r>
      <w:r w:rsidRPr="00CF10F0">
        <w:rPr>
          <w:rFonts w:cs="Times New Roman"/>
          <w:i/>
          <w:shd w:val="clear" w:color="auto" w:fill="FFFFFF"/>
          <w:lang w:val="fr-CA"/>
        </w:rPr>
        <w:t xml:space="preserve"> </w:t>
      </w:r>
      <w:r>
        <w:rPr>
          <w:rFonts w:cs="Times New Roman"/>
          <w:shd w:val="clear" w:color="auto" w:fill="FFFFFF"/>
          <w:lang w:val="fr-CA"/>
        </w:rPr>
        <w:t>par. </w:t>
      </w:r>
      <w:r w:rsidRPr="00CF10F0">
        <w:rPr>
          <w:rFonts w:cs="Times New Roman"/>
          <w:shd w:val="clear" w:color="auto" w:fill="FFFFFF"/>
          <w:lang w:val="fr-CA"/>
        </w:rPr>
        <w:t>6</w:t>
      </w:r>
      <w:r>
        <w:rPr>
          <w:rFonts w:cs="Times New Roman"/>
          <w:shd w:val="clear" w:color="auto" w:fill="FFFFFF"/>
          <w:lang w:val="fr-CA"/>
        </w:rPr>
        <w:noBreakHyphen/>
      </w:r>
      <w:r w:rsidRPr="00CF10F0">
        <w:rPr>
          <w:rFonts w:cs="Times New Roman"/>
          <w:shd w:val="clear" w:color="auto" w:fill="FFFFFF"/>
          <w:lang w:val="fr-CA"/>
        </w:rPr>
        <w:t xml:space="preserve">7). </w:t>
      </w:r>
    </w:p>
    <w:p w14:paraId="0F221965" w14:textId="77777777" w:rsidR="00BE287D" w:rsidRPr="00CF10F0" w:rsidRDefault="00BE287D" w:rsidP="00BE287D">
      <w:pPr>
        <w:pStyle w:val="ParaNoNdepar-AltN"/>
        <w:rPr>
          <w:rFonts w:cs="Times New Roman"/>
          <w:lang w:val="fr-CA"/>
        </w:rPr>
      </w:pPr>
      <w:r w:rsidRPr="00CF10F0">
        <w:rPr>
          <w:rFonts w:cs="Times New Roman"/>
          <w:lang w:val="fr-CA"/>
        </w:rPr>
        <w:t>Lorsque des verdicts ne peuvent pas être conciliés et qu’un jury ayant reçu des directives appropriées prononce une déclaration de culpabilité qui n’est pas étayée par la preuve présentée au procès, la seule inférence possible est que le jury a agi de façon déraisonnable pour en arriver à ce verdict</w:t>
      </w:r>
      <w:r w:rsidRPr="00CF10F0">
        <w:rPr>
          <w:rFonts w:cs="Times New Roman"/>
          <w:shd w:val="clear" w:color="auto" w:fill="FFFFFF"/>
          <w:lang w:val="fr-CA"/>
        </w:rPr>
        <w:t xml:space="preserve"> (</w:t>
      </w:r>
      <w:r w:rsidRPr="00CF10F0">
        <w:rPr>
          <w:rFonts w:cs="Times New Roman"/>
          <w:i/>
          <w:shd w:val="clear" w:color="auto" w:fill="FFFFFF"/>
          <w:lang w:val="fr-CA"/>
        </w:rPr>
        <w:t xml:space="preserve">R. c. </w:t>
      </w:r>
      <w:proofErr w:type="spellStart"/>
      <w:r w:rsidRPr="00CF10F0">
        <w:rPr>
          <w:rFonts w:cs="Times New Roman"/>
          <w:i/>
          <w:shd w:val="clear" w:color="auto" w:fill="FFFFFF"/>
          <w:lang w:val="fr-CA"/>
        </w:rPr>
        <w:t>Biniaris</w:t>
      </w:r>
      <w:proofErr w:type="spellEnd"/>
      <w:r w:rsidRPr="00CF10F0">
        <w:rPr>
          <w:rFonts w:cs="Times New Roman"/>
          <w:shd w:val="clear" w:color="auto" w:fill="FFFFFF"/>
          <w:lang w:val="fr-CA"/>
        </w:rPr>
        <w:t>,</w:t>
      </w:r>
      <w:r w:rsidRPr="00CF10F0">
        <w:rPr>
          <w:rFonts w:cs="Times New Roman"/>
          <w:i/>
          <w:shd w:val="clear" w:color="auto" w:fill="FFFFFF"/>
          <w:lang w:val="fr-CA"/>
        </w:rPr>
        <w:t xml:space="preserve"> </w:t>
      </w:r>
      <w:r w:rsidRPr="00CF10F0">
        <w:rPr>
          <w:rFonts w:cs="Times New Roman"/>
          <w:shd w:val="clear" w:color="auto" w:fill="FFFFFF"/>
          <w:lang w:val="fr-CA"/>
        </w:rPr>
        <w:t xml:space="preserve">2000 CSC 15, [2000] 1 R.C.S. 381, </w:t>
      </w:r>
      <w:r>
        <w:rPr>
          <w:rFonts w:cs="Times New Roman"/>
          <w:shd w:val="clear" w:color="auto" w:fill="FFFFFF"/>
          <w:lang w:val="fr-CA"/>
        </w:rPr>
        <w:t>par. </w:t>
      </w:r>
      <w:r w:rsidRPr="00CF10F0">
        <w:rPr>
          <w:rFonts w:cs="Times New Roman"/>
          <w:shd w:val="clear" w:color="auto" w:fill="FFFFFF"/>
          <w:lang w:val="fr-CA"/>
        </w:rPr>
        <w:t xml:space="preserve">39). Il se peut que le jury ait rendu un verdict </w:t>
      </w:r>
      <w:r>
        <w:rPr>
          <w:rFonts w:cs="Times New Roman"/>
          <w:shd w:val="clear" w:color="auto" w:fill="FFFFFF"/>
          <w:lang w:val="fr-CA"/>
        </w:rPr>
        <w:t>de</w:t>
      </w:r>
      <w:r w:rsidRPr="00CF10F0">
        <w:rPr>
          <w:rFonts w:cs="Times New Roman"/>
          <w:shd w:val="clear" w:color="auto" w:fill="FFFFFF"/>
          <w:lang w:val="fr-CA"/>
        </w:rPr>
        <w:t xml:space="preserve"> compromis, qu’il ait mal interprété la preuve ou qu’il ait prononcé une annulation en choisissant de ne pas appliquer la loi </w:t>
      </w:r>
      <w:r w:rsidRPr="00CF10F0">
        <w:rPr>
          <w:rFonts w:cs="Times New Roman"/>
          <w:lang w:val="fr-CA"/>
        </w:rPr>
        <w:t xml:space="preserve">–– toutes ces voies menant à des verdicts incompatibles indiquent que </w:t>
      </w:r>
      <w:r w:rsidRPr="00CF10F0">
        <w:rPr>
          <w:rFonts w:cs="Times New Roman"/>
          <w:lang w:val="fr-CA"/>
        </w:rPr>
        <w:lastRenderedPageBreak/>
        <w:t>le jury a agi de façon déraisonnable. Dans de tels cas, la déclaration de culpabilité elle</w:t>
      </w:r>
      <w:r>
        <w:rPr>
          <w:rFonts w:cs="Times New Roman"/>
          <w:lang w:val="fr-CA"/>
        </w:rPr>
        <w:noBreakHyphen/>
      </w:r>
      <w:r w:rsidRPr="00CF10F0">
        <w:rPr>
          <w:rFonts w:cs="Times New Roman"/>
          <w:lang w:val="fr-CA"/>
        </w:rPr>
        <w:t>même est déraisonnable et l’intervention d’une cour d’appel est justifiée.</w:t>
      </w:r>
      <w:r w:rsidRPr="00CF10F0">
        <w:rPr>
          <w:rFonts w:cs="Times New Roman"/>
          <w:shd w:val="clear" w:color="auto" w:fill="FFFFFF"/>
          <w:lang w:val="fr-CA"/>
        </w:rPr>
        <w:t xml:space="preserve"> </w:t>
      </w:r>
    </w:p>
    <w:p w14:paraId="2A34EACB" w14:textId="77777777" w:rsidR="00BE287D" w:rsidRPr="00CF10F0" w:rsidRDefault="00BE287D" w:rsidP="00BE287D">
      <w:pPr>
        <w:pStyle w:val="ParaNoNdepar-AltN"/>
        <w:rPr>
          <w:rFonts w:cs="Times New Roman"/>
          <w:lang w:val="fr-CA"/>
        </w:rPr>
      </w:pPr>
      <w:r w:rsidRPr="00CF10F0">
        <w:rPr>
          <w:rFonts w:cs="Times New Roman"/>
          <w:shd w:val="clear" w:color="auto" w:fill="FFFFFF"/>
          <w:lang w:val="fr-CA"/>
        </w:rPr>
        <w:t>Ultimement, la cour d’appel doit déterminer si les verdicts sont réellement incompatibles. Des verdicts apparemment incompatibles peuvent être conciliés au motif que les infractions elles</w:t>
      </w:r>
      <w:r>
        <w:rPr>
          <w:rFonts w:cs="Times New Roman"/>
          <w:shd w:val="clear" w:color="auto" w:fill="FFFFFF"/>
          <w:lang w:val="fr-CA"/>
        </w:rPr>
        <w:noBreakHyphen/>
      </w:r>
      <w:r w:rsidRPr="00CF10F0">
        <w:rPr>
          <w:rFonts w:cs="Times New Roman"/>
          <w:shd w:val="clear" w:color="auto" w:fill="FFFFFF"/>
          <w:lang w:val="fr-CA"/>
        </w:rPr>
        <w:t>mêmes « n’ont pas été commises en même temps ou parce qu’elles diffèrent sur le plan qualitatif ou dépendent de la crédibilité de divers plaignants ou témoins » (</w:t>
      </w:r>
      <w:proofErr w:type="spellStart"/>
      <w:r w:rsidRPr="00CF10F0">
        <w:rPr>
          <w:rFonts w:cs="Times New Roman"/>
          <w:i/>
          <w:shd w:val="clear" w:color="auto" w:fill="FFFFFF"/>
          <w:lang w:val="fr-CA"/>
        </w:rPr>
        <w:t>Pittiman</w:t>
      </w:r>
      <w:proofErr w:type="spellEnd"/>
      <w:r w:rsidRPr="00CF10F0">
        <w:rPr>
          <w:rFonts w:cs="Times New Roman"/>
          <w:shd w:val="clear" w:color="auto" w:fill="FFFFFF"/>
          <w:lang w:val="fr-CA"/>
        </w:rPr>
        <w:t xml:space="preserve">, </w:t>
      </w:r>
      <w:r>
        <w:rPr>
          <w:rFonts w:cs="Times New Roman"/>
          <w:shd w:val="clear" w:color="auto" w:fill="FFFFFF"/>
          <w:lang w:val="fr-CA"/>
        </w:rPr>
        <w:t>par. </w:t>
      </w:r>
      <w:r w:rsidRPr="00CF10F0">
        <w:rPr>
          <w:rFonts w:cs="Times New Roman"/>
          <w:shd w:val="clear" w:color="auto" w:fill="FFFFFF"/>
          <w:lang w:val="fr-CA"/>
        </w:rPr>
        <w:t xml:space="preserve">8). Si les verdicts sont conciliés de manière à révéler une thèse sur laquelle le jury aurait pu s’appuyer pour les rendre sans agir de façon déraisonnable, les verdicts sont alors compatibles et l’intervention de la cour d’appel n’est pas justifiée. </w:t>
      </w:r>
    </w:p>
    <w:p w14:paraId="4B2042F0" w14:textId="77777777" w:rsidR="00BE287D" w:rsidRPr="00CF10F0" w:rsidRDefault="00BE287D" w:rsidP="00BE287D">
      <w:pPr>
        <w:pStyle w:val="ParaNoNdepar-AltN"/>
        <w:rPr>
          <w:rFonts w:cs="Times New Roman"/>
          <w:lang w:val="fr-CA"/>
        </w:rPr>
      </w:pPr>
      <w:r w:rsidRPr="00CF10F0">
        <w:rPr>
          <w:rFonts w:cs="Times New Roman"/>
          <w:shd w:val="clear" w:color="auto" w:fill="FFFFFF"/>
          <w:lang w:val="fr-CA"/>
        </w:rPr>
        <w:t>À mon avis, il existe aussi des cas, comme en l’espèce, où la Couronne peut concilier des verdicts apparemment incompatibles au motif qu’ils découlent d’une erreur de droit dans les directives données au jury. Dans de tels cas, je propose la démarche suivante.</w:t>
      </w:r>
    </w:p>
    <w:p w14:paraId="2FB4DF2F" w14:textId="77777777" w:rsidR="00BE287D" w:rsidRPr="00CF10F0" w:rsidRDefault="00BE287D" w:rsidP="00BE287D">
      <w:pPr>
        <w:pStyle w:val="Title3LevelTitre3Niveau"/>
        <w:rPr>
          <w:rFonts w:cs="Times New Roman"/>
          <w:lang w:val="fr-CA"/>
        </w:rPr>
      </w:pPr>
      <w:r w:rsidRPr="00CF10F0">
        <w:rPr>
          <w:rFonts w:cs="Times New Roman"/>
          <w:lang w:val="fr-CA"/>
        </w:rPr>
        <w:t>Cadre d’analyse</w:t>
      </w:r>
    </w:p>
    <w:p w14:paraId="48E2DA6D" w14:textId="77777777" w:rsidR="00BE287D" w:rsidRPr="00CF10F0" w:rsidRDefault="00BE287D" w:rsidP="00BE287D">
      <w:pPr>
        <w:pStyle w:val="ParaNoNdepar-AltN"/>
        <w:rPr>
          <w:rFonts w:cs="Times New Roman"/>
          <w:lang w:val="fr-CA"/>
        </w:rPr>
      </w:pPr>
      <w:r w:rsidRPr="00CF10F0">
        <w:rPr>
          <w:rFonts w:cs="Times New Roman"/>
          <w:szCs w:val="24"/>
          <w:shd w:val="clear" w:color="auto" w:fill="FFFFFF"/>
          <w:lang w:val="fr-CA"/>
        </w:rPr>
        <w:t>Lorsque la Couronne tente de réfuter une allégation d’incompatibilité apparente au motif qu’une erreur de droit a été commise, le fardeau passe de l’accusé à la Couronne. Ce fardeau est lourd. La Couronne doit convaincre le tribunal avec une certitude élevée que les directives au jury comportent une erreur de droit et que cette erreur</w:t>
      </w:r>
      <w:r>
        <w:rPr>
          <w:rFonts w:cs="Times New Roman"/>
          <w:szCs w:val="24"/>
          <w:shd w:val="clear" w:color="auto" w:fill="FFFFFF"/>
          <w:lang w:val="fr-CA"/>
        </w:rPr>
        <w:t> :</w:t>
      </w:r>
      <w:r w:rsidRPr="00CF10F0">
        <w:rPr>
          <w:rFonts w:cs="Times New Roman"/>
          <w:lang w:val="fr-CA"/>
        </w:rPr>
        <w:t xml:space="preserve"> </w:t>
      </w:r>
    </w:p>
    <w:p w14:paraId="41E264F5" w14:textId="77777777" w:rsidR="00BE287D" w:rsidRPr="00CF10F0" w:rsidRDefault="00BE287D" w:rsidP="00A40984">
      <w:pPr>
        <w:pStyle w:val="Citation-AltC"/>
        <w:numPr>
          <w:ilvl w:val="0"/>
          <w:numId w:val="18"/>
        </w:numPr>
        <w:spacing w:after="480" w:line="480" w:lineRule="auto"/>
        <w:ind w:left="851" w:hanging="709"/>
        <w:contextualSpacing w:val="0"/>
        <w:rPr>
          <w:lang w:val="fr-CA"/>
        </w:rPr>
      </w:pPr>
      <w:r w:rsidRPr="00CF10F0">
        <w:rPr>
          <w:lang w:val="fr-CA"/>
        </w:rPr>
        <w:lastRenderedPageBreak/>
        <w:t xml:space="preserve">a eu une incidence significative sur le verdict d’acquittement; </w:t>
      </w:r>
    </w:p>
    <w:p w14:paraId="2547F148" w14:textId="77777777" w:rsidR="00BE287D" w:rsidRPr="00CF10F0" w:rsidRDefault="00BE287D" w:rsidP="00A40984">
      <w:pPr>
        <w:pStyle w:val="Citation-AltC"/>
        <w:numPr>
          <w:ilvl w:val="0"/>
          <w:numId w:val="18"/>
        </w:numPr>
        <w:spacing w:after="480" w:line="480" w:lineRule="auto"/>
        <w:ind w:left="851" w:hanging="709"/>
        <w:contextualSpacing w:val="0"/>
        <w:rPr>
          <w:lang w:val="fr-CA"/>
        </w:rPr>
      </w:pPr>
      <w:r w:rsidRPr="00CF10F0">
        <w:rPr>
          <w:lang w:val="fr-CA"/>
        </w:rPr>
        <w:t xml:space="preserve">n’a pas eu d’incidence sur la déclaration de culpabilité; </w:t>
      </w:r>
    </w:p>
    <w:p w14:paraId="54002EAC" w14:textId="77777777" w:rsidR="00BE287D" w:rsidRPr="00CF10F0" w:rsidRDefault="00BE287D" w:rsidP="00A40984">
      <w:pPr>
        <w:pStyle w:val="Citation-AltC"/>
        <w:numPr>
          <w:ilvl w:val="0"/>
          <w:numId w:val="18"/>
        </w:numPr>
        <w:spacing w:after="480" w:line="480" w:lineRule="auto"/>
        <w:ind w:left="851" w:hanging="709"/>
        <w:contextualSpacing w:val="0"/>
        <w:rPr>
          <w:lang w:val="fr-CA"/>
        </w:rPr>
      </w:pPr>
      <w:r w:rsidRPr="00CF10F0">
        <w:rPr>
          <w:lang w:val="fr-CA"/>
        </w:rPr>
        <w:t xml:space="preserve">concilie les verdicts incompatibles en démontrant que le jury n’a pas déclaré l’accusé à la fois coupable et non coupable des mêmes actes. </w:t>
      </w:r>
    </w:p>
    <w:p w14:paraId="260B5C52" w14:textId="77777777" w:rsidR="00BE287D" w:rsidRPr="00CF10F0" w:rsidRDefault="00BE287D" w:rsidP="00BE287D">
      <w:pPr>
        <w:pStyle w:val="ParaNoNdepar-AltN"/>
        <w:rPr>
          <w:rFonts w:cs="Times New Roman"/>
          <w:lang w:val="fr-CA"/>
        </w:rPr>
      </w:pPr>
      <w:r w:rsidRPr="00CF10F0">
        <w:rPr>
          <w:rFonts w:cs="Times New Roman"/>
          <w:lang w:val="fr-CA"/>
        </w:rPr>
        <w:t xml:space="preserve">Si le tribunal peut conclure que ces éléments ont été établis avec une certitude élevée, les verdicts ne sont pas réellement incompatibles. L’erreur de droit a plutôt amené le jury à déclarer l’accusé coupable en s’appuyant sur des éléments de preuve différents ou sur un élément qui était différent de celui qu’il croyait nécessaire pour l’accusation à l’égard de laquelle il a rendu un verdict d’acquittement. Il a donc été remédié à toute incompatibilité apparente des verdicts, car le jury n’a pas déclaré l’accusé à la fois coupable et non coupable des mêmes actes. Il s’ensuit que le jury n’a pas agi de façon déraisonnable en rendant ses verdicts. </w:t>
      </w:r>
    </w:p>
    <w:p w14:paraId="1CE1757B" w14:textId="77777777" w:rsidR="00BE287D" w:rsidRPr="00CF10F0" w:rsidRDefault="00BE287D" w:rsidP="00BE287D">
      <w:pPr>
        <w:pStyle w:val="ParaNoNdepar-AltN"/>
        <w:rPr>
          <w:rFonts w:cs="Times New Roman"/>
          <w:lang w:val="fr-CA"/>
        </w:rPr>
      </w:pPr>
      <w:r w:rsidRPr="00CF10F0">
        <w:rPr>
          <w:rFonts w:cs="Times New Roman"/>
          <w:lang w:val="fr-CA"/>
        </w:rPr>
        <w:t>Pour déterminer si la Couronne s’est acquittée de son fardeau, le tribunal ne doit pas se livrer à des conjectures inappropriées au sujet de ce que le jury a fait et n’a pas fait. La cour d’appel doit pouvoir reconstituer le raisonnement du jury avec une certitude suffisamment élevée pour exclure toutes les autres explications raisonnables quant à la manière dont le jury a rendu ses verdicts. Si c’est le cas, toute préoccupation relative à des conjectures disparaît.</w:t>
      </w:r>
    </w:p>
    <w:p w14:paraId="1064B24C" w14:textId="77777777" w:rsidR="00BE287D" w:rsidRPr="00CF10F0" w:rsidRDefault="00BE287D" w:rsidP="00BE287D">
      <w:pPr>
        <w:pStyle w:val="ParaNoNdepar-AltN"/>
        <w:rPr>
          <w:rFonts w:cs="Times New Roman"/>
          <w:lang w:val="fr-CA"/>
        </w:rPr>
      </w:pPr>
      <w:r w:rsidRPr="00CF10F0">
        <w:rPr>
          <w:rFonts w:cs="Times New Roman"/>
          <w:lang w:val="fr-CA"/>
        </w:rPr>
        <w:lastRenderedPageBreak/>
        <w:t xml:space="preserve">Cette approche respecte le principe de la déférence dont il convient habituellement de faire preuve à l’égard de la présomption de </w:t>
      </w:r>
      <w:proofErr w:type="spellStart"/>
      <w:r w:rsidRPr="00CF10F0">
        <w:rPr>
          <w:rFonts w:cs="Times New Roman"/>
          <w:lang w:val="fr-CA"/>
        </w:rPr>
        <w:t>raisonnabilité</w:t>
      </w:r>
      <w:proofErr w:type="spellEnd"/>
      <w:r w:rsidRPr="00CF10F0">
        <w:rPr>
          <w:rFonts w:cs="Times New Roman"/>
          <w:lang w:val="fr-CA"/>
        </w:rPr>
        <w:t xml:space="preserve"> du jury en ce qu’elle invite à se demander si « les [verdicts apparemment incompatibles] peuvent s’appuyer sur une théorie de la preuve compatible avec les directives juridiques données par le juge du procès » (</w:t>
      </w:r>
      <w:proofErr w:type="spellStart"/>
      <w:r w:rsidRPr="00CF10F0">
        <w:rPr>
          <w:rFonts w:cs="Times New Roman"/>
          <w:i/>
          <w:lang w:val="fr-CA"/>
        </w:rPr>
        <w:t>Pittiman</w:t>
      </w:r>
      <w:proofErr w:type="spellEnd"/>
      <w:r w:rsidRPr="00CF10F0">
        <w:rPr>
          <w:rFonts w:cs="Times New Roman"/>
          <w:lang w:val="fr-CA"/>
        </w:rPr>
        <w:t xml:space="preserve">, </w:t>
      </w:r>
      <w:r>
        <w:rPr>
          <w:rFonts w:cs="Times New Roman"/>
          <w:lang w:val="fr-CA"/>
        </w:rPr>
        <w:t>par. </w:t>
      </w:r>
      <w:r w:rsidRPr="00CF10F0">
        <w:rPr>
          <w:rFonts w:cs="Times New Roman"/>
          <w:lang w:val="fr-CA"/>
        </w:rPr>
        <w:t>7). Lorsque la déclaration de culpabilité est étayée par la preuve, comme cela doit toujours être le cas, et que les verdicts ne sont pas réellement incompatibles, l’inscription d’une déclaration de culpabilité contre l’accusé par le jury n’est pas déraisonnable et l’appel de ce verdict devrait être rejeté. Le jury n’agit pas de façon irrégulière en s’appuyant sur une erreur de droit commise par le juge du procès. En d’autres termes, la cour d’appel conclut simplement que le jury a agi raisonnablement eu égard à la preuve et aux directives dont il disposait. La déclaration de culpabilité est donc raisonnable et l’intervention de la cour d’appel n’est pas justifiée.</w:t>
      </w:r>
    </w:p>
    <w:p w14:paraId="0218D372" w14:textId="6ABE00A9" w:rsidR="00BE287D" w:rsidRPr="00CF10F0" w:rsidRDefault="00BE287D" w:rsidP="00BE287D">
      <w:pPr>
        <w:pStyle w:val="ParaNoNdepar-AltN"/>
        <w:rPr>
          <w:rFonts w:cs="Times New Roman"/>
          <w:lang w:val="fr-CA"/>
        </w:rPr>
      </w:pPr>
      <w:r w:rsidRPr="00CF10F0">
        <w:rPr>
          <w:rFonts w:cs="Times New Roman"/>
          <w:lang w:val="fr-CA"/>
        </w:rPr>
        <w:t xml:space="preserve">Je m’arrête ici pour souligner que mon collègue le juge Brown ne souscrit pas au cadre de conciliation que j’ai proposé au motif que notre jurisprudence et le régime d’appels édicté au </w:t>
      </w:r>
      <w:proofErr w:type="spellStart"/>
      <w:r>
        <w:rPr>
          <w:rFonts w:cs="Times New Roman"/>
          <w:lang w:val="fr-CA"/>
        </w:rPr>
        <w:t>par</w:t>
      </w:r>
      <w:proofErr w:type="spellEnd"/>
      <w:r>
        <w:rPr>
          <w:rFonts w:cs="Times New Roman"/>
          <w:lang w:val="fr-CA"/>
        </w:rPr>
        <w:t>. </w:t>
      </w:r>
      <w:r w:rsidRPr="00CF10F0">
        <w:rPr>
          <w:rFonts w:cs="Times New Roman"/>
          <w:lang w:val="fr-CA"/>
        </w:rPr>
        <w:t xml:space="preserve">686(4) du </w:t>
      </w:r>
      <w:r w:rsidRPr="00CF10F0">
        <w:rPr>
          <w:rFonts w:cs="Times New Roman"/>
          <w:i/>
          <w:lang w:val="fr-CA"/>
        </w:rPr>
        <w:t>Code criminel</w:t>
      </w:r>
      <w:r w:rsidRPr="00CF10F0">
        <w:rPr>
          <w:rFonts w:cs="Times New Roman"/>
          <w:lang w:val="fr-CA"/>
        </w:rPr>
        <w:t xml:space="preserve"> empêchent une cour d’appel de se pencher sur les raisons pour lesquelles le jury est arrivé à un verdict donné (motifs du juge Brown, </w:t>
      </w:r>
      <w:r>
        <w:rPr>
          <w:rFonts w:cs="Times New Roman"/>
          <w:lang w:val="fr-CA"/>
        </w:rPr>
        <w:t>par. </w:t>
      </w:r>
      <w:r w:rsidRPr="00CF10F0">
        <w:rPr>
          <w:rFonts w:cs="Times New Roman"/>
          <w:lang w:val="fr-CA"/>
        </w:rPr>
        <w:t>82</w:t>
      </w:r>
      <w:r>
        <w:rPr>
          <w:rFonts w:cs="Times New Roman"/>
          <w:lang w:val="fr-CA"/>
        </w:rPr>
        <w:noBreakHyphen/>
      </w:r>
      <w:r w:rsidRPr="00CF10F0">
        <w:rPr>
          <w:rFonts w:cs="Times New Roman"/>
          <w:lang w:val="fr-CA"/>
        </w:rPr>
        <w:t xml:space="preserve">85). Cependant, ce n’est pas ce que prévoit le </w:t>
      </w:r>
      <w:r>
        <w:rPr>
          <w:rFonts w:cs="Times New Roman"/>
          <w:lang w:val="fr-CA"/>
        </w:rPr>
        <w:t>par. </w:t>
      </w:r>
      <w:r w:rsidRPr="00CF10F0">
        <w:rPr>
          <w:rFonts w:cs="Times New Roman"/>
          <w:lang w:val="fr-CA"/>
        </w:rPr>
        <w:t>686(4), ni ce que voulait le Parlement. En fait, notre jurisprudence montre que, bien qu’elles ne puissent se livrer à des conjectures inappropriées, les cours d’appel examinent régulièrement l’incidence des directives données au jury sur le verdict rendu par celui</w:t>
      </w:r>
      <w:r>
        <w:rPr>
          <w:rFonts w:cs="Times New Roman"/>
          <w:lang w:val="fr-CA"/>
        </w:rPr>
        <w:noBreakHyphen/>
      </w:r>
      <w:r w:rsidRPr="00CF10F0">
        <w:rPr>
          <w:rFonts w:cs="Times New Roman"/>
          <w:lang w:val="fr-CA"/>
        </w:rPr>
        <w:t xml:space="preserve">ci. À titre d’exemple, dans l’examen d’un appel interjeté par la Couronne contre </w:t>
      </w:r>
      <w:r w:rsidRPr="00CF10F0">
        <w:rPr>
          <w:rFonts w:cs="Times New Roman"/>
          <w:lang w:val="fr-CA"/>
        </w:rPr>
        <w:lastRenderedPageBreak/>
        <w:t>un verdict d’acquittement du jury, au motif qu’une erreur de droit a été commise au procès, il faut se demander si l’erreur a vraisemblablement eu une incidence sur le verdict (</w:t>
      </w:r>
      <w:r w:rsidRPr="00CF10F0">
        <w:rPr>
          <w:rFonts w:cs="Times New Roman"/>
          <w:i/>
          <w:lang w:val="fr-CA"/>
        </w:rPr>
        <w:t xml:space="preserve">R. c. </w:t>
      </w:r>
      <w:proofErr w:type="spellStart"/>
      <w:r w:rsidRPr="00CF10F0">
        <w:rPr>
          <w:rFonts w:cs="Times New Roman"/>
          <w:i/>
          <w:lang w:val="fr-CA"/>
        </w:rPr>
        <w:t>Graveline</w:t>
      </w:r>
      <w:proofErr w:type="spellEnd"/>
      <w:r w:rsidRPr="00CF10F0">
        <w:rPr>
          <w:rFonts w:cs="Times New Roman"/>
          <w:lang w:val="fr-CA"/>
        </w:rPr>
        <w:t xml:space="preserve">, 2006 CSC 16, [2006] 1 R.C.S. 609, </w:t>
      </w:r>
      <w:r>
        <w:rPr>
          <w:rFonts w:cs="Times New Roman"/>
          <w:lang w:val="fr-CA"/>
        </w:rPr>
        <w:t>par. </w:t>
      </w:r>
      <w:r w:rsidRPr="00CF10F0">
        <w:rPr>
          <w:rFonts w:cs="Times New Roman"/>
          <w:lang w:val="fr-CA"/>
        </w:rPr>
        <w:t>14</w:t>
      </w:r>
      <w:r>
        <w:rPr>
          <w:rFonts w:cs="Times New Roman"/>
          <w:lang w:val="fr-CA"/>
        </w:rPr>
        <w:noBreakHyphen/>
      </w:r>
      <w:r w:rsidRPr="00CF10F0">
        <w:rPr>
          <w:rFonts w:cs="Times New Roman"/>
          <w:lang w:val="fr-CA"/>
        </w:rPr>
        <w:t>17); lorsqu’un verdict de culpabilité rendu par le jury est contrôlé au regard de directives au jury erronées en droit, il peut être nécessaire de se demander si l’erreur était négligeable en ce qu’on ne pouvait raisonnablement penser qu’elle aurait changé le verdict du jury (</w:t>
      </w:r>
      <w:r w:rsidRPr="00CF10F0">
        <w:rPr>
          <w:rFonts w:cs="Times New Roman"/>
          <w:i/>
          <w:lang w:val="fr-CA"/>
        </w:rPr>
        <w:t>Code criminel</w:t>
      </w:r>
      <w:r w:rsidRPr="00CF10F0">
        <w:rPr>
          <w:rFonts w:cs="Times New Roman"/>
          <w:lang w:val="fr-CA"/>
        </w:rPr>
        <w:t>, sous</w:t>
      </w:r>
      <w:r>
        <w:rPr>
          <w:rFonts w:cs="Times New Roman"/>
          <w:lang w:val="fr-CA"/>
        </w:rPr>
        <w:noBreakHyphen/>
        <w:t>al. </w:t>
      </w:r>
      <w:r w:rsidRPr="00CF10F0">
        <w:rPr>
          <w:rFonts w:cs="Times New Roman"/>
          <w:lang w:val="fr-CA"/>
        </w:rPr>
        <w:t xml:space="preserve">686(1)b)(iii); voir, </w:t>
      </w:r>
      <w:r>
        <w:rPr>
          <w:rFonts w:cs="Times New Roman"/>
          <w:lang w:val="fr-CA"/>
        </w:rPr>
        <w:t>p. </w:t>
      </w:r>
      <w:r w:rsidRPr="00CF10F0">
        <w:rPr>
          <w:rFonts w:cs="Times New Roman"/>
          <w:lang w:val="fr-CA"/>
        </w:rPr>
        <w:t xml:space="preserve">ex., </w:t>
      </w:r>
      <w:r w:rsidRPr="00CF10F0">
        <w:rPr>
          <w:rFonts w:cs="Times New Roman"/>
          <w:i/>
          <w:lang w:val="fr-CA"/>
        </w:rPr>
        <w:t xml:space="preserve">R. c. </w:t>
      </w:r>
      <w:proofErr w:type="spellStart"/>
      <w:r w:rsidRPr="00CF10F0">
        <w:rPr>
          <w:rFonts w:cs="Times New Roman"/>
          <w:i/>
          <w:lang w:val="fr-CA"/>
        </w:rPr>
        <w:t>Khela</w:t>
      </w:r>
      <w:proofErr w:type="spellEnd"/>
      <w:r w:rsidRPr="00CF10F0">
        <w:rPr>
          <w:rFonts w:cs="Times New Roman"/>
          <w:lang w:val="fr-CA"/>
        </w:rPr>
        <w:t>,</w:t>
      </w:r>
      <w:r w:rsidRPr="00CF10F0">
        <w:rPr>
          <w:rFonts w:cs="Times New Roman"/>
          <w:i/>
          <w:lang w:val="fr-CA"/>
        </w:rPr>
        <w:t xml:space="preserve"> </w:t>
      </w:r>
      <w:r w:rsidRPr="00CF10F0">
        <w:rPr>
          <w:rFonts w:cs="Times New Roman"/>
          <w:lang w:val="fr-CA"/>
        </w:rPr>
        <w:t xml:space="preserve">2009 CSC 4, [2009] 1 R.C.S. 104, </w:t>
      </w:r>
      <w:r>
        <w:rPr>
          <w:rFonts w:cs="Times New Roman"/>
          <w:lang w:val="fr-CA"/>
        </w:rPr>
        <w:t>par. </w:t>
      </w:r>
      <w:r w:rsidRPr="00CF10F0">
        <w:rPr>
          <w:rFonts w:cs="Times New Roman"/>
          <w:lang w:val="fr-CA"/>
        </w:rPr>
        <w:t>59</w:t>
      </w:r>
      <w:r>
        <w:rPr>
          <w:rFonts w:cs="Times New Roman"/>
          <w:lang w:val="fr-CA"/>
        </w:rPr>
        <w:noBreakHyphen/>
      </w:r>
      <w:r w:rsidRPr="00CF10F0">
        <w:rPr>
          <w:rFonts w:cs="Times New Roman"/>
          <w:lang w:val="fr-CA"/>
        </w:rPr>
        <w:t xml:space="preserve">60; </w:t>
      </w:r>
      <w:r w:rsidRPr="00CF10F0">
        <w:rPr>
          <w:rFonts w:cs="Times New Roman"/>
          <w:i/>
          <w:lang w:val="fr-CA"/>
        </w:rPr>
        <w:t xml:space="preserve">R. c. </w:t>
      </w:r>
      <w:proofErr w:type="spellStart"/>
      <w:r w:rsidRPr="00CF10F0">
        <w:rPr>
          <w:rFonts w:cs="Times New Roman"/>
          <w:i/>
          <w:lang w:val="fr-CA"/>
        </w:rPr>
        <w:t>Illes</w:t>
      </w:r>
      <w:proofErr w:type="spellEnd"/>
      <w:r w:rsidRPr="00CF10F0">
        <w:rPr>
          <w:rFonts w:cs="Times New Roman"/>
          <w:lang w:val="fr-CA"/>
        </w:rPr>
        <w:t xml:space="preserve">, 2008 CSC 57, [2008] 3 R.C.S. 134, </w:t>
      </w:r>
      <w:r>
        <w:rPr>
          <w:rFonts w:cs="Times New Roman"/>
          <w:lang w:val="fr-CA"/>
        </w:rPr>
        <w:t>par. </w:t>
      </w:r>
      <w:r w:rsidRPr="00CF10F0">
        <w:rPr>
          <w:rFonts w:cs="Times New Roman"/>
          <w:lang w:val="fr-CA"/>
        </w:rPr>
        <w:t>21</w:t>
      </w:r>
      <w:r>
        <w:rPr>
          <w:rFonts w:cs="Times New Roman"/>
          <w:lang w:val="fr-CA"/>
        </w:rPr>
        <w:noBreakHyphen/>
      </w:r>
      <w:r w:rsidRPr="00CF10F0">
        <w:rPr>
          <w:rFonts w:cs="Times New Roman"/>
          <w:lang w:val="fr-CA"/>
        </w:rPr>
        <w:t>23); et les demandes d’autorisation de présenter de nouveaux éléments de preuve soulèvent la question de savoir si on pouvait raisonnablement penser que ces nouveaux éléments auraient influé sur le verdict du jury (</w:t>
      </w:r>
      <w:r w:rsidRPr="00CF10F0">
        <w:rPr>
          <w:rFonts w:cs="Times New Roman"/>
          <w:i/>
          <w:lang w:val="fr-CA"/>
        </w:rPr>
        <w:t>Palmer c. La Reine</w:t>
      </w:r>
      <w:r w:rsidRPr="00CF10F0">
        <w:rPr>
          <w:rFonts w:cs="Times New Roman"/>
          <w:lang w:val="fr-CA"/>
        </w:rPr>
        <w:t>,</w:t>
      </w:r>
      <w:r w:rsidRPr="00CF10F0">
        <w:rPr>
          <w:rFonts w:cs="Times New Roman"/>
          <w:i/>
          <w:lang w:val="fr-CA"/>
        </w:rPr>
        <w:t xml:space="preserve"> </w:t>
      </w:r>
      <w:r w:rsidRPr="00CF10F0">
        <w:rPr>
          <w:rFonts w:cs="Times New Roman"/>
          <w:lang w:val="fr-CA"/>
        </w:rPr>
        <w:t xml:space="preserve">[1980] 1 R.C.S. 759, </w:t>
      </w:r>
      <w:r>
        <w:rPr>
          <w:rFonts w:cs="Times New Roman"/>
          <w:lang w:val="fr-CA"/>
        </w:rPr>
        <w:t>p. </w:t>
      </w:r>
      <w:r w:rsidRPr="00CF10F0">
        <w:rPr>
          <w:rFonts w:cs="Times New Roman"/>
          <w:lang w:val="fr-CA"/>
        </w:rPr>
        <w:t xml:space="preserve">775; voir aussi </w:t>
      </w:r>
      <w:r w:rsidRPr="00CF10F0">
        <w:rPr>
          <w:rFonts w:cs="Times New Roman"/>
          <w:i/>
          <w:lang w:val="fr-CA"/>
        </w:rPr>
        <w:t>R. c. Hay</w:t>
      </w:r>
      <w:r w:rsidRPr="00CF10F0">
        <w:rPr>
          <w:rFonts w:cs="Times New Roman"/>
          <w:lang w:val="fr-CA"/>
        </w:rPr>
        <w:t>,</w:t>
      </w:r>
      <w:r w:rsidRPr="00CF10F0">
        <w:rPr>
          <w:rFonts w:cs="Times New Roman"/>
          <w:i/>
          <w:lang w:val="fr-CA"/>
        </w:rPr>
        <w:t xml:space="preserve"> </w:t>
      </w:r>
      <w:r w:rsidRPr="00CF10F0">
        <w:rPr>
          <w:rFonts w:cs="Times New Roman"/>
          <w:lang w:val="fr-CA"/>
        </w:rPr>
        <w:t xml:space="preserve">2013 CSC 61, [2013] 3 R.C.S. 694, </w:t>
      </w:r>
      <w:r>
        <w:rPr>
          <w:rFonts w:cs="Times New Roman"/>
          <w:lang w:val="fr-CA"/>
        </w:rPr>
        <w:t>par. </w:t>
      </w:r>
      <w:r w:rsidRPr="00CF10F0">
        <w:rPr>
          <w:rFonts w:cs="Times New Roman"/>
          <w:lang w:val="fr-CA"/>
        </w:rPr>
        <w:t>70</w:t>
      </w:r>
      <w:r>
        <w:rPr>
          <w:rFonts w:cs="Times New Roman"/>
          <w:lang w:val="fr-CA"/>
        </w:rPr>
        <w:noBreakHyphen/>
      </w:r>
      <w:r w:rsidRPr="00CF10F0">
        <w:rPr>
          <w:rFonts w:cs="Times New Roman"/>
          <w:lang w:val="fr-CA"/>
        </w:rPr>
        <w:t>75). Chacune de ces questions courantes en matière d’appel exige du tribunal de révision qu’il examine ce que le jury peut avoir pensé et si celui</w:t>
      </w:r>
      <w:r>
        <w:rPr>
          <w:rFonts w:cs="Times New Roman"/>
          <w:lang w:val="fr-CA"/>
        </w:rPr>
        <w:noBreakHyphen/>
      </w:r>
      <w:r w:rsidRPr="00CF10F0">
        <w:rPr>
          <w:rFonts w:cs="Times New Roman"/>
          <w:lang w:val="fr-CA"/>
        </w:rPr>
        <w:t>ci aurait pu changer d’avis si le procès s’était déroulé autrement. En fait, mon collègue est disposé à procéder lui</w:t>
      </w:r>
      <w:r>
        <w:rPr>
          <w:rFonts w:cs="Times New Roman"/>
          <w:lang w:val="fr-CA"/>
        </w:rPr>
        <w:noBreakHyphen/>
      </w:r>
      <w:r w:rsidRPr="00CF10F0">
        <w:rPr>
          <w:rFonts w:cs="Times New Roman"/>
          <w:lang w:val="fr-CA"/>
        </w:rPr>
        <w:t>même à cet examen, car il conclut que la directive erronée en l’espèce en est une « </w:t>
      </w:r>
      <w:r w:rsidRPr="00CF10F0">
        <w:rPr>
          <w:rFonts w:cs="Times New Roman"/>
          <w:noProof/>
          <w:lang w:val="fr-CA"/>
        </w:rPr>
        <w:t>dont il serai</w:t>
      </w:r>
      <w:r w:rsidR="00A40984">
        <w:rPr>
          <w:rFonts w:cs="Times New Roman"/>
          <w:noProof/>
          <w:lang w:val="fr-CA"/>
        </w:rPr>
        <w:t>t raisonnable de penser qu’elle</w:t>
      </w:r>
      <w:r w:rsidRPr="00CF10F0">
        <w:rPr>
          <w:rFonts w:cs="Times New Roman"/>
          <w:noProof/>
          <w:lang w:val="fr-CA"/>
        </w:rPr>
        <w:t xml:space="preserve"> a eu une incidence significative sur l’acquittement</w:t>
      </w:r>
      <w:r w:rsidRPr="00CF10F0">
        <w:rPr>
          <w:rFonts w:cs="Times New Roman"/>
          <w:lang w:val="fr-CA"/>
        </w:rPr>
        <w:t> » (</w:t>
      </w:r>
      <w:r>
        <w:rPr>
          <w:rFonts w:cs="Times New Roman"/>
          <w:lang w:val="fr-CA"/>
        </w:rPr>
        <w:t>par. </w:t>
      </w:r>
      <w:r w:rsidRPr="00CF10F0">
        <w:rPr>
          <w:rFonts w:cs="Times New Roman"/>
          <w:lang w:val="fr-CA"/>
        </w:rPr>
        <w:t xml:space="preserve">103). Le cadre que j’ai proposé n’exige rien de plus. </w:t>
      </w:r>
    </w:p>
    <w:p w14:paraId="0D747AFC" w14:textId="73C8A959" w:rsidR="00BE287D" w:rsidRPr="00CF10F0" w:rsidRDefault="00BE287D" w:rsidP="00BE287D">
      <w:pPr>
        <w:pStyle w:val="ParaNoNdepar-AltN"/>
        <w:rPr>
          <w:rFonts w:cs="Times New Roman"/>
          <w:lang w:val="fr-CA"/>
        </w:rPr>
      </w:pPr>
      <w:r w:rsidRPr="00CF10F0">
        <w:rPr>
          <w:rFonts w:cs="Times New Roman"/>
          <w:lang w:val="fr-CA"/>
        </w:rPr>
        <w:t>De plus, et avec égards pour mon collègue, les observations que j’ai formulées visent à compléter — et non à modifier — la règle de droit énoncée dans l’arrêt </w:t>
      </w:r>
      <w:proofErr w:type="spellStart"/>
      <w:r w:rsidRPr="00CF10F0">
        <w:rPr>
          <w:rFonts w:cs="Times New Roman"/>
          <w:i/>
          <w:lang w:val="fr-CA"/>
        </w:rPr>
        <w:t>Pittiman</w:t>
      </w:r>
      <w:proofErr w:type="spellEnd"/>
      <w:r w:rsidRPr="00CF10F0">
        <w:rPr>
          <w:rFonts w:cs="Times New Roman"/>
          <w:lang w:val="fr-CA"/>
        </w:rPr>
        <w:t xml:space="preserve">; elles ne visent pas non plus à modifier celle exposée dans </w:t>
      </w:r>
      <w:r w:rsidRPr="00CF10F0">
        <w:rPr>
          <w:rFonts w:cs="Times New Roman"/>
          <w:i/>
          <w:lang w:val="fr-CA"/>
        </w:rPr>
        <w:t>R. c. J.F.</w:t>
      </w:r>
      <w:r w:rsidRPr="00CF10F0">
        <w:rPr>
          <w:rFonts w:cs="Times New Roman"/>
          <w:lang w:val="fr-CA"/>
        </w:rPr>
        <w:t xml:space="preserve">, 2008 CSC 60, [2008] 3 R.C.S. 215, où notre Cour a reformulé comme suit les principes </w:t>
      </w:r>
      <w:r w:rsidRPr="00CF10F0">
        <w:rPr>
          <w:rFonts w:cs="Times New Roman"/>
          <w:lang w:val="fr-CA"/>
        </w:rPr>
        <w:lastRenderedPageBreak/>
        <w:t xml:space="preserve">établis dans </w:t>
      </w:r>
      <w:proofErr w:type="spellStart"/>
      <w:r w:rsidRPr="00CF10F0">
        <w:rPr>
          <w:rFonts w:cs="Times New Roman"/>
          <w:i/>
          <w:lang w:val="fr-CA"/>
        </w:rPr>
        <w:t>Pittiman</w:t>
      </w:r>
      <w:proofErr w:type="spellEnd"/>
      <w:r w:rsidRPr="00A40984">
        <w:rPr>
          <w:rFonts w:cs="Times New Roman"/>
          <w:lang w:val="fr-CA"/>
        </w:rPr>
        <w:t xml:space="preserve"> : </w:t>
      </w:r>
      <w:r w:rsidRPr="00CF10F0">
        <w:rPr>
          <w:rFonts w:cs="Times New Roman"/>
          <w:lang w:val="fr-CA"/>
        </w:rPr>
        <w:t>« </w:t>
      </w:r>
      <w:r w:rsidR="003726F3">
        <w:rPr>
          <w:rFonts w:cs="Times New Roman"/>
          <w:lang w:val="fr-CA"/>
        </w:rPr>
        <w:t>…</w:t>
      </w:r>
      <w:r w:rsidR="00A40984">
        <w:rPr>
          <w:rFonts w:cs="Times New Roman"/>
          <w:lang w:val="fr-CA"/>
        </w:rPr>
        <w:t xml:space="preserve"> </w:t>
      </w:r>
      <w:r w:rsidRPr="00CF10F0">
        <w:rPr>
          <w:rFonts w:cs="Times New Roman"/>
          <w:lang w:val="fr-CA"/>
        </w:rPr>
        <w:t>des verdicts sont réputés incompatibles — et, par conséquent, déraisonnables en droit — si aucun jury ayant reçu des directives appropriées n’aurait pu rendre raisonnablement les deux verdicts </w:t>
      </w:r>
      <w:r w:rsidR="003726F3">
        <w:rPr>
          <w:rFonts w:cs="Times New Roman"/>
          <w:lang w:val="fr-CA"/>
        </w:rPr>
        <w:t>…</w:t>
      </w:r>
      <w:r w:rsidR="00A40984">
        <w:rPr>
          <w:rFonts w:cs="Times New Roman"/>
          <w:lang w:val="fr-CA"/>
        </w:rPr>
        <w:t> </w:t>
      </w:r>
      <w:r w:rsidRPr="00CF10F0">
        <w:rPr>
          <w:rFonts w:cs="Times New Roman"/>
          <w:lang w:val="fr-CA"/>
        </w:rPr>
        <w:t>» (</w:t>
      </w:r>
      <w:r>
        <w:rPr>
          <w:rFonts w:cs="Times New Roman"/>
          <w:lang w:val="fr-CA"/>
        </w:rPr>
        <w:t>par. </w:t>
      </w:r>
      <w:r w:rsidRPr="00CF10F0">
        <w:rPr>
          <w:rFonts w:cs="Times New Roman"/>
          <w:lang w:val="fr-CA"/>
        </w:rPr>
        <w:t>23).</w:t>
      </w:r>
      <w:r w:rsidRPr="00CF10F0">
        <w:rPr>
          <w:rFonts w:cs="Times New Roman"/>
          <w:i/>
          <w:lang w:val="fr-CA"/>
        </w:rPr>
        <w:t xml:space="preserve"> </w:t>
      </w:r>
      <w:r w:rsidRPr="00CF10F0">
        <w:rPr>
          <w:rFonts w:cs="Times New Roman"/>
          <w:lang w:val="fr-CA"/>
        </w:rPr>
        <w:t xml:space="preserve">Selon l’interprétation donnée à ce passage par la Cour d’appel en l’espèce, les cours d’appel appelées à contrôler l’incompatibilité de verdicts ne devraient pas, lors de l’appréciation de la </w:t>
      </w:r>
      <w:proofErr w:type="spellStart"/>
      <w:r w:rsidRPr="00CF10F0">
        <w:rPr>
          <w:rFonts w:cs="Times New Roman"/>
          <w:lang w:val="fr-CA"/>
        </w:rPr>
        <w:t>raisonnabilité</w:t>
      </w:r>
      <w:proofErr w:type="spellEnd"/>
      <w:r w:rsidRPr="00CF10F0">
        <w:rPr>
          <w:rFonts w:cs="Times New Roman"/>
          <w:lang w:val="fr-CA"/>
        </w:rPr>
        <w:t xml:space="preserve">, examiner les directives données au jury. Soit dit en tout respect, les arrêts </w:t>
      </w:r>
      <w:proofErr w:type="spellStart"/>
      <w:r w:rsidRPr="00CF10F0">
        <w:rPr>
          <w:rFonts w:cs="Times New Roman"/>
          <w:i/>
          <w:lang w:val="fr-CA"/>
        </w:rPr>
        <w:t>Pittiman</w:t>
      </w:r>
      <w:proofErr w:type="spellEnd"/>
      <w:r w:rsidRPr="00CF10F0">
        <w:rPr>
          <w:rFonts w:cs="Times New Roman"/>
          <w:i/>
          <w:lang w:val="fr-CA"/>
        </w:rPr>
        <w:t xml:space="preserve"> </w:t>
      </w:r>
      <w:r w:rsidRPr="00CF10F0">
        <w:rPr>
          <w:rFonts w:cs="Times New Roman"/>
          <w:lang w:val="fr-CA"/>
        </w:rPr>
        <w:t xml:space="preserve">et </w:t>
      </w:r>
      <w:r w:rsidRPr="00CF10F0">
        <w:rPr>
          <w:rFonts w:cs="Times New Roman"/>
          <w:i/>
          <w:lang w:val="fr-CA"/>
        </w:rPr>
        <w:t xml:space="preserve">J.F. </w:t>
      </w:r>
      <w:r w:rsidRPr="00CF10F0">
        <w:rPr>
          <w:rFonts w:cs="Times New Roman"/>
          <w:lang w:val="fr-CA"/>
        </w:rPr>
        <w:t>ne devraient pas être interprétés de cette manière.</w:t>
      </w:r>
      <w:r w:rsidRPr="00CF10F0">
        <w:rPr>
          <w:rFonts w:cs="Times New Roman"/>
          <w:shd w:val="clear" w:color="auto" w:fill="FFFFFF"/>
          <w:lang w:val="fr-CA"/>
        </w:rPr>
        <w:t xml:space="preserve"> Dans </w:t>
      </w:r>
      <w:r w:rsidRPr="00CF10F0">
        <w:rPr>
          <w:rFonts w:cs="Times New Roman"/>
          <w:i/>
          <w:shd w:val="clear" w:color="auto" w:fill="FFFFFF"/>
          <w:lang w:val="fr-CA"/>
        </w:rPr>
        <w:t>J.F.</w:t>
      </w:r>
      <w:r w:rsidRPr="00CF10F0">
        <w:rPr>
          <w:rFonts w:cs="Times New Roman"/>
          <w:shd w:val="clear" w:color="auto" w:fill="FFFFFF"/>
          <w:lang w:val="fr-CA"/>
        </w:rPr>
        <w:t>, notre Cour n’a pas établi une règle de droit selon laquelle les directives données au jury doivent être réputées exactes. En fait, elle n’aurait pas pu établir une telle règle, car pour déterminer si les verdicts peuvent s’appuyer sur une théorie de la preuve, il faut nécessairement examiner les éléments sur lesquels ont porté les directives au jury (</w:t>
      </w:r>
      <w:proofErr w:type="spellStart"/>
      <w:r w:rsidRPr="00CF10F0">
        <w:rPr>
          <w:rFonts w:cs="Times New Roman"/>
          <w:i/>
          <w:shd w:val="clear" w:color="auto" w:fill="FFFFFF"/>
          <w:lang w:val="fr-CA"/>
        </w:rPr>
        <w:t>Pittiman</w:t>
      </w:r>
      <w:proofErr w:type="spellEnd"/>
      <w:r w:rsidRPr="00CF10F0">
        <w:rPr>
          <w:rFonts w:cs="Times New Roman"/>
          <w:shd w:val="clear" w:color="auto" w:fill="FFFFFF"/>
          <w:lang w:val="fr-CA"/>
        </w:rPr>
        <w:t xml:space="preserve">, </w:t>
      </w:r>
      <w:r>
        <w:rPr>
          <w:rFonts w:cs="Times New Roman"/>
          <w:shd w:val="clear" w:color="auto" w:fill="FFFFFF"/>
          <w:lang w:val="fr-CA"/>
        </w:rPr>
        <w:t>par. </w:t>
      </w:r>
      <w:r w:rsidRPr="00CF10F0">
        <w:rPr>
          <w:rFonts w:cs="Times New Roman"/>
          <w:shd w:val="clear" w:color="auto" w:fill="FFFFFF"/>
          <w:lang w:val="fr-CA"/>
        </w:rPr>
        <w:t xml:space="preserve">7). </w:t>
      </w:r>
      <w:r w:rsidRPr="00CF10F0">
        <w:rPr>
          <w:rFonts w:cs="Times New Roman"/>
          <w:lang w:val="fr-CA"/>
        </w:rPr>
        <w:t xml:space="preserve">Comme nous l’avons vu, de telles considérations sont monnaie courante. Si les arrêts </w:t>
      </w:r>
      <w:proofErr w:type="spellStart"/>
      <w:r w:rsidRPr="00CF10F0">
        <w:rPr>
          <w:rFonts w:cs="Times New Roman"/>
          <w:i/>
          <w:lang w:val="fr-CA"/>
        </w:rPr>
        <w:t>Pittiman</w:t>
      </w:r>
      <w:proofErr w:type="spellEnd"/>
      <w:r w:rsidRPr="00CF10F0">
        <w:rPr>
          <w:rFonts w:cs="Times New Roman"/>
          <w:i/>
          <w:lang w:val="fr-CA"/>
        </w:rPr>
        <w:t xml:space="preserve"> </w:t>
      </w:r>
      <w:r w:rsidRPr="00CF10F0">
        <w:rPr>
          <w:rFonts w:cs="Times New Roman"/>
          <w:lang w:val="fr-CA"/>
        </w:rPr>
        <w:t xml:space="preserve">et </w:t>
      </w:r>
      <w:r w:rsidRPr="00CF10F0">
        <w:rPr>
          <w:rFonts w:cs="Times New Roman"/>
          <w:i/>
          <w:lang w:val="fr-CA"/>
        </w:rPr>
        <w:t xml:space="preserve">J.F. </w:t>
      </w:r>
      <w:r w:rsidRPr="00CF10F0">
        <w:rPr>
          <w:rFonts w:cs="Times New Roman"/>
          <w:lang w:val="fr-CA"/>
        </w:rPr>
        <w:t xml:space="preserve">exigeaient de s’écarter de ce principe, notre Cour l’aurait dit de façon explicite. Or, elle ne l’a pas fait. </w:t>
      </w:r>
    </w:p>
    <w:p w14:paraId="489EBC5D" w14:textId="77777777" w:rsidR="00BE287D" w:rsidRPr="00CF10F0" w:rsidRDefault="00BE287D" w:rsidP="00BE287D">
      <w:pPr>
        <w:pStyle w:val="ParaNoNdepar-AltN"/>
        <w:rPr>
          <w:rFonts w:cs="Times New Roman"/>
          <w:lang w:val="fr-CA"/>
        </w:rPr>
      </w:pPr>
      <w:r w:rsidRPr="00CF10F0">
        <w:rPr>
          <w:rFonts w:cs="Times New Roman"/>
          <w:lang w:val="fr-CA"/>
        </w:rPr>
        <w:t>Dans l’affaire </w:t>
      </w:r>
      <w:r w:rsidRPr="00CF10F0">
        <w:rPr>
          <w:rFonts w:cs="Times New Roman"/>
          <w:i/>
          <w:lang w:val="fr-CA"/>
        </w:rPr>
        <w:t>J.F.</w:t>
      </w:r>
      <w:r w:rsidRPr="00CF10F0">
        <w:rPr>
          <w:rFonts w:cs="Times New Roman"/>
          <w:lang w:val="fr-CA"/>
        </w:rPr>
        <w:t>, les directives données au jury ne révélaient aucune erreur manifeste qui aurait permis à la cour d’appel de reconstituer le raisonnement du jury avec quelque degré de certitude que ce soit. Comme elle ne pouvait pas déterminer pourquoi le jury avait rendu les verdicts différents, la Cour a refusé de confirmer la déclaration de culpabilité au motif que l’erreur de droit permettait de concilier les verdicts (</w:t>
      </w:r>
      <w:r>
        <w:rPr>
          <w:rFonts w:cs="Times New Roman"/>
          <w:lang w:val="fr-CA"/>
        </w:rPr>
        <w:t>par. </w:t>
      </w:r>
      <w:r w:rsidRPr="00CF10F0">
        <w:rPr>
          <w:rFonts w:cs="Times New Roman"/>
          <w:lang w:val="fr-CA"/>
        </w:rPr>
        <w:t xml:space="preserve">21). L’approche suivie dans </w:t>
      </w:r>
      <w:r w:rsidRPr="00CF10F0">
        <w:rPr>
          <w:rFonts w:cs="Times New Roman"/>
          <w:i/>
          <w:lang w:val="fr-CA"/>
        </w:rPr>
        <w:t xml:space="preserve">J.F. </w:t>
      </w:r>
      <w:r w:rsidRPr="00CF10F0">
        <w:rPr>
          <w:rFonts w:cs="Times New Roman"/>
          <w:lang w:val="fr-CA"/>
        </w:rPr>
        <w:t xml:space="preserve">demeure appropriée lorsqu’une cour d’appel ne peut pas conclure avec une certitude élevée que l’erreur de droit a entraîné les verdicts incompatibles. Si, par contre, une cour peut tirer cette conclusion, aucun </w:t>
      </w:r>
      <w:r w:rsidRPr="00CF10F0">
        <w:rPr>
          <w:rFonts w:cs="Times New Roman"/>
          <w:lang w:val="fr-CA"/>
        </w:rPr>
        <w:lastRenderedPageBreak/>
        <w:t xml:space="preserve">problème de conjecture inappropriée ne se pose. Au contraire, </w:t>
      </w:r>
      <w:r>
        <w:rPr>
          <w:rFonts w:cs="Times New Roman"/>
          <w:lang w:val="fr-CA"/>
        </w:rPr>
        <w:t xml:space="preserve">mettre en doute </w:t>
      </w:r>
      <w:r w:rsidRPr="00CF10F0">
        <w:rPr>
          <w:rFonts w:cs="Times New Roman"/>
          <w:lang w:val="fr-CA"/>
        </w:rPr>
        <w:t xml:space="preserve">les verdicts du jury alors que la cour d’appel sait que l’erreur est imputable au juge du procès nuirait au processus judiciaire. Comme l’a expliqué le juge d’appel </w:t>
      </w:r>
      <w:proofErr w:type="spellStart"/>
      <w:r w:rsidRPr="00CF10F0">
        <w:rPr>
          <w:rFonts w:cs="Times New Roman"/>
          <w:lang w:val="fr-CA"/>
        </w:rPr>
        <w:t>Paciocco</w:t>
      </w:r>
      <w:proofErr w:type="spellEnd"/>
      <w:r w:rsidRPr="00CF10F0">
        <w:rPr>
          <w:rFonts w:cs="Times New Roman"/>
          <w:lang w:val="fr-CA"/>
        </w:rPr>
        <w:t xml:space="preserve"> dans l’arrêt </w:t>
      </w:r>
      <w:r w:rsidRPr="00CF10F0">
        <w:rPr>
          <w:rFonts w:cs="Times New Roman"/>
          <w:i/>
          <w:lang w:val="fr-CA"/>
        </w:rPr>
        <w:t>R. c. Plein</w:t>
      </w:r>
      <w:r w:rsidRPr="00CF10F0">
        <w:rPr>
          <w:rFonts w:cs="Times New Roman"/>
          <w:lang w:val="fr-CA"/>
        </w:rPr>
        <w:t>,</w:t>
      </w:r>
      <w:r w:rsidRPr="00CF10F0">
        <w:rPr>
          <w:rFonts w:cs="Times New Roman"/>
          <w:i/>
          <w:lang w:val="fr-CA"/>
        </w:rPr>
        <w:t xml:space="preserve"> </w:t>
      </w:r>
      <w:r w:rsidRPr="00CF10F0">
        <w:rPr>
          <w:rFonts w:cs="Times New Roman"/>
          <w:lang w:val="fr-CA"/>
        </w:rPr>
        <w:t xml:space="preserve">2018 ONCA 748, 365 C.C.C. (3d) 437, </w:t>
      </w:r>
      <w:r w:rsidRPr="00CF10F0">
        <w:rPr>
          <w:rFonts w:cs="Times New Roman"/>
          <w:smallCaps/>
          <w:lang w:val="fr-CA"/>
        </w:rPr>
        <w:t xml:space="preserve">[traduction] </w:t>
      </w:r>
      <w:r w:rsidRPr="00CF10F0">
        <w:rPr>
          <w:rFonts w:cs="Times New Roman"/>
          <w:lang w:val="fr-CA"/>
        </w:rPr>
        <w:t>« considérer qu’une déclaration de culpabilité manifestement raisonnable est déraisonnable en raison d’un acquittement incompatible qui repose sur une erreur de droit manifeste ne constitue pas une conclusion appropriée » (</w:t>
      </w:r>
      <w:r>
        <w:rPr>
          <w:rFonts w:cs="Times New Roman"/>
          <w:lang w:val="fr-CA"/>
        </w:rPr>
        <w:t>par. </w:t>
      </w:r>
      <w:r w:rsidRPr="00CF10F0">
        <w:rPr>
          <w:rFonts w:cs="Times New Roman"/>
          <w:lang w:val="fr-CA"/>
        </w:rPr>
        <w:t xml:space="preserve">42). Bien que l’affaire </w:t>
      </w:r>
      <w:r w:rsidRPr="00CF10F0">
        <w:rPr>
          <w:rFonts w:cs="Times New Roman"/>
          <w:i/>
          <w:lang w:val="fr-CA"/>
        </w:rPr>
        <w:t xml:space="preserve">Plein </w:t>
      </w:r>
      <w:r w:rsidRPr="00CF10F0">
        <w:rPr>
          <w:rFonts w:cs="Times New Roman"/>
          <w:lang w:val="fr-CA"/>
        </w:rPr>
        <w:t xml:space="preserve">ait été décidée par un juge seul, ce principe s’applique également au procès devant juge et jury pourvu que le tribunal de révision puisse reconstituer le raisonnement du jury avec la certitude élevée requise. </w:t>
      </w:r>
    </w:p>
    <w:p w14:paraId="0CAD09B7" w14:textId="77777777" w:rsidR="00BE287D" w:rsidRPr="00CF10F0" w:rsidRDefault="00BE287D" w:rsidP="00BE287D">
      <w:pPr>
        <w:pStyle w:val="ParaNoNdepar-AltN"/>
        <w:rPr>
          <w:rFonts w:cs="Times New Roman"/>
          <w:i/>
          <w:lang w:val="fr-CA"/>
        </w:rPr>
      </w:pPr>
      <w:r w:rsidRPr="00CF10F0">
        <w:rPr>
          <w:rFonts w:cs="Times New Roman"/>
          <w:shd w:val="clear" w:color="auto" w:fill="FFFFFF"/>
          <w:lang w:val="fr-CA"/>
        </w:rPr>
        <w:t xml:space="preserve">De plus, le cadre de conciliation que j’ai proposé tient compte des craintes qui ont amené la Cour dans l’arrêt </w:t>
      </w:r>
      <w:r w:rsidRPr="00CF10F0">
        <w:rPr>
          <w:rFonts w:cs="Times New Roman"/>
          <w:i/>
          <w:shd w:val="clear" w:color="auto" w:fill="FFFFFF"/>
          <w:lang w:val="fr-CA"/>
        </w:rPr>
        <w:t xml:space="preserve">J.F. </w:t>
      </w:r>
      <w:r w:rsidRPr="00CF10F0">
        <w:rPr>
          <w:rFonts w:cs="Times New Roman"/>
          <w:shd w:val="clear" w:color="auto" w:fill="FFFFFF"/>
          <w:lang w:val="fr-CA"/>
        </w:rPr>
        <w:t>à faire une mise en garde, dans ses remarques incidentes, contre la légitimation d’une déclaration de culpabilité fondée sur une erreur de droit.</w:t>
      </w:r>
      <w:r w:rsidRPr="00CF10F0">
        <w:rPr>
          <w:rFonts w:cs="Times New Roman"/>
          <w:lang w:val="fr-CA"/>
        </w:rPr>
        <w:t xml:space="preserve"> Rien de ce que j’ai dit ne laisse entendre qu’une erreur de droit dans les directives au jury a nécessairement pour effet de valider des verdicts incorrects ou de remédier à l’incompatibilité des verdicts (voir </w:t>
      </w:r>
      <w:r w:rsidRPr="00CF10F0">
        <w:rPr>
          <w:rFonts w:cs="Times New Roman"/>
          <w:i/>
          <w:lang w:val="fr-CA"/>
        </w:rPr>
        <w:t>J.F.</w:t>
      </w:r>
      <w:r w:rsidRPr="00CF10F0">
        <w:rPr>
          <w:rFonts w:cs="Times New Roman"/>
          <w:lang w:val="fr-CA"/>
        </w:rPr>
        <w:t>,</w:t>
      </w:r>
      <w:r w:rsidRPr="00CF10F0">
        <w:rPr>
          <w:rFonts w:cs="Times New Roman"/>
          <w:shd w:val="clear" w:color="auto" w:fill="FFFFFF"/>
          <w:lang w:val="fr-CA"/>
        </w:rPr>
        <w:t xml:space="preserve"> </w:t>
      </w:r>
      <w:r>
        <w:rPr>
          <w:rFonts w:cs="Times New Roman"/>
          <w:shd w:val="clear" w:color="auto" w:fill="FFFFFF"/>
          <w:lang w:val="fr-CA"/>
        </w:rPr>
        <w:t>par. </w:t>
      </w:r>
      <w:r w:rsidRPr="00CF10F0">
        <w:rPr>
          <w:rFonts w:cs="Times New Roman"/>
          <w:shd w:val="clear" w:color="auto" w:fill="FFFFFF"/>
          <w:lang w:val="fr-CA"/>
        </w:rPr>
        <w:t>23). Une cour d’appel qui conclut qu’une erreur de droit a été commise et que cette erreur a eu une incidence significative sur l’acquittement doit ensuite déterminer l’incidence qu’a eue cette erreur sur la déclaration de culpabilité. Si l’erreur peut être restreinte à l’acquittement, ce n’est pas l’erreur elle</w:t>
      </w:r>
      <w:r>
        <w:rPr>
          <w:rFonts w:cs="Times New Roman"/>
          <w:shd w:val="clear" w:color="auto" w:fill="FFFFFF"/>
          <w:lang w:val="fr-CA"/>
        </w:rPr>
        <w:noBreakHyphen/>
      </w:r>
      <w:r w:rsidRPr="00CF10F0">
        <w:rPr>
          <w:rFonts w:cs="Times New Roman"/>
          <w:shd w:val="clear" w:color="auto" w:fill="FFFFFF"/>
          <w:lang w:val="fr-CA"/>
        </w:rPr>
        <w:t>même qui permet de concilier les verdicts, mais plutôt la conclusion selon laquelle l’erreur n’a eu aucune incidence sur la déclaration de culpabilité. Cette conclusion s’accorde avec l’arrêt </w:t>
      </w:r>
      <w:r w:rsidRPr="00CF10F0">
        <w:rPr>
          <w:rFonts w:cs="Times New Roman"/>
          <w:i/>
          <w:shd w:val="clear" w:color="auto" w:fill="FFFFFF"/>
          <w:lang w:val="fr-CA"/>
        </w:rPr>
        <w:t>J.F.</w:t>
      </w:r>
      <w:r w:rsidRPr="00CF10F0">
        <w:rPr>
          <w:rFonts w:cs="Times New Roman"/>
          <w:i/>
          <w:lang w:val="fr-CA"/>
        </w:rPr>
        <w:t xml:space="preserve"> </w:t>
      </w:r>
    </w:p>
    <w:p w14:paraId="655A615C" w14:textId="77777777" w:rsidR="00BE287D" w:rsidRPr="00CF10F0" w:rsidRDefault="00BE287D" w:rsidP="00BE287D">
      <w:pPr>
        <w:pStyle w:val="Title3LevelTitre3Niveau"/>
        <w:rPr>
          <w:rFonts w:cs="Times New Roman"/>
          <w:lang w:val="fr-CA"/>
        </w:rPr>
      </w:pPr>
      <w:r w:rsidRPr="00CF10F0">
        <w:rPr>
          <w:rFonts w:cs="Times New Roman"/>
          <w:lang w:val="fr-CA"/>
        </w:rPr>
        <w:lastRenderedPageBreak/>
        <w:t>Réparation</w:t>
      </w:r>
    </w:p>
    <w:p w14:paraId="5755E2E2" w14:textId="77777777" w:rsidR="00BE287D" w:rsidRPr="00CF10F0" w:rsidRDefault="00BE287D" w:rsidP="00BE287D">
      <w:pPr>
        <w:pStyle w:val="ParaNoNdepar-AltN"/>
        <w:rPr>
          <w:rFonts w:cs="Times New Roman"/>
          <w:lang w:val="fr-CA"/>
        </w:rPr>
      </w:pPr>
      <w:r w:rsidRPr="00CF10F0">
        <w:rPr>
          <w:rFonts w:cs="Times New Roman"/>
          <w:lang w:val="fr-CA"/>
        </w:rPr>
        <w:t xml:space="preserve">Lorsqu’il est conclu que l’existence d’une erreur de droit démontre que des verdicts apparemment incompatibles ne sont pas réellement incompatibles, la </w:t>
      </w:r>
      <w:r>
        <w:rPr>
          <w:rFonts w:cs="Times New Roman"/>
          <w:lang w:val="fr-CA"/>
        </w:rPr>
        <w:t xml:space="preserve">détermination de la </w:t>
      </w:r>
      <w:r w:rsidRPr="00CF10F0">
        <w:rPr>
          <w:rFonts w:cs="Times New Roman"/>
          <w:lang w:val="fr-CA"/>
        </w:rPr>
        <w:t xml:space="preserve">réparation convenable </w:t>
      </w:r>
      <w:r>
        <w:rPr>
          <w:rFonts w:cs="Times New Roman"/>
          <w:lang w:val="fr-CA"/>
        </w:rPr>
        <w:t>est tributaire de la question de savoir si</w:t>
      </w:r>
      <w:r w:rsidRPr="00CF10F0">
        <w:rPr>
          <w:rFonts w:cs="Times New Roman"/>
          <w:lang w:val="fr-CA"/>
        </w:rPr>
        <w:t xml:space="preserve"> la Couronne a formé un appel incident contre l’acquittement. Je vais maintenant me pencher sur cette question. </w:t>
      </w:r>
    </w:p>
    <w:p w14:paraId="14EDD77D" w14:textId="77777777" w:rsidR="00BE287D" w:rsidRPr="00CF10F0" w:rsidRDefault="00BE287D" w:rsidP="00BE287D">
      <w:pPr>
        <w:pStyle w:val="Title4LevelTitre4Niveau"/>
        <w:rPr>
          <w:rFonts w:cs="Times New Roman"/>
          <w:lang w:val="fr-CA"/>
        </w:rPr>
      </w:pPr>
      <w:r w:rsidRPr="00CF10F0">
        <w:rPr>
          <w:rFonts w:cs="Times New Roman"/>
          <w:lang w:val="fr-CA"/>
        </w:rPr>
        <w:t>Appel incident de la Couronne</w:t>
      </w:r>
    </w:p>
    <w:p w14:paraId="037092A8" w14:textId="2EEC8842" w:rsidR="00BE287D" w:rsidRPr="00CF10F0" w:rsidRDefault="00BE287D" w:rsidP="00BE287D">
      <w:pPr>
        <w:pStyle w:val="ParaNoNdepar-AltN"/>
        <w:rPr>
          <w:rFonts w:cs="Times New Roman"/>
          <w:lang w:val="fr-CA"/>
        </w:rPr>
      </w:pPr>
      <w:r w:rsidRPr="00CF10F0">
        <w:rPr>
          <w:rFonts w:cs="Times New Roman"/>
          <w:lang w:val="fr-CA"/>
        </w:rPr>
        <w:t>Dans les cas où la Couronne interjette un appel incident, l’acquittement doit être écarté si elle réussit à prouver que celui</w:t>
      </w:r>
      <w:r>
        <w:rPr>
          <w:rFonts w:cs="Times New Roman"/>
          <w:lang w:val="fr-CA"/>
        </w:rPr>
        <w:noBreakHyphen/>
      </w:r>
      <w:r w:rsidRPr="00CF10F0">
        <w:rPr>
          <w:rFonts w:cs="Times New Roman"/>
          <w:lang w:val="fr-CA"/>
        </w:rPr>
        <w:t xml:space="preserve">ci était fondé sur une erreur de droit </w:t>
      </w:r>
      <w:r w:rsidR="00A40984">
        <w:rPr>
          <w:rFonts w:cs="Times New Roman"/>
          <w:lang w:val="fr-CA"/>
        </w:rPr>
        <w:t>dont « </w:t>
      </w:r>
      <w:r w:rsidRPr="00CF10F0">
        <w:rPr>
          <w:rFonts w:cs="Times New Roman"/>
          <w:lang w:val="fr-CA"/>
        </w:rPr>
        <w:t xml:space="preserve">il serait </w:t>
      </w:r>
      <w:r w:rsidR="00A40984">
        <w:rPr>
          <w:rFonts w:cs="Times New Roman"/>
          <w:lang w:val="fr-CA"/>
        </w:rPr>
        <w:t xml:space="preserve">raisonnable de penser [. . .] </w:t>
      </w:r>
      <w:proofErr w:type="spellStart"/>
      <w:r w:rsidR="00A40984">
        <w:rPr>
          <w:rFonts w:cs="Times New Roman"/>
          <w:lang w:val="fr-CA"/>
        </w:rPr>
        <w:t>qu</w:t>
      </w:r>
      <w:proofErr w:type="spellEnd"/>
      <w:r w:rsidR="00A40984" w:rsidRPr="00CF10F0">
        <w:rPr>
          <w:rFonts w:cs="Times New Roman"/>
          <w:lang w:val="fr-CA"/>
        </w:rPr>
        <w:t xml:space="preserve"> </w:t>
      </w:r>
      <w:r w:rsidRPr="00CF10F0">
        <w:rPr>
          <w:rFonts w:cs="Times New Roman"/>
          <w:lang w:val="fr-CA"/>
        </w:rPr>
        <w:t>[</w:t>
      </w:r>
      <w:r w:rsidR="00A40984" w:rsidRPr="00CF10F0">
        <w:rPr>
          <w:rFonts w:cs="Times New Roman"/>
          <w:lang w:val="fr-CA"/>
        </w:rPr>
        <w:t>’</w:t>
      </w:r>
      <w:r w:rsidR="00A40984">
        <w:rPr>
          <w:rFonts w:cs="Times New Roman"/>
          <w:lang w:val="fr-CA"/>
        </w:rPr>
        <w:t xml:space="preserve">elle </w:t>
      </w:r>
      <w:r w:rsidRPr="00CF10F0">
        <w:rPr>
          <w:rFonts w:cs="Times New Roman"/>
          <w:lang w:val="fr-CA"/>
        </w:rPr>
        <w:t>a] eu une incidence significative sur le verdict d’acquittement » (</w:t>
      </w:r>
      <w:proofErr w:type="spellStart"/>
      <w:r w:rsidRPr="00CF10F0">
        <w:rPr>
          <w:rFonts w:cs="Times New Roman"/>
          <w:i/>
          <w:lang w:val="fr-CA"/>
        </w:rPr>
        <w:t>Graveline</w:t>
      </w:r>
      <w:proofErr w:type="spellEnd"/>
      <w:r w:rsidRPr="00CF10F0">
        <w:rPr>
          <w:rFonts w:cs="Times New Roman"/>
          <w:lang w:val="fr-CA"/>
        </w:rPr>
        <w:t xml:space="preserve">, </w:t>
      </w:r>
      <w:r>
        <w:rPr>
          <w:rFonts w:cs="Times New Roman"/>
          <w:lang w:val="fr-CA"/>
        </w:rPr>
        <w:t>par. </w:t>
      </w:r>
      <w:r w:rsidRPr="00CF10F0">
        <w:rPr>
          <w:rFonts w:cs="Times New Roman"/>
          <w:lang w:val="fr-CA"/>
        </w:rPr>
        <w:t xml:space="preserve">14). Il faut ensuite se demander ce qui doit découler de </w:t>
      </w:r>
      <w:r>
        <w:rPr>
          <w:rFonts w:cs="Times New Roman"/>
          <w:lang w:val="fr-CA"/>
        </w:rPr>
        <w:t>la mise de côté</w:t>
      </w:r>
      <w:r w:rsidRPr="00CF10F0">
        <w:rPr>
          <w:rFonts w:cs="Times New Roman"/>
          <w:lang w:val="fr-CA"/>
        </w:rPr>
        <w:t xml:space="preserve"> de cet acquittement. </w:t>
      </w:r>
    </w:p>
    <w:p w14:paraId="10B6EC02" w14:textId="77777777" w:rsidR="00BE287D" w:rsidRPr="00CF10F0" w:rsidRDefault="00BE287D" w:rsidP="00BE287D">
      <w:pPr>
        <w:pStyle w:val="ParaNoNdepar-AltN"/>
        <w:rPr>
          <w:rFonts w:cs="Times New Roman"/>
          <w:lang w:val="fr-CA"/>
        </w:rPr>
      </w:pPr>
      <w:r w:rsidRPr="00CF10F0">
        <w:rPr>
          <w:rFonts w:cs="Times New Roman"/>
          <w:lang w:val="fr-CA"/>
        </w:rPr>
        <w:t xml:space="preserve">Le </w:t>
      </w:r>
      <w:r w:rsidRPr="00CF10F0">
        <w:rPr>
          <w:rFonts w:cs="Times New Roman"/>
          <w:i/>
          <w:lang w:val="fr-CA"/>
        </w:rPr>
        <w:t xml:space="preserve">Code criminel </w:t>
      </w:r>
      <w:r w:rsidRPr="00CF10F0">
        <w:rPr>
          <w:rFonts w:cs="Times New Roman"/>
          <w:lang w:val="fr-CA"/>
        </w:rPr>
        <w:t xml:space="preserve">répond </w:t>
      </w:r>
      <w:r>
        <w:rPr>
          <w:rFonts w:cs="Times New Roman"/>
          <w:lang w:val="fr-CA"/>
        </w:rPr>
        <w:t>en majeure partie</w:t>
      </w:r>
      <w:r w:rsidRPr="00CF10F0">
        <w:rPr>
          <w:rFonts w:cs="Times New Roman"/>
          <w:lang w:val="fr-CA"/>
        </w:rPr>
        <w:t xml:space="preserve"> à cette question. L’alinéa 686(4)b) du </w:t>
      </w:r>
      <w:r w:rsidRPr="00CF10F0">
        <w:rPr>
          <w:rFonts w:cs="Times New Roman"/>
          <w:i/>
          <w:lang w:val="fr-CA"/>
        </w:rPr>
        <w:t xml:space="preserve">Code </w:t>
      </w:r>
      <w:r w:rsidRPr="00CF10F0">
        <w:rPr>
          <w:rFonts w:cs="Times New Roman"/>
          <w:lang w:val="fr-CA"/>
        </w:rPr>
        <w:t xml:space="preserve">prévoit que, lorsqu’une cour d’appel admet l’appel d’un acquittement prononcé par un jury, elle ordonne un nouveau procès. En général, toutes les accusations qui sont </w:t>
      </w:r>
      <w:proofErr w:type="spellStart"/>
      <w:r w:rsidRPr="00CF10F0">
        <w:rPr>
          <w:rFonts w:cs="Times New Roman"/>
          <w:lang w:val="fr-CA"/>
        </w:rPr>
        <w:t>interreliées</w:t>
      </w:r>
      <w:proofErr w:type="spellEnd"/>
      <w:r w:rsidRPr="00CF10F0">
        <w:rPr>
          <w:rFonts w:cs="Times New Roman"/>
          <w:lang w:val="fr-CA"/>
        </w:rPr>
        <w:t xml:space="preserve"> devraient être renvoyées pour faire l’objet d’une nouvelle instruction (</w:t>
      </w:r>
      <w:proofErr w:type="spellStart"/>
      <w:r w:rsidRPr="00CF10F0">
        <w:rPr>
          <w:rFonts w:cs="Times New Roman"/>
          <w:i/>
          <w:lang w:val="fr-CA"/>
        </w:rPr>
        <w:t>Pittiman</w:t>
      </w:r>
      <w:proofErr w:type="spellEnd"/>
      <w:r w:rsidRPr="00CF10F0">
        <w:rPr>
          <w:rFonts w:cs="Times New Roman"/>
          <w:lang w:val="fr-CA"/>
        </w:rPr>
        <w:t xml:space="preserve">, </w:t>
      </w:r>
      <w:r>
        <w:rPr>
          <w:rFonts w:cs="Times New Roman"/>
          <w:lang w:val="fr-CA"/>
        </w:rPr>
        <w:t>par. </w:t>
      </w:r>
      <w:r w:rsidRPr="00CF10F0">
        <w:rPr>
          <w:rFonts w:cs="Times New Roman"/>
          <w:lang w:val="fr-CA"/>
        </w:rPr>
        <w:t xml:space="preserve">14). Selon le critère que j’ai énoncé, il se peut fort bien qu’une cour d’appel ait de la difficulté à </w:t>
      </w:r>
      <w:r>
        <w:rPr>
          <w:rFonts w:cs="Times New Roman"/>
          <w:lang w:val="fr-CA"/>
        </w:rPr>
        <w:t xml:space="preserve">limiter </w:t>
      </w:r>
      <w:r w:rsidRPr="00CF10F0">
        <w:rPr>
          <w:rFonts w:cs="Times New Roman"/>
          <w:lang w:val="fr-CA"/>
        </w:rPr>
        <w:t xml:space="preserve">l’erreur à l’acquittement, et une déclaration de culpabilité ne peut pas être maintenue si elle découle d’une erreur de droit. À moins que la cour d’appel ne puisse conclure avec une certitude élevée que </w:t>
      </w:r>
      <w:r w:rsidRPr="00CF10F0">
        <w:rPr>
          <w:rFonts w:cs="Times New Roman"/>
          <w:lang w:val="fr-CA"/>
        </w:rPr>
        <w:lastRenderedPageBreak/>
        <w:t xml:space="preserve">l’erreur de droit n’a pas vicié la déclaration de culpabilité, la tenue d’un nouveau procès à l’égard de toutes les accusations sera nécessaire si l’acquittement est écarté quant à une accusation liée </w:t>
      </w:r>
      <w:r>
        <w:rPr>
          <w:rFonts w:cs="Times New Roman"/>
          <w:lang w:val="fr-CA"/>
        </w:rPr>
        <w:t xml:space="preserve">à </w:t>
      </w:r>
      <w:r w:rsidRPr="00CF10F0">
        <w:rPr>
          <w:rFonts w:cs="Times New Roman"/>
          <w:lang w:val="fr-CA"/>
        </w:rPr>
        <w:t xml:space="preserve">une déclaration de culpabilité. </w:t>
      </w:r>
    </w:p>
    <w:p w14:paraId="5488CC50" w14:textId="77777777" w:rsidR="00BE287D" w:rsidRPr="00CF10F0" w:rsidRDefault="00BE287D" w:rsidP="00BE287D">
      <w:pPr>
        <w:pStyle w:val="ParaNoNdepar-AltN"/>
        <w:rPr>
          <w:rFonts w:eastAsia="Times New Roman" w:cs="Times New Roman"/>
          <w:lang w:val="fr-CA"/>
        </w:rPr>
      </w:pPr>
      <w:r w:rsidRPr="00CF10F0">
        <w:rPr>
          <w:rFonts w:cs="Times New Roman"/>
          <w:lang w:val="fr-CA"/>
        </w:rPr>
        <w:t xml:space="preserve">Dans les cas où une cour d’appel peut </w:t>
      </w:r>
      <w:r>
        <w:rPr>
          <w:rFonts w:cs="Times New Roman"/>
          <w:lang w:val="fr-CA"/>
        </w:rPr>
        <w:t>limiter</w:t>
      </w:r>
      <w:r w:rsidRPr="00CF10F0">
        <w:rPr>
          <w:rFonts w:cs="Times New Roman"/>
          <w:lang w:val="fr-CA"/>
        </w:rPr>
        <w:t xml:space="preserve"> l’erreur de droit à l’acquittement, seule l’accusation dont l’accusé a été acquitté devrait faire l’objet d’un nouveau procès et la déclaration de culpabilité devrait être maintenue. Comme l’erreur n’a pas entaché la déclaration de culpabilité, ce verdict devrait être maintenu à moins, bien entendu, que la déclaration de culpabilité ne soit jugée déraisonnable pour un motif autre que l’incompatibilité. Seule l’accusation dont l’accusé a été acquitté devrait faire l’objet d’un nouveau procès. Par contre, la tenue d’un nouveau procès sur l’accusation dont l’accusé a été acquitté peut susciter des inquiétudes liées à l’autorité de la chose jugée, tel que le plaidoyer d’autrefois convict</w:t>
      </w:r>
      <w:r w:rsidRPr="00CF10F0">
        <w:rPr>
          <w:rFonts w:cs="Times New Roman"/>
          <w:i/>
          <w:lang w:val="fr-CA"/>
        </w:rPr>
        <w:t xml:space="preserve"> </w:t>
      </w:r>
      <w:r w:rsidRPr="00CF10F0">
        <w:rPr>
          <w:rFonts w:cs="Times New Roman"/>
          <w:lang w:val="fr-CA"/>
        </w:rPr>
        <w:t>ou une demande fondée sur l’</w:t>
      </w:r>
      <w:r>
        <w:rPr>
          <w:rFonts w:cs="Times New Roman"/>
          <w:lang w:val="fr-CA"/>
        </w:rPr>
        <w:t>al. </w:t>
      </w:r>
      <w:r w:rsidRPr="00CF10F0">
        <w:rPr>
          <w:rFonts w:cs="Times New Roman"/>
          <w:lang w:val="fr-CA"/>
        </w:rPr>
        <w:t>11</w:t>
      </w:r>
      <w:r w:rsidRPr="00CF10F0">
        <w:rPr>
          <w:rFonts w:cs="Times New Roman"/>
          <w:i/>
          <w:lang w:val="fr-CA"/>
        </w:rPr>
        <w:t>h</w:t>
      </w:r>
      <w:r w:rsidRPr="00CF10F0">
        <w:rPr>
          <w:rFonts w:cs="Times New Roman"/>
          <w:lang w:val="fr-CA"/>
        </w:rPr>
        <w:t xml:space="preserve">) de la </w:t>
      </w:r>
      <w:r w:rsidRPr="00CF10F0">
        <w:rPr>
          <w:rFonts w:cs="Times New Roman"/>
          <w:i/>
          <w:lang w:val="fr-CA"/>
        </w:rPr>
        <w:t>Charte canadienne des droits et libertés</w:t>
      </w:r>
      <w:r w:rsidRPr="00CF10F0">
        <w:rPr>
          <w:rFonts w:cs="Times New Roman"/>
          <w:lang w:val="fr-CA"/>
        </w:rPr>
        <w:t>. Il se peut fort bien que l’accusé puisse présenter ces demandes à l’occasion d’un nouveau procès, mais la possibilité de telles demandes n’empêche pas la cour d’appel d’ordonner un nouveau procès (</w:t>
      </w:r>
      <w:r w:rsidRPr="00CF10F0">
        <w:rPr>
          <w:rFonts w:cs="Times New Roman"/>
          <w:i/>
          <w:lang w:val="fr-CA"/>
        </w:rPr>
        <w:t>Code criminel</w:t>
      </w:r>
      <w:r w:rsidRPr="00CF10F0">
        <w:rPr>
          <w:rFonts w:cs="Times New Roman"/>
          <w:lang w:val="fr-CA"/>
        </w:rPr>
        <w:t>,</w:t>
      </w:r>
      <w:r w:rsidRPr="00CF10F0">
        <w:rPr>
          <w:rFonts w:cs="Times New Roman"/>
          <w:i/>
          <w:lang w:val="fr-CA"/>
        </w:rPr>
        <w:t xml:space="preserve"> </w:t>
      </w:r>
      <w:r>
        <w:rPr>
          <w:rFonts w:cs="Times New Roman"/>
          <w:lang w:val="fr-CA"/>
        </w:rPr>
        <w:t>par. </w:t>
      </w:r>
      <w:r w:rsidRPr="00CF10F0">
        <w:rPr>
          <w:rFonts w:cs="Times New Roman"/>
          <w:lang w:val="fr-CA"/>
        </w:rPr>
        <w:t>686(4)). Si, avant la tenue d’un nouveau procès, l’accusé décide de soulever l’une ou l’autre question, il lui est loisible de le faire. Je n’empêche certainement pas l’accusé de le faire. Cependant, accueillir un plaidoyer spécial d’autrefois convict ou une demande fondée sur l’</w:t>
      </w:r>
      <w:r>
        <w:rPr>
          <w:rFonts w:cs="Times New Roman"/>
          <w:lang w:val="fr-CA"/>
        </w:rPr>
        <w:t>al. </w:t>
      </w:r>
      <w:r w:rsidRPr="00CF10F0">
        <w:rPr>
          <w:rFonts w:cs="Times New Roman"/>
          <w:lang w:val="fr-CA"/>
        </w:rPr>
        <w:t>11</w:t>
      </w:r>
      <w:r w:rsidRPr="00CF10F0">
        <w:rPr>
          <w:rFonts w:cs="Times New Roman"/>
          <w:i/>
          <w:lang w:val="fr-CA"/>
        </w:rPr>
        <w:t>h</w:t>
      </w:r>
      <w:r w:rsidRPr="00CF10F0">
        <w:rPr>
          <w:rFonts w:cs="Times New Roman"/>
          <w:lang w:val="fr-CA"/>
        </w:rPr>
        <w:t>) de la</w:t>
      </w:r>
      <w:r w:rsidRPr="00CF10F0">
        <w:rPr>
          <w:rFonts w:cs="Times New Roman"/>
          <w:i/>
          <w:lang w:val="fr-CA"/>
        </w:rPr>
        <w:t xml:space="preserve"> Charte </w:t>
      </w:r>
      <w:r w:rsidRPr="00CF10F0">
        <w:rPr>
          <w:rFonts w:cs="Times New Roman"/>
          <w:lang w:val="fr-CA"/>
        </w:rPr>
        <w:t xml:space="preserve">est une décision discrétionnaire, que doivent rendre les juges de première instance compte tenu des circonstances portées à leur connaissance. Par conséquent, je refuse de décider si ces demandes feraient obstacle à la tenue d’un nouveau procès en </w:t>
      </w:r>
      <w:r w:rsidRPr="00CF10F0">
        <w:rPr>
          <w:rFonts w:cs="Times New Roman"/>
          <w:i/>
          <w:lang w:val="fr-CA"/>
        </w:rPr>
        <w:t xml:space="preserve">toutes </w:t>
      </w:r>
      <w:r w:rsidRPr="00CF10F0">
        <w:rPr>
          <w:rFonts w:cs="Times New Roman"/>
          <w:lang w:val="fr-CA"/>
        </w:rPr>
        <w:t xml:space="preserve">circonstances. </w:t>
      </w:r>
    </w:p>
    <w:p w14:paraId="1F12ECC2" w14:textId="77777777" w:rsidR="00BE287D" w:rsidRPr="00CF10F0" w:rsidRDefault="00BE287D" w:rsidP="00BE287D">
      <w:pPr>
        <w:pStyle w:val="ParaNoNdepar-AltN"/>
        <w:rPr>
          <w:rFonts w:eastAsia="Times New Roman" w:cs="Times New Roman"/>
          <w:lang w:val="fr-CA"/>
        </w:rPr>
      </w:pPr>
      <w:r w:rsidRPr="00CF10F0">
        <w:rPr>
          <w:rFonts w:cs="Times New Roman"/>
          <w:lang w:val="fr-CA"/>
        </w:rPr>
        <w:lastRenderedPageBreak/>
        <w:t>Cela dit, lorsque la cour d’appel est convaincue que l’acquittement résulte d’une erreur de droit et ne peut être maintenu, la réparation la plus convenable, selon les circonstances, pourrait consister à ordonner l’arrêt des procédures au lieu de renvoyer l’affaire pour un nouveau procès (</w:t>
      </w:r>
      <w:r w:rsidRPr="00CF10F0">
        <w:rPr>
          <w:rFonts w:cs="Times New Roman"/>
          <w:i/>
          <w:lang w:val="fr-CA"/>
        </w:rPr>
        <w:t>Code criminel</w:t>
      </w:r>
      <w:r w:rsidRPr="00CF10F0">
        <w:rPr>
          <w:rFonts w:cs="Times New Roman"/>
          <w:lang w:val="fr-CA"/>
        </w:rPr>
        <w:t>,</w:t>
      </w:r>
      <w:r w:rsidRPr="00CF10F0">
        <w:rPr>
          <w:rFonts w:cs="Times New Roman"/>
          <w:i/>
          <w:lang w:val="fr-CA"/>
        </w:rPr>
        <w:t xml:space="preserve"> </w:t>
      </w:r>
      <w:r>
        <w:rPr>
          <w:rFonts w:cs="Times New Roman"/>
          <w:lang w:val="fr-CA"/>
        </w:rPr>
        <w:t>par. </w:t>
      </w:r>
      <w:r w:rsidRPr="00CF10F0">
        <w:rPr>
          <w:rFonts w:cs="Times New Roman"/>
          <w:lang w:val="fr-CA"/>
        </w:rPr>
        <w:t>686(8)).</w:t>
      </w:r>
    </w:p>
    <w:p w14:paraId="3411A432" w14:textId="77777777" w:rsidR="00BE287D" w:rsidRPr="00CF10F0" w:rsidRDefault="00BE287D" w:rsidP="00BE287D">
      <w:pPr>
        <w:pStyle w:val="Title4LevelTitre4Niveau"/>
        <w:rPr>
          <w:rFonts w:cs="Times New Roman"/>
          <w:lang w:val="fr-CA"/>
        </w:rPr>
      </w:pPr>
      <w:r w:rsidRPr="00CF10F0">
        <w:rPr>
          <w:rFonts w:cs="Times New Roman"/>
          <w:lang w:val="fr-CA"/>
        </w:rPr>
        <w:t>Absence d’un appel incident de la Couronne</w:t>
      </w:r>
    </w:p>
    <w:p w14:paraId="23D4E436" w14:textId="77777777" w:rsidR="00BE287D" w:rsidRPr="00CF10F0" w:rsidRDefault="00BE287D" w:rsidP="00BE287D">
      <w:pPr>
        <w:pStyle w:val="ParaNoNdepar-AltN"/>
        <w:rPr>
          <w:rFonts w:cs="Times New Roman"/>
          <w:lang w:val="fr-CA"/>
        </w:rPr>
      </w:pPr>
      <w:r w:rsidRPr="00CF10F0">
        <w:rPr>
          <w:rFonts w:cs="Times New Roman"/>
          <w:lang w:val="fr-CA"/>
        </w:rPr>
        <w:t>Les parties ne s’entendent pas sur ce qui arrive lorsque la Couronne ne forme pas d’appel incident, mais soutient néanmoins qu’une erreur de droit concilie des verdicts apparemment incompatibles.</w:t>
      </w:r>
    </w:p>
    <w:p w14:paraId="3943C17C" w14:textId="77777777" w:rsidR="00BE287D" w:rsidRPr="00CF10F0" w:rsidRDefault="00BE287D" w:rsidP="00BE287D">
      <w:pPr>
        <w:pStyle w:val="ParaNoNdepar-AltN"/>
        <w:rPr>
          <w:rFonts w:cs="Times New Roman"/>
          <w:lang w:val="fr-CA"/>
        </w:rPr>
      </w:pPr>
      <w:r w:rsidRPr="00CF10F0">
        <w:rPr>
          <w:rFonts w:cs="Times New Roman"/>
          <w:lang w:val="fr-CA"/>
        </w:rPr>
        <w:t xml:space="preserve">En l’espèce, comme je l’ai déjà indiqué, la Couronne a formé un appel incident contre l’acquittement de R.V. relativement à l’accusation d’agression sexuelle. En conséquence, nous ne sommes pas saisis de la question de savoir si la Couronne doit interjeter un appel incident quand elle cherche à faire concilier des verdicts apparemment incompatibles en raison de directives erronées données au jury. Cette question n’a jamais non plus été nettement soumise à notre Cour. </w:t>
      </w:r>
    </w:p>
    <w:p w14:paraId="77629207" w14:textId="77777777" w:rsidR="00BE287D" w:rsidRPr="00CF10F0" w:rsidRDefault="00BE287D" w:rsidP="00BE287D">
      <w:pPr>
        <w:pStyle w:val="ParaNoNdepar-AltN"/>
        <w:rPr>
          <w:rFonts w:cs="Times New Roman"/>
          <w:lang w:val="fr-CA"/>
        </w:rPr>
      </w:pPr>
      <w:r w:rsidRPr="00CF10F0">
        <w:rPr>
          <w:rFonts w:cs="Times New Roman"/>
          <w:lang w:val="fr-CA"/>
        </w:rPr>
        <w:t xml:space="preserve">Eu égard au principe fondamental de notre système de débat contradictoire selon lequel, quand l’accusé présente un argument, la Couronne peut le réfuter, il est possible de soutenir que la Couronne n’a pas à interjeter un appel incident pour réfuter une allégation de verdicts incompatibles faite par l’accusé. Cela dit, je reconnais qu’il existe des arguments contraires défendables qui ont trait à l’intégrité du processus </w:t>
      </w:r>
      <w:r w:rsidRPr="00CF10F0">
        <w:rPr>
          <w:rFonts w:cs="Times New Roman"/>
          <w:lang w:val="fr-CA"/>
        </w:rPr>
        <w:lastRenderedPageBreak/>
        <w:t xml:space="preserve">judiciaire et à la légitimité des verdicts. En dernière analyse, j’estime prudent de laisser la question en suspens jusqu’à ce que notre Cour en soit nettement saisie. </w:t>
      </w:r>
    </w:p>
    <w:p w14:paraId="1B890A89" w14:textId="77777777" w:rsidR="00BE287D" w:rsidRPr="00CF10F0" w:rsidRDefault="00BE287D" w:rsidP="00BE287D">
      <w:pPr>
        <w:pStyle w:val="Title2LevelTitre2Niveau"/>
        <w:rPr>
          <w:rFonts w:cs="Times New Roman"/>
          <w:lang w:val="fr-CA"/>
        </w:rPr>
      </w:pPr>
      <w:r w:rsidRPr="00CF10F0">
        <w:rPr>
          <w:rFonts w:cs="Times New Roman"/>
          <w:lang w:val="fr-CA"/>
        </w:rPr>
        <w:t>Application aux faits</w:t>
      </w:r>
    </w:p>
    <w:p w14:paraId="7365E423" w14:textId="77777777" w:rsidR="00BE287D" w:rsidRPr="00CF10F0" w:rsidRDefault="00BE287D" w:rsidP="00BE287D">
      <w:pPr>
        <w:pStyle w:val="ParaNoNdepar-AltN"/>
        <w:rPr>
          <w:rFonts w:cs="Times New Roman"/>
          <w:i/>
          <w:lang w:val="fr-CA"/>
        </w:rPr>
      </w:pPr>
      <w:r w:rsidRPr="00CF10F0">
        <w:rPr>
          <w:rFonts w:cs="Times New Roman"/>
          <w:lang w:val="fr-CA"/>
        </w:rPr>
        <w:t>En l’espèce, R.V. a porté en appel les déclarations de culpabilité prononcées contre lui pour contacts sexuels et incitation à des contacts sexuels au motif qu’elles étaient incompatibles avec son acquittement de l’accusation d’agression sexuelle.</w:t>
      </w:r>
      <w:r w:rsidRPr="00CF10F0">
        <w:rPr>
          <w:rFonts w:cs="Times New Roman"/>
          <w:szCs w:val="24"/>
          <w:shd w:val="clear" w:color="auto" w:fill="FFFFFF"/>
          <w:lang w:val="fr-CA"/>
        </w:rPr>
        <w:t xml:space="preserve"> La Couronne a concédé que les verdicts étaient apparemment incompatibles, mais elle a formé un appel incident contre l’acquittement au motif que les verdicts n’étaient pas réellement incompatibles puisqu’ils pouvaient être conciliés sur le fondement des directives erronées données au jury. Plus particulièrement, la Couronne a soutenu que les directives avaient, à tort, amené le jury à croire que l’élément de « force » nécessaire pour établir l’infraction d’agression sexuelle différait de l’élément de « toucher » requis pour établir les infractions de contacts sexuels et d’incitation à des contacts sexuels.</w:t>
      </w:r>
    </w:p>
    <w:p w14:paraId="26EDFFAA" w14:textId="77777777" w:rsidR="00BE287D" w:rsidRPr="00CF10F0" w:rsidRDefault="00BE287D" w:rsidP="00BE287D">
      <w:pPr>
        <w:pStyle w:val="ParaNoNdepar-AltN"/>
        <w:rPr>
          <w:rFonts w:cs="Times New Roman"/>
          <w:i/>
          <w:lang w:val="fr-CA"/>
        </w:rPr>
      </w:pPr>
      <w:r w:rsidRPr="00CF10F0">
        <w:rPr>
          <w:rFonts w:cs="Times New Roman"/>
          <w:shd w:val="clear" w:color="auto" w:fill="FFFFFF"/>
          <w:lang w:val="fr-CA"/>
        </w:rPr>
        <w:t xml:space="preserve">Je conviens que les verdicts rendus par le jury sont incompatibles à première vue. Étant donné que les trois chefs d’accusation comportent des éléments quasi identiques et qu’ils reposaient sur la même preuve au procès, le jury aurait dû soit </w:t>
      </w:r>
      <w:proofErr w:type="spellStart"/>
      <w:r w:rsidRPr="00CF10F0">
        <w:rPr>
          <w:rFonts w:cs="Times New Roman"/>
          <w:shd w:val="clear" w:color="auto" w:fill="FFFFFF"/>
          <w:lang w:val="fr-CA"/>
        </w:rPr>
        <w:t>déclarer</w:t>
      </w:r>
      <w:proofErr w:type="spellEnd"/>
      <w:r w:rsidRPr="00CF10F0">
        <w:rPr>
          <w:rFonts w:cs="Times New Roman"/>
          <w:shd w:val="clear" w:color="auto" w:fill="FFFFFF"/>
          <w:lang w:val="fr-CA"/>
        </w:rPr>
        <w:t xml:space="preserve"> coupable soit acquitter R.V. des trois chefs d’accusation. Guidé par l’approche que j’ai proposée, je dois maintenant décider si les directives au jury comportent une erreur de droit et, dans l’affirmative, si cette erreur remédie à l’incompatibilité apparente. S’il peut être remédié à l’incompatibilité, les verdicts ne sont pas réellement </w:t>
      </w:r>
      <w:r w:rsidRPr="00CF10F0">
        <w:rPr>
          <w:rFonts w:cs="Times New Roman"/>
          <w:shd w:val="clear" w:color="auto" w:fill="FFFFFF"/>
          <w:lang w:val="fr-CA"/>
        </w:rPr>
        <w:lastRenderedPageBreak/>
        <w:t>incompatibles et ne sont donc pas déraisonnables pour cause d’incompatibilité. En revanche, s’il n’est pas possible de les concilier, les verdicts rendus par le jury en l’espèce sont nécessairement déraisonnables en droit.</w:t>
      </w:r>
    </w:p>
    <w:p w14:paraId="1375D46F" w14:textId="77777777" w:rsidR="00BE287D" w:rsidRPr="00CF10F0" w:rsidRDefault="00BE287D" w:rsidP="00BE287D">
      <w:pPr>
        <w:pStyle w:val="Title3LevelTitre3Niveau"/>
        <w:rPr>
          <w:rFonts w:cs="Times New Roman"/>
          <w:lang w:val="fr-CA"/>
        </w:rPr>
      </w:pPr>
      <w:r w:rsidRPr="00CF10F0">
        <w:rPr>
          <w:rFonts w:cs="Times New Roman"/>
          <w:lang w:val="fr-CA"/>
        </w:rPr>
        <w:t>L’erreur de droit</w:t>
      </w:r>
    </w:p>
    <w:p w14:paraId="2A63583A" w14:textId="77777777" w:rsidR="00BE287D" w:rsidRPr="00CF10F0" w:rsidRDefault="00BE287D" w:rsidP="00BE287D">
      <w:pPr>
        <w:pStyle w:val="ParaNoNdepar-AltN"/>
        <w:rPr>
          <w:rFonts w:cs="Times New Roman"/>
          <w:lang w:val="fr-CA"/>
        </w:rPr>
      </w:pPr>
      <w:r w:rsidRPr="00CF10F0">
        <w:rPr>
          <w:rFonts w:cs="Times New Roman"/>
          <w:lang w:val="fr-CA"/>
        </w:rPr>
        <w:t xml:space="preserve">Les articles 151, 152 et 271 du </w:t>
      </w:r>
      <w:r w:rsidRPr="00CF10F0">
        <w:rPr>
          <w:rFonts w:cs="Times New Roman"/>
          <w:i/>
          <w:lang w:val="fr-CA"/>
        </w:rPr>
        <w:t xml:space="preserve">Code criminel </w:t>
      </w:r>
      <w:r w:rsidRPr="00CF10F0">
        <w:rPr>
          <w:rFonts w:cs="Times New Roman"/>
          <w:lang w:val="fr-CA"/>
        </w:rPr>
        <w:t>emploient des termes différents pour décrire des actes semblables. Pour établir l’infraction de contacts sexuels visée à l’</w:t>
      </w:r>
      <w:r>
        <w:rPr>
          <w:rFonts w:cs="Times New Roman"/>
          <w:lang w:val="fr-CA"/>
        </w:rPr>
        <w:t>art. </w:t>
      </w:r>
      <w:r w:rsidRPr="00CF10F0">
        <w:rPr>
          <w:rFonts w:cs="Times New Roman"/>
          <w:lang w:val="fr-CA"/>
        </w:rPr>
        <w:t>151, il est nécessaire de prouver que l’accusé a touché un plaignant, et pour établir l’infraction d’incitation à des contacts sexuels visée à l’</w:t>
      </w:r>
      <w:r>
        <w:rPr>
          <w:rFonts w:cs="Times New Roman"/>
          <w:lang w:val="fr-CA"/>
        </w:rPr>
        <w:t>art. </w:t>
      </w:r>
      <w:r w:rsidRPr="00CF10F0">
        <w:rPr>
          <w:rFonts w:cs="Times New Roman"/>
          <w:lang w:val="fr-CA"/>
        </w:rPr>
        <w:t>152, il est nécessaire de prouver que l’accusé a invité, engagé ou incité un plaignant à se toucher ou à toucher un tiers. L’agression sexuelle n’est, quant à elle, pas définie à l’</w:t>
      </w:r>
      <w:r>
        <w:rPr>
          <w:rFonts w:cs="Times New Roman"/>
          <w:lang w:val="fr-CA"/>
        </w:rPr>
        <w:t>art. </w:t>
      </w:r>
      <w:r w:rsidRPr="00CF10F0">
        <w:rPr>
          <w:rFonts w:cs="Times New Roman"/>
          <w:lang w:val="fr-CA"/>
        </w:rPr>
        <w:t xml:space="preserve">271. Il s’agit plutôt de l’infraction de voies de fait visée au </w:t>
      </w:r>
      <w:proofErr w:type="spellStart"/>
      <w:r>
        <w:rPr>
          <w:rFonts w:cs="Times New Roman"/>
          <w:lang w:val="fr-CA"/>
        </w:rPr>
        <w:t>par</w:t>
      </w:r>
      <w:proofErr w:type="spellEnd"/>
      <w:r>
        <w:rPr>
          <w:rFonts w:cs="Times New Roman"/>
          <w:lang w:val="fr-CA"/>
        </w:rPr>
        <w:t>. </w:t>
      </w:r>
      <w:r w:rsidRPr="00CF10F0">
        <w:rPr>
          <w:rFonts w:cs="Times New Roman"/>
          <w:lang w:val="fr-CA"/>
        </w:rPr>
        <w:t xml:space="preserve">265(1) que le </w:t>
      </w:r>
      <w:r>
        <w:rPr>
          <w:rFonts w:cs="Times New Roman"/>
          <w:lang w:val="fr-CA"/>
        </w:rPr>
        <w:t>par. </w:t>
      </w:r>
      <w:r w:rsidRPr="00CF10F0">
        <w:rPr>
          <w:rFonts w:cs="Times New Roman"/>
          <w:lang w:val="fr-CA"/>
        </w:rPr>
        <w:t>265(2) rend applicable dans des circonstances de nature sexuelle. Se livre à une agression sexuelle quiconque, d’une manière intentionnelle, emploie la force, directement ou indirectement, contre une autre personne dans des circonstances de nature sexuelle (</w:t>
      </w:r>
      <w:r w:rsidRPr="00CF10F0">
        <w:rPr>
          <w:rFonts w:cs="Times New Roman"/>
          <w:i/>
          <w:lang w:val="fr-CA"/>
        </w:rPr>
        <w:t>Code criminel</w:t>
      </w:r>
      <w:r w:rsidRPr="00CF10F0">
        <w:rPr>
          <w:rFonts w:cs="Times New Roman"/>
          <w:lang w:val="fr-CA"/>
        </w:rPr>
        <w:t>,</w:t>
      </w:r>
      <w:r w:rsidRPr="00CF10F0">
        <w:rPr>
          <w:rFonts w:cs="Times New Roman"/>
          <w:i/>
          <w:lang w:val="fr-CA"/>
        </w:rPr>
        <w:t xml:space="preserve"> </w:t>
      </w:r>
      <w:r>
        <w:rPr>
          <w:rFonts w:cs="Times New Roman"/>
          <w:lang w:val="fr-CA"/>
        </w:rPr>
        <w:t>al. </w:t>
      </w:r>
      <w:r w:rsidRPr="00CF10F0">
        <w:rPr>
          <w:rFonts w:cs="Times New Roman"/>
          <w:lang w:val="fr-CA"/>
        </w:rPr>
        <w:t>265(1</w:t>
      </w:r>
      <w:proofErr w:type="gramStart"/>
      <w:r w:rsidRPr="00CF10F0">
        <w:rPr>
          <w:rFonts w:cs="Times New Roman"/>
          <w:lang w:val="fr-CA"/>
        </w:rPr>
        <w:t>)a</w:t>
      </w:r>
      <w:proofErr w:type="gramEnd"/>
      <w:r w:rsidRPr="00CF10F0">
        <w:rPr>
          <w:rFonts w:cs="Times New Roman"/>
          <w:lang w:val="fr-CA"/>
        </w:rPr>
        <w:t>);</w:t>
      </w:r>
      <w:r w:rsidRPr="00CF10F0">
        <w:rPr>
          <w:rFonts w:cs="Times New Roman"/>
          <w:i/>
          <w:lang w:val="fr-CA"/>
        </w:rPr>
        <w:t xml:space="preserve"> R. c. Chase</w:t>
      </w:r>
      <w:r w:rsidRPr="00CF10F0">
        <w:rPr>
          <w:rFonts w:cs="Times New Roman"/>
          <w:lang w:val="fr-CA"/>
        </w:rPr>
        <w:t>,</w:t>
      </w:r>
      <w:r w:rsidRPr="00CF10F0">
        <w:rPr>
          <w:rFonts w:cs="Times New Roman"/>
          <w:i/>
          <w:lang w:val="fr-CA"/>
        </w:rPr>
        <w:t xml:space="preserve"> </w:t>
      </w:r>
      <w:r w:rsidRPr="00CF10F0">
        <w:rPr>
          <w:rFonts w:cs="Times New Roman"/>
          <w:lang w:val="fr-CA"/>
        </w:rPr>
        <w:t xml:space="preserve">[1987] 2 R.C.S. 293, </w:t>
      </w:r>
      <w:r>
        <w:rPr>
          <w:rFonts w:cs="Times New Roman"/>
          <w:lang w:val="fr-CA"/>
        </w:rPr>
        <w:t>p. </w:t>
      </w:r>
      <w:r w:rsidRPr="00CF10F0">
        <w:rPr>
          <w:rFonts w:cs="Times New Roman"/>
          <w:lang w:val="fr-CA"/>
        </w:rPr>
        <w:t xml:space="preserve">302; </w:t>
      </w:r>
      <w:r w:rsidRPr="00CF10F0">
        <w:rPr>
          <w:rFonts w:cs="Times New Roman"/>
          <w:i/>
          <w:lang w:val="fr-CA"/>
        </w:rPr>
        <w:t>R. c. </w:t>
      </w:r>
      <w:proofErr w:type="spellStart"/>
      <w:r w:rsidRPr="00CF10F0">
        <w:rPr>
          <w:rFonts w:cs="Times New Roman"/>
          <w:i/>
          <w:lang w:val="fr-CA"/>
        </w:rPr>
        <w:t>Ewanchuk</w:t>
      </w:r>
      <w:proofErr w:type="spellEnd"/>
      <w:r w:rsidRPr="00CF10F0">
        <w:rPr>
          <w:rFonts w:cs="Times New Roman"/>
          <w:lang w:val="fr-CA"/>
        </w:rPr>
        <w:t>,</w:t>
      </w:r>
      <w:r w:rsidRPr="00CF10F0">
        <w:rPr>
          <w:rFonts w:cs="Times New Roman"/>
          <w:i/>
          <w:lang w:val="fr-CA"/>
        </w:rPr>
        <w:t xml:space="preserve"> </w:t>
      </w:r>
      <w:r w:rsidRPr="00CF10F0">
        <w:rPr>
          <w:rFonts w:cs="Times New Roman"/>
          <w:lang w:val="fr-CA"/>
        </w:rPr>
        <w:t xml:space="preserve">[1999] 1 R.C.S. 330, </w:t>
      </w:r>
      <w:r>
        <w:rPr>
          <w:rFonts w:cs="Times New Roman"/>
          <w:lang w:val="fr-CA"/>
        </w:rPr>
        <w:t>par. </w:t>
      </w:r>
      <w:r w:rsidRPr="00CF10F0">
        <w:rPr>
          <w:rFonts w:cs="Times New Roman"/>
          <w:lang w:val="fr-CA"/>
        </w:rPr>
        <w:t>24).</w:t>
      </w:r>
    </w:p>
    <w:p w14:paraId="403C81DC" w14:textId="4A36A704" w:rsidR="00BE287D" w:rsidRPr="00CF10F0" w:rsidRDefault="00BE287D" w:rsidP="00BE287D">
      <w:pPr>
        <w:pStyle w:val="ParaNoNdepar-AltN"/>
        <w:rPr>
          <w:rFonts w:cs="Times New Roman"/>
          <w:lang w:val="fr-CA"/>
        </w:rPr>
      </w:pPr>
      <w:r w:rsidRPr="00CF10F0">
        <w:rPr>
          <w:rFonts w:cs="Times New Roman"/>
          <w:lang w:val="fr-CA"/>
        </w:rPr>
        <w:t>Le mot « force » s’entend généralement de la force physique, de la [</w:t>
      </w:r>
      <w:r w:rsidRPr="00CF10F0">
        <w:rPr>
          <w:rFonts w:cs="Times New Roman"/>
          <w:smallCaps/>
          <w:lang w:val="fr-CA"/>
        </w:rPr>
        <w:t>traduction]</w:t>
      </w:r>
      <w:r w:rsidRPr="00CF10F0">
        <w:rPr>
          <w:rFonts w:cs="Times New Roman"/>
          <w:lang w:val="fr-CA"/>
        </w:rPr>
        <w:t xml:space="preserve"> « violence ou de la contrainte exercée à l’endroit d’une personne » (</w:t>
      </w:r>
      <w:r w:rsidRPr="00CF10F0">
        <w:rPr>
          <w:rFonts w:cs="Times New Roman"/>
          <w:i/>
          <w:lang w:val="fr-CA"/>
        </w:rPr>
        <w:t>R. c. Barton</w:t>
      </w:r>
      <w:r w:rsidRPr="00CF10F0">
        <w:rPr>
          <w:rFonts w:cs="Times New Roman"/>
          <w:lang w:val="fr-CA"/>
        </w:rPr>
        <w:t>,</w:t>
      </w:r>
      <w:r w:rsidRPr="00CF10F0">
        <w:rPr>
          <w:rFonts w:cs="Times New Roman"/>
          <w:i/>
          <w:lang w:val="fr-CA"/>
        </w:rPr>
        <w:t xml:space="preserve"> </w:t>
      </w:r>
      <w:r w:rsidRPr="00CF10F0">
        <w:rPr>
          <w:rFonts w:cs="Times New Roman"/>
          <w:lang w:val="fr-CA"/>
        </w:rPr>
        <w:t xml:space="preserve">2017 ABCA 216, 55 Alta. L.R. (6th) 1, </w:t>
      </w:r>
      <w:r>
        <w:rPr>
          <w:rFonts w:cs="Times New Roman"/>
          <w:lang w:val="fr-CA"/>
        </w:rPr>
        <w:t>par. </w:t>
      </w:r>
      <w:r w:rsidRPr="00CF10F0">
        <w:rPr>
          <w:rFonts w:cs="Times New Roman"/>
          <w:lang w:val="fr-CA"/>
        </w:rPr>
        <w:t xml:space="preserve">202, </w:t>
      </w:r>
      <w:proofErr w:type="spellStart"/>
      <w:r w:rsidRPr="00CF10F0">
        <w:rPr>
          <w:rFonts w:cs="Times New Roman"/>
          <w:lang w:val="fr-CA"/>
        </w:rPr>
        <w:t>conf</w:t>
      </w:r>
      <w:proofErr w:type="spellEnd"/>
      <w:r w:rsidRPr="00CF10F0">
        <w:rPr>
          <w:rFonts w:cs="Times New Roman"/>
          <w:lang w:val="fr-CA"/>
        </w:rPr>
        <w:t>. par 2019 CSC 33</w:t>
      </w:r>
      <w:r w:rsidR="00A40984">
        <w:rPr>
          <w:rFonts w:cs="Times New Roman"/>
          <w:lang w:val="fr-CA"/>
        </w:rPr>
        <w:t>, [2019] 2 R.C.S. 579</w:t>
      </w:r>
      <w:r w:rsidRPr="00CF10F0">
        <w:rPr>
          <w:rFonts w:cs="Times New Roman"/>
          <w:lang w:val="fr-CA"/>
        </w:rPr>
        <w:t xml:space="preserve">, citant le </w:t>
      </w:r>
      <w:proofErr w:type="spellStart"/>
      <w:r w:rsidRPr="00CF10F0">
        <w:rPr>
          <w:rFonts w:cs="Times New Roman"/>
          <w:i/>
          <w:lang w:val="fr-CA"/>
        </w:rPr>
        <w:t>Merriam</w:t>
      </w:r>
      <w:proofErr w:type="spellEnd"/>
      <w:r>
        <w:rPr>
          <w:rFonts w:cs="Times New Roman"/>
          <w:i/>
          <w:lang w:val="fr-CA"/>
        </w:rPr>
        <w:noBreakHyphen/>
      </w:r>
      <w:r w:rsidRPr="00CF10F0">
        <w:rPr>
          <w:rFonts w:cs="Times New Roman"/>
          <w:i/>
          <w:lang w:val="fr-CA"/>
        </w:rPr>
        <w:t xml:space="preserve">Webster </w:t>
      </w:r>
      <w:proofErr w:type="spellStart"/>
      <w:r w:rsidRPr="00CF10F0">
        <w:rPr>
          <w:rFonts w:cs="Times New Roman"/>
          <w:i/>
          <w:lang w:val="fr-CA"/>
        </w:rPr>
        <w:t>Dictionary</w:t>
      </w:r>
      <w:proofErr w:type="spellEnd"/>
      <w:r w:rsidRPr="00CF10F0">
        <w:rPr>
          <w:rFonts w:cs="Times New Roman"/>
          <w:i/>
          <w:lang w:val="fr-CA"/>
        </w:rPr>
        <w:t xml:space="preserve"> </w:t>
      </w:r>
      <w:r w:rsidRPr="00CF10F0">
        <w:rPr>
          <w:rFonts w:cs="Times New Roman"/>
          <w:lang w:val="fr-CA"/>
        </w:rPr>
        <w:t xml:space="preserve">(en ligne)). Cependant, l’interprétation faite du mot « force » employé dans un contexte juridique comprend </w:t>
      </w:r>
      <w:r w:rsidRPr="00CF10F0">
        <w:rPr>
          <w:rFonts w:cs="Times New Roman"/>
          <w:lang w:val="fr-CA"/>
        </w:rPr>
        <w:lastRenderedPageBreak/>
        <w:t>toute forme d’attouchement (</w:t>
      </w:r>
      <w:r w:rsidRPr="00CF10F0">
        <w:rPr>
          <w:rFonts w:cs="Times New Roman"/>
          <w:i/>
          <w:lang w:val="fr-CA"/>
        </w:rPr>
        <w:t>R. c. </w:t>
      </w:r>
      <w:proofErr w:type="spellStart"/>
      <w:r w:rsidRPr="00CF10F0">
        <w:rPr>
          <w:rFonts w:cs="Times New Roman"/>
          <w:i/>
          <w:lang w:val="fr-CA"/>
        </w:rPr>
        <w:t>Cuerrier</w:t>
      </w:r>
      <w:proofErr w:type="spellEnd"/>
      <w:r w:rsidRPr="00CF10F0">
        <w:rPr>
          <w:rFonts w:cs="Times New Roman"/>
          <w:lang w:val="fr-CA"/>
        </w:rPr>
        <w:t>,</w:t>
      </w:r>
      <w:r w:rsidRPr="00CF10F0">
        <w:rPr>
          <w:rFonts w:cs="Times New Roman"/>
          <w:i/>
          <w:lang w:val="fr-CA"/>
        </w:rPr>
        <w:t xml:space="preserve"> </w:t>
      </w:r>
      <w:r w:rsidRPr="00CF10F0">
        <w:rPr>
          <w:rFonts w:cs="Times New Roman"/>
          <w:lang w:val="fr-CA"/>
        </w:rPr>
        <w:t xml:space="preserve">[1998] 2 R.C.S. 371, </w:t>
      </w:r>
      <w:r>
        <w:rPr>
          <w:rFonts w:cs="Times New Roman"/>
          <w:lang w:val="fr-CA"/>
        </w:rPr>
        <w:t>par. </w:t>
      </w:r>
      <w:r w:rsidRPr="00CF10F0">
        <w:rPr>
          <w:rFonts w:cs="Times New Roman"/>
          <w:lang w:val="fr-CA"/>
        </w:rPr>
        <w:t xml:space="preserve">10; </w:t>
      </w:r>
      <w:proofErr w:type="spellStart"/>
      <w:r w:rsidRPr="00CF10F0">
        <w:rPr>
          <w:rFonts w:cs="Times New Roman"/>
          <w:i/>
          <w:lang w:val="fr-CA"/>
        </w:rPr>
        <w:t>Ewanchuk</w:t>
      </w:r>
      <w:proofErr w:type="spellEnd"/>
      <w:r w:rsidRPr="00CF10F0">
        <w:rPr>
          <w:rFonts w:cs="Times New Roman"/>
          <w:lang w:val="fr-CA"/>
        </w:rPr>
        <w:t xml:space="preserve">, </w:t>
      </w:r>
      <w:r>
        <w:rPr>
          <w:rFonts w:cs="Times New Roman"/>
          <w:lang w:val="fr-CA"/>
        </w:rPr>
        <w:t>par. </w:t>
      </w:r>
      <w:r w:rsidRPr="00CF10F0">
        <w:rPr>
          <w:rFonts w:cs="Times New Roman"/>
          <w:lang w:val="fr-CA"/>
        </w:rPr>
        <w:t>23</w:t>
      </w:r>
      <w:r>
        <w:rPr>
          <w:rFonts w:cs="Times New Roman"/>
          <w:lang w:val="fr-CA"/>
        </w:rPr>
        <w:noBreakHyphen/>
      </w:r>
      <w:r w:rsidRPr="00CF10F0">
        <w:rPr>
          <w:rFonts w:cs="Times New Roman"/>
          <w:lang w:val="fr-CA"/>
        </w:rPr>
        <w:t xml:space="preserve">25; </w:t>
      </w:r>
      <w:r w:rsidRPr="00CF10F0">
        <w:rPr>
          <w:rFonts w:cs="Times New Roman"/>
          <w:i/>
          <w:lang w:val="fr-CA"/>
        </w:rPr>
        <w:t>R. c. J.A.</w:t>
      </w:r>
      <w:r w:rsidRPr="00CF10F0">
        <w:rPr>
          <w:rFonts w:cs="Times New Roman"/>
          <w:lang w:val="fr-CA"/>
        </w:rPr>
        <w:t xml:space="preserve">, 2011 CSC 28, [2011] 2 R.C.S. 440, </w:t>
      </w:r>
      <w:r>
        <w:rPr>
          <w:rFonts w:cs="Times New Roman"/>
          <w:lang w:val="fr-CA"/>
        </w:rPr>
        <w:t>par. </w:t>
      </w:r>
      <w:r w:rsidRPr="00CF10F0">
        <w:rPr>
          <w:rFonts w:cs="Times New Roman"/>
          <w:lang w:val="fr-CA"/>
        </w:rPr>
        <w:t>23). En termes simples, bien que les mots « toucher » ou « attouchement » et « force » soient distincts, dans certaines circonstances, notamment celles de l’espèce, ils ont la même signification en droit.</w:t>
      </w:r>
    </w:p>
    <w:p w14:paraId="6C4EB820" w14:textId="77777777" w:rsidR="00BE287D" w:rsidRPr="00CF10F0" w:rsidRDefault="00BE287D" w:rsidP="00BE287D">
      <w:pPr>
        <w:pStyle w:val="ParaNoNdepar-AltN"/>
        <w:rPr>
          <w:rFonts w:cs="Times New Roman"/>
          <w:lang w:val="fr-CA"/>
        </w:rPr>
      </w:pPr>
      <w:r w:rsidRPr="00CF10F0">
        <w:rPr>
          <w:rFonts w:cs="Times New Roman"/>
          <w:lang w:val="fr-CA"/>
        </w:rPr>
        <w:t xml:space="preserve">Il appert de nombreuses décisions que les directives données sur le droit applicable en matière d’agression sexuelle lorsqu’un accusé est aussi inculpé de contacts sexuels ou d’incitation à des contacts sexuels constituent souvent une source de perplexité et de confusion pour les jurys (voir, </w:t>
      </w:r>
      <w:r>
        <w:rPr>
          <w:rFonts w:cs="Times New Roman"/>
          <w:lang w:val="fr-CA"/>
        </w:rPr>
        <w:t>p. </w:t>
      </w:r>
      <w:r w:rsidRPr="00CF10F0">
        <w:rPr>
          <w:rFonts w:cs="Times New Roman"/>
          <w:lang w:val="fr-CA"/>
        </w:rPr>
        <w:t xml:space="preserve">ex., </w:t>
      </w:r>
      <w:r w:rsidRPr="00CF10F0">
        <w:rPr>
          <w:rFonts w:cs="Times New Roman"/>
          <w:i/>
          <w:lang w:val="fr-CA"/>
        </w:rPr>
        <w:t>Tremblay</w:t>
      </w:r>
      <w:r w:rsidRPr="00CF10F0">
        <w:rPr>
          <w:rFonts w:cs="Times New Roman"/>
          <w:lang w:val="fr-CA"/>
        </w:rPr>
        <w:t>;</w:t>
      </w:r>
      <w:r w:rsidRPr="00CF10F0">
        <w:rPr>
          <w:rFonts w:cs="Times New Roman"/>
          <w:i/>
          <w:lang w:val="fr-CA"/>
        </w:rPr>
        <w:t xml:space="preserve"> L.B.C.</w:t>
      </w:r>
      <w:r w:rsidRPr="00CF10F0">
        <w:rPr>
          <w:rFonts w:cs="Times New Roman"/>
          <w:lang w:val="fr-CA"/>
        </w:rPr>
        <w:t>;</w:t>
      </w:r>
      <w:r w:rsidRPr="00CF10F0">
        <w:rPr>
          <w:rFonts w:cs="Times New Roman"/>
          <w:i/>
          <w:lang w:val="fr-CA"/>
        </w:rPr>
        <w:t xml:space="preserve"> J.D.C.</w:t>
      </w:r>
      <w:r w:rsidRPr="00CF10F0">
        <w:rPr>
          <w:rFonts w:cs="Times New Roman"/>
          <w:lang w:val="fr-CA"/>
        </w:rPr>
        <w:t xml:space="preserve">; </w:t>
      </w:r>
      <w:r w:rsidRPr="00CF10F0">
        <w:rPr>
          <w:rFonts w:cs="Times New Roman"/>
          <w:i/>
          <w:lang w:val="fr-CA"/>
        </w:rPr>
        <w:t>S.L.</w:t>
      </w:r>
      <w:r w:rsidRPr="00CF10F0">
        <w:rPr>
          <w:rFonts w:cs="Times New Roman"/>
          <w:lang w:val="fr-CA"/>
        </w:rPr>
        <w:t xml:space="preserve">; </w:t>
      </w:r>
      <w:r w:rsidRPr="00CF10F0">
        <w:rPr>
          <w:rFonts w:cs="Times New Roman"/>
          <w:i/>
          <w:lang w:val="fr-CA"/>
        </w:rPr>
        <w:t>K.D.M.</w:t>
      </w:r>
      <w:r w:rsidRPr="00CF10F0">
        <w:rPr>
          <w:rFonts w:cs="Times New Roman"/>
          <w:lang w:val="fr-CA"/>
        </w:rPr>
        <w:t>). La question qui se pose dans la présente affaire est de savoir si la juge du procès a correctement expliqué au jury le lien entre les éléments de force et de toucher.</w:t>
      </w:r>
    </w:p>
    <w:p w14:paraId="22FA9059" w14:textId="77777777" w:rsidR="00BE287D" w:rsidRPr="00CF10F0" w:rsidRDefault="00BE287D" w:rsidP="00BE287D">
      <w:pPr>
        <w:pStyle w:val="ParaNoNdepar-AltN"/>
        <w:rPr>
          <w:rFonts w:cs="Times New Roman"/>
          <w:lang w:val="fr-CA"/>
        </w:rPr>
      </w:pPr>
      <w:r w:rsidRPr="00CF10F0">
        <w:rPr>
          <w:rFonts w:cs="Times New Roman"/>
          <w:lang w:val="fr-CA"/>
        </w:rPr>
        <w:t>Considérées isolément, les portions des directives données par la juge du procès concernant l’agression sexuelle indiquent que toute forme de contact peut équivaloir à de la force. Plus précisément, la juge a déclaré que [</w:t>
      </w:r>
      <w:r w:rsidRPr="00CF10F0">
        <w:rPr>
          <w:rFonts w:cs="Times New Roman"/>
          <w:smallCaps/>
          <w:lang w:val="fr-CA"/>
        </w:rPr>
        <w:t>traduction</w:t>
      </w:r>
      <w:r w:rsidRPr="00CF10F0">
        <w:rPr>
          <w:rFonts w:cs="Times New Roman"/>
          <w:lang w:val="fr-CA"/>
        </w:rPr>
        <w:t>] « [l]a force comprend tout contact physique, même un attouchement délicat » (</w:t>
      </w:r>
      <w:proofErr w:type="spellStart"/>
      <w:proofErr w:type="gramStart"/>
      <w:r w:rsidRPr="00CF10F0">
        <w:rPr>
          <w:rFonts w:cs="Times New Roman"/>
          <w:lang w:val="fr-CA"/>
        </w:rPr>
        <w:t>d.a</w:t>
      </w:r>
      <w:proofErr w:type="spellEnd"/>
      <w:r w:rsidRPr="00CF10F0">
        <w:rPr>
          <w:rFonts w:cs="Times New Roman"/>
          <w:lang w:val="fr-CA"/>
        </w:rPr>
        <w:t>.,</w:t>
      </w:r>
      <w:proofErr w:type="gramEnd"/>
      <w:r w:rsidRPr="00CF10F0">
        <w:rPr>
          <w:rFonts w:cs="Times New Roman"/>
          <w:lang w:val="fr-CA"/>
        </w:rPr>
        <w:t xml:space="preserve"> </w:t>
      </w:r>
      <w:r>
        <w:rPr>
          <w:rFonts w:cs="Times New Roman"/>
          <w:lang w:val="fr-CA"/>
        </w:rPr>
        <w:t>p. </w:t>
      </w:r>
      <w:r w:rsidRPr="00CF10F0">
        <w:rPr>
          <w:rFonts w:cs="Times New Roman"/>
          <w:lang w:val="fr-CA"/>
        </w:rPr>
        <w:t>154), une formulation que la Cour d’appel de l</w:t>
      </w:r>
      <w:r>
        <w:rPr>
          <w:rFonts w:cs="Times New Roman"/>
          <w:lang w:val="fr-CA"/>
        </w:rPr>
        <w:t xml:space="preserve">’Ontario a adoptée dans l’arrêt </w:t>
      </w:r>
      <w:r w:rsidRPr="00CF10F0">
        <w:rPr>
          <w:rFonts w:cs="Times New Roman"/>
          <w:i/>
          <w:lang w:val="fr-CA"/>
        </w:rPr>
        <w:t xml:space="preserve">S.L. </w:t>
      </w:r>
      <w:r w:rsidRPr="00CF10F0">
        <w:rPr>
          <w:rFonts w:cs="Times New Roman"/>
          <w:lang w:val="fr-CA"/>
        </w:rPr>
        <w:t>Néanmoins, comme l’a déclaré notre Cour dans l’arrêt </w:t>
      </w:r>
      <w:r w:rsidRPr="00CF10F0">
        <w:rPr>
          <w:rFonts w:cs="Times New Roman"/>
          <w:i/>
          <w:lang w:val="fr-CA"/>
        </w:rPr>
        <w:t>Barton</w:t>
      </w:r>
      <w:r w:rsidRPr="00CF10F0">
        <w:rPr>
          <w:rFonts w:cs="Times New Roman"/>
          <w:lang w:val="fr-CA"/>
        </w:rPr>
        <w:t xml:space="preserve">, au </w:t>
      </w:r>
      <w:proofErr w:type="spellStart"/>
      <w:r>
        <w:rPr>
          <w:rFonts w:cs="Times New Roman"/>
          <w:lang w:val="fr-CA"/>
        </w:rPr>
        <w:t>par</w:t>
      </w:r>
      <w:proofErr w:type="spellEnd"/>
      <w:r>
        <w:rPr>
          <w:rFonts w:cs="Times New Roman"/>
          <w:lang w:val="fr-CA"/>
        </w:rPr>
        <w:t>. </w:t>
      </w:r>
      <w:r w:rsidRPr="00CF10F0">
        <w:rPr>
          <w:rFonts w:cs="Times New Roman"/>
          <w:lang w:val="fr-CA"/>
        </w:rPr>
        <w:t>54</w:t>
      </w:r>
      <w:r>
        <w:rPr>
          <w:rFonts w:cs="Times New Roman"/>
          <w:lang w:val="fr-CA"/>
        </w:rPr>
        <w:t> :</w:t>
      </w:r>
    </w:p>
    <w:p w14:paraId="01806F64" w14:textId="2DB22D0E" w:rsidR="00BE287D" w:rsidRPr="00CF10F0" w:rsidRDefault="00BE287D" w:rsidP="00BE287D">
      <w:pPr>
        <w:pStyle w:val="Citation-AltC"/>
        <w:ind w:hanging="1166"/>
        <w:rPr>
          <w:shd w:val="clear" w:color="auto" w:fill="FFFFFF"/>
          <w:lang w:val="fr-CA"/>
        </w:rPr>
      </w:pPr>
      <w:r w:rsidRPr="00CF10F0">
        <w:rPr>
          <w:shd w:val="clear" w:color="auto" w:fill="FFFFFF"/>
          <w:lang w:val="fr-CA"/>
        </w:rPr>
        <w:tab/>
      </w:r>
      <w:r w:rsidRPr="00CF10F0">
        <w:rPr>
          <w:u w:val="single"/>
          <w:shd w:val="clear" w:color="auto" w:fill="FFFFFF"/>
          <w:lang w:val="fr-CA"/>
        </w:rPr>
        <w:t>Lorsqu’elle est appelée à se prononcer sur une allégation de directive erronée, la cour d’appel doit évaluer l’exposé dans son ensemble, d’un point de vue pratique</w:t>
      </w:r>
      <w:r w:rsidRPr="00CF10F0">
        <w:rPr>
          <w:shd w:val="clear" w:color="auto" w:fill="FFFFFF"/>
          <w:lang w:val="fr-CA"/>
        </w:rPr>
        <w:t>, en se demandant si le jury a reçu des directives non pas parfaites, mais appropriées, qui lui permettaient de trancher l’affaire, tout en gardant à l’esprit que c’est la teneur de l’exposé qui compte, non le respect d’une formule consacrée</w:t>
      </w:r>
      <w:r w:rsidR="00A40984">
        <w:rPr>
          <w:shd w:val="clear" w:color="auto" w:fill="FFFFFF"/>
          <w:lang w:val="fr-CA"/>
        </w:rPr>
        <w:t xml:space="preserve"> </w:t>
      </w:r>
      <w:r>
        <w:rPr>
          <w:shd w:val="clear" w:color="auto" w:fill="FFFFFF"/>
          <w:lang w:val="fr-CA"/>
        </w:rPr>
        <w:t>. . .</w:t>
      </w:r>
      <w:r w:rsidRPr="00CF10F0">
        <w:rPr>
          <w:shd w:val="clear" w:color="auto" w:fill="FFFFFF"/>
          <w:lang w:val="fr-CA"/>
        </w:rPr>
        <w:t xml:space="preserve"> [Je souligne.]</w:t>
      </w:r>
    </w:p>
    <w:p w14:paraId="373E06A0" w14:textId="77777777" w:rsidR="00BE287D" w:rsidRPr="00CF10F0" w:rsidRDefault="00BE287D" w:rsidP="00BE287D">
      <w:pPr>
        <w:pStyle w:val="ParaNoNdepar-AltN"/>
        <w:rPr>
          <w:rFonts w:cs="Times New Roman"/>
          <w:lang w:val="fr-CA"/>
        </w:rPr>
      </w:pPr>
      <w:r w:rsidRPr="00CF10F0">
        <w:rPr>
          <w:rFonts w:cs="Times New Roman"/>
          <w:lang w:val="fr-CA"/>
        </w:rPr>
        <w:lastRenderedPageBreak/>
        <w:t>En ce qui concerne l’exposé au jury dans son ensemble et sa teneur, je suis convaincu que la juge du procès a induit le jury en erreur en ce qui concerne l’accusation d’agression sexuelle en lui donnant la fausse impression que l’élément de « force » requis pour établir l’agression sexuelle était différent de l’élément de « toucher » requis pour établir les contacts sexuels et l’incitation à des contacts sexuels. Avec égards, en l’espèce, cette erreur constituait une absence de directives qui équivalait à des directives erronées.</w:t>
      </w:r>
    </w:p>
    <w:p w14:paraId="619103E9" w14:textId="77777777" w:rsidR="00BE287D" w:rsidRPr="00CF10F0" w:rsidRDefault="00BE287D" w:rsidP="00BE287D">
      <w:pPr>
        <w:pStyle w:val="ParaNoNdepar-AltN"/>
        <w:rPr>
          <w:rFonts w:cs="Times New Roman"/>
          <w:lang w:val="fr-CA"/>
        </w:rPr>
      </w:pPr>
      <w:r w:rsidRPr="00CF10F0">
        <w:rPr>
          <w:rFonts w:cs="Times New Roman"/>
          <w:lang w:val="fr-CA"/>
        </w:rPr>
        <w:t>En donnant ses directives au jury concernant l’infraction d’agression sexuelle, la juge du procès a déclaré qu’elle était formée des éléments suivants</w:t>
      </w:r>
      <w:r>
        <w:rPr>
          <w:rFonts w:cs="Times New Roman"/>
          <w:lang w:val="fr-CA"/>
        </w:rPr>
        <w:t> :</w:t>
      </w:r>
    </w:p>
    <w:p w14:paraId="134FFA82" w14:textId="77777777" w:rsidR="00BE287D" w:rsidRPr="00CF10F0" w:rsidRDefault="00BE287D" w:rsidP="00BE287D">
      <w:pPr>
        <w:pStyle w:val="Citation-AltC"/>
        <w:ind w:hanging="1166"/>
        <w:rPr>
          <w:lang w:val="fr-CA"/>
        </w:rPr>
      </w:pPr>
      <w:r w:rsidRPr="00CF10F0">
        <w:rPr>
          <w:lang w:val="fr-CA"/>
        </w:rPr>
        <w:tab/>
        <w:t>[</w:t>
      </w:r>
      <w:r w:rsidRPr="00CF10F0">
        <w:rPr>
          <w:smallCaps/>
          <w:lang w:val="fr-CA"/>
        </w:rPr>
        <w:t>traduction</w:t>
      </w:r>
      <w:r w:rsidRPr="00CF10F0">
        <w:rPr>
          <w:lang w:val="fr-CA"/>
        </w:rPr>
        <w:t>]</w:t>
      </w:r>
    </w:p>
    <w:p w14:paraId="7E4A002D" w14:textId="77777777" w:rsidR="00BE287D" w:rsidRPr="00CF10F0" w:rsidRDefault="00BE287D" w:rsidP="00BE287D">
      <w:pPr>
        <w:pStyle w:val="Citation-AltC"/>
        <w:numPr>
          <w:ilvl w:val="0"/>
          <w:numId w:val="19"/>
        </w:numPr>
        <w:ind w:left="1560" w:hanging="283"/>
        <w:rPr>
          <w:lang w:val="fr-CA"/>
        </w:rPr>
      </w:pPr>
      <w:r w:rsidRPr="00CF10F0">
        <w:rPr>
          <w:lang w:val="fr-CA"/>
        </w:rPr>
        <w:t xml:space="preserve">[R.V.] a, de manière intentionnelle, employé la </w:t>
      </w:r>
      <w:r w:rsidRPr="00CF10F0">
        <w:rPr>
          <w:u w:val="single"/>
          <w:lang w:val="fr-CA"/>
        </w:rPr>
        <w:t>force</w:t>
      </w:r>
      <w:r w:rsidRPr="00CF10F0">
        <w:rPr>
          <w:lang w:val="fr-CA"/>
        </w:rPr>
        <w:t xml:space="preserve"> à l’endroit de [la plaignante];</w:t>
      </w:r>
    </w:p>
    <w:p w14:paraId="77F5ABF7" w14:textId="77777777" w:rsidR="00BE287D" w:rsidRPr="00CF10F0" w:rsidRDefault="00BE287D" w:rsidP="00BE287D">
      <w:pPr>
        <w:pStyle w:val="Citation-AltC"/>
        <w:numPr>
          <w:ilvl w:val="0"/>
          <w:numId w:val="19"/>
        </w:numPr>
        <w:spacing w:after="240"/>
        <w:ind w:left="1560" w:hanging="284"/>
        <w:contextualSpacing w:val="0"/>
        <w:rPr>
          <w:lang w:val="fr-CA"/>
        </w:rPr>
      </w:pPr>
      <w:r w:rsidRPr="00CF10F0">
        <w:rPr>
          <w:lang w:val="fr-CA"/>
        </w:rPr>
        <w:t xml:space="preserve">La </w:t>
      </w:r>
      <w:r w:rsidRPr="00CF10F0">
        <w:rPr>
          <w:u w:val="single"/>
          <w:lang w:val="fr-CA"/>
        </w:rPr>
        <w:t>force</w:t>
      </w:r>
      <w:r w:rsidRPr="00CF10F0">
        <w:rPr>
          <w:lang w:val="fr-CA"/>
        </w:rPr>
        <w:t xml:space="preserve"> que [R.V.] a employée, de manière intentionnelle, l’a été dans des circonstances de nature sexuelle. [Je souligne.]</w:t>
      </w:r>
    </w:p>
    <w:p w14:paraId="26D3190B" w14:textId="27773B71" w:rsidR="00BE287D" w:rsidRPr="00CF10F0" w:rsidRDefault="00BE287D" w:rsidP="00BE287D">
      <w:pPr>
        <w:pStyle w:val="Citation-AltC"/>
        <w:ind w:hanging="1166"/>
        <w:rPr>
          <w:lang w:val="fr-CA"/>
        </w:rPr>
      </w:pPr>
      <w:r w:rsidRPr="00CF10F0">
        <w:rPr>
          <w:lang w:val="fr-CA"/>
        </w:rPr>
        <w:t>(</w:t>
      </w:r>
      <w:proofErr w:type="spellStart"/>
      <w:proofErr w:type="gramStart"/>
      <w:r w:rsidRPr="00CF10F0">
        <w:rPr>
          <w:lang w:val="fr-CA"/>
        </w:rPr>
        <w:t>d.a</w:t>
      </w:r>
      <w:proofErr w:type="spellEnd"/>
      <w:r w:rsidRPr="00CF10F0">
        <w:rPr>
          <w:lang w:val="fr-CA"/>
        </w:rPr>
        <w:t>.,</w:t>
      </w:r>
      <w:proofErr w:type="gramEnd"/>
      <w:r w:rsidRPr="00CF10F0">
        <w:rPr>
          <w:lang w:val="fr-CA"/>
        </w:rPr>
        <w:t xml:space="preserve"> </w:t>
      </w:r>
      <w:r>
        <w:rPr>
          <w:lang w:val="fr-CA"/>
        </w:rPr>
        <w:t>p. </w:t>
      </w:r>
      <w:r w:rsidRPr="00CF10F0">
        <w:rPr>
          <w:lang w:val="fr-CA"/>
        </w:rPr>
        <w:t>153)</w:t>
      </w:r>
    </w:p>
    <w:p w14:paraId="0B748DA5" w14:textId="77777777" w:rsidR="00BE287D" w:rsidRPr="00CF10F0" w:rsidRDefault="00BE287D" w:rsidP="00BE287D">
      <w:pPr>
        <w:pStyle w:val="ParaNoNdepar-AltN"/>
        <w:rPr>
          <w:rFonts w:cs="Times New Roman"/>
          <w:lang w:val="fr-CA"/>
        </w:rPr>
      </w:pPr>
      <w:r w:rsidRPr="00CF10F0">
        <w:rPr>
          <w:rFonts w:cs="Times New Roman"/>
          <w:lang w:val="fr-CA"/>
        </w:rPr>
        <w:t>Dans son résumé à la fin des directives concernant l’agression sexuelle, elle a déclaré ce qui suit</w:t>
      </w:r>
      <w:r>
        <w:rPr>
          <w:rFonts w:cs="Times New Roman"/>
          <w:lang w:val="fr-CA"/>
        </w:rPr>
        <w:t> :</w:t>
      </w:r>
    </w:p>
    <w:p w14:paraId="4581B165" w14:textId="35F88C3A" w:rsidR="00BE287D" w:rsidRPr="003726F3" w:rsidRDefault="00BE287D" w:rsidP="003726F3">
      <w:pPr>
        <w:pStyle w:val="Citation-AltC"/>
        <w:ind w:hanging="1166"/>
        <w:rPr>
          <w:shd w:val="clear" w:color="auto" w:fill="FFFFFF"/>
          <w:lang w:val="fr-CA"/>
        </w:rPr>
      </w:pPr>
      <w:r w:rsidRPr="00CF10F0">
        <w:rPr>
          <w:shd w:val="clear" w:color="auto" w:fill="FFFFFF"/>
          <w:lang w:val="fr-CA"/>
        </w:rPr>
        <w:tab/>
        <w:t>[</w:t>
      </w:r>
      <w:r w:rsidRPr="00CF10F0">
        <w:rPr>
          <w:smallCaps/>
          <w:lang w:val="fr-CA"/>
        </w:rPr>
        <w:t>traduction</w:t>
      </w:r>
      <w:r w:rsidRPr="00CF10F0">
        <w:rPr>
          <w:shd w:val="clear" w:color="auto" w:fill="FFFFFF"/>
          <w:lang w:val="fr-CA"/>
        </w:rPr>
        <w:t>]</w:t>
      </w:r>
      <w:r w:rsidR="003726F3">
        <w:rPr>
          <w:shd w:val="clear" w:color="auto" w:fill="FFFFFF"/>
          <w:lang w:val="fr-CA"/>
        </w:rPr>
        <w:t xml:space="preserve"> </w:t>
      </w:r>
      <w:r w:rsidRPr="00CF10F0">
        <w:rPr>
          <w:shd w:val="clear" w:color="auto" w:fill="FFFFFF"/>
          <w:lang w:val="fr-CA"/>
        </w:rPr>
        <w:t xml:space="preserve">Si vous êtes convaincus hors de tout doute raisonnable que [R.V.] a, de manière intentionnelle, employé la </w:t>
      </w:r>
      <w:r w:rsidRPr="00CF10F0">
        <w:rPr>
          <w:u w:val="single"/>
          <w:shd w:val="clear" w:color="auto" w:fill="FFFFFF"/>
          <w:lang w:val="fr-CA"/>
        </w:rPr>
        <w:t>force</w:t>
      </w:r>
      <w:r w:rsidRPr="00CF10F0">
        <w:rPr>
          <w:shd w:val="clear" w:color="auto" w:fill="FFFFFF"/>
          <w:lang w:val="fr-CA"/>
        </w:rPr>
        <w:t xml:space="preserve"> à l’endroit de [la plaignante] dans des circonstances de nature sexuelle, vous devez déclarer [R.V.] coupable d’agression sexuelle. [Je souligne; </w:t>
      </w:r>
      <w:r>
        <w:rPr>
          <w:lang w:val="fr-CA"/>
        </w:rPr>
        <w:t>p. </w:t>
      </w:r>
      <w:r w:rsidRPr="00CF10F0">
        <w:rPr>
          <w:lang w:val="fr-CA"/>
        </w:rPr>
        <w:t>161.]</w:t>
      </w:r>
    </w:p>
    <w:p w14:paraId="1B7F4051" w14:textId="77777777" w:rsidR="00BE287D" w:rsidRPr="00CF10F0" w:rsidRDefault="00BE287D" w:rsidP="00BE287D">
      <w:pPr>
        <w:pStyle w:val="ParaNoNdepar-AltN"/>
        <w:rPr>
          <w:rFonts w:cs="Times New Roman"/>
          <w:lang w:val="fr-CA"/>
        </w:rPr>
      </w:pPr>
      <w:r w:rsidRPr="00CF10F0">
        <w:rPr>
          <w:rFonts w:cs="Times New Roman"/>
          <w:shd w:val="clear" w:color="auto" w:fill="FFFFFF"/>
          <w:lang w:val="fr-CA"/>
        </w:rPr>
        <w:lastRenderedPageBreak/>
        <w:t>À la suite des directives au sujet de l’agression sexuelle, la juge du procès a donné des directives concernant les contacts sexuels et l’incitation à des contacts sexuels. Dans son explication sur les contacts sexuels, elle a déclaré que les éléments étaient que la plaignante était âgée de moins de 16 ans à l’époque, que R.V. s’était livré à des « attouchements » avec la plaignante et qu’il l’avait fait à des fins d’ordre sexuel (</w:t>
      </w:r>
      <w:r>
        <w:rPr>
          <w:rFonts w:cs="Times New Roman"/>
          <w:shd w:val="clear" w:color="auto" w:fill="FFFFFF"/>
          <w:lang w:val="fr-CA"/>
        </w:rPr>
        <w:t>p. </w:t>
      </w:r>
      <w:r w:rsidRPr="00CF10F0">
        <w:rPr>
          <w:rFonts w:cs="Times New Roman"/>
          <w:shd w:val="clear" w:color="auto" w:fill="FFFFFF"/>
          <w:lang w:val="fr-CA"/>
        </w:rPr>
        <w:t>162). Elle a ensuite donné la définition suivante de « toucher »</w:t>
      </w:r>
      <w:r>
        <w:rPr>
          <w:rFonts w:cs="Times New Roman"/>
          <w:shd w:val="clear" w:color="auto" w:fill="FFFFFF"/>
          <w:lang w:val="fr-CA"/>
        </w:rPr>
        <w:t> :</w:t>
      </w:r>
    </w:p>
    <w:p w14:paraId="6EB1D01A" w14:textId="2994F29F" w:rsidR="00BE287D" w:rsidRPr="00CF10F0" w:rsidRDefault="00BE287D" w:rsidP="00A40984">
      <w:pPr>
        <w:pStyle w:val="Citation-AltC"/>
        <w:ind w:hanging="1166"/>
        <w:rPr>
          <w:lang w:val="fr-CA"/>
        </w:rPr>
      </w:pPr>
      <w:r w:rsidRPr="00CF10F0">
        <w:rPr>
          <w:lang w:val="fr-CA"/>
        </w:rPr>
        <w:tab/>
        <w:t>[</w:t>
      </w:r>
      <w:r w:rsidRPr="00CF10F0">
        <w:rPr>
          <w:smallCaps/>
          <w:lang w:val="fr-CA"/>
        </w:rPr>
        <w:t>traduction</w:t>
      </w:r>
      <w:r w:rsidRPr="00CF10F0">
        <w:rPr>
          <w:lang w:val="fr-CA"/>
        </w:rPr>
        <w:t>]</w:t>
      </w:r>
      <w:r w:rsidR="00A40984">
        <w:rPr>
          <w:lang w:val="fr-CA"/>
        </w:rPr>
        <w:t xml:space="preserve"> </w:t>
      </w:r>
      <w:r w:rsidRPr="00CF10F0">
        <w:rPr>
          <w:lang w:val="fr-CA"/>
        </w:rPr>
        <w:t xml:space="preserve">Un contact peut être direct, par exemple, avec la main ou une autre partie du corps, ou indirect, par exemple, avec un objet. </w:t>
      </w:r>
      <w:r w:rsidRPr="00CF10F0">
        <w:rPr>
          <w:u w:val="single"/>
          <w:lang w:val="fr-CA"/>
        </w:rPr>
        <w:t>L’emploi de la force n’est pas nécessaire</w:t>
      </w:r>
      <w:r w:rsidRPr="00CF10F0">
        <w:rPr>
          <w:lang w:val="fr-CA"/>
        </w:rPr>
        <w:t xml:space="preserve">, mais toucher accidentellement ne suffit pas. [Je souligne; </w:t>
      </w:r>
      <w:r>
        <w:rPr>
          <w:lang w:val="fr-CA"/>
        </w:rPr>
        <w:t>p. </w:t>
      </w:r>
      <w:r w:rsidRPr="00CF10F0">
        <w:rPr>
          <w:lang w:val="fr-CA"/>
        </w:rPr>
        <w:t>164.]</w:t>
      </w:r>
    </w:p>
    <w:p w14:paraId="36896278" w14:textId="77777777" w:rsidR="00BE287D" w:rsidRPr="00CF10F0" w:rsidRDefault="00BE287D" w:rsidP="00BE287D">
      <w:pPr>
        <w:pStyle w:val="ParaNoNdepar-AltN"/>
        <w:rPr>
          <w:rFonts w:cs="Times New Roman"/>
          <w:lang w:val="fr-CA"/>
        </w:rPr>
      </w:pPr>
      <w:r w:rsidRPr="00CF10F0">
        <w:rPr>
          <w:rFonts w:cs="Times New Roman"/>
          <w:lang w:val="fr-CA"/>
        </w:rPr>
        <w:t xml:space="preserve">Dans son explication sur l’incitation à des contacts sexuels, la juge du procès a déclaré que les éléments étaient que la plaignante était âgée de moins de 16 ans à l’époque, que R.V. avait incité la plaignante à « toucher » son corps et que les « attouchements » que R.V. avait incité la plaignante à faire l’étaient à des fins d’ordre sexuel </w:t>
      </w:r>
      <w:r w:rsidRPr="00CF10F0">
        <w:rPr>
          <w:rFonts w:cs="Times New Roman"/>
          <w:shd w:val="clear" w:color="auto" w:fill="FFFFFF"/>
          <w:lang w:val="fr-CA"/>
        </w:rPr>
        <w:t>(</w:t>
      </w:r>
      <w:r>
        <w:rPr>
          <w:rFonts w:cs="Times New Roman"/>
          <w:shd w:val="clear" w:color="auto" w:fill="FFFFFF"/>
          <w:lang w:val="fr-CA"/>
        </w:rPr>
        <w:t>p. </w:t>
      </w:r>
      <w:r w:rsidRPr="00CF10F0">
        <w:rPr>
          <w:rFonts w:cs="Times New Roman"/>
          <w:shd w:val="clear" w:color="auto" w:fill="FFFFFF"/>
          <w:lang w:val="fr-CA"/>
        </w:rPr>
        <w:t>166)</w:t>
      </w:r>
      <w:r w:rsidRPr="00CF10F0">
        <w:rPr>
          <w:rFonts w:cs="Times New Roman"/>
          <w:lang w:val="fr-CA"/>
        </w:rPr>
        <w:t>. Elle a ensuite défini comme suit le mot « toucher »</w:t>
      </w:r>
      <w:r>
        <w:rPr>
          <w:rFonts w:cs="Times New Roman"/>
          <w:lang w:val="fr-CA"/>
        </w:rPr>
        <w:t> :</w:t>
      </w:r>
    </w:p>
    <w:p w14:paraId="62107612" w14:textId="7C75E068" w:rsidR="00BE287D" w:rsidRPr="00CF10F0" w:rsidRDefault="00BE287D" w:rsidP="00A40984">
      <w:pPr>
        <w:pStyle w:val="Citation-AltC"/>
        <w:ind w:hanging="1166"/>
        <w:rPr>
          <w:lang w:val="fr-CA"/>
        </w:rPr>
      </w:pPr>
      <w:r w:rsidRPr="00CF10F0">
        <w:rPr>
          <w:lang w:val="fr-CA"/>
        </w:rPr>
        <w:tab/>
        <w:t>[</w:t>
      </w:r>
      <w:r w:rsidRPr="00CF10F0">
        <w:rPr>
          <w:smallCaps/>
          <w:lang w:val="fr-CA"/>
        </w:rPr>
        <w:t>traduction</w:t>
      </w:r>
      <w:r w:rsidRPr="00CF10F0">
        <w:rPr>
          <w:lang w:val="fr-CA"/>
        </w:rPr>
        <w:t>]</w:t>
      </w:r>
      <w:r w:rsidR="00A40984">
        <w:rPr>
          <w:lang w:val="fr-CA"/>
        </w:rPr>
        <w:t xml:space="preserve"> </w:t>
      </w:r>
      <w:r w:rsidRPr="00CF10F0">
        <w:rPr>
          <w:lang w:val="fr-CA"/>
        </w:rPr>
        <w:t xml:space="preserve">Toucher peut comprendre des contacts physiques intentionnels avec n’importe quelle partie du corps. </w:t>
      </w:r>
      <w:r w:rsidRPr="00CF10F0">
        <w:rPr>
          <w:u w:val="single"/>
          <w:lang w:val="fr-CA"/>
        </w:rPr>
        <w:t>L’emploi de la force n’est pas nécessaire</w:t>
      </w:r>
      <w:r w:rsidRPr="00CF10F0">
        <w:rPr>
          <w:lang w:val="fr-CA"/>
        </w:rPr>
        <w:t xml:space="preserve">, mais toucher accidentellement ne suffit pas. [Je souligne; </w:t>
      </w:r>
      <w:r>
        <w:rPr>
          <w:lang w:val="fr-CA"/>
        </w:rPr>
        <w:t>p. </w:t>
      </w:r>
      <w:r w:rsidRPr="00CF10F0">
        <w:rPr>
          <w:lang w:val="fr-CA"/>
        </w:rPr>
        <w:t>168.]</w:t>
      </w:r>
    </w:p>
    <w:p w14:paraId="2C8E6DD4" w14:textId="77777777" w:rsidR="00BE287D" w:rsidRPr="00CF10F0" w:rsidRDefault="00BE287D" w:rsidP="00BE287D">
      <w:pPr>
        <w:pStyle w:val="ParaNoNdepar-AltN"/>
        <w:rPr>
          <w:rFonts w:cs="Times New Roman"/>
          <w:lang w:val="fr-CA"/>
        </w:rPr>
      </w:pPr>
      <w:r w:rsidRPr="00CF10F0">
        <w:rPr>
          <w:rFonts w:cs="Times New Roman"/>
          <w:shd w:val="clear" w:color="auto" w:fill="FFFFFF"/>
          <w:lang w:val="fr-CA"/>
        </w:rPr>
        <w:t xml:space="preserve">À mon humble avis, étant donné la façon dont les directives étaient structurées — les chefs d’accusation ont été expliqués l’un après l’autre — la juge du procès devait expliquer au jury en quoi les trois infractions étaient liées entre elles. Elle aurait dû clarifier la relation entre les éléments de toucher et de force, ou simplement </w:t>
      </w:r>
      <w:r w:rsidRPr="00CF10F0">
        <w:rPr>
          <w:rFonts w:cs="Times New Roman"/>
          <w:shd w:val="clear" w:color="auto" w:fill="FFFFFF"/>
          <w:lang w:val="fr-CA"/>
        </w:rPr>
        <w:lastRenderedPageBreak/>
        <w:t>employer le mot « toucher » pour décrire les trois infractions. Subsidiairement, puisque la juge du procès a choisi de ne pas remettre au jury une copie de l’exposé, elle aurait pu indiquer dans l’arbre décisionnel que les mots « force » et « toucher » étaient, en fait, interchangeables. Sans ces précisions, je suis d’avis que l’absence de directives de la juge du procès équivalait à des directives erronées.</w:t>
      </w:r>
    </w:p>
    <w:p w14:paraId="6F1816F5" w14:textId="77777777" w:rsidR="00BE287D" w:rsidRPr="00CF10F0" w:rsidRDefault="00BE287D" w:rsidP="00BE287D">
      <w:pPr>
        <w:pStyle w:val="ParaNoNdepar-AltN"/>
        <w:tabs>
          <w:tab w:val="num" w:pos="1422"/>
        </w:tabs>
        <w:rPr>
          <w:rFonts w:cs="Times New Roman"/>
          <w:lang w:val="fr-CA"/>
        </w:rPr>
      </w:pPr>
      <w:r w:rsidRPr="00CF10F0">
        <w:rPr>
          <w:rFonts w:cs="Times New Roman"/>
          <w:lang w:val="fr-CA"/>
        </w:rPr>
        <w:t>À ces directives erronées s’est ajoutée l’erreur que la juge du procès a commise en laissant au jury la possibilité de déclarer l’accusé coupable de voies de fait simples. Dans ses directives, elle a déclaré ce qui suit</w:t>
      </w:r>
      <w:r>
        <w:rPr>
          <w:rFonts w:cs="Times New Roman"/>
          <w:lang w:val="fr-CA"/>
        </w:rPr>
        <w:t> :</w:t>
      </w:r>
    </w:p>
    <w:p w14:paraId="49BA80E6" w14:textId="717E66CE" w:rsidR="00BE287D" w:rsidRPr="00CF10F0" w:rsidRDefault="00BE287D" w:rsidP="00A40984">
      <w:pPr>
        <w:pStyle w:val="Citation-AltC"/>
        <w:ind w:hanging="1166"/>
        <w:rPr>
          <w:lang w:val="fr-CA"/>
        </w:rPr>
      </w:pPr>
      <w:r w:rsidRPr="00CF10F0">
        <w:rPr>
          <w:lang w:val="fr-CA"/>
        </w:rPr>
        <w:tab/>
        <w:t>[</w:t>
      </w:r>
      <w:r w:rsidRPr="00CF10F0">
        <w:rPr>
          <w:smallCaps/>
          <w:lang w:val="fr-CA"/>
        </w:rPr>
        <w:t>traduction</w:t>
      </w:r>
      <w:r w:rsidRPr="00CF10F0">
        <w:rPr>
          <w:lang w:val="fr-CA"/>
        </w:rPr>
        <w:t>]</w:t>
      </w:r>
      <w:r w:rsidR="00A40984">
        <w:rPr>
          <w:lang w:val="fr-CA"/>
        </w:rPr>
        <w:t xml:space="preserve"> </w:t>
      </w:r>
      <w:r w:rsidRPr="00CF10F0">
        <w:rPr>
          <w:lang w:val="fr-CA"/>
        </w:rPr>
        <w:t xml:space="preserve">Si vous n’êtes pas convaincus hors de tout doute raisonnable que [R.V.] a, de manière intentionnelle, employé la force à l’endroit de [la plaignante] dans des circonstances de nature sexuelle, vous devez déclarer [R.V.] non coupable d’agression sexuelle, </w:t>
      </w:r>
      <w:r w:rsidRPr="00CF10F0">
        <w:rPr>
          <w:u w:val="single"/>
          <w:lang w:val="fr-CA"/>
        </w:rPr>
        <w:t>mais coupable de voies de fait</w:t>
      </w:r>
      <w:r w:rsidRPr="00CF10F0">
        <w:rPr>
          <w:lang w:val="fr-CA"/>
        </w:rPr>
        <w:t xml:space="preserve">. [Je souligne; </w:t>
      </w:r>
      <w:r>
        <w:rPr>
          <w:lang w:val="fr-CA"/>
        </w:rPr>
        <w:t>p. </w:t>
      </w:r>
      <w:r w:rsidRPr="00CF10F0">
        <w:rPr>
          <w:lang w:val="fr-CA"/>
        </w:rPr>
        <w:t>161.]</w:t>
      </w:r>
    </w:p>
    <w:p w14:paraId="12EFC1BD" w14:textId="77777777" w:rsidR="00BE287D" w:rsidRDefault="00BE287D" w:rsidP="00BE287D">
      <w:pPr>
        <w:pStyle w:val="ParaNoNdepar-AltN"/>
        <w:tabs>
          <w:tab w:val="num" w:pos="1422"/>
        </w:tabs>
        <w:spacing w:before="0"/>
        <w:rPr>
          <w:rFonts w:cs="Times New Roman"/>
          <w:lang w:val="fr-CA"/>
        </w:rPr>
      </w:pPr>
      <w:r w:rsidRPr="00CF10F0">
        <w:rPr>
          <w:rFonts w:cs="Times New Roman"/>
          <w:lang w:val="fr-CA"/>
        </w:rPr>
        <w:t>Non seulement la juge du procès a inclus les voies de fait dans les directives qu’elle a données au jury, mais elle les a aussi incluses dans les verdicts possibles de l’arbre décisionnel sur l’agression sexuelle</w:t>
      </w:r>
      <w:r>
        <w:rPr>
          <w:rFonts w:cs="Times New Roman"/>
          <w:lang w:val="fr-CA"/>
        </w:rPr>
        <w:t> :</w:t>
      </w:r>
    </w:p>
    <w:p w14:paraId="5F533BEE" w14:textId="77777777" w:rsidR="00BE287D" w:rsidRPr="00A526B9" w:rsidRDefault="00BE287D" w:rsidP="00BE287D">
      <w:pPr>
        <w:pStyle w:val="ParaNoNdepar-AltN"/>
        <w:numPr>
          <w:ilvl w:val="0"/>
          <w:numId w:val="0"/>
        </w:numPr>
        <w:tabs>
          <w:tab w:val="clear" w:pos="1166"/>
          <w:tab w:val="left" w:pos="1170"/>
        </w:tabs>
        <w:spacing w:before="0"/>
        <w:ind w:left="1166"/>
        <w:rPr>
          <w:rFonts w:cs="Times New Roman"/>
          <w:smallCaps/>
          <w:lang w:val="fr-CA"/>
        </w:rPr>
      </w:pPr>
      <w:r>
        <w:rPr>
          <w:rFonts w:cs="Times New Roman"/>
          <w:smallCaps/>
          <w:lang w:val="fr-CA"/>
        </w:rPr>
        <w:tab/>
      </w:r>
      <w:r>
        <w:rPr>
          <w:rFonts w:cs="Times New Roman"/>
          <w:smallCaps/>
        </w:rPr>
        <w:t>[</w:t>
      </w:r>
      <w:r>
        <w:rPr>
          <w:rFonts w:cs="Times New Roman"/>
          <w:smallCaps/>
          <w:lang w:val="fr-CA"/>
        </w:rPr>
        <w:t>traduction]</w:t>
      </w:r>
    </w:p>
    <w:p w14:paraId="172F14B9" w14:textId="563D18C8" w:rsidR="00BE287D" w:rsidRPr="00CF10F0" w:rsidRDefault="00A40984" w:rsidP="008B7467">
      <w:pPr>
        <w:pStyle w:val="CITATION"/>
        <w:spacing w:after="480"/>
        <w:ind w:left="1166"/>
        <w:jc w:val="center"/>
        <w:rPr>
          <w:lang w:val="fr-CA"/>
        </w:rPr>
      </w:pPr>
      <w:r>
        <w:rPr>
          <w:noProof/>
          <w:lang w:val="fr-CA" w:eastAsia="fr-CA"/>
        </w:rPr>
        <w:lastRenderedPageBreak/>
        <w:drawing>
          <wp:inline distT="0" distB="0" distL="0" distR="0" wp14:anchorId="6897E45C" wp14:editId="75A857CC">
            <wp:extent cx="5257800" cy="4229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7800" cy="4229735"/>
                    </a:xfrm>
                    <a:prstGeom prst="rect">
                      <a:avLst/>
                    </a:prstGeom>
                  </pic:spPr>
                </pic:pic>
              </a:graphicData>
            </a:graphic>
          </wp:inline>
        </w:drawing>
      </w:r>
    </w:p>
    <w:p w14:paraId="043AB46F" w14:textId="504E307F" w:rsidR="00BE287D" w:rsidRPr="00CF10F0" w:rsidRDefault="00BE287D" w:rsidP="00A40984">
      <w:pPr>
        <w:pStyle w:val="Citation-AltC"/>
        <w:ind w:left="0"/>
        <w:contextualSpacing w:val="0"/>
        <w:rPr>
          <w:lang w:val="fr-CA"/>
        </w:rPr>
      </w:pPr>
      <w:r w:rsidRPr="00CF10F0">
        <w:rPr>
          <w:lang w:val="fr-CA"/>
        </w:rPr>
        <w:t>(</w:t>
      </w:r>
      <w:proofErr w:type="spellStart"/>
      <w:proofErr w:type="gramStart"/>
      <w:r w:rsidRPr="00CF10F0">
        <w:rPr>
          <w:lang w:val="fr-CA"/>
        </w:rPr>
        <w:t>d.a</w:t>
      </w:r>
      <w:proofErr w:type="spellEnd"/>
      <w:r w:rsidRPr="00CF10F0">
        <w:rPr>
          <w:lang w:val="fr-CA"/>
        </w:rPr>
        <w:t>.,</w:t>
      </w:r>
      <w:proofErr w:type="gramEnd"/>
      <w:r w:rsidRPr="00CF10F0">
        <w:rPr>
          <w:lang w:val="fr-CA"/>
        </w:rPr>
        <w:t xml:space="preserve"> </w:t>
      </w:r>
      <w:r>
        <w:rPr>
          <w:lang w:val="fr-CA"/>
        </w:rPr>
        <w:t>p. </w:t>
      </w:r>
      <w:r w:rsidR="00A40984">
        <w:rPr>
          <w:lang w:val="fr-CA"/>
        </w:rPr>
        <w:t>223</w:t>
      </w:r>
      <w:r w:rsidRPr="00CF10F0">
        <w:rPr>
          <w:lang w:val="fr-CA"/>
        </w:rPr>
        <w:t>)</w:t>
      </w:r>
    </w:p>
    <w:p w14:paraId="5B28B4C7" w14:textId="77777777" w:rsidR="00BE287D" w:rsidRPr="00CF10F0" w:rsidRDefault="00BE287D" w:rsidP="00BE287D">
      <w:pPr>
        <w:pStyle w:val="ParaNoNdepar-AltN"/>
        <w:rPr>
          <w:rFonts w:cs="Times New Roman"/>
          <w:lang w:val="fr-CA"/>
        </w:rPr>
      </w:pPr>
      <w:r w:rsidRPr="00CF10F0">
        <w:rPr>
          <w:rFonts w:cs="Times New Roman"/>
          <w:lang w:val="fr-CA"/>
        </w:rPr>
        <w:t xml:space="preserve">Plutôt que de corriger cette erreur au moment où le jury a posé une question à propos de la divergence entre l’arbre décisionnel et la feuille de verdict relativement à l’agression sexuelle, la juge du procès a aggravé l’erreur en ajoutant le verdict de voies de fait à la feuille de verdict. L’inclusion du verdict de voies de fait dans l’arbre décisionnel et dans la feuille de verdict a mis en relief la différence entre l’emploi du mot « force » pour l’agression sexuelle et l’utilisation du mot « toucher » pour les deux autres infractions. De plus, la feuille de verdict indiquait à plusieurs reprises que </w:t>
      </w:r>
      <w:r w:rsidRPr="00CF10F0">
        <w:rPr>
          <w:rFonts w:cs="Times New Roman"/>
          <w:lang w:val="fr-CA"/>
        </w:rPr>
        <w:lastRenderedPageBreak/>
        <w:t>la conduite requise pour établir les infractions d’agression sexuelle et de simples voies de fait était une conduite faisant intervenir la « force ».</w:t>
      </w:r>
    </w:p>
    <w:p w14:paraId="43AC27CF" w14:textId="77777777" w:rsidR="00BE287D" w:rsidRPr="00CF10F0" w:rsidRDefault="00BE287D" w:rsidP="00BE287D">
      <w:pPr>
        <w:pStyle w:val="ParaNoNdepar-AltN"/>
        <w:rPr>
          <w:rFonts w:cs="Times New Roman"/>
          <w:lang w:val="fr-CA"/>
        </w:rPr>
      </w:pPr>
      <w:r w:rsidRPr="00CF10F0">
        <w:rPr>
          <w:rFonts w:cs="Times New Roman"/>
          <w:lang w:val="fr-CA"/>
        </w:rPr>
        <w:t xml:space="preserve">Je suis conscient que la juge du procès s’est fondée sur un modèle de directives. Il est compréhensible que les juges </w:t>
      </w:r>
      <w:r>
        <w:rPr>
          <w:rFonts w:cs="Times New Roman"/>
          <w:lang w:val="fr-CA"/>
        </w:rPr>
        <w:t>présidant les</w:t>
      </w:r>
      <w:r w:rsidRPr="00CF10F0">
        <w:rPr>
          <w:rFonts w:cs="Times New Roman"/>
          <w:lang w:val="fr-CA"/>
        </w:rPr>
        <w:t xml:space="preserve"> procès s’appuient fortement sur de tels modèles. Toutefois, ceux</w:t>
      </w:r>
      <w:r>
        <w:rPr>
          <w:rFonts w:cs="Times New Roman"/>
          <w:lang w:val="fr-CA"/>
        </w:rPr>
        <w:noBreakHyphen/>
      </w:r>
      <w:r w:rsidRPr="00CF10F0">
        <w:rPr>
          <w:rFonts w:cs="Times New Roman"/>
          <w:lang w:val="fr-CA"/>
        </w:rPr>
        <w:t>ci ne sont pas universels</w:t>
      </w:r>
      <w:r>
        <w:rPr>
          <w:rFonts w:cs="Times New Roman"/>
          <w:lang w:val="fr-CA"/>
        </w:rPr>
        <w:t> :</w:t>
      </w:r>
      <w:r w:rsidRPr="00CF10F0">
        <w:rPr>
          <w:rFonts w:cs="Times New Roman"/>
          <w:lang w:val="fr-CA"/>
        </w:rPr>
        <w:t xml:space="preserve"> ils doivent être adaptés pour tenir compte des particularités de chaque affaire (</w:t>
      </w:r>
      <w:r w:rsidRPr="00CF10F0">
        <w:rPr>
          <w:rFonts w:cs="Times New Roman"/>
          <w:i/>
          <w:lang w:val="fr-CA"/>
        </w:rPr>
        <w:t>R. c. Mack</w:t>
      </w:r>
      <w:r w:rsidRPr="00CF10F0">
        <w:rPr>
          <w:rFonts w:cs="Times New Roman"/>
          <w:lang w:val="fr-CA"/>
        </w:rPr>
        <w:t xml:space="preserve">, 2014 CSC 58, [2014] 3 R.C.S. 3, </w:t>
      </w:r>
      <w:r>
        <w:rPr>
          <w:rFonts w:cs="Times New Roman"/>
          <w:lang w:val="fr-CA"/>
        </w:rPr>
        <w:t>par. </w:t>
      </w:r>
      <w:r w:rsidRPr="00CF10F0">
        <w:rPr>
          <w:rFonts w:cs="Times New Roman"/>
          <w:lang w:val="fr-CA"/>
        </w:rPr>
        <w:t>48</w:t>
      </w:r>
      <w:r>
        <w:rPr>
          <w:rFonts w:cs="Times New Roman"/>
          <w:lang w:val="fr-CA"/>
        </w:rPr>
        <w:noBreakHyphen/>
      </w:r>
      <w:r w:rsidRPr="00CF10F0">
        <w:rPr>
          <w:rFonts w:cs="Times New Roman"/>
          <w:lang w:val="fr-CA"/>
        </w:rPr>
        <w:t xml:space="preserve">50; </w:t>
      </w:r>
      <w:r w:rsidRPr="00CF10F0">
        <w:rPr>
          <w:rFonts w:cs="Times New Roman"/>
          <w:i/>
          <w:lang w:val="fr-CA"/>
        </w:rPr>
        <w:t>R. c. </w:t>
      </w:r>
      <w:proofErr w:type="spellStart"/>
      <w:r w:rsidRPr="00CF10F0">
        <w:rPr>
          <w:rFonts w:cs="Times New Roman"/>
          <w:i/>
          <w:lang w:val="fr-CA"/>
        </w:rPr>
        <w:t>Rodgerson</w:t>
      </w:r>
      <w:proofErr w:type="spellEnd"/>
      <w:r w:rsidRPr="00CF10F0">
        <w:rPr>
          <w:rFonts w:cs="Times New Roman"/>
          <w:lang w:val="fr-CA"/>
        </w:rPr>
        <w:t xml:space="preserve">, 2015 CSC 38, [2015] 2 R.C.S. 760, </w:t>
      </w:r>
      <w:r>
        <w:rPr>
          <w:rFonts w:cs="Times New Roman"/>
          <w:lang w:val="fr-CA"/>
        </w:rPr>
        <w:t>par. </w:t>
      </w:r>
      <w:r w:rsidRPr="00CF10F0">
        <w:rPr>
          <w:rFonts w:cs="Times New Roman"/>
          <w:lang w:val="fr-CA"/>
        </w:rPr>
        <w:t>51</w:t>
      </w:r>
      <w:r>
        <w:rPr>
          <w:rFonts w:cs="Times New Roman"/>
          <w:lang w:val="fr-CA"/>
        </w:rPr>
        <w:noBreakHyphen/>
      </w:r>
      <w:r w:rsidRPr="00CF10F0">
        <w:rPr>
          <w:rFonts w:cs="Times New Roman"/>
          <w:lang w:val="fr-CA"/>
        </w:rPr>
        <w:t xml:space="preserve">52; </w:t>
      </w:r>
      <w:r w:rsidRPr="00CF10F0">
        <w:rPr>
          <w:rFonts w:cs="Times New Roman"/>
          <w:i/>
          <w:lang w:val="fr-CA"/>
        </w:rPr>
        <w:t>R. c. Jacquard</w:t>
      </w:r>
      <w:r w:rsidRPr="00CF10F0">
        <w:rPr>
          <w:rFonts w:cs="Times New Roman"/>
          <w:lang w:val="fr-CA"/>
        </w:rPr>
        <w:t xml:space="preserve">, [1997] 1 R.C.S. 314, </w:t>
      </w:r>
      <w:r>
        <w:rPr>
          <w:rFonts w:cs="Times New Roman"/>
          <w:lang w:val="fr-CA"/>
        </w:rPr>
        <w:t>par. </w:t>
      </w:r>
      <w:r w:rsidRPr="00CF10F0">
        <w:rPr>
          <w:rFonts w:cs="Times New Roman"/>
          <w:lang w:val="fr-CA"/>
        </w:rPr>
        <w:t xml:space="preserve">13). Si les modèles de directives sont inapplicables aux faits ou au droit en cause, ils doivent être adaptés. Plus particulièrement, les juges </w:t>
      </w:r>
      <w:r>
        <w:rPr>
          <w:rFonts w:cs="Times New Roman"/>
          <w:lang w:val="fr-CA"/>
        </w:rPr>
        <w:t xml:space="preserve">présidant les </w:t>
      </w:r>
      <w:r w:rsidRPr="00CF10F0">
        <w:rPr>
          <w:rFonts w:cs="Times New Roman"/>
          <w:lang w:val="fr-CA"/>
        </w:rPr>
        <w:t>procès doivent se garder de proposer au jury des verdicts inappropriés au vu de la preuve (</w:t>
      </w:r>
      <w:r w:rsidRPr="00CF10F0">
        <w:rPr>
          <w:rFonts w:cs="Times New Roman"/>
          <w:i/>
          <w:lang w:val="fr-CA"/>
        </w:rPr>
        <w:t>R. c. Haughton</w:t>
      </w:r>
      <w:r w:rsidRPr="00CF10F0">
        <w:rPr>
          <w:rFonts w:cs="Times New Roman"/>
          <w:lang w:val="fr-CA"/>
        </w:rPr>
        <w:t> </w:t>
      </w:r>
      <w:r w:rsidRPr="00CF10F0">
        <w:rPr>
          <w:rStyle w:val="reflex3-block"/>
          <w:rFonts w:cs="Times New Roman"/>
          <w:lang w:val="fr-CA"/>
        </w:rPr>
        <w:t xml:space="preserve">(1992), </w:t>
      </w:r>
      <w:r w:rsidRPr="00CF10F0">
        <w:rPr>
          <w:rStyle w:val="reflex3-alt"/>
          <w:rFonts w:cs="Times New Roman"/>
          <w:lang w:val="fr-CA"/>
        </w:rPr>
        <w:t>11 O.R. (3d) 621 (C.A.),</w:t>
      </w:r>
      <w:r w:rsidRPr="00CF10F0">
        <w:rPr>
          <w:rStyle w:val="reflex3-block"/>
          <w:rFonts w:cs="Times New Roman"/>
          <w:lang w:val="fr-CA"/>
        </w:rPr>
        <w:t xml:space="preserve"> </w:t>
      </w:r>
      <w:r>
        <w:rPr>
          <w:rStyle w:val="reflex3-block"/>
          <w:rFonts w:cs="Times New Roman"/>
          <w:lang w:val="fr-CA"/>
        </w:rPr>
        <w:t>p. </w:t>
      </w:r>
      <w:r w:rsidRPr="00CF10F0">
        <w:rPr>
          <w:rStyle w:val="reflex3-block"/>
          <w:rFonts w:cs="Times New Roman"/>
          <w:lang w:val="fr-CA"/>
        </w:rPr>
        <w:t xml:space="preserve">625, </w:t>
      </w:r>
      <w:proofErr w:type="spellStart"/>
      <w:r w:rsidRPr="00CF10F0">
        <w:rPr>
          <w:rStyle w:val="reflex3-block"/>
          <w:rFonts w:cs="Times New Roman"/>
          <w:lang w:val="fr-CA"/>
        </w:rPr>
        <w:t>conf</w:t>
      </w:r>
      <w:proofErr w:type="spellEnd"/>
      <w:r w:rsidRPr="00CF10F0">
        <w:rPr>
          <w:rStyle w:val="reflex3-block"/>
          <w:rFonts w:cs="Times New Roman"/>
          <w:lang w:val="fr-CA"/>
        </w:rPr>
        <w:t xml:space="preserve">. par </w:t>
      </w:r>
      <w:r w:rsidRPr="00CF10F0">
        <w:rPr>
          <w:rStyle w:val="reflex3-alt"/>
          <w:rFonts w:cs="Times New Roman"/>
          <w:lang w:val="fr-CA"/>
        </w:rPr>
        <w:t>[1994] 3 R.C.S. 516</w:t>
      </w:r>
      <w:r w:rsidRPr="00CF10F0">
        <w:rPr>
          <w:rFonts w:cs="Times New Roman"/>
          <w:lang w:val="fr-CA"/>
        </w:rPr>
        <w:t xml:space="preserve">). En outre, </w:t>
      </w:r>
      <w:r>
        <w:rPr>
          <w:rFonts w:cs="Times New Roman"/>
          <w:lang w:val="fr-CA"/>
        </w:rPr>
        <w:t>les juges présidant les</w:t>
      </w:r>
      <w:r w:rsidRPr="00CF10F0">
        <w:rPr>
          <w:rFonts w:cs="Times New Roman"/>
          <w:lang w:val="fr-CA"/>
        </w:rPr>
        <w:t xml:space="preserve"> procès devraient éviter de recourir à des modèles de directives qui emploient le mot « force » relativement à l’agression sexuelle et le mot « toucher » relativement aux contacts sexuels et à l’incitation à des contacts sexuels, car de telles directives favorisent la confusion et un raisonnement erroné. Pour ces motifs, même si elle s’est appuyée sur un modèle de directives, la juge du procès n’était pas à l’abri d’une erreur de droit.</w:t>
      </w:r>
    </w:p>
    <w:p w14:paraId="3E801128" w14:textId="77777777" w:rsidR="00BE287D" w:rsidRPr="00CF10F0" w:rsidRDefault="00BE287D" w:rsidP="00BE287D">
      <w:pPr>
        <w:pStyle w:val="ParaNoNdepar-AltN"/>
        <w:rPr>
          <w:rFonts w:cs="Times New Roman"/>
          <w:lang w:val="fr-CA"/>
        </w:rPr>
      </w:pPr>
      <w:r w:rsidRPr="00CF10F0">
        <w:rPr>
          <w:rFonts w:cs="Times New Roman"/>
          <w:lang w:val="fr-CA"/>
        </w:rPr>
        <w:t xml:space="preserve">Compte tenu de tout ce qui précède, je peux conclure, avec une certitude élevée, que le jury n’a pas compris que toute forme de contact équivalait à la force requise pour établir l’infraction d’agression sexuelle. Dans les circonstances de l’espèce, il était essentiel de détromper le jury qui croyait que la notion de force est, en </w:t>
      </w:r>
      <w:r w:rsidRPr="00CF10F0">
        <w:rPr>
          <w:rFonts w:cs="Times New Roman"/>
          <w:lang w:val="fr-CA"/>
        </w:rPr>
        <w:lastRenderedPageBreak/>
        <w:t>droit, différente de la notion de contact. La juge du procès ne l’a pas fait ici. Avec égards, j’estime que cette absence de directives constituait une erreur de droit.</w:t>
      </w:r>
    </w:p>
    <w:p w14:paraId="521F0705" w14:textId="77777777" w:rsidR="00BE287D" w:rsidRPr="00CF10F0" w:rsidRDefault="00BE287D" w:rsidP="00BE287D">
      <w:pPr>
        <w:pStyle w:val="Title3LevelTitre3Niveau"/>
        <w:rPr>
          <w:rFonts w:cs="Times New Roman"/>
          <w:lang w:val="fr-CA"/>
        </w:rPr>
      </w:pPr>
      <w:r w:rsidRPr="00CF10F0">
        <w:rPr>
          <w:rFonts w:cs="Times New Roman"/>
          <w:lang w:val="fr-CA"/>
        </w:rPr>
        <w:t xml:space="preserve">L’erreur de droit était significative et </w:t>
      </w:r>
      <w:r>
        <w:rPr>
          <w:rFonts w:cs="Times New Roman"/>
          <w:lang w:val="fr-CA"/>
        </w:rPr>
        <w:t>limitée</w:t>
      </w:r>
      <w:r w:rsidRPr="00CF10F0">
        <w:rPr>
          <w:rFonts w:cs="Times New Roman"/>
          <w:lang w:val="fr-CA"/>
        </w:rPr>
        <w:t xml:space="preserve"> à l’acquittement, et elle permet de concilier les verdicts apparemment incompatibles</w:t>
      </w:r>
    </w:p>
    <w:p w14:paraId="0B5D1C58" w14:textId="77777777" w:rsidR="00BE287D" w:rsidRPr="00CF10F0" w:rsidRDefault="00BE287D" w:rsidP="00BE287D">
      <w:pPr>
        <w:pStyle w:val="ParaNoNdepar-AltN"/>
        <w:rPr>
          <w:rFonts w:cs="Times New Roman"/>
          <w:lang w:val="fr-CA"/>
        </w:rPr>
      </w:pPr>
      <w:r w:rsidRPr="00CF10F0">
        <w:rPr>
          <w:rFonts w:cs="Times New Roman"/>
          <w:lang w:val="fr-CA"/>
        </w:rPr>
        <w:t>L’erreur de droit a amené le jury à rendre un verdict d’acquittement à l’égard de l’accusation d’agression sexuelle. Le jury a cru à tort que l’accusation d’agression sexuelle, contrairement aux deux autres accusations, exigeait l’emploi d’une force allant au</w:t>
      </w:r>
      <w:r>
        <w:rPr>
          <w:rFonts w:cs="Times New Roman"/>
          <w:lang w:val="fr-CA"/>
        </w:rPr>
        <w:noBreakHyphen/>
      </w:r>
      <w:r w:rsidRPr="00CF10F0">
        <w:rPr>
          <w:rFonts w:cs="Times New Roman"/>
          <w:lang w:val="fr-CA"/>
        </w:rPr>
        <w:t>delà d’un simple contact. Par conséquent, le jury a acquitté R.V. d’agression sexuelle</w:t>
      </w:r>
      <w:r>
        <w:rPr>
          <w:rFonts w:cs="Times New Roman"/>
          <w:lang w:val="fr-CA"/>
        </w:rPr>
        <w:t> :</w:t>
      </w:r>
      <w:r w:rsidRPr="00CF10F0">
        <w:rPr>
          <w:rFonts w:cs="Times New Roman"/>
          <w:lang w:val="fr-CA"/>
        </w:rPr>
        <w:t xml:space="preserve"> il n’était pas convaincu hors de tout doute raisonnable que R.V. avait employé la force, au sens courant du mot, à l’endroit de la plaignante. S’appuyant sur la même preuve, le jury a déclaré l’accusé coupable de contacts sexuels et d’incitation à des contacts sexuels parce qu’il était convaincu que l’accusé avait eu des contacts avec la plaignante dans des circonstances de nature sexuelle.</w:t>
      </w:r>
    </w:p>
    <w:p w14:paraId="0E150110" w14:textId="77777777" w:rsidR="00BE287D" w:rsidRPr="00CF10F0" w:rsidRDefault="00BE287D" w:rsidP="00BE287D">
      <w:pPr>
        <w:pStyle w:val="ParaNoNdepar-AltN"/>
        <w:rPr>
          <w:rFonts w:cs="Times New Roman"/>
          <w:lang w:val="fr-CA"/>
        </w:rPr>
      </w:pPr>
      <w:r w:rsidRPr="00CF10F0">
        <w:rPr>
          <w:rFonts w:cs="Times New Roman"/>
          <w:lang w:val="fr-CA"/>
        </w:rPr>
        <w:t>Fait important, il n’est pas nécessaire de se livrer à des suppositions ou à des conjectures pour reconstituer le raisonnement du jury. Les directives expliquent exactement de quelle façon le jury en est arrivé à son verdict quant à l’accusation d’agression sexuelle</w:t>
      </w:r>
      <w:r>
        <w:rPr>
          <w:rFonts w:cs="Times New Roman"/>
          <w:lang w:val="fr-CA"/>
        </w:rPr>
        <w:t> :</w:t>
      </w:r>
    </w:p>
    <w:p w14:paraId="7C036C5F" w14:textId="4EC6A05B" w:rsidR="00BE287D" w:rsidRPr="00CF10F0" w:rsidRDefault="00BE287D" w:rsidP="00193071">
      <w:pPr>
        <w:pStyle w:val="Citation-AltC"/>
        <w:ind w:hanging="1166"/>
        <w:rPr>
          <w:lang w:val="fr-CA"/>
        </w:rPr>
      </w:pPr>
      <w:r w:rsidRPr="00CF10F0">
        <w:rPr>
          <w:lang w:val="fr-CA"/>
        </w:rPr>
        <w:tab/>
        <w:t>[</w:t>
      </w:r>
      <w:r w:rsidRPr="00CF10F0">
        <w:rPr>
          <w:smallCaps/>
          <w:lang w:val="fr-CA"/>
        </w:rPr>
        <w:t>traduction</w:t>
      </w:r>
      <w:r w:rsidRPr="00CF10F0">
        <w:rPr>
          <w:lang w:val="fr-CA"/>
        </w:rPr>
        <w:t>]</w:t>
      </w:r>
      <w:r w:rsidR="00193071">
        <w:rPr>
          <w:lang w:val="fr-CA"/>
        </w:rPr>
        <w:t xml:space="preserve"> </w:t>
      </w:r>
      <w:r w:rsidRPr="00CF10F0">
        <w:rPr>
          <w:lang w:val="fr-CA"/>
        </w:rPr>
        <w:t xml:space="preserve">Si vous n’êtes pas convaincus, hors de tout doute raisonnable, que [R.V.] a, de manière intentionnelle, employé la force à l’endroit de [la plaignante], vous devez le déclarer non coupable. </w:t>
      </w:r>
      <w:r w:rsidRPr="00CF10F0">
        <w:rPr>
          <w:u w:val="single"/>
          <w:lang w:val="fr-CA"/>
        </w:rPr>
        <w:t>Vos délibérations prendraient ainsi fin.</w:t>
      </w:r>
      <w:r w:rsidRPr="00CF10F0">
        <w:rPr>
          <w:lang w:val="fr-CA"/>
        </w:rPr>
        <w:t xml:space="preserve"> [Je souligne.]</w:t>
      </w:r>
    </w:p>
    <w:p w14:paraId="43691146" w14:textId="77777777" w:rsidR="00193071" w:rsidRDefault="00193071" w:rsidP="00BE287D">
      <w:pPr>
        <w:pStyle w:val="Citation-AltC"/>
        <w:ind w:left="1168" w:hanging="1168"/>
        <w:contextualSpacing w:val="0"/>
        <w:rPr>
          <w:lang w:val="fr-CA"/>
        </w:rPr>
      </w:pPr>
    </w:p>
    <w:p w14:paraId="2A6171E6" w14:textId="3502B1BB" w:rsidR="00BE287D" w:rsidRPr="00CF10F0" w:rsidRDefault="00BE287D" w:rsidP="00BE287D">
      <w:pPr>
        <w:pStyle w:val="Citation-AltC"/>
        <w:ind w:left="1168" w:hanging="1168"/>
        <w:contextualSpacing w:val="0"/>
        <w:rPr>
          <w:lang w:val="fr-CA"/>
        </w:rPr>
      </w:pPr>
      <w:r w:rsidRPr="00CF10F0">
        <w:rPr>
          <w:lang w:val="fr-CA"/>
        </w:rPr>
        <w:lastRenderedPageBreak/>
        <w:t>(</w:t>
      </w:r>
      <w:proofErr w:type="spellStart"/>
      <w:proofErr w:type="gramStart"/>
      <w:r w:rsidRPr="00CF10F0">
        <w:rPr>
          <w:lang w:val="fr-CA"/>
        </w:rPr>
        <w:t>d.a</w:t>
      </w:r>
      <w:proofErr w:type="spellEnd"/>
      <w:r w:rsidRPr="00CF10F0">
        <w:rPr>
          <w:lang w:val="fr-CA"/>
        </w:rPr>
        <w:t>.,</w:t>
      </w:r>
      <w:proofErr w:type="gramEnd"/>
      <w:r w:rsidRPr="00CF10F0">
        <w:rPr>
          <w:lang w:val="fr-CA"/>
        </w:rPr>
        <w:t xml:space="preserve"> </w:t>
      </w:r>
      <w:r>
        <w:rPr>
          <w:lang w:val="fr-CA"/>
        </w:rPr>
        <w:t>p. </w:t>
      </w:r>
      <w:r w:rsidRPr="00CF10F0">
        <w:rPr>
          <w:lang w:val="fr-CA"/>
        </w:rPr>
        <w:t>159)</w:t>
      </w:r>
    </w:p>
    <w:p w14:paraId="775B41EB" w14:textId="77777777" w:rsidR="00BE287D" w:rsidRPr="00CF10F0" w:rsidRDefault="00BE287D" w:rsidP="00BE287D">
      <w:pPr>
        <w:pStyle w:val="ParaNoNdepar-AltN"/>
        <w:rPr>
          <w:rFonts w:cs="Times New Roman"/>
          <w:lang w:val="fr-CA"/>
        </w:rPr>
      </w:pPr>
      <w:r w:rsidRPr="00CF10F0">
        <w:rPr>
          <w:rFonts w:cs="Times New Roman"/>
          <w:lang w:val="fr-CA"/>
        </w:rPr>
        <w:t xml:space="preserve">Il s’agit du seul fondement sur lequel le jury pouvait s’appuyer pour acquitter R.V. d’agression sexuelle. Selon les directives reçues de la juge du procès et l’arbre décisionnel, si le jury n’était pas convaincu quant au deuxième élément de l’accusation d’agression sexuelle — à savoir si la force avait été employée </w:t>
      </w:r>
      <w:r w:rsidRPr="00CF10F0">
        <w:rPr>
          <w:rFonts w:cs="Times New Roman"/>
          <w:i/>
          <w:lang w:val="fr-CA"/>
        </w:rPr>
        <w:t xml:space="preserve">dans des circonstances de nature sexuelle </w:t>
      </w:r>
      <w:r w:rsidRPr="00CF10F0">
        <w:rPr>
          <w:rFonts w:cs="Times New Roman"/>
          <w:lang w:val="fr-CA"/>
        </w:rPr>
        <w:t>—</w:t>
      </w:r>
      <w:r w:rsidRPr="00CF10F0">
        <w:rPr>
          <w:rFonts w:cs="Times New Roman"/>
          <w:i/>
          <w:lang w:val="fr-CA"/>
        </w:rPr>
        <w:t xml:space="preserve"> </w:t>
      </w:r>
      <w:r w:rsidRPr="00CF10F0">
        <w:rPr>
          <w:rFonts w:cs="Times New Roman"/>
          <w:lang w:val="fr-CA"/>
        </w:rPr>
        <w:t>il devait déclarer l’accusé non coupable d’agression sexuelle, mais coupable de voies de fait. Puisque le jury n’a pas déclaré R.V. coupable de voies de fait, il est logique de déduire qu’il n’était pas convaincu quant à l’élément de force et qu’il a acquitté R.V. pour ce motif.</w:t>
      </w:r>
    </w:p>
    <w:p w14:paraId="02FCCB83" w14:textId="77777777" w:rsidR="00BE287D" w:rsidRPr="00CF10F0" w:rsidRDefault="00BE287D" w:rsidP="00BE287D">
      <w:pPr>
        <w:pStyle w:val="ParaNoNdepar-AltN"/>
        <w:rPr>
          <w:rFonts w:cs="Times New Roman"/>
          <w:lang w:val="fr-CA"/>
        </w:rPr>
      </w:pPr>
      <w:r w:rsidRPr="00CF10F0">
        <w:rPr>
          <w:rFonts w:cs="Times New Roman"/>
          <w:lang w:val="fr-CA"/>
        </w:rPr>
        <w:t>En outre, l’erreur de droit était restreinte à l’acquittement. Les directives de la juge du procès quant aux accusations de contacts sexuels et d’incitation à des contacts sexuels étaient fondées en droit puisque le jury a reçu des directives appropriées relativement aux éléments essentiels de ces infractions et à la preuve. L’erreur commise dans les directives sur l’agression sexuelle n’a pas entaché les directives concernant les autres infractions. Je peux donc conclure, avec une certitude élevée, que l’erreur concernait uniquement l’accusation d’agression sexuelle, et non les accusations de contacts sexuels et d’incitation à des contacts sexuels.</w:t>
      </w:r>
    </w:p>
    <w:p w14:paraId="37180CE0" w14:textId="77777777" w:rsidR="00BE287D" w:rsidRPr="00CF10F0" w:rsidRDefault="00BE287D" w:rsidP="00BE287D">
      <w:pPr>
        <w:pStyle w:val="ParaNoNdepar-AltN"/>
        <w:rPr>
          <w:rFonts w:cs="Times New Roman"/>
          <w:lang w:val="fr-CA"/>
        </w:rPr>
      </w:pPr>
      <w:r w:rsidRPr="00CF10F0">
        <w:rPr>
          <w:rFonts w:cs="Times New Roman"/>
          <w:lang w:val="fr-CA"/>
        </w:rPr>
        <w:t xml:space="preserve">Enfin, l’erreur de droit permet de concilier les verdicts apparemment incompatibles en ce sens que le jury n’a pas déclaré R.V. à la fois coupable et non coupable des mêmes actes. Le jury a déclaré R.V. coupable </w:t>
      </w:r>
      <w:r>
        <w:rPr>
          <w:rFonts w:cs="Times New Roman"/>
          <w:lang w:val="fr-CA"/>
        </w:rPr>
        <w:t>d’avoir touché la plaignante sexuellement</w:t>
      </w:r>
      <w:r w:rsidRPr="00CF10F0">
        <w:rPr>
          <w:rFonts w:cs="Times New Roman"/>
          <w:lang w:val="fr-CA"/>
        </w:rPr>
        <w:t xml:space="preserve">. Il ne l’a pas déclaré coupable d’avoir employé la force, au sens courant </w:t>
      </w:r>
      <w:r w:rsidRPr="00CF10F0">
        <w:rPr>
          <w:rFonts w:cs="Times New Roman"/>
          <w:lang w:val="fr-CA"/>
        </w:rPr>
        <w:lastRenderedPageBreak/>
        <w:t>du mot, à l’endroit de la plaignante dans des circonstances de nature sexuelle. L’acquittement est attribuable à l’absence de l’emploi d’une force allant au</w:t>
      </w:r>
      <w:r>
        <w:rPr>
          <w:rFonts w:cs="Times New Roman"/>
          <w:lang w:val="fr-CA"/>
        </w:rPr>
        <w:noBreakHyphen/>
      </w:r>
      <w:r w:rsidRPr="00CF10F0">
        <w:rPr>
          <w:rFonts w:cs="Times New Roman"/>
          <w:lang w:val="fr-CA"/>
        </w:rPr>
        <w:t>delà du toucher; les déclarations de culpabilité sont attribuables à la présence de simples attouchements. Ces deux conclusions sont compatibles.</w:t>
      </w:r>
    </w:p>
    <w:p w14:paraId="30B2AE44" w14:textId="77777777" w:rsidR="00BE287D" w:rsidRPr="00CF10F0" w:rsidRDefault="00BE287D" w:rsidP="00BE287D">
      <w:pPr>
        <w:pStyle w:val="ParaNoNdepar-AltN"/>
        <w:rPr>
          <w:rFonts w:cs="Times New Roman"/>
          <w:lang w:val="fr-CA"/>
        </w:rPr>
      </w:pPr>
      <w:r w:rsidRPr="00CF10F0">
        <w:rPr>
          <w:rFonts w:cs="Times New Roman"/>
          <w:lang w:val="fr-CA"/>
        </w:rPr>
        <w:t>En somme, le cadre que j’ai établi est respecté et, en conséquence, les déclarations de culpabilité ne sont pas réellement incompatibles avec l’acquittement.</w:t>
      </w:r>
    </w:p>
    <w:p w14:paraId="51D43CB8" w14:textId="77777777" w:rsidR="00BE287D" w:rsidRPr="00CF10F0" w:rsidRDefault="00BE287D" w:rsidP="00BE287D">
      <w:pPr>
        <w:pStyle w:val="ParaNoNdepar-AltN"/>
        <w:rPr>
          <w:rFonts w:cs="Times New Roman"/>
          <w:lang w:val="fr-CA"/>
        </w:rPr>
      </w:pPr>
      <w:r w:rsidRPr="00CF10F0">
        <w:rPr>
          <w:rFonts w:cs="Times New Roman"/>
          <w:lang w:val="fr-CA"/>
        </w:rPr>
        <w:t>Puisque j’ai conclu que les verdicts ne sont pas réellement incompatibles, les déclarations de culpabilité ne sont pas déraisonnables pour ce motif. R.V. n’invoque aucun autre motif pour lequel ses déclarations de culpabilité pourraient être déraisonnables, et pour cause</w:t>
      </w:r>
      <w:r>
        <w:rPr>
          <w:rFonts w:cs="Times New Roman"/>
          <w:lang w:val="fr-CA"/>
        </w:rPr>
        <w:t> :</w:t>
      </w:r>
      <w:r w:rsidRPr="00CF10F0">
        <w:rPr>
          <w:rFonts w:cs="Times New Roman"/>
          <w:lang w:val="fr-CA"/>
        </w:rPr>
        <w:t xml:space="preserve"> elles peuvent s’appuyer sur la preuve produite au procès et sont compatibles avec les directives données au jury relativement à ces deux infractions. Par conséquent, l’appel interjeté par R.V. contre ses déclarations de culpabilité aurait dû être rejeté.</w:t>
      </w:r>
    </w:p>
    <w:p w14:paraId="562A4CC3" w14:textId="77777777" w:rsidR="00BE287D" w:rsidRPr="00CF10F0" w:rsidRDefault="00BE287D" w:rsidP="00BE287D">
      <w:pPr>
        <w:pStyle w:val="Title3LevelTitre3Niveau"/>
        <w:rPr>
          <w:rFonts w:cs="Times New Roman"/>
          <w:lang w:val="fr-CA"/>
        </w:rPr>
      </w:pPr>
      <w:r w:rsidRPr="00CF10F0">
        <w:rPr>
          <w:rFonts w:cs="Times New Roman"/>
          <w:lang w:val="fr-CA"/>
        </w:rPr>
        <w:t>La réparation applicable</w:t>
      </w:r>
    </w:p>
    <w:p w14:paraId="2FCFC097" w14:textId="77777777" w:rsidR="00BE287D" w:rsidRPr="00CF10F0" w:rsidRDefault="00BE287D" w:rsidP="00BE287D">
      <w:pPr>
        <w:pStyle w:val="ParaNoNdepar-AltN"/>
        <w:rPr>
          <w:rFonts w:cs="Times New Roman"/>
          <w:lang w:val="fr-CA"/>
        </w:rPr>
      </w:pPr>
      <w:r w:rsidRPr="00CF10F0">
        <w:rPr>
          <w:rFonts w:cs="Times New Roman"/>
          <w:lang w:val="fr-CA"/>
        </w:rPr>
        <w:t xml:space="preserve">Je passe maintenant à la décision qu’il convient de rendre sur l’accusation d’agression sexuelle. Comme je l’ai expliqué, la réparation habituelle dans des cas comme celui qui nous occupe — où la Couronne a interjeté un appel incident et concilié les verdicts incompatibles en limitant l’erreur de droit à l’acquittement — consiste à maintenir la déclaration de culpabilité et à renvoyer le verdict d’acquittement pour </w:t>
      </w:r>
      <w:r w:rsidRPr="00CF10F0">
        <w:rPr>
          <w:rFonts w:cs="Times New Roman"/>
          <w:lang w:val="fr-CA"/>
        </w:rPr>
        <w:lastRenderedPageBreak/>
        <w:t>nouvelle instruction. Cependant, eu égard aux circonstances de l’espèce, il est justifié pour la Cour d’ordonner l’arrêt des procédures plutôt que la tenue d’un nouveau procès.</w:t>
      </w:r>
    </w:p>
    <w:p w14:paraId="501C1BF9" w14:textId="77777777" w:rsidR="00BE287D" w:rsidRPr="00CF10F0" w:rsidRDefault="00BE287D" w:rsidP="00BE287D">
      <w:pPr>
        <w:pStyle w:val="ParaNoNdepar-AltN"/>
        <w:rPr>
          <w:rFonts w:cs="Times New Roman"/>
          <w:lang w:val="fr-CA"/>
        </w:rPr>
      </w:pPr>
      <w:r w:rsidRPr="00CF10F0">
        <w:rPr>
          <w:rFonts w:cs="Times New Roman"/>
          <w:lang w:val="fr-CA"/>
        </w:rPr>
        <w:t xml:space="preserve">Aux termes du </w:t>
      </w:r>
      <w:r>
        <w:rPr>
          <w:rFonts w:cs="Times New Roman"/>
          <w:lang w:val="fr-CA"/>
        </w:rPr>
        <w:t>par. </w:t>
      </w:r>
      <w:r w:rsidRPr="00CF10F0">
        <w:rPr>
          <w:rFonts w:cs="Times New Roman"/>
          <w:lang w:val="fr-CA"/>
        </w:rPr>
        <w:t xml:space="preserve">686(8) du </w:t>
      </w:r>
      <w:r w:rsidRPr="00CF10F0">
        <w:rPr>
          <w:rFonts w:cs="Times New Roman"/>
          <w:i/>
          <w:lang w:val="fr-CA"/>
        </w:rPr>
        <w:t>Code criminel</w:t>
      </w:r>
      <w:r w:rsidRPr="00CF10F0">
        <w:rPr>
          <w:rFonts w:cs="Times New Roman"/>
          <w:lang w:val="fr-CA"/>
        </w:rPr>
        <w:t xml:space="preserve">, lorsqu’une cour d’appel exerce « des pouvoirs conférés par le paragraphe (2), (4), (6) ou (7), elle peut en outre rendre toute ordonnance que la justice exige ». Le </w:t>
      </w:r>
      <w:r w:rsidRPr="00CF10F0">
        <w:rPr>
          <w:rFonts w:cs="Times New Roman"/>
          <w:i/>
          <w:lang w:val="fr-CA"/>
        </w:rPr>
        <w:t>Code criminel</w:t>
      </w:r>
      <w:r w:rsidRPr="00CF10F0">
        <w:rPr>
          <w:rFonts w:cs="Times New Roman"/>
          <w:lang w:val="fr-CA"/>
        </w:rPr>
        <w:t xml:space="preserve"> confère aussi ce pouvoir à notre Cour (</w:t>
      </w:r>
      <w:r>
        <w:rPr>
          <w:rFonts w:cs="Times New Roman"/>
          <w:lang w:val="fr-CA"/>
        </w:rPr>
        <w:t>par. </w:t>
      </w:r>
      <w:r w:rsidRPr="00CF10F0">
        <w:rPr>
          <w:rFonts w:cs="Times New Roman"/>
          <w:lang w:val="fr-CA"/>
        </w:rPr>
        <w:t xml:space="preserve">695(1)). Pour qu’une cour d’appel rende une ordonnance en vertu du pouvoir résiduel que lui confère le </w:t>
      </w:r>
      <w:r>
        <w:rPr>
          <w:rFonts w:cs="Times New Roman"/>
          <w:lang w:val="fr-CA"/>
        </w:rPr>
        <w:t>par. </w:t>
      </w:r>
      <w:r w:rsidRPr="00CF10F0">
        <w:rPr>
          <w:rFonts w:cs="Times New Roman"/>
          <w:lang w:val="fr-CA"/>
        </w:rPr>
        <w:t>686(8), trois conditions doivent être réunies (</w:t>
      </w:r>
      <w:r w:rsidRPr="00CF10F0">
        <w:rPr>
          <w:rFonts w:cs="Times New Roman"/>
          <w:i/>
          <w:lang w:val="fr-CA"/>
        </w:rPr>
        <w:t>R. c. Thomas</w:t>
      </w:r>
      <w:r w:rsidRPr="00CF10F0">
        <w:rPr>
          <w:rFonts w:cs="Times New Roman"/>
          <w:lang w:val="fr-CA"/>
        </w:rPr>
        <w:t xml:space="preserve">, [1998] 3 R.C.S. 535). Premièrement, la cour doit avoir exercé un des pouvoirs conférés par le </w:t>
      </w:r>
      <w:r>
        <w:rPr>
          <w:rFonts w:cs="Times New Roman"/>
          <w:lang w:val="fr-CA"/>
        </w:rPr>
        <w:t>par. </w:t>
      </w:r>
      <w:r w:rsidRPr="00CF10F0">
        <w:rPr>
          <w:rFonts w:cs="Times New Roman"/>
          <w:lang w:val="fr-CA"/>
        </w:rPr>
        <w:t>686(2), (4), (6) ou (7). Deuxièmement, l’ordonnance rendue doit être accessoire à l’exercice de ce pouvoir. Conformément à la « fin réparatrice générale » qui sous</w:t>
      </w:r>
      <w:r>
        <w:rPr>
          <w:rFonts w:cs="Times New Roman"/>
          <w:lang w:val="fr-CA"/>
        </w:rPr>
        <w:noBreakHyphen/>
      </w:r>
      <w:r w:rsidRPr="00CF10F0">
        <w:rPr>
          <w:rFonts w:cs="Times New Roman"/>
          <w:lang w:val="fr-CA"/>
        </w:rPr>
        <w:t>tend la disposition, notre Cour a adopté une approche souple pour déterminer si l’ordonnance a été rendue « en outre » de l’exercice du pouvoir conféré par la disposition (</w:t>
      </w:r>
      <w:r w:rsidRPr="00CF10F0">
        <w:rPr>
          <w:rFonts w:cs="Times New Roman"/>
          <w:i/>
          <w:lang w:val="fr-CA"/>
        </w:rPr>
        <w:t>R.</w:t>
      </w:r>
      <w:r>
        <w:rPr>
          <w:rFonts w:cs="Times New Roman"/>
          <w:i/>
          <w:lang w:val="fr-CA"/>
        </w:rPr>
        <w:t xml:space="preserve"> </w:t>
      </w:r>
      <w:r w:rsidRPr="00CF10F0">
        <w:rPr>
          <w:rFonts w:cs="Times New Roman"/>
          <w:i/>
          <w:lang w:val="fr-CA"/>
        </w:rPr>
        <w:t>c.</w:t>
      </w:r>
      <w:r>
        <w:rPr>
          <w:rFonts w:cs="Times New Roman"/>
          <w:i/>
          <w:lang w:val="fr-CA"/>
        </w:rPr>
        <w:t xml:space="preserve"> </w:t>
      </w:r>
      <w:proofErr w:type="spellStart"/>
      <w:r w:rsidRPr="00CF10F0">
        <w:rPr>
          <w:rFonts w:cs="Times New Roman"/>
          <w:i/>
          <w:lang w:val="fr-CA"/>
        </w:rPr>
        <w:t>Hinse</w:t>
      </w:r>
      <w:proofErr w:type="spellEnd"/>
      <w:r w:rsidRPr="00CF10F0">
        <w:rPr>
          <w:rFonts w:cs="Times New Roman"/>
          <w:lang w:val="fr-CA"/>
        </w:rPr>
        <w:t>, [1995] 4</w:t>
      </w:r>
      <w:r>
        <w:rPr>
          <w:rFonts w:cs="Times New Roman"/>
          <w:lang w:val="fr-CA"/>
        </w:rPr>
        <w:t xml:space="preserve"> </w:t>
      </w:r>
      <w:r w:rsidRPr="00CF10F0">
        <w:rPr>
          <w:rFonts w:cs="Times New Roman"/>
          <w:lang w:val="fr-CA"/>
        </w:rPr>
        <w:t>R.C.S.</w:t>
      </w:r>
      <w:r>
        <w:rPr>
          <w:rFonts w:cs="Times New Roman"/>
          <w:lang w:val="fr-CA"/>
        </w:rPr>
        <w:t xml:space="preserve"> </w:t>
      </w:r>
      <w:r w:rsidRPr="00CF10F0">
        <w:rPr>
          <w:rFonts w:cs="Times New Roman"/>
          <w:lang w:val="fr-CA"/>
        </w:rPr>
        <w:t xml:space="preserve">597, </w:t>
      </w:r>
      <w:r>
        <w:rPr>
          <w:rFonts w:cs="Times New Roman"/>
          <w:lang w:val="fr-CA"/>
        </w:rPr>
        <w:t>par. </w:t>
      </w:r>
      <w:r w:rsidRPr="00CF10F0">
        <w:rPr>
          <w:rFonts w:cs="Times New Roman"/>
          <w:lang w:val="fr-CA"/>
        </w:rPr>
        <w:t>30). Plus précisément, il n’est pas nécessaire que l’ordonnance additionnelle devance directement l’exercice du pouvoir (</w:t>
      </w:r>
      <w:proofErr w:type="spellStart"/>
      <w:r w:rsidRPr="00CF10F0">
        <w:rPr>
          <w:rFonts w:cs="Times New Roman"/>
          <w:i/>
          <w:lang w:val="fr-CA"/>
        </w:rPr>
        <w:t>Hinse</w:t>
      </w:r>
      <w:proofErr w:type="spellEnd"/>
      <w:r w:rsidRPr="00CF10F0">
        <w:rPr>
          <w:rFonts w:cs="Times New Roman"/>
          <w:lang w:val="fr-CA"/>
        </w:rPr>
        <w:t xml:space="preserve">, </w:t>
      </w:r>
      <w:r>
        <w:rPr>
          <w:rFonts w:cs="Times New Roman"/>
          <w:lang w:val="fr-CA"/>
        </w:rPr>
        <w:t>par. </w:t>
      </w:r>
      <w:r w:rsidRPr="00CF10F0">
        <w:rPr>
          <w:rFonts w:cs="Times New Roman"/>
          <w:lang w:val="fr-CA"/>
        </w:rPr>
        <w:t>31</w:t>
      </w:r>
      <w:r>
        <w:rPr>
          <w:rFonts w:cs="Times New Roman"/>
          <w:lang w:val="fr-CA"/>
        </w:rPr>
        <w:noBreakHyphen/>
      </w:r>
      <w:r w:rsidRPr="00CF10F0">
        <w:rPr>
          <w:rFonts w:cs="Times New Roman"/>
          <w:lang w:val="fr-CA"/>
        </w:rPr>
        <w:t xml:space="preserve">32; voir, </w:t>
      </w:r>
      <w:r>
        <w:rPr>
          <w:rFonts w:cs="Times New Roman"/>
          <w:lang w:val="fr-CA"/>
        </w:rPr>
        <w:t>p. </w:t>
      </w:r>
      <w:r w:rsidRPr="00CF10F0">
        <w:rPr>
          <w:rFonts w:cs="Times New Roman"/>
          <w:lang w:val="fr-CA"/>
        </w:rPr>
        <w:t xml:space="preserve">ex., </w:t>
      </w:r>
      <w:r w:rsidRPr="00CF10F0">
        <w:rPr>
          <w:rFonts w:cs="Times New Roman"/>
          <w:i/>
          <w:lang w:val="fr-CA"/>
        </w:rPr>
        <w:t>R.</w:t>
      </w:r>
      <w:r>
        <w:rPr>
          <w:rFonts w:cs="Times New Roman"/>
          <w:i/>
          <w:lang w:val="fr-CA"/>
        </w:rPr>
        <w:t xml:space="preserve"> </w:t>
      </w:r>
      <w:r w:rsidRPr="00CF10F0">
        <w:rPr>
          <w:rFonts w:cs="Times New Roman"/>
          <w:i/>
          <w:lang w:val="fr-CA"/>
        </w:rPr>
        <w:t>c.</w:t>
      </w:r>
      <w:r>
        <w:rPr>
          <w:rFonts w:cs="Times New Roman"/>
          <w:i/>
          <w:lang w:val="fr-CA"/>
        </w:rPr>
        <w:t xml:space="preserve"> </w:t>
      </w:r>
      <w:r w:rsidRPr="00CF10F0">
        <w:rPr>
          <w:rFonts w:cs="Times New Roman"/>
          <w:i/>
          <w:lang w:val="fr-CA"/>
        </w:rPr>
        <w:t>Power</w:t>
      </w:r>
      <w:r>
        <w:rPr>
          <w:rFonts w:cs="Times New Roman"/>
          <w:lang w:val="fr-CA"/>
        </w:rPr>
        <w:t xml:space="preserve">, </w:t>
      </w:r>
      <w:r w:rsidRPr="00CF10F0">
        <w:rPr>
          <w:rFonts w:cs="Times New Roman"/>
          <w:lang w:val="fr-CA"/>
        </w:rPr>
        <w:t>[1994] 1</w:t>
      </w:r>
      <w:r>
        <w:rPr>
          <w:rFonts w:cs="Times New Roman"/>
          <w:lang w:val="fr-CA"/>
        </w:rPr>
        <w:t xml:space="preserve"> R.C.S. 601, p. </w:t>
      </w:r>
      <w:r w:rsidRPr="00CF10F0">
        <w:rPr>
          <w:rFonts w:cs="Times New Roman"/>
          <w:lang w:val="fr-CA"/>
        </w:rPr>
        <w:t>615</w:t>
      </w:r>
      <w:r>
        <w:rPr>
          <w:rFonts w:cs="Times New Roman"/>
          <w:lang w:val="fr-CA"/>
        </w:rPr>
        <w:noBreakHyphen/>
      </w:r>
      <w:r w:rsidRPr="00CF10F0">
        <w:rPr>
          <w:rFonts w:cs="Times New Roman"/>
          <w:lang w:val="fr-CA"/>
        </w:rPr>
        <w:t xml:space="preserve">618; </w:t>
      </w:r>
      <w:r w:rsidRPr="00CF10F0">
        <w:rPr>
          <w:rFonts w:cs="Times New Roman"/>
          <w:i/>
          <w:lang w:val="fr-CA"/>
        </w:rPr>
        <w:t>R.</w:t>
      </w:r>
      <w:r>
        <w:rPr>
          <w:rFonts w:cs="Times New Roman"/>
          <w:i/>
          <w:lang w:val="fr-CA"/>
        </w:rPr>
        <w:t xml:space="preserve"> </w:t>
      </w:r>
      <w:r w:rsidRPr="00CF10F0">
        <w:rPr>
          <w:rFonts w:cs="Times New Roman"/>
          <w:i/>
          <w:lang w:val="fr-CA"/>
        </w:rPr>
        <w:t>c.</w:t>
      </w:r>
      <w:r>
        <w:rPr>
          <w:rFonts w:cs="Times New Roman"/>
          <w:i/>
          <w:lang w:val="fr-CA"/>
        </w:rPr>
        <w:t xml:space="preserve"> </w:t>
      </w:r>
      <w:r w:rsidRPr="00CF10F0">
        <w:rPr>
          <w:rFonts w:cs="Times New Roman"/>
          <w:i/>
          <w:lang w:val="fr-CA"/>
        </w:rPr>
        <w:t>Provo</w:t>
      </w:r>
      <w:r w:rsidRPr="00CF10F0">
        <w:rPr>
          <w:rFonts w:cs="Times New Roman"/>
          <w:lang w:val="fr-CA"/>
        </w:rPr>
        <w:t>, [1989] 2</w:t>
      </w:r>
      <w:r>
        <w:rPr>
          <w:rFonts w:cs="Times New Roman"/>
          <w:lang w:val="fr-CA"/>
        </w:rPr>
        <w:t xml:space="preserve"> R.C.S. </w:t>
      </w:r>
      <w:r w:rsidRPr="00CF10F0">
        <w:rPr>
          <w:rFonts w:cs="Times New Roman"/>
          <w:lang w:val="fr-CA"/>
        </w:rPr>
        <w:t xml:space="preserve">3, </w:t>
      </w:r>
      <w:r>
        <w:rPr>
          <w:rFonts w:cs="Times New Roman"/>
          <w:lang w:val="fr-CA"/>
        </w:rPr>
        <w:t>p. </w:t>
      </w:r>
      <w:r w:rsidRPr="00CF10F0">
        <w:rPr>
          <w:rFonts w:cs="Times New Roman"/>
          <w:lang w:val="fr-CA"/>
        </w:rPr>
        <w:t>19</w:t>
      </w:r>
      <w:r>
        <w:rPr>
          <w:rFonts w:cs="Times New Roman"/>
          <w:lang w:val="fr-CA"/>
        </w:rPr>
        <w:noBreakHyphen/>
      </w:r>
      <w:r w:rsidRPr="00CF10F0">
        <w:rPr>
          <w:rFonts w:cs="Times New Roman"/>
          <w:lang w:val="fr-CA"/>
        </w:rPr>
        <w:t xml:space="preserve">21; </w:t>
      </w:r>
      <w:proofErr w:type="spellStart"/>
      <w:r w:rsidRPr="00CF10F0">
        <w:rPr>
          <w:rFonts w:cs="Times New Roman"/>
          <w:i/>
          <w:lang w:val="fr-CA"/>
        </w:rPr>
        <w:t>Terlecki</w:t>
      </w:r>
      <w:proofErr w:type="spellEnd"/>
      <w:r w:rsidRPr="00CF10F0">
        <w:rPr>
          <w:rFonts w:cs="Times New Roman"/>
          <w:i/>
          <w:lang w:val="fr-CA"/>
        </w:rPr>
        <w:t> c. La Reine</w:t>
      </w:r>
      <w:r>
        <w:rPr>
          <w:rFonts w:cs="Times New Roman"/>
          <w:lang w:val="fr-CA"/>
        </w:rPr>
        <w:t xml:space="preserve">, [1985] </w:t>
      </w:r>
      <w:r w:rsidRPr="00CF10F0">
        <w:rPr>
          <w:rFonts w:cs="Times New Roman"/>
          <w:lang w:val="fr-CA"/>
        </w:rPr>
        <w:t>2</w:t>
      </w:r>
      <w:r>
        <w:rPr>
          <w:rFonts w:cs="Times New Roman"/>
          <w:lang w:val="fr-CA"/>
        </w:rPr>
        <w:t xml:space="preserve"> </w:t>
      </w:r>
      <w:r w:rsidRPr="00CF10F0">
        <w:rPr>
          <w:rFonts w:cs="Times New Roman"/>
          <w:lang w:val="fr-CA"/>
        </w:rPr>
        <w:t>R.C.S.</w:t>
      </w:r>
      <w:r>
        <w:rPr>
          <w:rFonts w:cs="Times New Roman"/>
          <w:lang w:val="fr-CA"/>
        </w:rPr>
        <w:t xml:space="preserve"> </w:t>
      </w:r>
      <w:r w:rsidRPr="00CF10F0">
        <w:rPr>
          <w:rFonts w:cs="Times New Roman"/>
          <w:lang w:val="fr-CA"/>
        </w:rPr>
        <w:t xml:space="preserve">483, </w:t>
      </w:r>
      <w:r>
        <w:rPr>
          <w:rFonts w:cs="Times New Roman"/>
          <w:lang w:val="fr-CA"/>
        </w:rPr>
        <w:t>p. </w:t>
      </w:r>
      <w:r w:rsidRPr="00CF10F0">
        <w:rPr>
          <w:rFonts w:cs="Times New Roman"/>
          <w:lang w:val="fr-CA"/>
        </w:rPr>
        <w:t>483</w:t>
      </w:r>
      <w:r>
        <w:rPr>
          <w:rFonts w:cs="Times New Roman"/>
          <w:lang w:val="fr-CA"/>
        </w:rPr>
        <w:noBreakHyphen/>
      </w:r>
      <w:r w:rsidRPr="00CF10F0">
        <w:rPr>
          <w:rFonts w:cs="Times New Roman"/>
          <w:lang w:val="fr-CA"/>
        </w:rPr>
        <w:t>484). Il suffit que l’ordonnance accessoire rendue par la cour d’appel ne soit pas « directement incompatible avec son jugement sous</w:t>
      </w:r>
      <w:r>
        <w:rPr>
          <w:rFonts w:cs="Times New Roman"/>
          <w:lang w:val="fr-CA"/>
        </w:rPr>
        <w:noBreakHyphen/>
      </w:r>
      <w:r w:rsidRPr="00CF10F0">
        <w:rPr>
          <w:rFonts w:cs="Times New Roman"/>
          <w:lang w:val="fr-CA"/>
        </w:rPr>
        <w:t>jacent » (</w:t>
      </w:r>
      <w:r w:rsidRPr="00CF10F0">
        <w:rPr>
          <w:rFonts w:cs="Times New Roman"/>
          <w:i/>
          <w:lang w:val="fr-CA"/>
        </w:rPr>
        <w:t>Thomas</w:t>
      </w:r>
      <w:r w:rsidRPr="00CF10F0">
        <w:rPr>
          <w:rFonts w:cs="Times New Roman"/>
          <w:lang w:val="fr-CA"/>
        </w:rPr>
        <w:t xml:space="preserve">, </w:t>
      </w:r>
      <w:r>
        <w:rPr>
          <w:rFonts w:cs="Times New Roman"/>
          <w:lang w:val="fr-CA"/>
        </w:rPr>
        <w:t>par. </w:t>
      </w:r>
      <w:r w:rsidRPr="00CF10F0">
        <w:rPr>
          <w:rFonts w:cs="Times New Roman"/>
          <w:lang w:val="fr-CA"/>
        </w:rPr>
        <w:t xml:space="preserve">17; voir aussi </w:t>
      </w:r>
      <w:r w:rsidRPr="00CF10F0">
        <w:rPr>
          <w:rFonts w:cs="Times New Roman"/>
          <w:i/>
          <w:lang w:val="fr-CA"/>
        </w:rPr>
        <w:t>R.</w:t>
      </w:r>
      <w:r>
        <w:rPr>
          <w:rFonts w:cs="Times New Roman"/>
          <w:i/>
          <w:lang w:val="fr-CA"/>
        </w:rPr>
        <w:t xml:space="preserve"> </w:t>
      </w:r>
      <w:r w:rsidRPr="00CF10F0">
        <w:rPr>
          <w:rFonts w:cs="Times New Roman"/>
          <w:i/>
          <w:lang w:val="fr-CA"/>
        </w:rPr>
        <w:t>c.</w:t>
      </w:r>
      <w:r>
        <w:rPr>
          <w:rFonts w:cs="Times New Roman"/>
          <w:i/>
          <w:lang w:val="fr-CA"/>
        </w:rPr>
        <w:t xml:space="preserve"> </w:t>
      </w:r>
      <w:proofErr w:type="spellStart"/>
      <w:r w:rsidRPr="00CF10F0">
        <w:rPr>
          <w:rFonts w:cs="Times New Roman"/>
          <w:i/>
          <w:lang w:val="fr-CA"/>
        </w:rPr>
        <w:t>Warsing</w:t>
      </w:r>
      <w:proofErr w:type="spellEnd"/>
      <w:r w:rsidRPr="00CF10F0">
        <w:rPr>
          <w:rFonts w:cs="Times New Roman"/>
          <w:lang w:val="fr-CA"/>
        </w:rPr>
        <w:t>, [1998] 3</w:t>
      </w:r>
      <w:r>
        <w:rPr>
          <w:rFonts w:cs="Times New Roman"/>
          <w:lang w:val="fr-CA"/>
        </w:rPr>
        <w:t xml:space="preserve"> </w:t>
      </w:r>
      <w:r w:rsidRPr="00CF10F0">
        <w:rPr>
          <w:rFonts w:cs="Times New Roman"/>
          <w:lang w:val="fr-CA"/>
        </w:rPr>
        <w:t>R.C.S.</w:t>
      </w:r>
      <w:r>
        <w:rPr>
          <w:rFonts w:cs="Times New Roman"/>
          <w:lang w:val="fr-CA"/>
        </w:rPr>
        <w:t xml:space="preserve"> </w:t>
      </w:r>
      <w:r w:rsidRPr="00CF10F0">
        <w:rPr>
          <w:rFonts w:cs="Times New Roman"/>
          <w:lang w:val="fr-CA"/>
        </w:rPr>
        <w:t xml:space="preserve">579, </w:t>
      </w:r>
      <w:r>
        <w:rPr>
          <w:rFonts w:cs="Times New Roman"/>
          <w:lang w:val="fr-CA"/>
        </w:rPr>
        <w:t>par. </w:t>
      </w:r>
      <w:r w:rsidRPr="00CF10F0">
        <w:rPr>
          <w:rFonts w:cs="Times New Roman"/>
          <w:lang w:val="fr-CA"/>
        </w:rPr>
        <w:t>72</w:t>
      </w:r>
      <w:r>
        <w:rPr>
          <w:rFonts w:cs="Times New Roman"/>
          <w:lang w:val="fr-CA"/>
        </w:rPr>
        <w:noBreakHyphen/>
      </w:r>
      <w:r w:rsidRPr="00CF10F0">
        <w:rPr>
          <w:rFonts w:cs="Times New Roman"/>
          <w:lang w:val="fr-CA"/>
        </w:rPr>
        <w:t>74). En troisième et dernier lieu, l’ordonnance doit en être une que « la justice exige ».</w:t>
      </w:r>
    </w:p>
    <w:p w14:paraId="616A055C" w14:textId="77777777" w:rsidR="00BE287D" w:rsidRPr="00CF10F0" w:rsidRDefault="00BE287D" w:rsidP="00BE287D">
      <w:pPr>
        <w:pStyle w:val="ParaNoNdepar-AltN"/>
        <w:rPr>
          <w:rFonts w:cs="Times New Roman"/>
          <w:lang w:val="fr-CA"/>
        </w:rPr>
      </w:pPr>
      <w:r w:rsidRPr="00CF10F0">
        <w:rPr>
          <w:rFonts w:cs="Times New Roman"/>
          <w:lang w:val="fr-CA"/>
        </w:rPr>
        <w:lastRenderedPageBreak/>
        <w:t xml:space="preserve">En l’espèce, les trois conditions justifient que soit ordonné l’arrêt des procédures relativement à l’accusation d’agression sexuelle. Premièrement, l’exercice du pouvoir résiduel que confère à la Cour le </w:t>
      </w:r>
      <w:r>
        <w:rPr>
          <w:rFonts w:cs="Times New Roman"/>
          <w:lang w:val="fr-CA"/>
        </w:rPr>
        <w:t>par. </w:t>
      </w:r>
      <w:r w:rsidRPr="00CF10F0">
        <w:rPr>
          <w:rFonts w:cs="Times New Roman"/>
          <w:lang w:val="fr-CA"/>
        </w:rPr>
        <w:t xml:space="preserve">686(8) est déclenché par l’admission de l’appel incident formé par la Couronne et </w:t>
      </w:r>
      <w:r>
        <w:rPr>
          <w:rFonts w:cs="Times New Roman"/>
          <w:lang w:val="fr-CA"/>
        </w:rPr>
        <w:t>la mise de côté</w:t>
      </w:r>
      <w:r w:rsidRPr="00CF10F0">
        <w:rPr>
          <w:rFonts w:cs="Times New Roman"/>
          <w:lang w:val="fr-CA"/>
        </w:rPr>
        <w:t xml:space="preserve"> du verdict d’acquittement au titre de l’</w:t>
      </w:r>
      <w:r>
        <w:rPr>
          <w:rFonts w:cs="Times New Roman"/>
          <w:lang w:val="fr-CA"/>
        </w:rPr>
        <w:t>al. </w:t>
      </w:r>
      <w:r w:rsidRPr="00CF10F0">
        <w:rPr>
          <w:rFonts w:cs="Times New Roman"/>
          <w:lang w:val="fr-CA"/>
        </w:rPr>
        <w:t xml:space="preserve">686(4)b). Le paragraphe 686(8) confère un pouvoir résiduel à la cour d’appel qui « exerce </w:t>
      </w:r>
      <w:r w:rsidRPr="00CF10F0">
        <w:rPr>
          <w:rFonts w:cs="Times New Roman"/>
          <w:u w:val="single"/>
          <w:lang w:val="fr-CA"/>
        </w:rPr>
        <w:t>des</w:t>
      </w:r>
      <w:r w:rsidRPr="00CF10F0">
        <w:rPr>
          <w:rFonts w:cs="Times New Roman"/>
          <w:lang w:val="fr-CA"/>
        </w:rPr>
        <w:t xml:space="preserve"> pouvoirs conférés par le paragraphe [. . .] (4) ». Admettre un appel et écarter le verdict d’acquittement constituent l’un de ces pouvoirs, lequel déclenche l’exercice du pouvoir conféré par le </w:t>
      </w:r>
      <w:r>
        <w:rPr>
          <w:rFonts w:cs="Times New Roman"/>
          <w:lang w:val="fr-CA"/>
        </w:rPr>
        <w:t>par. </w:t>
      </w:r>
      <w:r w:rsidRPr="00CF10F0">
        <w:rPr>
          <w:rFonts w:cs="Times New Roman"/>
          <w:lang w:val="fr-CA"/>
        </w:rPr>
        <w:t>686(8) sans que la tenue d’un nouveau procès ait été ordonnée (</w:t>
      </w:r>
      <w:r w:rsidRPr="00CF10F0">
        <w:rPr>
          <w:rFonts w:cs="Times New Roman"/>
          <w:i/>
          <w:lang w:val="fr-CA"/>
        </w:rPr>
        <w:t>R. c. </w:t>
      </w:r>
      <w:proofErr w:type="spellStart"/>
      <w:r w:rsidRPr="00CF10F0">
        <w:rPr>
          <w:rFonts w:cs="Times New Roman"/>
          <w:i/>
          <w:lang w:val="fr-CA"/>
        </w:rPr>
        <w:t>Bellusci</w:t>
      </w:r>
      <w:proofErr w:type="spellEnd"/>
      <w:r w:rsidRPr="00CF10F0">
        <w:rPr>
          <w:rFonts w:cs="Times New Roman"/>
          <w:lang w:val="fr-CA"/>
        </w:rPr>
        <w:t xml:space="preserve">, 2012 CSC 44, [2012] 2 R.C.S. 509, </w:t>
      </w:r>
      <w:r>
        <w:rPr>
          <w:rFonts w:cs="Times New Roman"/>
          <w:lang w:val="fr-CA"/>
        </w:rPr>
        <w:t>par. </w:t>
      </w:r>
      <w:r w:rsidRPr="00CF10F0">
        <w:rPr>
          <w:rFonts w:cs="Times New Roman"/>
          <w:lang w:val="fr-CA"/>
        </w:rPr>
        <w:t xml:space="preserve">39; </w:t>
      </w:r>
      <w:r w:rsidRPr="00CF10F0">
        <w:rPr>
          <w:rFonts w:cs="Times New Roman"/>
          <w:i/>
          <w:lang w:val="fr-CA"/>
        </w:rPr>
        <w:t>R. c. Smith</w:t>
      </w:r>
      <w:r w:rsidRPr="00CF10F0">
        <w:rPr>
          <w:rFonts w:cs="Times New Roman"/>
          <w:lang w:val="fr-CA"/>
        </w:rPr>
        <w:t xml:space="preserve">, 2004 CSC 14, [2004] 1 R.C.S. 385, </w:t>
      </w:r>
      <w:r>
        <w:rPr>
          <w:rFonts w:cs="Times New Roman"/>
          <w:lang w:val="fr-CA"/>
        </w:rPr>
        <w:t>par. </w:t>
      </w:r>
      <w:r w:rsidRPr="00CF10F0">
        <w:rPr>
          <w:rFonts w:cs="Times New Roman"/>
          <w:lang w:val="fr-CA"/>
        </w:rPr>
        <w:t>22).</w:t>
      </w:r>
    </w:p>
    <w:p w14:paraId="3B5C7576" w14:textId="77777777" w:rsidR="00BE287D" w:rsidRPr="00CF10F0" w:rsidRDefault="00BE287D" w:rsidP="00BE287D">
      <w:pPr>
        <w:pStyle w:val="ParaNoNdepar-AltN"/>
        <w:rPr>
          <w:rFonts w:cs="Times New Roman"/>
          <w:lang w:val="fr-CA"/>
        </w:rPr>
      </w:pPr>
      <w:r w:rsidRPr="00CF10F0">
        <w:rPr>
          <w:rFonts w:cs="Times New Roman"/>
          <w:lang w:val="fr-CA"/>
        </w:rPr>
        <w:t xml:space="preserve">Conformément à la deuxième condition, ordonner l’arrêt des procédures serait accessoire à l’exercice du pouvoir conféré par le </w:t>
      </w:r>
      <w:r>
        <w:rPr>
          <w:rFonts w:cs="Times New Roman"/>
          <w:lang w:val="fr-CA"/>
        </w:rPr>
        <w:t>par. </w:t>
      </w:r>
      <w:r w:rsidRPr="00CF10F0">
        <w:rPr>
          <w:rFonts w:cs="Times New Roman"/>
          <w:lang w:val="fr-CA"/>
        </w:rPr>
        <w:t>686(4). L’arrêt des procédures ne serait pas directement incompatible avec le jugement écartant l’acquittement. Notre Cour a déjà statué qu’une ordonnance accessoire est directement incompatible avec le jugement sous</w:t>
      </w:r>
      <w:r>
        <w:rPr>
          <w:rFonts w:cs="Times New Roman"/>
          <w:lang w:val="fr-CA"/>
        </w:rPr>
        <w:noBreakHyphen/>
      </w:r>
      <w:r w:rsidRPr="00CF10F0">
        <w:rPr>
          <w:rFonts w:cs="Times New Roman"/>
          <w:lang w:val="fr-CA"/>
        </w:rPr>
        <w:t>jacent si une cour d’appel annule une déclaration de culpabilité et ordonne la tenue d’un nouveau procès dont l’issue est limitée à l’un des deux verdicts de culpabilité possibles (</w:t>
      </w:r>
      <w:proofErr w:type="spellStart"/>
      <w:r w:rsidRPr="00CF10F0">
        <w:rPr>
          <w:rFonts w:cs="Times New Roman"/>
          <w:i/>
          <w:lang w:val="fr-CA"/>
        </w:rPr>
        <w:t>Warsing</w:t>
      </w:r>
      <w:proofErr w:type="spellEnd"/>
      <w:r w:rsidRPr="00CF10F0">
        <w:rPr>
          <w:rFonts w:cs="Times New Roman"/>
          <w:lang w:val="fr-CA"/>
        </w:rPr>
        <w:t xml:space="preserve">, </w:t>
      </w:r>
      <w:r>
        <w:rPr>
          <w:rFonts w:cs="Times New Roman"/>
          <w:lang w:val="fr-CA"/>
        </w:rPr>
        <w:t>par. </w:t>
      </w:r>
      <w:r w:rsidRPr="00CF10F0">
        <w:rPr>
          <w:rFonts w:cs="Times New Roman"/>
          <w:lang w:val="fr-CA"/>
        </w:rPr>
        <w:t xml:space="preserve">73). Puisque l’annulation d’une déclaration de culpabilité rétablit le droit de l’accusé à la présomption d’innocence, une cour d’appel n’a pas le pouvoir, au titre du </w:t>
      </w:r>
      <w:r>
        <w:rPr>
          <w:rFonts w:cs="Times New Roman"/>
          <w:lang w:val="fr-CA"/>
        </w:rPr>
        <w:t>par. </w:t>
      </w:r>
      <w:r w:rsidRPr="00CF10F0">
        <w:rPr>
          <w:rFonts w:cs="Times New Roman"/>
          <w:lang w:val="fr-CA"/>
        </w:rPr>
        <w:t>686(8), d’annuler une déclaration de culpabilité et d’empêcher le jury de déclarer l’accusé non coupable (</w:t>
      </w:r>
      <w:r w:rsidRPr="00CF10F0">
        <w:rPr>
          <w:rFonts w:cs="Times New Roman"/>
          <w:i/>
          <w:lang w:val="fr-CA"/>
        </w:rPr>
        <w:t>Thomas</w:t>
      </w:r>
      <w:r w:rsidRPr="00CF10F0">
        <w:rPr>
          <w:rFonts w:cs="Times New Roman"/>
          <w:lang w:val="fr-CA"/>
        </w:rPr>
        <w:t xml:space="preserve">, </w:t>
      </w:r>
      <w:r>
        <w:rPr>
          <w:rFonts w:cs="Times New Roman"/>
          <w:lang w:val="fr-CA"/>
        </w:rPr>
        <w:t>par. </w:t>
      </w:r>
      <w:r w:rsidRPr="00CF10F0">
        <w:rPr>
          <w:rFonts w:cs="Times New Roman"/>
          <w:lang w:val="fr-CA"/>
        </w:rPr>
        <w:t xml:space="preserve">22). Cependant, un arrêt des procédures n’est pas incompatible avec </w:t>
      </w:r>
      <w:r>
        <w:rPr>
          <w:rFonts w:cs="Times New Roman"/>
          <w:lang w:val="fr-CA"/>
        </w:rPr>
        <w:t xml:space="preserve">la mise de côté </w:t>
      </w:r>
      <w:r w:rsidRPr="00CF10F0">
        <w:rPr>
          <w:rFonts w:cs="Times New Roman"/>
          <w:lang w:val="fr-CA"/>
        </w:rPr>
        <w:t xml:space="preserve">d’un acquittement. </w:t>
      </w:r>
      <w:r>
        <w:rPr>
          <w:rFonts w:cs="Times New Roman"/>
          <w:lang w:val="fr-CA"/>
        </w:rPr>
        <w:t xml:space="preserve">La mise de côté </w:t>
      </w:r>
      <w:r w:rsidRPr="00CF10F0">
        <w:rPr>
          <w:rFonts w:cs="Times New Roman"/>
          <w:lang w:val="fr-CA"/>
        </w:rPr>
        <w:t xml:space="preserve">d’un acquittement, tout comme </w:t>
      </w:r>
      <w:r w:rsidRPr="00CF10F0">
        <w:rPr>
          <w:rFonts w:cs="Times New Roman"/>
          <w:lang w:val="fr-CA"/>
        </w:rPr>
        <w:lastRenderedPageBreak/>
        <w:t>l’annulation d’une déclaration de culpabilité, rétablit le droit de l’accusé à la présomption d’innocence. Comme un arrêt des procédures équivaut à un verdict de non</w:t>
      </w:r>
      <w:r>
        <w:rPr>
          <w:rFonts w:cs="Times New Roman"/>
          <w:lang w:val="fr-CA"/>
        </w:rPr>
        <w:noBreakHyphen/>
      </w:r>
      <w:r w:rsidRPr="00CF10F0">
        <w:rPr>
          <w:rFonts w:cs="Times New Roman"/>
          <w:lang w:val="fr-CA"/>
        </w:rPr>
        <w:t>culpabilité, il est tout à fait compatible avec le droit à la présomption d’innocence qui est rétabli lorsque notre Cour écarte un acquittement (</w:t>
      </w:r>
      <w:r w:rsidRPr="00CF10F0">
        <w:rPr>
          <w:rFonts w:cs="Times New Roman"/>
          <w:i/>
          <w:lang w:val="fr-CA"/>
        </w:rPr>
        <w:t>R. c. </w:t>
      </w:r>
      <w:proofErr w:type="spellStart"/>
      <w:r w:rsidRPr="00CF10F0">
        <w:rPr>
          <w:rFonts w:cs="Times New Roman"/>
          <w:i/>
          <w:lang w:val="fr-CA"/>
        </w:rPr>
        <w:t>Jewitt</w:t>
      </w:r>
      <w:proofErr w:type="spellEnd"/>
      <w:r w:rsidRPr="00CF10F0">
        <w:rPr>
          <w:rFonts w:cs="Times New Roman"/>
          <w:lang w:val="fr-CA"/>
        </w:rPr>
        <w:t xml:space="preserve">, [1985] 2 R.C.S. 128, </w:t>
      </w:r>
      <w:r>
        <w:rPr>
          <w:rFonts w:cs="Times New Roman"/>
          <w:lang w:val="fr-CA"/>
        </w:rPr>
        <w:t>p. </w:t>
      </w:r>
      <w:r w:rsidRPr="00CF10F0">
        <w:rPr>
          <w:rFonts w:cs="Times New Roman"/>
          <w:lang w:val="fr-CA"/>
        </w:rPr>
        <w:t>147</w:t>
      </w:r>
      <w:r>
        <w:rPr>
          <w:rFonts w:cs="Times New Roman"/>
          <w:lang w:val="fr-CA"/>
        </w:rPr>
        <w:noBreakHyphen/>
      </w:r>
      <w:r w:rsidRPr="00CF10F0">
        <w:rPr>
          <w:rFonts w:cs="Times New Roman"/>
          <w:lang w:val="fr-CA"/>
        </w:rPr>
        <w:t xml:space="preserve">148; </w:t>
      </w:r>
      <w:r w:rsidRPr="00CF10F0">
        <w:rPr>
          <w:rFonts w:cs="Times New Roman"/>
          <w:i/>
          <w:lang w:val="fr-CA"/>
        </w:rPr>
        <w:t>R. c. </w:t>
      </w:r>
      <w:proofErr w:type="spellStart"/>
      <w:r w:rsidRPr="00CF10F0">
        <w:rPr>
          <w:rFonts w:cs="Times New Roman"/>
          <w:i/>
          <w:lang w:val="fr-CA"/>
        </w:rPr>
        <w:t>Kalanj</w:t>
      </w:r>
      <w:proofErr w:type="spellEnd"/>
      <w:r w:rsidRPr="00CF10F0">
        <w:rPr>
          <w:rFonts w:cs="Times New Roman"/>
          <w:lang w:val="fr-CA"/>
        </w:rPr>
        <w:t xml:space="preserve">, [1989] 1 R.C.S. 1594, </w:t>
      </w:r>
      <w:r>
        <w:rPr>
          <w:rFonts w:cs="Times New Roman"/>
          <w:lang w:val="fr-CA"/>
        </w:rPr>
        <w:t>p. </w:t>
      </w:r>
      <w:r w:rsidRPr="00CF10F0">
        <w:rPr>
          <w:rFonts w:cs="Times New Roman"/>
          <w:lang w:val="fr-CA"/>
        </w:rPr>
        <w:t xml:space="preserve">1601; </w:t>
      </w:r>
      <w:r w:rsidRPr="00CF10F0">
        <w:rPr>
          <w:rFonts w:cs="Times New Roman"/>
          <w:i/>
          <w:lang w:val="fr-CA"/>
        </w:rPr>
        <w:t>R. c. Puskas</w:t>
      </w:r>
      <w:r w:rsidRPr="00CF10F0">
        <w:rPr>
          <w:rFonts w:cs="Times New Roman"/>
          <w:lang w:val="fr-CA"/>
        </w:rPr>
        <w:t xml:space="preserve">, [1998] 1 R.C.S. 1207, </w:t>
      </w:r>
      <w:r>
        <w:rPr>
          <w:rFonts w:cs="Times New Roman"/>
          <w:lang w:val="fr-CA"/>
        </w:rPr>
        <w:t>par. </w:t>
      </w:r>
      <w:r w:rsidRPr="00CF10F0">
        <w:rPr>
          <w:rFonts w:cs="Times New Roman"/>
          <w:lang w:val="fr-CA"/>
        </w:rPr>
        <w:t>1). L’arrêt des procédures est donc ordonné « en outre » du — c’est</w:t>
      </w:r>
      <w:r>
        <w:rPr>
          <w:rFonts w:cs="Times New Roman"/>
          <w:lang w:val="fr-CA"/>
        </w:rPr>
        <w:noBreakHyphen/>
      </w:r>
      <w:r w:rsidRPr="00CF10F0">
        <w:rPr>
          <w:rFonts w:cs="Times New Roman"/>
          <w:lang w:val="fr-CA"/>
        </w:rPr>
        <w:t>à</w:t>
      </w:r>
      <w:r>
        <w:rPr>
          <w:rFonts w:cs="Times New Roman"/>
          <w:lang w:val="fr-CA"/>
        </w:rPr>
        <w:noBreakHyphen/>
      </w:r>
      <w:r w:rsidRPr="00CF10F0">
        <w:rPr>
          <w:rFonts w:cs="Times New Roman"/>
          <w:lang w:val="fr-CA"/>
        </w:rPr>
        <w:t xml:space="preserve">dire accessoire au — pouvoir exercé au titre du </w:t>
      </w:r>
      <w:r>
        <w:rPr>
          <w:rFonts w:cs="Times New Roman"/>
          <w:lang w:val="fr-CA"/>
        </w:rPr>
        <w:t>par. </w:t>
      </w:r>
      <w:r w:rsidRPr="00CF10F0">
        <w:rPr>
          <w:rFonts w:cs="Times New Roman"/>
          <w:lang w:val="fr-CA"/>
        </w:rPr>
        <w:t>686(4).</w:t>
      </w:r>
    </w:p>
    <w:p w14:paraId="6512FDF1" w14:textId="77777777" w:rsidR="00BE287D" w:rsidRPr="00CF10F0" w:rsidRDefault="00BE287D" w:rsidP="00BE287D">
      <w:pPr>
        <w:pStyle w:val="ParaNoNdepar-AltN"/>
        <w:rPr>
          <w:rFonts w:cs="Times New Roman"/>
          <w:lang w:val="fr-CA"/>
        </w:rPr>
      </w:pPr>
      <w:r w:rsidRPr="00CF10F0">
        <w:rPr>
          <w:rFonts w:cs="Times New Roman"/>
          <w:lang w:val="fr-CA"/>
        </w:rPr>
        <w:t>Enfin, la justice exige l’arrêt des procédures en l’espèce. Devant la Cour d’appel, la Couronne a déclaré qu’elle ne demanderait pas la tenue d’un nouveau procès relativement à l’accusation d’agression sexuelle dans l’éventualité où un nouveau procès serait ordonné (</w:t>
      </w:r>
      <w:r>
        <w:rPr>
          <w:rFonts w:cs="Times New Roman"/>
          <w:lang w:val="fr-CA"/>
        </w:rPr>
        <w:t>par. </w:t>
      </w:r>
      <w:r w:rsidRPr="00CF10F0">
        <w:rPr>
          <w:rFonts w:cs="Times New Roman"/>
          <w:lang w:val="fr-CA"/>
        </w:rPr>
        <w:t xml:space="preserve">179, le juge Rouleau, dissident). Elle a réitéré sa position devant notre Cour (transcription, </w:t>
      </w:r>
      <w:r>
        <w:rPr>
          <w:rFonts w:cs="Times New Roman"/>
          <w:lang w:val="fr-CA"/>
        </w:rPr>
        <w:t>p. </w:t>
      </w:r>
      <w:r w:rsidRPr="00CF10F0">
        <w:rPr>
          <w:rFonts w:cs="Times New Roman"/>
          <w:lang w:val="fr-CA"/>
        </w:rPr>
        <w:t xml:space="preserve">44). À la lumière de ce qui précède, je suis convaincu qu’ordonner un nouveau procès relativement à l’accusation d’agression sexuelle risquerait inutilement d’entraîner la présentation d’une requête pour abus de procédure (voir </w:t>
      </w:r>
      <w:proofErr w:type="spellStart"/>
      <w:r w:rsidRPr="00CF10F0">
        <w:rPr>
          <w:rFonts w:cs="Times New Roman"/>
          <w:i/>
          <w:lang w:val="fr-CA"/>
        </w:rPr>
        <w:t>Jewitt</w:t>
      </w:r>
      <w:proofErr w:type="spellEnd"/>
      <w:r w:rsidRPr="00CF10F0">
        <w:rPr>
          <w:rFonts w:cs="Times New Roman"/>
          <w:lang w:val="fr-CA"/>
        </w:rPr>
        <w:t xml:space="preserve">, </w:t>
      </w:r>
      <w:r>
        <w:rPr>
          <w:rFonts w:cs="Times New Roman"/>
          <w:lang w:val="fr-CA"/>
        </w:rPr>
        <w:t>p. </w:t>
      </w:r>
      <w:r w:rsidRPr="00CF10F0">
        <w:rPr>
          <w:rFonts w:cs="Times New Roman"/>
          <w:lang w:val="fr-CA"/>
        </w:rPr>
        <w:t>148). Cela n’apporterait non plus aucun avantage sur le plan de l’administration de la justice. Compte tenu de tous ces facteurs, la justice exige un arrêt des procédures plutôt que le renvoi de l’accusation pour nouvelle instruction.</w:t>
      </w:r>
    </w:p>
    <w:p w14:paraId="24A4EABB" w14:textId="77777777" w:rsidR="00BE287D" w:rsidRPr="00CF10F0" w:rsidRDefault="00BE287D" w:rsidP="00BE287D">
      <w:pPr>
        <w:pStyle w:val="Title1LevelTitre1Niveau-AltL"/>
        <w:rPr>
          <w:rFonts w:cs="Times New Roman"/>
          <w:lang w:val="fr-CA"/>
        </w:rPr>
      </w:pPr>
      <w:r w:rsidRPr="00CF10F0">
        <w:rPr>
          <w:rFonts w:cs="Times New Roman"/>
          <w:lang w:val="fr-CA"/>
        </w:rPr>
        <w:t>Conclusion</w:t>
      </w:r>
    </w:p>
    <w:p w14:paraId="65CDDC27" w14:textId="77777777" w:rsidR="00BE287D" w:rsidRPr="00CF10F0" w:rsidRDefault="00BE287D" w:rsidP="00BE287D">
      <w:pPr>
        <w:pStyle w:val="ParaNoNdepar-AltN"/>
        <w:rPr>
          <w:rFonts w:cs="Times New Roman"/>
          <w:lang w:val="fr-CA"/>
        </w:rPr>
      </w:pPr>
      <w:r w:rsidRPr="00CF10F0">
        <w:rPr>
          <w:rFonts w:cs="Times New Roman"/>
          <w:lang w:val="fr-CA"/>
        </w:rPr>
        <w:t xml:space="preserve">Il incombe à la Couronne, à titre d’actrice du système de justice, d’alléger le procès, et non de le rendre plus onéreux. La Couronne échoue à cet égard lorsqu’elle intente un procès sur des chefs d’accusation qui se chevauchent. En procédant ainsi, </w:t>
      </w:r>
      <w:r w:rsidRPr="00CF10F0">
        <w:rPr>
          <w:rFonts w:cs="Times New Roman"/>
          <w:lang w:val="fr-CA"/>
        </w:rPr>
        <w:lastRenderedPageBreak/>
        <w:t>non seulement elle prolonge la durée du procès, mais elle alourdit aussi le fardeau imposé au juge d</w:t>
      </w:r>
      <w:r>
        <w:rPr>
          <w:rFonts w:cs="Times New Roman"/>
          <w:lang w:val="fr-CA"/>
        </w:rPr>
        <w:t>u</w:t>
      </w:r>
      <w:r w:rsidRPr="00CF10F0">
        <w:rPr>
          <w:rFonts w:cs="Times New Roman"/>
          <w:lang w:val="fr-CA"/>
        </w:rPr>
        <w:t xml:space="preserve"> procès et au jury en augmentant, comme elle le fait, la complexité des directives adressées au jury (</w:t>
      </w:r>
      <w:proofErr w:type="spellStart"/>
      <w:r w:rsidRPr="00CF10F0">
        <w:rPr>
          <w:rFonts w:cs="Times New Roman"/>
          <w:i/>
          <w:lang w:val="fr-CA"/>
        </w:rPr>
        <w:t>Rodgerson</w:t>
      </w:r>
      <w:proofErr w:type="spellEnd"/>
      <w:r w:rsidRPr="00CF10F0">
        <w:rPr>
          <w:rFonts w:cs="Times New Roman"/>
          <w:lang w:val="fr-CA"/>
        </w:rPr>
        <w:t>,</w:t>
      </w:r>
      <w:r w:rsidRPr="00CF10F0">
        <w:rPr>
          <w:rFonts w:cs="Times New Roman"/>
          <w:i/>
          <w:lang w:val="fr-CA"/>
        </w:rPr>
        <w:t xml:space="preserve"> </w:t>
      </w:r>
      <w:r>
        <w:rPr>
          <w:rFonts w:cs="Times New Roman"/>
          <w:lang w:val="fr-CA"/>
        </w:rPr>
        <w:t>par. </w:t>
      </w:r>
      <w:r w:rsidRPr="00CF10F0">
        <w:rPr>
          <w:rFonts w:cs="Times New Roman"/>
          <w:lang w:val="fr-CA"/>
        </w:rPr>
        <w:t xml:space="preserve">46). La rédaction des directives au jury est une tâche difficile. </w:t>
      </w:r>
      <w:r>
        <w:rPr>
          <w:rFonts w:cs="Times New Roman"/>
          <w:lang w:val="fr-CA"/>
        </w:rPr>
        <w:t>Le</w:t>
      </w:r>
      <w:r w:rsidRPr="00CF10F0">
        <w:rPr>
          <w:rFonts w:cs="Times New Roman"/>
          <w:lang w:val="fr-CA"/>
        </w:rPr>
        <w:t xml:space="preserve"> juge d</w:t>
      </w:r>
      <w:r>
        <w:rPr>
          <w:rFonts w:cs="Times New Roman"/>
          <w:lang w:val="fr-CA"/>
        </w:rPr>
        <w:t>u</w:t>
      </w:r>
      <w:r w:rsidRPr="00CF10F0">
        <w:rPr>
          <w:rFonts w:cs="Times New Roman"/>
          <w:lang w:val="fr-CA"/>
        </w:rPr>
        <w:t xml:space="preserve"> procès</w:t>
      </w:r>
      <w:r>
        <w:rPr>
          <w:rFonts w:cs="Times New Roman"/>
          <w:lang w:val="fr-CA"/>
        </w:rPr>
        <w:t xml:space="preserve"> doi</w:t>
      </w:r>
      <w:r w:rsidRPr="00CF10F0">
        <w:rPr>
          <w:rFonts w:cs="Times New Roman"/>
          <w:lang w:val="fr-CA"/>
        </w:rPr>
        <w:t>t veiller à rédiger des directives à la fois complètes et compréhensibles, malgré les ressources limitées et les contraintes de temps (</w:t>
      </w:r>
      <w:proofErr w:type="spellStart"/>
      <w:r w:rsidRPr="00CF10F0">
        <w:rPr>
          <w:rFonts w:cs="Times New Roman"/>
          <w:i/>
          <w:lang w:val="fr-CA"/>
        </w:rPr>
        <w:t>Rodgerson</w:t>
      </w:r>
      <w:proofErr w:type="spellEnd"/>
      <w:r w:rsidRPr="00CF10F0">
        <w:rPr>
          <w:rFonts w:cs="Times New Roman"/>
          <w:i/>
          <w:lang w:val="fr-CA"/>
        </w:rPr>
        <w:t xml:space="preserve">, </w:t>
      </w:r>
      <w:r>
        <w:rPr>
          <w:rFonts w:cs="Times New Roman"/>
          <w:lang w:val="fr-CA"/>
        </w:rPr>
        <w:t>par. </w:t>
      </w:r>
      <w:r w:rsidRPr="00CF10F0">
        <w:rPr>
          <w:rFonts w:cs="Times New Roman"/>
          <w:lang w:val="fr-CA"/>
        </w:rPr>
        <w:t>50).</w:t>
      </w:r>
    </w:p>
    <w:p w14:paraId="2583A44E" w14:textId="77777777" w:rsidR="00BE287D" w:rsidRPr="00CF10F0" w:rsidRDefault="00BE287D" w:rsidP="00BE287D">
      <w:pPr>
        <w:pStyle w:val="ParaNoNdepar-AltN"/>
        <w:rPr>
          <w:rFonts w:cs="Times New Roman"/>
          <w:lang w:val="fr-CA"/>
        </w:rPr>
      </w:pPr>
      <w:r w:rsidRPr="00CF10F0">
        <w:rPr>
          <w:rFonts w:cs="Times New Roman"/>
          <w:lang w:val="fr-CA"/>
        </w:rPr>
        <w:t xml:space="preserve">De plus, comme l’ont fait observer les juges majoritaires de la Cour d’appel, avec raison selon moi, le fait que la Couronne intente un procès sur des chefs d’accusation qui se chevauchent, dans les cas comme celui qui nous occupe, ouvre la porte à des verdicts incompatibles. Un tel chevauchement est particulièrement illogique lorsque, comme en l’espèce, l’arrêt </w:t>
      </w:r>
      <w:proofErr w:type="spellStart"/>
      <w:r w:rsidRPr="00CF10F0">
        <w:rPr>
          <w:rFonts w:cs="Times New Roman"/>
          <w:i/>
          <w:lang w:val="fr-CA"/>
        </w:rPr>
        <w:t>Kienapple</w:t>
      </w:r>
      <w:proofErr w:type="spellEnd"/>
      <w:r w:rsidRPr="00CF10F0">
        <w:rPr>
          <w:rFonts w:cs="Times New Roman"/>
          <w:i/>
          <w:lang w:val="fr-CA"/>
        </w:rPr>
        <w:t> c. La Reine</w:t>
      </w:r>
      <w:r w:rsidRPr="00CF10F0">
        <w:rPr>
          <w:rFonts w:cs="Times New Roman"/>
          <w:lang w:val="fr-CA"/>
        </w:rPr>
        <w:t>, [1975] 1 R.C.S. 729, de notre Cour, entraînera l’arrêt des procédures pour au moins un des chefs d’accusation à l’étape de la détermination de la peine. Le cadre que j’ai décrit offre une solution au problème que présentent les verdicts incompatibles, mais la solution idéale serait que la Couronne évite de multiplier inutilement les chefs d’accusation (</w:t>
      </w:r>
      <w:proofErr w:type="spellStart"/>
      <w:r w:rsidRPr="00CF10F0">
        <w:rPr>
          <w:rFonts w:cs="Times New Roman"/>
          <w:i/>
          <w:lang w:val="fr-CA"/>
        </w:rPr>
        <w:t>Rodgerson</w:t>
      </w:r>
      <w:proofErr w:type="spellEnd"/>
      <w:r w:rsidRPr="00CF10F0">
        <w:rPr>
          <w:rFonts w:cs="Times New Roman"/>
          <w:lang w:val="fr-CA"/>
        </w:rPr>
        <w:t xml:space="preserve">, </w:t>
      </w:r>
      <w:r>
        <w:rPr>
          <w:rFonts w:cs="Times New Roman"/>
          <w:lang w:val="fr-CA"/>
        </w:rPr>
        <w:t>par. </w:t>
      </w:r>
      <w:r w:rsidRPr="00CF10F0">
        <w:rPr>
          <w:rFonts w:cs="Times New Roman"/>
          <w:lang w:val="fr-CA"/>
        </w:rPr>
        <w:t>45).</w:t>
      </w:r>
    </w:p>
    <w:p w14:paraId="2B2A7BD2" w14:textId="77777777" w:rsidR="00193071" w:rsidRDefault="00BE287D" w:rsidP="00BE287D">
      <w:pPr>
        <w:pStyle w:val="ParaNoNdepar-AltN"/>
        <w:rPr>
          <w:rFonts w:cs="Times New Roman"/>
          <w:lang w:val="fr-CA"/>
        </w:rPr>
      </w:pPr>
      <w:r w:rsidRPr="00CF10F0">
        <w:rPr>
          <w:rFonts w:cs="Times New Roman"/>
          <w:lang w:val="fr-CA"/>
        </w:rPr>
        <w:t>Le pourvoi de la Couronne est accueilli, l’ordonnance de la Cour d’appel et annulée, et les déclarations de culpabilité de R.V. sont rétablies. Le verdict d’acquittement de R.V. relativement à l’accusation d’agression sexuelle est écarté et l’arrêt des procédures est ordonné quant à cette accusation. L’affaire est renvoyée à la Cour d’appel pour qu’elle tranche l’appel formé par R.V.</w:t>
      </w:r>
      <w:r>
        <w:rPr>
          <w:rFonts w:cs="Times New Roman"/>
          <w:lang w:val="fr-CA"/>
        </w:rPr>
        <w:t xml:space="preserve"> à l’égard de la peine.</w:t>
      </w:r>
    </w:p>
    <w:p w14:paraId="57E8236A" w14:textId="0FF5C0E4" w:rsidR="00BE287D" w:rsidRPr="00193071" w:rsidRDefault="00193071" w:rsidP="00193071">
      <w:pPr>
        <w:pStyle w:val="ParaNoNdepar-AltN"/>
        <w:numPr>
          <w:ilvl w:val="0"/>
          <w:numId w:val="0"/>
        </w:numPr>
        <w:rPr>
          <w:rFonts w:cs="Times New Roman"/>
          <w:lang w:val="fr-CA"/>
        </w:rPr>
      </w:pPr>
      <w:r>
        <w:rPr>
          <w:rFonts w:cs="Times New Roman"/>
          <w:lang w:val="fr-CA"/>
        </w:rPr>
        <w:tab/>
      </w:r>
      <w:r w:rsidR="00BE287D" w:rsidRPr="00193071">
        <w:rPr>
          <w:lang w:val="fr-CA"/>
        </w:rPr>
        <w:t xml:space="preserve">Version française des motifs des juges Brown et </w:t>
      </w:r>
      <w:proofErr w:type="spellStart"/>
      <w:r w:rsidR="00BE287D" w:rsidRPr="00193071">
        <w:rPr>
          <w:lang w:val="fr-CA"/>
        </w:rPr>
        <w:t>Kasirer</w:t>
      </w:r>
      <w:proofErr w:type="spellEnd"/>
      <w:r w:rsidR="00BE287D" w:rsidRPr="00193071">
        <w:rPr>
          <w:lang w:val="fr-CA"/>
        </w:rPr>
        <w:t xml:space="preserve"> rendus par</w:t>
      </w:r>
    </w:p>
    <w:p w14:paraId="124E9C38" w14:textId="4806F01A" w:rsidR="00BE287D" w:rsidRPr="007C3D27" w:rsidRDefault="00BE287D" w:rsidP="00BE287D">
      <w:pPr>
        <w:pStyle w:val="JudgeJuge"/>
        <w:spacing w:before="480"/>
        <w:rPr>
          <w:noProof/>
          <w:lang w:val="fr-CA"/>
        </w:rPr>
      </w:pPr>
      <w:r w:rsidRPr="007C3D27">
        <w:rPr>
          <w:noProof/>
          <w:lang w:val="fr-CA"/>
        </w:rPr>
        <w:lastRenderedPageBreak/>
        <w:tab/>
        <w:t>Le juge Brown</w:t>
      </w:r>
      <w:r>
        <w:rPr>
          <w:noProof/>
          <w:lang w:val="fr-CA"/>
        </w:rPr>
        <w:t xml:space="preserve"> </w:t>
      </w:r>
      <w:r w:rsidR="00193071" w:rsidRPr="00193071">
        <w:rPr>
          <w:smallCaps w:val="0"/>
          <w:noProof/>
          <w:lang w:val="fr-CA"/>
        </w:rPr>
        <w:t>(dissident en partie)</w:t>
      </w:r>
      <w:r w:rsidR="00193071">
        <w:rPr>
          <w:noProof/>
          <w:lang w:val="fr-CA"/>
        </w:rPr>
        <w:t xml:space="preserve"> </w:t>
      </w:r>
      <w:r w:rsidRPr="007C3D27">
        <w:rPr>
          <w:noProof/>
          <w:lang w:val="fr-CA"/>
        </w:rPr>
        <w:t xml:space="preserve">— </w:t>
      </w:r>
    </w:p>
    <w:p w14:paraId="6CCBC025" w14:textId="77777777" w:rsidR="00BE287D" w:rsidRPr="007C3D27" w:rsidRDefault="00BE287D" w:rsidP="00BE287D">
      <w:pPr>
        <w:pStyle w:val="ParaNoNdepar-AltN"/>
        <w:tabs>
          <w:tab w:val="clear" w:pos="1166"/>
          <w:tab w:val="num" w:pos="1152"/>
        </w:tabs>
        <w:rPr>
          <w:noProof/>
          <w:lang w:val="fr-CA"/>
        </w:rPr>
      </w:pPr>
      <w:r w:rsidRPr="007C3D27">
        <w:rPr>
          <w:noProof/>
          <w:lang w:val="fr-CA" w:bidi="en-US"/>
        </w:rPr>
        <w:t xml:space="preserve">Nul ne conteste l’incompatibilité des verdicts en l’espèce. Ce qui nous divise, c’est ce que nous pouvons y faire — ou, plus précisément, ce qu’un tribunal </w:t>
      </w:r>
      <w:r w:rsidRPr="007C3D27">
        <w:rPr>
          <w:i/>
          <w:noProof/>
          <w:lang w:val="fr-CA" w:bidi="en-US"/>
        </w:rPr>
        <w:t>peut</w:t>
      </w:r>
      <w:r w:rsidRPr="007C3D27">
        <w:rPr>
          <w:noProof/>
          <w:lang w:val="fr-CA" w:bidi="en-US"/>
        </w:rPr>
        <w:t xml:space="preserve"> y faire et </w:t>
      </w:r>
      <w:r w:rsidRPr="007C3D27">
        <w:rPr>
          <w:i/>
          <w:noProof/>
          <w:lang w:val="fr-CA" w:bidi="en-US"/>
        </w:rPr>
        <w:t xml:space="preserve">ne peut pas </w:t>
      </w:r>
      <w:r w:rsidRPr="007C3D27">
        <w:rPr>
          <w:noProof/>
          <w:lang w:val="fr-CA" w:bidi="en-US"/>
        </w:rPr>
        <w:t xml:space="preserve">y faire. Notre jurisprudence et le </w:t>
      </w:r>
      <w:r w:rsidRPr="007C3D27">
        <w:rPr>
          <w:i/>
          <w:noProof/>
          <w:lang w:val="fr-CA" w:bidi="en-US"/>
        </w:rPr>
        <w:t>Code criminel</w:t>
      </w:r>
      <w:r>
        <w:rPr>
          <w:noProof/>
          <w:lang w:val="fr-CA" w:bidi="en-US"/>
        </w:rPr>
        <w:t>, L.R.C. 1985, c. </w:t>
      </w:r>
      <w:r w:rsidRPr="007C3D27">
        <w:rPr>
          <w:noProof/>
          <w:lang w:val="fr-CA" w:bidi="en-US"/>
        </w:rPr>
        <w:t>C</w:t>
      </w:r>
      <w:r>
        <w:rPr>
          <w:noProof/>
          <w:lang w:val="fr-CA" w:bidi="en-US"/>
        </w:rPr>
        <w:noBreakHyphen/>
      </w:r>
      <w:r w:rsidRPr="007C3D27">
        <w:rPr>
          <w:noProof/>
          <w:lang w:val="fr-CA" w:bidi="en-US"/>
        </w:rPr>
        <w:t>46, nous imposent un résultat inéluctable, quoique malheureux</w:t>
      </w:r>
      <w:r>
        <w:rPr>
          <w:noProof/>
          <w:lang w:val="fr-CA" w:bidi="en-US"/>
        </w:rPr>
        <w:t> :</w:t>
      </w:r>
      <w:r w:rsidRPr="007C3D27">
        <w:rPr>
          <w:noProof/>
          <w:lang w:val="fr-CA" w:bidi="en-US"/>
        </w:rPr>
        <w:t xml:space="preserve"> la tenue d’un nouveau procès quant aux trois chefs d’accusation. Mes collègues trouvent ce résultat déplaisant — </w:t>
      </w:r>
      <w:r w:rsidRPr="007C3D27">
        <w:rPr>
          <w:i/>
          <w:noProof/>
          <w:lang w:val="fr-CA" w:bidi="en-US"/>
        </w:rPr>
        <w:t>tellement</w:t>
      </w:r>
      <w:r w:rsidRPr="007C3D27">
        <w:rPr>
          <w:noProof/>
          <w:lang w:val="fr-CA" w:bidi="en-US"/>
        </w:rPr>
        <w:t xml:space="preserve"> déplaisant qu’ils cherchent à éviter ce qui est inévitable par ailleurs en infirmant de fait des aspects de la jurisprudence pertinente (notamment l’arrêt </w:t>
      </w:r>
      <w:r w:rsidRPr="007C3D27">
        <w:rPr>
          <w:i/>
          <w:noProof/>
          <w:lang w:val="fr-CA" w:bidi="en-US"/>
        </w:rPr>
        <w:t>R. c. J.F.</w:t>
      </w:r>
      <w:r w:rsidRPr="007C3D27">
        <w:rPr>
          <w:noProof/>
          <w:lang w:val="fr-CA" w:bidi="en-US"/>
        </w:rPr>
        <w:t xml:space="preserve">, 2008 CSC 60, [2008] 3 R.C.S. 215), et en éludant les limites du </w:t>
      </w:r>
      <w:r w:rsidRPr="007C3D27">
        <w:rPr>
          <w:i/>
          <w:noProof/>
          <w:lang w:val="fr-CA" w:bidi="en-US"/>
        </w:rPr>
        <w:t>Code</w:t>
      </w:r>
      <w:r w:rsidRPr="007C3D27">
        <w:rPr>
          <w:noProof/>
          <w:lang w:val="fr-CA" w:bidi="en-US"/>
        </w:rPr>
        <w:t xml:space="preserve"> — voire en reformulant (ou, plus exactement, en re</w:t>
      </w:r>
      <w:r w:rsidRPr="007C3D27">
        <w:rPr>
          <w:i/>
          <w:noProof/>
          <w:lang w:val="fr-CA" w:bidi="en-US"/>
        </w:rPr>
        <w:t>légiférant</w:t>
      </w:r>
      <w:r w:rsidRPr="007C3D27">
        <w:rPr>
          <w:noProof/>
          <w:lang w:val="fr-CA" w:bidi="en-US"/>
        </w:rPr>
        <w:t xml:space="preserve">) une des limites que le </w:t>
      </w:r>
      <w:r w:rsidRPr="007C3D27">
        <w:rPr>
          <w:i/>
          <w:noProof/>
          <w:lang w:val="fr-CA" w:bidi="en-US"/>
        </w:rPr>
        <w:t>Code</w:t>
      </w:r>
      <w:r w:rsidRPr="007C3D27">
        <w:rPr>
          <w:noProof/>
          <w:lang w:val="fr-CA" w:bidi="en-US"/>
        </w:rPr>
        <w:t xml:space="preserve"> impose à la compétence des tribunaux. </w:t>
      </w:r>
    </w:p>
    <w:p w14:paraId="5F97474C" w14:textId="77777777" w:rsidR="00BE287D" w:rsidRPr="007C3D27" w:rsidRDefault="00BE287D" w:rsidP="00BE287D">
      <w:pPr>
        <w:pStyle w:val="ParaNoNdepar-AltN"/>
        <w:tabs>
          <w:tab w:val="clear" w:pos="1166"/>
          <w:tab w:val="num" w:pos="1152"/>
        </w:tabs>
        <w:rPr>
          <w:rFonts w:cs="Times New Roman"/>
          <w:noProof/>
          <w:lang w:val="fr-CA"/>
        </w:rPr>
      </w:pPr>
      <w:r w:rsidRPr="007C3D27">
        <w:rPr>
          <w:rFonts w:cs="Times New Roman"/>
          <w:noProof/>
          <w:lang w:val="fr-CA"/>
        </w:rPr>
        <w:t xml:space="preserve">Plus particulièrement, mes collègues rétablissent les déclarations de culpabilité de l’intimé au motif que les verdicts </w:t>
      </w:r>
      <w:r w:rsidRPr="007C3D27">
        <w:rPr>
          <w:rFonts w:cs="Times New Roman"/>
          <w:i/>
          <w:noProof/>
          <w:u w:val="single"/>
          <w:lang w:val="fr-CA"/>
        </w:rPr>
        <w:t>ne</w:t>
      </w:r>
      <w:r w:rsidRPr="007C3D27">
        <w:rPr>
          <w:rFonts w:cs="Times New Roman"/>
          <w:noProof/>
          <w:lang w:val="fr-CA"/>
        </w:rPr>
        <w:t xml:space="preserve"> sont </w:t>
      </w:r>
      <w:r w:rsidRPr="007C3D27">
        <w:rPr>
          <w:rFonts w:cs="Times New Roman"/>
          <w:i/>
          <w:noProof/>
          <w:u w:val="single"/>
          <w:lang w:val="fr-CA"/>
        </w:rPr>
        <w:t>pas</w:t>
      </w:r>
      <w:r w:rsidRPr="007C3D27">
        <w:rPr>
          <w:rFonts w:cs="Times New Roman"/>
          <w:noProof/>
          <w:lang w:val="fr-CA"/>
        </w:rPr>
        <w:t xml:space="preserve"> </w:t>
      </w:r>
      <w:r w:rsidRPr="007C3D27">
        <w:rPr>
          <w:rFonts w:cs="Times New Roman"/>
          <w:i/>
          <w:noProof/>
          <w:lang w:val="fr-CA"/>
        </w:rPr>
        <w:t>incompatibles</w:t>
      </w:r>
      <w:r w:rsidRPr="007C3D27">
        <w:rPr>
          <w:rFonts w:cs="Times New Roman"/>
          <w:noProof/>
          <w:lang w:val="fr-CA"/>
        </w:rPr>
        <w:t xml:space="preserve"> </w:t>
      </w:r>
      <w:r w:rsidRPr="007C3D27">
        <w:rPr>
          <w:rFonts w:cs="Times New Roman"/>
          <w:i/>
          <w:noProof/>
          <w:u w:val="single"/>
          <w:lang w:val="fr-CA"/>
        </w:rPr>
        <w:t>dans l’esprit des jurés</w:t>
      </w:r>
      <w:r w:rsidRPr="007C3D27">
        <w:rPr>
          <w:rFonts w:cs="Times New Roman"/>
          <w:noProof/>
          <w:lang w:val="fr-CA"/>
        </w:rPr>
        <w:t xml:space="preserve"> et sont, par conséquent, raisonnables. Toutefois, ce raisonnement ne tient pas compte du fait que </w:t>
      </w:r>
      <w:r w:rsidRPr="007C3D27">
        <w:rPr>
          <w:rFonts w:cs="Times New Roman"/>
          <w:i/>
          <w:noProof/>
          <w:lang w:val="fr-CA"/>
        </w:rPr>
        <w:t>l’incompatibilité</w:t>
      </w:r>
      <w:r w:rsidRPr="007C3D27">
        <w:rPr>
          <w:rFonts w:cs="Times New Roman"/>
          <w:noProof/>
          <w:lang w:val="fr-CA"/>
        </w:rPr>
        <w:t xml:space="preserve"> des verdicts </w:t>
      </w:r>
      <w:r w:rsidRPr="007C3D27">
        <w:rPr>
          <w:rFonts w:cs="Times New Roman"/>
          <w:i/>
          <w:noProof/>
          <w:lang w:val="fr-CA"/>
        </w:rPr>
        <w:t>est justement la raison</w:t>
      </w:r>
      <w:r w:rsidRPr="007C3D27">
        <w:rPr>
          <w:rFonts w:cs="Times New Roman"/>
          <w:noProof/>
          <w:lang w:val="fr-CA"/>
        </w:rPr>
        <w:t xml:space="preserve"> pour laquelle nous sommes saisis du présent pourvoi. Je le répète</w:t>
      </w:r>
      <w:r>
        <w:rPr>
          <w:rFonts w:cs="Times New Roman"/>
          <w:noProof/>
          <w:lang w:val="fr-CA"/>
        </w:rPr>
        <w:t> :</w:t>
      </w:r>
      <w:r w:rsidRPr="007C3D27">
        <w:rPr>
          <w:rFonts w:cs="Times New Roman"/>
          <w:noProof/>
          <w:lang w:val="fr-CA"/>
        </w:rPr>
        <w:t xml:space="preserve"> nul ne conteste l’incompatibilité des verdicts. Pourtant, cette incompatibilité pousse mes collègues à se lancer dans une quête pour en découvrir la raison d’être. Ceci est possible, affirment</w:t>
      </w:r>
      <w:r>
        <w:rPr>
          <w:rFonts w:cs="Times New Roman"/>
          <w:noProof/>
          <w:lang w:val="fr-CA"/>
        </w:rPr>
        <w:noBreakHyphen/>
      </w:r>
      <w:r w:rsidRPr="007C3D27">
        <w:rPr>
          <w:rFonts w:cs="Times New Roman"/>
          <w:noProof/>
          <w:lang w:val="fr-CA"/>
        </w:rPr>
        <w:t xml:space="preserve">ils, parce que ce qui importe, ce </w:t>
      </w:r>
      <w:r w:rsidRPr="007C3D27">
        <w:rPr>
          <w:rFonts w:cs="Times New Roman"/>
          <w:i/>
          <w:noProof/>
          <w:lang w:val="fr-CA"/>
        </w:rPr>
        <w:t>ne</w:t>
      </w:r>
      <w:r w:rsidRPr="007C3D27">
        <w:rPr>
          <w:rFonts w:cs="Times New Roman"/>
          <w:noProof/>
          <w:lang w:val="fr-CA"/>
        </w:rPr>
        <w:t xml:space="preserve"> sont </w:t>
      </w:r>
      <w:r w:rsidRPr="007C3D27">
        <w:rPr>
          <w:rFonts w:cs="Times New Roman"/>
          <w:i/>
          <w:noProof/>
          <w:lang w:val="fr-CA"/>
        </w:rPr>
        <w:t>pas</w:t>
      </w:r>
      <w:r w:rsidRPr="007C3D27">
        <w:rPr>
          <w:rFonts w:cs="Times New Roman"/>
          <w:noProof/>
          <w:lang w:val="fr-CA"/>
        </w:rPr>
        <w:t xml:space="preserve"> les éléments juridiques des infractions elles</w:t>
      </w:r>
      <w:r>
        <w:rPr>
          <w:rFonts w:cs="Times New Roman"/>
          <w:noProof/>
          <w:lang w:val="fr-CA"/>
        </w:rPr>
        <w:noBreakHyphen/>
      </w:r>
      <w:r w:rsidRPr="007C3D27">
        <w:rPr>
          <w:rFonts w:cs="Times New Roman"/>
          <w:noProof/>
          <w:lang w:val="fr-CA"/>
        </w:rPr>
        <w:t xml:space="preserve">mêmes, mais </w:t>
      </w:r>
      <w:r w:rsidRPr="007C3D27">
        <w:rPr>
          <w:rFonts w:cs="Times New Roman"/>
          <w:i/>
          <w:noProof/>
          <w:lang w:val="fr-CA"/>
        </w:rPr>
        <w:t>plutôt</w:t>
      </w:r>
      <w:r w:rsidRPr="007C3D27">
        <w:rPr>
          <w:rFonts w:cs="Times New Roman"/>
          <w:noProof/>
          <w:lang w:val="fr-CA"/>
        </w:rPr>
        <w:t xml:space="preserve"> comment ils ont été vraisemblablement compris </w:t>
      </w:r>
      <w:r w:rsidRPr="007C3D27">
        <w:rPr>
          <w:rFonts w:cs="Times New Roman"/>
          <w:i/>
          <w:noProof/>
          <w:lang w:val="fr-CA"/>
        </w:rPr>
        <w:t>dans l’esprit des jurés</w:t>
      </w:r>
      <w:r w:rsidRPr="007C3D27">
        <w:rPr>
          <w:rFonts w:cs="Times New Roman"/>
          <w:noProof/>
          <w:lang w:val="fr-CA"/>
        </w:rPr>
        <w:t xml:space="preserve"> </w:t>
      </w:r>
      <w:r w:rsidRPr="007C3D27">
        <w:rPr>
          <w:rFonts w:cs="Times New Roman"/>
          <w:noProof/>
          <w:lang w:val="fr-CA" w:bidi="en-US"/>
        </w:rPr>
        <w:t>— selon les meilleures hypothèses du tribunal de révision</w:t>
      </w:r>
      <w:r w:rsidRPr="007C3D27">
        <w:rPr>
          <w:rFonts w:cs="Times New Roman"/>
          <w:noProof/>
          <w:lang w:val="fr-CA"/>
        </w:rPr>
        <w:t>.</w:t>
      </w:r>
      <w:r w:rsidRPr="007C3D27">
        <w:rPr>
          <w:rFonts w:eastAsiaTheme="minorHAnsi" w:cs="Times New Roman"/>
          <w:noProof/>
          <w:lang w:val="fr-CA"/>
        </w:rPr>
        <w:t xml:space="preserve"> Ayant élaboré tant bien que mal une </w:t>
      </w:r>
      <w:r w:rsidRPr="007C3D27">
        <w:rPr>
          <w:rFonts w:eastAsiaTheme="minorHAnsi" w:cs="Times New Roman"/>
          <w:noProof/>
          <w:lang w:val="fr-CA"/>
        </w:rPr>
        <w:lastRenderedPageBreak/>
        <w:t>explication plausible de la raison pour laquelle le jury est arrivé à des verdicts incompatibles, il s’ensuivrait (</w:t>
      </w:r>
      <w:r w:rsidRPr="007C3D27">
        <w:rPr>
          <w:rFonts w:eastAsiaTheme="minorHAnsi" w:cs="Times New Roman"/>
          <w:i/>
          <w:noProof/>
          <w:lang w:val="fr-CA"/>
        </w:rPr>
        <w:t>par hypothèse</w:t>
      </w:r>
      <w:r w:rsidRPr="007C3D27">
        <w:rPr>
          <w:rFonts w:eastAsiaTheme="minorHAnsi" w:cs="Times New Roman"/>
          <w:noProof/>
          <w:lang w:val="fr-CA"/>
        </w:rPr>
        <w:t>) que les verdicts qui paraissent incompatibles ne le sont plus</w:t>
      </w:r>
      <w:r>
        <w:rPr>
          <w:rFonts w:eastAsiaTheme="minorHAnsi" w:cs="Times New Roman"/>
          <w:noProof/>
          <w:lang w:val="fr-CA"/>
        </w:rPr>
        <w:t> :</w:t>
      </w:r>
      <w:r w:rsidRPr="007C3D27">
        <w:rPr>
          <w:rFonts w:eastAsiaTheme="minorHAnsi" w:cs="Times New Roman"/>
          <w:noProof/>
          <w:lang w:val="fr-CA"/>
        </w:rPr>
        <w:t xml:space="preserve"> ils sont conciliables, pour cause de directives erronées</w:t>
      </w:r>
      <w:r w:rsidRPr="007C3D27">
        <w:rPr>
          <w:rFonts w:cs="Times New Roman"/>
          <w:noProof/>
          <w:lang w:val="fr-CA"/>
        </w:rPr>
        <w:t xml:space="preserve">. </w:t>
      </w:r>
    </w:p>
    <w:p w14:paraId="49971230" w14:textId="26F90E39" w:rsidR="00BE287D" w:rsidRPr="007C3D27" w:rsidRDefault="00BE287D" w:rsidP="00BE287D">
      <w:pPr>
        <w:pStyle w:val="ParaNoNdepar-AltN"/>
        <w:tabs>
          <w:tab w:val="clear" w:pos="1166"/>
          <w:tab w:val="num" w:pos="1152"/>
        </w:tabs>
        <w:rPr>
          <w:rFonts w:cs="Times New Roman"/>
          <w:noProof/>
          <w:lang w:val="fr-CA" w:bidi="en-US"/>
        </w:rPr>
      </w:pPr>
      <w:r w:rsidRPr="007C3D27">
        <w:rPr>
          <w:rFonts w:cs="Times New Roman"/>
          <w:noProof/>
          <w:lang w:val="fr-CA"/>
        </w:rPr>
        <w:t xml:space="preserve">Toutefois, ce raisonnement fait abstraction du régime d’appels prévu au </w:t>
      </w:r>
      <w:r w:rsidRPr="007C3D27">
        <w:rPr>
          <w:rFonts w:cs="Times New Roman"/>
          <w:i/>
          <w:noProof/>
          <w:lang w:val="fr-CA" w:bidi="en-US"/>
        </w:rPr>
        <w:t>Code criminel</w:t>
      </w:r>
      <w:r w:rsidRPr="007C3D27">
        <w:rPr>
          <w:rFonts w:cs="Times New Roman"/>
          <w:noProof/>
          <w:lang w:val="fr-CA" w:bidi="en-US"/>
        </w:rPr>
        <w:t xml:space="preserve"> et du droit dans son état actuel, qui prévoient clairement que la raison d’être de l’incompatibilité, ou la question de savoir si l’incompatibilité peut être expliquée avec une « certitude élevée » (</w:t>
      </w:r>
      <w:r>
        <w:rPr>
          <w:rFonts w:cs="Times New Roman"/>
          <w:noProof/>
          <w:lang w:val="fr-CA" w:bidi="en-US"/>
        </w:rPr>
        <w:t>motifs majoritaires, par. </w:t>
      </w:r>
      <w:r w:rsidRPr="007C3D27">
        <w:rPr>
          <w:rFonts w:cs="Times New Roman"/>
          <w:noProof/>
          <w:lang w:val="fr-CA" w:bidi="en-US"/>
        </w:rPr>
        <w:t xml:space="preserve">33), n’ont tout simplement aucune importance. En clair, le </w:t>
      </w:r>
      <w:r w:rsidRPr="007C3D27">
        <w:rPr>
          <w:rFonts w:cs="Times New Roman"/>
          <w:i/>
          <w:noProof/>
          <w:lang w:val="fr-CA" w:bidi="en-US"/>
        </w:rPr>
        <w:t xml:space="preserve">Code </w:t>
      </w:r>
      <w:r w:rsidRPr="007C3D27">
        <w:rPr>
          <w:rFonts w:cs="Times New Roman"/>
          <w:noProof/>
          <w:lang w:val="fr-CA" w:bidi="en-US"/>
        </w:rPr>
        <w:t>codifie la règle de common law du secret des délibérations du jury et confère des droits asymétriques d’appel à la personne déclarée coupable et au ministère public (</w:t>
      </w:r>
      <w:r>
        <w:rPr>
          <w:rFonts w:cs="Times New Roman"/>
          <w:noProof/>
          <w:lang w:val="fr-CA" w:bidi="en-US"/>
        </w:rPr>
        <w:t>art. </w:t>
      </w:r>
      <w:r w:rsidRPr="007C3D27">
        <w:rPr>
          <w:rFonts w:cs="Times New Roman"/>
          <w:noProof/>
          <w:lang w:val="fr-CA" w:bidi="en-US"/>
        </w:rPr>
        <w:t xml:space="preserve">649 et </w:t>
      </w:r>
      <w:r w:rsidRPr="007C3D27">
        <w:rPr>
          <w:rFonts w:cs="Times New Roman"/>
          <w:i/>
          <w:noProof/>
          <w:lang w:val="fr-CA" w:bidi="en-US"/>
        </w:rPr>
        <w:t>R. c. Pan</w:t>
      </w:r>
      <w:r w:rsidRPr="007C3D27">
        <w:rPr>
          <w:rFonts w:cs="Times New Roman"/>
          <w:noProof/>
          <w:lang w:val="fr-CA" w:bidi="en-US"/>
        </w:rPr>
        <w:t xml:space="preserve">, 2001 CSC 42, [2001] 2 R.C.S. 344; </w:t>
      </w:r>
      <w:r>
        <w:rPr>
          <w:rFonts w:cs="Times New Roman"/>
          <w:noProof/>
          <w:lang w:val="fr-CA" w:bidi="en-US"/>
        </w:rPr>
        <w:t>art. </w:t>
      </w:r>
      <w:r w:rsidRPr="007C3D27">
        <w:rPr>
          <w:rFonts w:cs="Times New Roman"/>
          <w:noProof/>
          <w:lang w:val="fr-CA" w:bidi="en-US"/>
        </w:rPr>
        <w:t>675 et 76). Ces règles dictent les réparations susceptibles d’être accordées en appel, selon qu’il s’agit de l’appel d’une déclaration de culpabilité ou d’un acquittement, et selon qu’il s’agit du verdict d’un juge seul ou d’un jury (</w:t>
      </w:r>
      <w:r>
        <w:rPr>
          <w:rFonts w:cs="Times New Roman"/>
          <w:noProof/>
          <w:lang w:val="fr-CA" w:bidi="en-US"/>
        </w:rPr>
        <w:t>par. </w:t>
      </w:r>
      <w:r w:rsidRPr="007C3D27">
        <w:rPr>
          <w:rFonts w:cs="Times New Roman"/>
          <w:noProof/>
          <w:lang w:val="fr-CA" w:bidi="en-US"/>
        </w:rPr>
        <w:t>686(2) à (4)). Pour avoir gain de cause en appel d’un acquittement, le ministère public doit établir une erreur de droit dont « il serait raisonnable de penser, compte tenu des faits concrets d</w:t>
      </w:r>
      <w:r w:rsidR="00A40984">
        <w:rPr>
          <w:rFonts w:cs="Times New Roman"/>
          <w:noProof/>
          <w:lang w:val="fr-CA" w:bidi="en-US"/>
        </w:rPr>
        <w:t xml:space="preserve">e l’affaire, qu[’elle </w:t>
      </w:r>
      <w:r w:rsidRPr="007C3D27">
        <w:rPr>
          <w:rFonts w:cs="Times New Roman"/>
          <w:noProof/>
          <w:lang w:val="fr-CA" w:bidi="en-US"/>
        </w:rPr>
        <w:t>a] eu une incidence significative » sur le verdict (</w:t>
      </w:r>
      <w:r w:rsidRPr="007C3D27">
        <w:rPr>
          <w:rFonts w:cs="Times New Roman"/>
          <w:i/>
          <w:noProof/>
          <w:lang w:val="fr-CA" w:bidi="en-US"/>
        </w:rPr>
        <w:t>R. c. Graveline</w:t>
      </w:r>
      <w:r w:rsidRPr="007C3D27">
        <w:rPr>
          <w:rFonts w:cs="Times New Roman"/>
          <w:noProof/>
          <w:lang w:val="fr-CA" w:bidi="en-US"/>
        </w:rPr>
        <w:t xml:space="preserve">, 2006 CSC 16, [2006] 1 R.C.S. 609, </w:t>
      </w:r>
      <w:r>
        <w:rPr>
          <w:rFonts w:cs="Times New Roman"/>
          <w:noProof/>
          <w:lang w:val="fr-CA" w:bidi="en-US"/>
        </w:rPr>
        <w:t>par. </w:t>
      </w:r>
      <w:r w:rsidRPr="007C3D27">
        <w:rPr>
          <w:rFonts w:cs="Times New Roman"/>
          <w:noProof/>
          <w:lang w:val="fr-CA" w:bidi="en-US"/>
        </w:rPr>
        <w:t>14). Qui plus est, et ceci revêt de l’importance en l’espèce, lorsque le ministère public a gain de cause en appel d’un verdict d’acquittement par un jury, la seule réparation possible est la tenue d’un nouveau procès (sous</w:t>
      </w:r>
      <w:r>
        <w:rPr>
          <w:rFonts w:cs="Times New Roman"/>
          <w:noProof/>
          <w:lang w:val="fr-CA" w:bidi="en-US"/>
        </w:rPr>
        <w:noBreakHyphen/>
        <w:t>al. </w:t>
      </w:r>
      <w:r w:rsidRPr="007C3D27">
        <w:rPr>
          <w:rFonts w:cs="Times New Roman"/>
          <w:noProof/>
          <w:lang w:val="fr-CA" w:bidi="en-US"/>
        </w:rPr>
        <w:t>686(4)b)(i)).</w:t>
      </w:r>
    </w:p>
    <w:p w14:paraId="43A1A4A3" w14:textId="77777777" w:rsidR="00BE287D" w:rsidRPr="007C3D27" w:rsidRDefault="00BE287D" w:rsidP="00BE287D">
      <w:pPr>
        <w:pStyle w:val="ParaNoNdepar-AltN"/>
        <w:tabs>
          <w:tab w:val="clear" w:pos="1166"/>
          <w:tab w:val="num" w:pos="1152"/>
        </w:tabs>
        <w:rPr>
          <w:rFonts w:cs="Times New Roman"/>
          <w:noProof/>
          <w:lang w:val="fr-CA"/>
        </w:rPr>
      </w:pPr>
      <w:r w:rsidRPr="007C3D27">
        <w:rPr>
          <w:rFonts w:cs="Times New Roman"/>
          <w:noProof/>
          <w:lang w:val="fr-CA"/>
        </w:rPr>
        <w:lastRenderedPageBreak/>
        <w:t xml:space="preserve">Il ressort clairement de ce régime que la manière dont le Parlement a élaboré les dispositions du </w:t>
      </w:r>
      <w:r w:rsidRPr="007C3D27">
        <w:rPr>
          <w:rFonts w:cs="Times New Roman"/>
          <w:i/>
          <w:noProof/>
          <w:lang w:val="fr-CA"/>
        </w:rPr>
        <w:t>Code</w:t>
      </w:r>
      <w:r w:rsidRPr="007C3D27">
        <w:rPr>
          <w:rFonts w:cs="Times New Roman"/>
          <w:noProof/>
          <w:lang w:val="fr-CA"/>
        </w:rPr>
        <w:t xml:space="preserve"> en matière d’appels a été régie par une vérité fondamentale à propos des procès devant jury</w:t>
      </w:r>
      <w:r>
        <w:rPr>
          <w:rFonts w:cs="Times New Roman"/>
          <w:noProof/>
          <w:lang w:val="fr-CA"/>
        </w:rPr>
        <w:t> :</w:t>
      </w:r>
      <w:r w:rsidRPr="007C3D27">
        <w:rPr>
          <w:rFonts w:cs="Times New Roman"/>
          <w:noProof/>
          <w:lang w:val="fr-CA"/>
        </w:rPr>
        <w:t xml:space="preserve"> on ne peut jamais savoir avec certitude comment un jury est arrivé à son verdict. Un tribunal de révision peut, bien entendu, examiner le verdict et le dossier, y compris la preuve, les plaidoiries des avocats et les directives du juge du procès. Cependant, un tribunal de révision ne peut pas examiner les raisons pour lesquelles le jury est arrivé à ce verdict (</w:t>
      </w:r>
      <w:r w:rsidRPr="007C3D27">
        <w:rPr>
          <w:rFonts w:cs="Times New Roman"/>
          <w:i/>
          <w:noProof/>
          <w:lang w:val="fr-CA"/>
        </w:rPr>
        <w:t>Pan</w:t>
      </w:r>
      <w:r w:rsidRPr="007C3D27">
        <w:rPr>
          <w:rFonts w:cs="Times New Roman"/>
          <w:noProof/>
          <w:lang w:val="fr-CA"/>
        </w:rPr>
        <w:t xml:space="preserve">, </w:t>
      </w:r>
      <w:r>
        <w:rPr>
          <w:rFonts w:cs="Times New Roman"/>
          <w:noProof/>
          <w:lang w:val="fr-CA"/>
        </w:rPr>
        <w:t>par. </w:t>
      </w:r>
      <w:r w:rsidRPr="007C3D27">
        <w:rPr>
          <w:rFonts w:cs="Times New Roman"/>
          <w:noProof/>
          <w:lang w:val="fr-CA"/>
        </w:rPr>
        <w:t xml:space="preserve">46). Voilà pourquoi, lorsque le ministère public a établi avec succès une erreur de droit qui répond au critère de l’arrêt </w:t>
      </w:r>
      <w:r w:rsidRPr="007C3D27">
        <w:rPr>
          <w:rFonts w:cs="Times New Roman"/>
          <w:i/>
          <w:noProof/>
          <w:lang w:val="fr-CA"/>
        </w:rPr>
        <w:t>Graveline</w:t>
      </w:r>
      <w:r w:rsidRPr="007C3D27">
        <w:rPr>
          <w:rFonts w:cs="Times New Roman"/>
          <w:noProof/>
          <w:lang w:val="fr-CA"/>
        </w:rPr>
        <w:t xml:space="preserve">, on ne peut substituer une déclaration de culpabilité à l’acquittement. Encore une fois, le Parlement, en précisant que la tenue d’un nouveau procès est la </w:t>
      </w:r>
      <w:r w:rsidRPr="007C3D27">
        <w:rPr>
          <w:rFonts w:cs="Times New Roman"/>
          <w:i/>
          <w:noProof/>
          <w:lang w:val="fr-CA"/>
        </w:rPr>
        <w:t>seule</w:t>
      </w:r>
      <w:r w:rsidRPr="007C3D27">
        <w:rPr>
          <w:rFonts w:cs="Times New Roman"/>
          <w:noProof/>
          <w:lang w:val="fr-CA"/>
        </w:rPr>
        <w:t xml:space="preserve"> réparation, s’est appuyé sur le fait que </w:t>
      </w:r>
      <w:r w:rsidRPr="007C3D27">
        <w:rPr>
          <w:rFonts w:cs="Times New Roman"/>
          <w:noProof/>
          <w:lang w:val="fr-CA" w:bidi="en-US"/>
        </w:rPr>
        <w:t>—</w:t>
      </w:r>
      <w:r w:rsidRPr="007C3D27">
        <w:rPr>
          <w:rFonts w:cs="Times New Roman"/>
          <w:noProof/>
          <w:lang w:val="fr-CA"/>
        </w:rPr>
        <w:t xml:space="preserve"> contrairement au procès devant un juge seul</w:t>
      </w:r>
      <w:r w:rsidRPr="007C3D27">
        <w:rPr>
          <w:rFonts w:cs="Times New Roman"/>
          <w:noProof/>
          <w:lang w:val="fr-CA" w:bidi="en-US"/>
        </w:rPr>
        <w:t xml:space="preserve"> —</w:t>
      </w:r>
      <w:r w:rsidRPr="007C3D27">
        <w:rPr>
          <w:rFonts w:cs="Times New Roman"/>
          <w:noProof/>
          <w:lang w:val="fr-CA"/>
        </w:rPr>
        <w:t xml:space="preserve"> un tribunal de révision ne peut que conjecturer les raisons pour lesquelles le jury a acquitté l’accusé. Comme les juges majoritaires de notre Cour l’ont affirmé dans l’arrêt </w:t>
      </w:r>
      <w:r w:rsidRPr="007C3D27">
        <w:rPr>
          <w:rFonts w:cs="Times New Roman"/>
          <w:i/>
          <w:noProof/>
          <w:lang w:val="fr-CA"/>
        </w:rPr>
        <w:t>R. c. Morin</w:t>
      </w:r>
      <w:r w:rsidRPr="007C3D27">
        <w:rPr>
          <w:rFonts w:cs="Times New Roman"/>
          <w:noProof/>
          <w:lang w:val="fr-CA"/>
        </w:rPr>
        <w:t xml:space="preserve">, [1988] 2 R.C.S. 345, </w:t>
      </w:r>
      <w:r>
        <w:rPr>
          <w:rFonts w:cs="Times New Roman"/>
          <w:noProof/>
          <w:lang w:val="fr-CA"/>
        </w:rPr>
        <w:t>p. </w:t>
      </w:r>
      <w:r w:rsidRPr="007C3D27">
        <w:rPr>
          <w:rFonts w:cs="Times New Roman"/>
          <w:noProof/>
          <w:lang w:val="fr-CA"/>
        </w:rPr>
        <w:t>374, il ne peut « prédi[re] avec certitude ce qui s’est passé dans la salle de délibérations ».</w:t>
      </w:r>
    </w:p>
    <w:p w14:paraId="2B35DBF4" w14:textId="77777777" w:rsidR="00BE287D" w:rsidRPr="007C3D27" w:rsidRDefault="00BE287D" w:rsidP="00BE287D">
      <w:pPr>
        <w:pStyle w:val="ParaNoNdepar-AltN"/>
        <w:tabs>
          <w:tab w:val="clear" w:pos="1166"/>
          <w:tab w:val="num" w:pos="1152"/>
        </w:tabs>
        <w:rPr>
          <w:rFonts w:cs="Times New Roman"/>
          <w:noProof/>
          <w:lang w:val="fr-CA"/>
        </w:rPr>
      </w:pPr>
      <w:r w:rsidRPr="007C3D27">
        <w:rPr>
          <w:rFonts w:cs="Times New Roman"/>
          <w:noProof/>
          <w:lang w:val="fr-CA"/>
        </w:rPr>
        <w:t>L’importance de tout ceci tient à ce qui suit</w:t>
      </w:r>
      <w:r>
        <w:rPr>
          <w:rFonts w:cs="Times New Roman"/>
          <w:noProof/>
          <w:lang w:val="fr-CA"/>
        </w:rPr>
        <w:t> :</w:t>
      </w:r>
      <w:r w:rsidRPr="007C3D27">
        <w:rPr>
          <w:rFonts w:cs="Times New Roman"/>
          <w:noProof/>
          <w:lang w:val="fr-CA"/>
        </w:rPr>
        <w:t xml:space="preserve"> mes collègues croient connaître l’effet et la portée précis de l’erreur de droit commise par la juge du procès en donnant des directives erronées au jury. Toutefois, bien qu’ils </w:t>
      </w:r>
      <w:r w:rsidRPr="007C3D27">
        <w:rPr>
          <w:rFonts w:cs="Times New Roman"/>
          <w:i/>
          <w:noProof/>
          <w:lang w:val="fr-CA"/>
        </w:rPr>
        <w:t>croient</w:t>
      </w:r>
      <w:r w:rsidRPr="007C3D27">
        <w:rPr>
          <w:rFonts w:cs="Times New Roman"/>
          <w:noProof/>
          <w:lang w:val="fr-CA"/>
        </w:rPr>
        <w:t xml:space="preserve"> connaître ceci (même avec la « certitude élevée</w:t>
      </w:r>
      <w:r>
        <w:rPr>
          <w:rFonts w:cs="Times New Roman"/>
          <w:noProof/>
          <w:lang w:val="fr-CA"/>
        </w:rPr>
        <w:t xml:space="preserve"> » </w:t>
      </w:r>
      <w:r w:rsidRPr="007C3D27">
        <w:rPr>
          <w:rFonts w:cs="Times New Roman"/>
          <w:noProof/>
          <w:lang w:val="fr-CA"/>
        </w:rPr>
        <w:t>qu’ils prétendent avoir), et bien que je puisse penser que les suppositions de mes collègues sont peut</w:t>
      </w:r>
      <w:r>
        <w:rPr>
          <w:rFonts w:cs="Times New Roman"/>
          <w:noProof/>
          <w:lang w:val="fr-CA"/>
        </w:rPr>
        <w:noBreakHyphen/>
      </w:r>
      <w:r w:rsidRPr="007C3D27">
        <w:rPr>
          <w:rFonts w:cs="Times New Roman"/>
          <w:noProof/>
          <w:lang w:val="fr-CA"/>
        </w:rPr>
        <w:t xml:space="preserve">être fondées, rien de tout ceci n’importe. En élaborant les dispositions du </w:t>
      </w:r>
      <w:r w:rsidRPr="007C3D27">
        <w:rPr>
          <w:rFonts w:cs="Times New Roman"/>
          <w:i/>
          <w:noProof/>
          <w:lang w:val="fr-CA"/>
        </w:rPr>
        <w:t>Code</w:t>
      </w:r>
      <w:r w:rsidRPr="007C3D27">
        <w:rPr>
          <w:rFonts w:cs="Times New Roman"/>
          <w:noProof/>
          <w:lang w:val="fr-CA"/>
        </w:rPr>
        <w:t xml:space="preserve"> régissant les appels de verdicts rendus par un jury, le Parlement n’accordait aucune importance aux </w:t>
      </w:r>
      <w:r w:rsidRPr="007C3D27">
        <w:rPr>
          <w:rFonts w:cs="Times New Roman"/>
          <w:i/>
          <w:noProof/>
          <w:lang w:val="fr-CA"/>
        </w:rPr>
        <w:t>degrés</w:t>
      </w:r>
      <w:r w:rsidRPr="007C3D27">
        <w:rPr>
          <w:rFonts w:cs="Times New Roman"/>
          <w:noProof/>
          <w:lang w:val="fr-CA"/>
        </w:rPr>
        <w:t xml:space="preserve"> de certitude du </w:t>
      </w:r>
      <w:r w:rsidRPr="007C3D27">
        <w:rPr>
          <w:rFonts w:cs="Times New Roman"/>
          <w:noProof/>
          <w:lang w:val="fr-CA"/>
        </w:rPr>
        <w:lastRenderedPageBreak/>
        <w:t xml:space="preserve">tribunal de révision. Ce que le Parlement croyait important est que l’absence de motifs de jugement par un jury signifie qu’un tribunal de révision ne peut jamais être </w:t>
      </w:r>
      <w:r w:rsidRPr="007C3D27">
        <w:rPr>
          <w:rFonts w:cs="Times New Roman"/>
          <w:i/>
          <w:noProof/>
          <w:lang w:val="fr-CA"/>
        </w:rPr>
        <w:t>certain</w:t>
      </w:r>
      <w:r w:rsidRPr="007C3D27">
        <w:rPr>
          <w:rFonts w:cs="Times New Roman"/>
          <w:noProof/>
          <w:lang w:val="fr-CA"/>
        </w:rPr>
        <w:t xml:space="preserve"> de ce qu’avaient à l’esprit les jurés. Mes collègues contrecarrent cette intention claire du législateur.</w:t>
      </w:r>
    </w:p>
    <w:p w14:paraId="4C43F835" w14:textId="77777777" w:rsidR="00BE287D" w:rsidRPr="007C3D27" w:rsidRDefault="00BE287D" w:rsidP="00BE287D">
      <w:pPr>
        <w:pStyle w:val="ParaNoNdepar-AltN"/>
        <w:tabs>
          <w:tab w:val="clear" w:pos="1166"/>
          <w:tab w:val="num" w:pos="1152"/>
        </w:tabs>
        <w:rPr>
          <w:rFonts w:cs="Times New Roman"/>
          <w:noProof/>
          <w:shd w:val="clear" w:color="auto" w:fill="FFFFFF"/>
          <w:lang w:val="fr-CA"/>
        </w:rPr>
      </w:pPr>
      <w:r w:rsidRPr="007C3D27">
        <w:rPr>
          <w:rFonts w:cs="Times New Roman"/>
          <w:noProof/>
          <w:lang w:val="fr-CA"/>
        </w:rPr>
        <w:t xml:space="preserve">Le raisonnement de mes collègues fait en outre entorse à l’arrêt </w:t>
      </w:r>
      <w:r w:rsidRPr="007C3D27">
        <w:rPr>
          <w:rFonts w:cs="Times New Roman"/>
          <w:i/>
          <w:noProof/>
          <w:lang w:val="fr-CA"/>
        </w:rPr>
        <w:t>J.F.</w:t>
      </w:r>
      <w:r w:rsidRPr="007C3D27">
        <w:rPr>
          <w:rFonts w:cs="Times New Roman"/>
          <w:noProof/>
          <w:lang w:val="fr-CA"/>
        </w:rPr>
        <w:t xml:space="preserve"> Ils contestent cette thèse, affirmant que l’arrêt </w:t>
      </w:r>
      <w:r w:rsidRPr="007C3D27">
        <w:rPr>
          <w:rFonts w:cs="Times New Roman"/>
          <w:i/>
          <w:noProof/>
          <w:lang w:val="fr-CA"/>
        </w:rPr>
        <w:t>J.F.</w:t>
      </w:r>
      <w:r w:rsidRPr="007C3D27">
        <w:rPr>
          <w:rFonts w:cs="Times New Roman"/>
          <w:noProof/>
          <w:lang w:val="fr-CA"/>
        </w:rPr>
        <w:t xml:space="preserve"> (et, tant qu’à y être, </w:t>
      </w:r>
      <w:r w:rsidRPr="007C3D27">
        <w:rPr>
          <w:rFonts w:cs="Times New Roman"/>
          <w:i/>
          <w:noProof/>
          <w:lang w:val="fr-CA"/>
        </w:rPr>
        <w:t>R. c.</w:t>
      </w:r>
      <w:r w:rsidRPr="007C3D27">
        <w:rPr>
          <w:rFonts w:cs="Times New Roman"/>
          <w:noProof/>
          <w:lang w:val="fr-CA"/>
        </w:rPr>
        <w:t xml:space="preserve"> </w:t>
      </w:r>
      <w:r w:rsidRPr="007C3D27">
        <w:rPr>
          <w:rFonts w:cs="Times New Roman"/>
          <w:i/>
          <w:noProof/>
          <w:lang w:val="fr-CA"/>
        </w:rPr>
        <w:t>Pittiman</w:t>
      </w:r>
      <w:r w:rsidRPr="007C3D27">
        <w:rPr>
          <w:rFonts w:cs="Times New Roman"/>
          <w:noProof/>
          <w:lang w:val="fr-CA"/>
        </w:rPr>
        <w:t xml:space="preserve">, 2006 CSC 9, [2006] 1 R.C.S. 381) ne doit pas être interprété comme empêchant l’examen des directives au jury dans l’évaluation de la compatibilité des verdicts. Ce n’est toutefois pas ce qui est en litige en l’espèce, et personne ne préconise d’ailleurs une telle interprétation. Dans </w:t>
      </w:r>
      <w:r w:rsidRPr="007C3D27">
        <w:rPr>
          <w:rFonts w:cs="Times New Roman"/>
          <w:i/>
          <w:noProof/>
          <w:lang w:val="fr-CA"/>
        </w:rPr>
        <w:t xml:space="preserve">Pittiman </w:t>
      </w:r>
      <w:r w:rsidRPr="007C3D27">
        <w:rPr>
          <w:rFonts w:cs="Times New Roman"/>
          <w:noProof/>
          <w:lang w:val="fr-CA"/>
        </w:rPr>
        <w:t xml:space="preserve">et </w:t>
      </w:r>
      <w:r w:rsidRPr="007C3D27">
        <w:rPr>
          <w:rFonts w:cs="Times New Roman"/>
          <w:i/>
          <w:noProof/>
          <w:lang w:val="fr-CA"/>
        </w:rPr>
        <w:t>J.F.</w:t>
      </w:r>
      <w:r w:rsidRPr="007C3D27">
        <w:rPr>
          <w:rFonts w:cs="Times New Roman"/>
          <w:noProof/>
          <w:lang w:val="fr-CA"/>
        </w:rPr>
        <w:t xml:space="preserve">, il est dit que les directives sont présumées être appropriées </w:t>
      </w:r>
      <w:r w:rsidRPr="007C3D27">
        <w:rPr>
          <w:rFonts w:cs="Times New Roman"/>
          <w:i/>
          <w:noProof/>
          <w:lang w:val="fr-CA"/>
        </w:rPr>
        <w:t>pour déterminer si les verdicts sont effectivement incompatibles sur le plan juridique</w:t>
      </w:r>
      <w:r w:rsidRPr="007C3D27">
        <w:rPr>
          <w:rFonts w:cs="Times New Roman"/>
          <w:noProof/>
          <w:lang w:val="fr-CA"/>
        </w:rPr>
        <w:t xml:space="preserve">. Tel est le fondement sur lequel un tribunal de révision peut conclure, comme en l’espèce, qu’une déclaration de culpabilité pour contacts sexuels et un acquittement pour agression sexuelle découlant du même délit sont fondamentalement incompatibles. </w:t>
      </w:r>
    </w:p>
    <w:p w14:paraId="6695D78D" w14:textId="77777777" w:rsidR="00BE287D" w:rsidRPr="007C3D27" w:rsidRDefault="00BE287D" w:rsidP="00BE287D">
      <w:pPr>
        <w:pStyle w:val="ParaNoNdepar-AltN"/>
        <w:tabs>
          <w:tab w:val="clear" w:pos="1166"/>
          <w:tab w:val="num" w:pos="1152"/>
        </w:tabs>
        <w:rPr>
          <w:rFonts w:cs="Times New Roman"/>
          <w:noProof/>
          <w:shd w:val="clear" w:color="auto" w:fill="FFFFFF"/>
          <w:lang w:val="fr-CA"/>
        </w:rPr>
      </w:pPr>
      <w:r w:rsidRPr="007C3D27">
        <w:rPr>
          <w:rFonts w:cs="Times New Roman"/>
          <w:noProof/>
          <w:lang w:val="fr-CA"/>
        </w:rPr>
        <w:t xml:space="preserve">Toutefois, mes collègues </w:t>
      </w:r>
      <w:r w:rsidRPr="007C3D27">
        <w:rPr>
          <w:rFonts w:cs="Times New Roman"/>
          <w:i/>
          <w:noProof/>
          <w:lang w:val="fr-CA"/>
        </w:rPr>
        <w:t>ajoutent</w:t>
      </w:r>
      <w:r w:rsidRPr="007C3D27">
        <w:rPr>
          <w:rFonts w:cs="Times New Roman"/>
          <w:noProof/>
          <w:lang w:val="fr-CA"/>
        </w:rPr>
        <w:t xml:space="preserve"> </w:t>
      </w:r>
      <w:r w:rsidRPr="007C3D27">
        <w:rPr>
          <w:rFonts w:cs="Times New Roman"/>
          <w:noProof/>
          <w:lang w:val="fr-CA" w:bidi="en-US"/>
        </w:rPr>
        <w:t xml:space="preserve">— </w:t>
      </w:r>
      <w:r w:rsidRPr="007C3D27">
        <w:rPr>
          <w:rFonts w:cs="Times New Roman"/>
          <w:noProof/>
          <w:lang w:val="fr-CA"/>
        </w:rPr>
        <w:t xml:space="preserve">et, à cet égard, ils vont </w:t>
      </w:r>
      <w:r w:rsidRPr="007C3D27">
        <w:rPr>
          <w:rFonts w:cs="Times New Roman"/>
          <w:i/>
          <w:noProof/>
          <w:lang w:val="fr-CA"/>
        </w:rPr>
        <w:t>effectivement</w:t>
      </w:r>
      <w:r w:rsidRPr="007C3D27">
        <w:rPr>
          <w:rFonts w:cs="Times New Roman"/>
          <w:noProof/>
          <w:lang w:val="fr-CA"/>
        </w:rPr>
        <w:t xml:space="preserve"> à l’encontre de l’arrêt </w:t>
      </w:r>
      <w:r w:rsidRPr="007C3D27">
        <w:rPr>
          <w:rFonts w:cs="Times New Roman"/>
          <w:i/>
          <w:noProof/>
          <w:lang w:val="fr-CA"/>
        </w:rPr>
        <w:t>J.F.</w:t>
      </w:r>
      <w:r w:rsidRPr="007C3D27">
        <w:rPr>
          <w:rFonts w:cs="Times New Roman"/>
          <w:noProof/>
          <w:lang w:val="fr-CA"/>
        </w:rPr>
        <w:t xml:space="preserve">, en dépit de leurs protestations au contraire </w:t>
      </w:r>
      <w:r w:rsidRPr="007C3D27">
        <w:rPr>
          <w:rFonts w:cs="Times New Roman"/>
          <w:noProof/>
          <w:lang w:val="fr-CA" w:bidi="en-US"/>
        </w:rPr>
        <w:t xml:space="preserve">— </w:t>
      </w:r>
      <w:r w:rsidRPr="007C3D27">
        <w:rPr>
          <w:rFonts w:cs="Times New Roman"/>
          <w:noProof/>
          <w:lang w:val="fr-CA"/>
        </w:rPr>
        <w:t>que l’arrêt </w:t>
      </w:r>
      <w:r w:rsidRPr="007C3D27">
        <w:rPr>
          <w:rFonts w:cs="Times New Roman"/>
          <w:i/>
          <w:noProof/>
          <w:lang w:val="fr-CA"/>
        </w:rPr>
        <w:t>J.F.</w:t>
      </w:r>
      <w:r w:rsidRPr="007C3D27">
        <w:rPr>
          <w:rFonts w:cs="Times New Roman"/>
          <w:noProof/>
          <w:lang w:val="fr-CA"/>
        </w:rPr>
        <w:t xml:space="preserve"> n’empêche pas d’examiner </w:t>
      </w:r>
      <w:r w:rsidRPr="007C3D27">
        <w:rPr>
          <w:rFonts w:cs="Times New Roman"/>
          <w:i/>
          <w:noProof/>
          <w:lang w:val="fr-CA"/>
        </w:rPr>
        <w:t>pourquoi</w:t>
      </w:r>
      <w:r w:rsidRPr="007C3D27">
        <w:rPr>
          <w:rFonts w:cs="Times New Roman"/>
          <w:noProof/>
          <w:lang w:val="fr-CA"/>
        </w:rPr>
        <w:t xml:space="preserve"> un jury a rendu des verdicts incompatibles, soulignant l’absence d’erreur manifeste dans les directives au jury dans cette affaire comme explication de la raison pour laquelle la Cour ne pouvait pas entreprendre le même examen que mes collègues font en l’espèce. Il s’agit d’une interprétation </w:t>
      </w:r>
      <w:r w:rsidRPr="007C3D27">
        <w:rPr>
          <w:rFonts w:cs="Times New Roman"/>
          <w:noProof/>
          <w:lang w:val="fr-CA"/>
        </w:rPr>
        <w:lastRenderedPageBreak/>
        <w:t>manifestement erronée du raisonnement du juge Fish dans cette affaire, où ce dernier a écrit, au nom de la Cour, que « </w:t>
      </w:r>
      <w:r w:rsidRPr="007C3D27">
        <w:rPr>
          <w:rFonts w:cs="Times New Roman"/>
          <w:noProof/>
          <w:u w:val="single"/>
          <w:lang w:val="fr-CA"/>
        </w:rPr>
        <w:t>[d]e toute manière</w:t>
      </w:r>
      <w:r w:rsidRPr="007C3D27">
        <w:rPr>
          <w:rFonts w:cs="Times New Roman"/>
          <w:noProof/>
          <w:lang w:val="fr-CA"/>
        </w:rPr>
        <w:t xml:space="preserve">, pour des raisons tenant au processus judiciaire et à la légitimité des verdicts, je refuserais de confirmer la déclaration de culpabilité de l’intimé au motif </w:t>
      </w:r>
      <w:r w:rsidRPr="007C3D27">
        <w:rPr>
          <w:rFonts w:cs="Times New Roman"/>
          <w:i/>
          <w:noProof/>
          <w:lang w:val="fr-CA"/>
        </w:rPr>
        <w:t>qu’une erreur de droit commise au procès</w:t>
      </w:r>
      <w:r w:rsidRPr="007C3D27">
        <w:rPr>
          <w:rFonts w:cs="Times New Roman"/>
          <w:noProof/>
          <w:lang w:val="fr-CA"/>
        </w:rPr>
        <w:t xml:space="preserve"> permet de la concilier avec son acquittement quant à un autre chef figurant dans le même acte d’accusation » (</w:t>
      </w:r>
      <w:r>
        <w:rPr>
          <w:rFonts w:cs="Times New Roman"/>
          <w:noProof/>
          <w:lang w:val="fr-CA"/>
        </w:rPr>
        <w:t>par. </w:t>
      </w:r>
      <w:r w:rsidRPr="007C3D27">
        <w:rPr>
          <w:rFonts w:cs="Times New Roman"/>
          <w:noProof/>
          <w:lang w:val="fr-CA"/>
        </w:rPr>
        <w:t>21 (italiques ajoutés)). L’insertion de la formule « de toute manière » ne peut être plus claire</w:t>
      </w:r>
      <w:r>
        <w:rPr>
          <w:rFonts w:cs="Times New Roman"/>
          <w:noProof/>
          <w:lang w:val="fr-CA"/>
        </w:rPr>
        <w:t> :</w:t>
      </w:r>
      <w:r w:rsidRPr="007C3D27">
        <w:rPr>
          <w:rFonts w:cs="Times New Roman"/>
          <w:noProof/>
          <w:lang w:val="fr-CA"/>
        </w:rPr>
        <w:t xml:space="preserve"> l’existence d’une erreur de droit ne permet pas de concilier des verdicts incompatibles. C’est un aspect de l’arrêt </w:t>
      </w:r>
      <w:r w:rsidRPr="007C3D27">
        <w:rPr>
          <w:rFonts w:cs="Times New Roman"/>
          <w:i/>
          <w:noProof/>
          <w:lang w:val="fr-CA"/>
        </w:rPr>
        <w:t>J.F.</w:t>
      </w:r>
      <w:r w:rsidRPr="007C3D27">
        <w:rPr>
          <w:rFonts w:cs="Times New Roman"/>
          <w:noProof/>
          <w:lang w:val="fr-CA"/>
        </w:rPr>
        <w:t xml:space="preserve"> que mes collègues, sans toutefois le reconnaître, infirment en fait.</w:t>
      </w:r>
    </w:p>
    <w:p w14:paraId="1D7B354F" w14:textId="77777777" w:rsidR="00BE287D" w:rsidRPr="007C3D27" w:rsidRDefault="00BE287D" w:rsidP="00BE287D">
      <w:pPr>
        <w:pStyle w:val="ParaNoNdepar-AltN"/>
        <w:tabs>
          <w:tab w:val="clear" w:pos="1166"/>
          <w:tab w:val="num" w:pos="1152"/>
        </w:tabs>
        <w:rPr>
          <w:rFonts w:cs="Times New Roman"/>
          <w:noProof/>
          <w:lang w:val="fr-CA"/>
        </w:rPr>
      </w:pPr>
      <w:r w:rsidRPr="007C3D27">
        <w:rPr>
          <w:rFonts w:cs="Times New Roman"/>
          <w:noProof/>
          <w:lang w:val="fr-CA"/>
        </w:rPr>
        <w:t xml:space="preserve">Le caractère inédit du cadre élaboré aujourd’hui par mes collègues se manifeste dans leur analogie au raisonnement du juge d’appel Paciocco dans </w:t>
      </w:r>
      <w:r w:rsidRPr="007C3D27">
        <w:rPr>
          <w:rFonts w:cs="Times New Roman"/>
          <w:i/>
          <w:noProof/>
          <w:lang w:val="fr-CA"/>
        </w:rPr>
        <w:t>R. c. Plein</w:t>
      </w:r>
      <w:r w:rsidRPr="007C3D27">
        <w:rPr>
          <w:rFonts w:cs="Times New Roman"/>
          <w:noProof/>
          <w:lang w:val="fr-CA"/>
        </w:rPr>
        <w:t>,</w:t>
      </w:r>
      <w:r w:rsidRPr="007C3D27">
        <w:rPr>
          <w:rFonts w:cs="Times New Roman"/>
          <w:i/>
          <w:noProof/>
          <w:lang w:val="fr-CA"/>
        </w:rPr>
        <w:t xml:space="preserve"> </w:t>
      </w:r>
      <w:r w:rsidRPr="007C3D27">
        <w:rPr>
          <w:rFonts w:cs="Times New Roman"/>
          <w:noProof/>
          <w:lang w:val="fr-CA"/>
        </w:rPr>
        <w:t>2018 ONCA 748, 365 C.C.C. (3d) 437, où ce dernier a statué que [</w:t>
      </w:r>
      <w:r w:rsidRPr="007C3D27">
        <w:rPr>
          <w:rFonts w:cs="Times New Roman"/>
          <w:smallCaps/>
          <w:noProof/>
          <w:lang w:val="fr-CA"/>
        </w:rPr>
        <w:t>traduction</w:t>
      </w:r>
      <w:r w:rsidRPr="007C3D27">
        <w:rPr>
          <w:rFonts w:cs="Times New Roman"/>
          <w:noProof/>
          <w:lang w:val="fr-CA"/>
        </w:rPr>
        <w:t xml:space="preserve">] « l’examen attentif </w:t>
      </w:r>
      <w:r w:rsidRPr="007C3D27">
        <w:rPr>
          <w:rFonts w:cs="Times New Roman"/>
          <w:noProof/>
          <w:u w:val="single"/>
          <w:lang w:val="fr-CA"/>
        </w:rPr>
        <w:t>des motifs de jugement du juge du procès</w:t>
      </w:r>
      <w:r w:rsidRPr="007C3D27">
        <w:rPr>
          <w:rFonts w:cs="Times New Roman"/>
          <w:noProof/>
          <w:lang w:val="fr-CA"/>
        </w:rPr>
        <w:t xml:space="preserve"> et du dossier du tribunal [peut fournir] un motif rationnel ou logique susceptible de concilier les verdicts » (</w:t>
      </w:r>
      <w:r>
        <w:rPr>
          <w:rFonts w:cs="Times New Roman"/>
          <w:noProof/>
          <w:lang w:val="fr-CA"/>
        </w:rPr>
        <w:t>par. </w:t>
      </w:r>
      <w:r w:rsidRPr="007C3D27">
        <w:rPr>
          <w:rFonts w:cs="Times New Roman"/>
          <w:noProof/>
          <w:lang w:val="fr-CA"/>
        </w:rPr>
        <w:t xml:space="preserve">28 (je souligne)). Toutefois, comme l’indiquent les motifs du juge Paciocco, il s’agissait d’une affaire dans laquelle </w:t>
      </w:r>
      <w:r w:rsidRPr="007C3D27">
        <w:rPr>
          <w:rFonts w:cs="Times New Roman"/>
          <w:i/>
          <w:noProof/>
          <w:lang w:val="fr-CA"/>
        </w:rPr>
        <w:t>un juge, siégeant seul</w:t>
      </w:r>
      <w:r w:rsidRPr="007C3D27">
        <w:rPr>
          <w:rFonts w:cs="Times New Roman"/>
          <w:noProof/>
          <w:lang w:val="fr-CA"/>
        </w:rPr>
        <w:t>, avait rendu des verdicts incompatibles. Au risque d’énoncer une évidence, ceci ne s’applique pas aux jurys. Mes collègues ne se laissent cependant pas décourager</w:t>
      </w:r>
      <w:r>
        <w:rPr>
          <w:rFonts w:cs="Times New Roman"/>
          <w:noProof/>
          <w:lang w:val="fr-CA"/>
        </w:rPr>
        <w:t> :</w:t>
      </w:r>
      <w:r w:rsidRPr="007C3D27">
        <w:rPr>
          <w:rFonts w:cs="Times New Roman"/>
          <w:noProof/>
          <w:lang w:val="fr-CA"/>
        </w:rPr>
        <w:t xml:space="preserve"> « </w:t>
      </w:r>
      <w:r w:rsidRPr="007C3D27">
        <w:rPr>
          <w:rFonts w:cs="Times New Roman"/>
          <w:lang w:val="fr-CA"/>
        </w:rPr>
        <w:t xml:space="preserve">pourvu que le tribunal de révision puisse </w:t>
      </w:r>
      <w:r w:rsidRPr="007C3D27">
        <w:rPr>
          <w:rFonts w:cs="Times New Roman"/>
          <w:u w:val="single"/>
          <w:lang w:val="fr-CA"/>
        </w:rPr>
        <w:t>reconstituer le raisonnement du jury</w:t>
      </w:r>
      <w:r w:rsidRPr="007C3D27">
        <w:rPr>
          <w:rFonts w:cs="Times New Roman"/>
          <w:lang w:val="fr-CA"/>
        </w:rPr>
        <w:t xml:space="preserve"> avec la certitude élevée requise </w:t>
      </w:r>
      <w:r w:rsidRPr="007C3D27">
        <w:rPr>
          <w:rFonts w:cs="Times New Roman"/>
          <w:noProof/>
          <w:lang w:val="fr-CA"/>
        </w:rPr>
        <w:t>», le contrôle en appel est analogue à un examen des motifs du juge du procès (</w:t>
      </w:r>
      <w:r>
        <w:rPr>
          <w:rFonts w:cs="Times New Roman"/>
          <w:noProof/>
          <w:lang w:val="fr-CA"/>
        </w:rPr>
        <w:t>par. </w:t>
      </w:r>
      <w:r w:rsidRPr="007C3D27">
        <w:rPr>
          <w:rFonts w:cs="Times New Roman"/>
          <w:noProof/>
          <w:lang w:val="fr-CA"/>
        </w:rPr>
        <w:t xml:space="preserve">39 (je souligne)). Cependant, la reconstitution du raisonnement </w:t>
      </w:r>
      <w:r w:rsidRPr="007C3D27">
        <w:rPr>
          <w:rFonts w:cs="Times New Roman"/>
          <w:i/>
          <w:noProof/>
          <w:lang w:val="fr-CA"/>
        </w:rPr>
        <w:t>d’un jury</w:t>
      </w:r>
      <w:r w:rsidRPr="007C3D27">
        <w:rPr>
          <w:rFonts w:cs="Times New Roman"/>
          <w:noProof/>
          <w:lang w:val="fr-CA"/>
        </w:rPr>
        <w:t xml:space="preserve">, indépendamment du « degré de certitude », est un type de contrôle (1) que le Parlement a exclu, (2) que </w:t>
      </w:r>
      <w:r w:rsidRPr="007C3D27">
        <w:rPr>
          <w:rFonts w:cs="Times New Roman"/>
          <w:noProof/>
          <w:lang w:val="fr-CA"/>
        </w:rPr>
        <w:lastRenderedPageBreak/>
        <w:t xml:space="preserve">notre Cour n’a jamais sanctionné et (3) qui est, en pratique, impossible. Sur ce dernier point </w:t>
      </w:r>
      <w:r w:rsidRPr="007C3D27">
        <w:rPr>
          <w:rFonts w:cs="Times New Roman"/>
          <w:noProof/>
          <w:lang w:val="fr-CA" w:bidi="en-US"/>
        </w:rPr>
        <w:t xml:space="preserve">— </w:t>
      </w:r>
      <w:r w:rsidRPr="007C3D27">
        <w:rPr>
          <w:rFonts w:cs="Times New Roman"/>
          <w:noProof/>
          <w:lang w:val="fr-CA"/>
        </w:rPr>
        <w:t xml:space="preserve">l’impossibilité en pratique </w:t>
      </w:r>
      <w:r w:rsidRPr="007C3D27">
        <w:rPr>
          <w:rFonts w:cs="Times New Roman"/>
          <w:noProof/>
          <w:lang w:val="fr-CA" w:bidi="en-US"/>
        </w:rPr>
        <w:t xml:space="preserve">— </w:t>
      </w:r>
      <w:r w:rsidRPr="007C3D27">
        <w:rPr>
          <w:rFonts w:cs="Times New Roman"/>
          <w:noProof/>
          <w:lang w:val="fr-CA"/>
        </w:rPr>
        <w:t>le cadre établi par mes collègues exige que le tribunal de révision puisse « exclure toutes les autres explications raisonnables quant à la manière dont le jury a rendu ses verdicts » (</w:t>
      </w:r>
      <w:r>
        <w:rPr>
          <w:rFonts w:cs="Times New Roman"/>
          <w:noProof/>
          <w:lang w:val="fr-CA"/>
        </w:rPr>
        <w:t>par. </w:t>
      </w:r>
      <w:r w:rsidRPr="007C3D27">
        <w:rPr>
          <w:rFonts w:cs="Times New Roman"/>
          <w:noProof/>
          <w:lang w:val="fr-CA"/>
        </w:rPr>
        <w:t>35). Toutefois, bien entendu, cela ne sera jamais possible. Le mieux qu’il</w:t>
      </w:r>
      <w:r>
        <w:rPr>
          <w:rFonts w:cs="Times New Roman"/>
          <w:noProof/>
          <w:lang w:val="fr-CA"/>
        </w:rPr>
        <w:t>s</w:t>
      </w:r>
      <w:r w:rsidRPr="007C3D27">
        <w:rPr>
          <w:rFonts w:cs="Times New Roman"/>
          <w:noProof/>
          <w:lang w:val="fr-CA"/>
        </w:rPr>
        <w:t xml:space="preserve"> puisse</w:t>
      </w:r>
      <w:r>
        <w:rPr>
          <w:rFonts w:cs="Times New Roman"/>
          <w:noProof/>
          <w:lang w:val="fr-CA"/>
        </w:rPr>
        <w:t>nt</w:t>
      </w:r>
      <w:r w:rsidRPr="007C3D27">
        <w:rPr>
          <w:rFonts w:cs="Times New Roman"/>
          <w:noProof/>
          <w:lang w:val="fr-CA"/>
        </w:rPr>
        <w:t xml:space="preserve"> faire, c’est deviner. Et, en l’espèce, la possibilité que le jury ait pu prononcer une annulation</w:t>
      </w:r>
      <w:r>
        <w:rPr>
          <w:rFonts w:cs="Times New Roman"/>
          <w:noProof/>
          <w:lang w:val="fr-CA"/>
        </w:rPr>
        <w:t xml:space="preserve"> ou rendre un verdict de</w:t>
      </w:r>
      <w:r w:rsidRPr="007C3D27">
        <w:rPr>
          <w:rFonts w:cs="Times New Roman"/>
          <w:noProof/>
          <w:lang w:val="fr-CA"/>
        </w:rPr>
        <w:t xml:space="preserve"> compromis (concluant, par exemple, que deux déclarations de culpabilité pour à peu près le même délit suffisaient, et que trois étaient excessives) est, suivant la conjecture de mes collègues, déraisonnable et exclue en conséquence.</w:t>
      </w:r>
    </w:p>
    <w:p w14:paraId="1AB8DF8F" w14:textId="77777777" w:rsidR="00BE287D" w:rsidRPr="007C3D27" w:rsidRDefault="00BE287D" w:rsidP="00BE287D">
      <w:pPr>
        <w:pStyle w:val="ParaNoNdepar-AltN"/>
        <w:tabs>
          <w:tab w:val="clear" w:pos="1166"/>
          <w:tab w:val="num" w:pos="1152"/>
        </w:tabs>
        <w:rPr>
          <w:rFonts w:cs="Times New Roman"/>
          <w:noProof/>
          <w:lang w:val="fr-CA"/>
        </w:rPr>
      </w:pPr>
      <w:r w:rsidRPr="007C3D27">
        <w:rPr>
          <w:rFonts w:cs="Times New Roman"/>
          <w:noProof/>
          <w:lang w:val="fr-CA"/>
        </w:rPr>
        <w:t>Mes collègues répondent en affirmant que chacune de ces questions courantes en matière d’appel « exige du tribunal de révision qu’il examine [. . .] si [les membres du jury] aurai[ent] pu changer d’avis si le procès s’était déroulé autrement » (</w:t>
      </w:r>
      <w:r>
        <w:rPr>
          <w:rFonts w:cs="Times New Roman"/>
          <w:noProof/>
          <w:lang w:val="fr-CA"/>
        </w:rPr>
        <w:t>par. </w:t>
      </w:r>
      <w:r w:rsidRPr="007C3D27">
        <w:rPr>
          <w:rFonts w:cs="Times New Roman"/>
          <w:noProof/>
          <w:lang w:val="fr-CA"/>
        </w:rPr>
        <w:t xml:space="preserve">37), et </w:t>
      </w:r>
      <w:r>
        <w:rPr>
          <w:rFonts w:cs="Times New Roman"/>
          <w:noProof/>
          <w:lang w:val="fr-CA"/>
        </w:rPr>
        <w:t xml:space="preserve">signalent </w:t>
      </w:r>
      <w:r w:rsidRPr="007C3D27">
        <w:rPr>
          <w:rFonts w:cs="Times New Roman"/>
          <w:noProof/>
          <w:lang w:val="fr-CA"/>
        </w:rPr>
        <w:t xml:space="preserve">le critère de l’arrêt </w:t>
      </w:r>
      <w:r w:rsidRPr="007C3D27">
        <w:rPr>
          <w:rFonts w:cs="Times New Roman"/>
          <w:i/>
          <w:noProof/>
          <w:lang w:val="fr-CA"/>
        </w:rPr>
        <w:t>Graveline</w:t>
      </w:r>
      <w:r w:rsidRPr="007C3D27">
        <w:rPr>
          <w:rFonts w:cs="Times New Roman"/>
          <w:noProof/>
          <w:lang w:val="fr-CA"/>
        </w:rPr>
        <w:t xml:space="preserve"> </w:t>
      </w:r>
      <w:r>
        <w:rPr>
          <w:rFonts w:cs="Times New Roman"/>
          <w:noProof/>
          <w:lang w:val="fr-CA"/>
        </w:rPr>
        <w:t>suivant lequel le tribunal de révision se demande s’il</w:t>
      </w:r>
      <w:r w:rsidRPr="007C3D27">
        <w:rPr>
          <w:rFonts w:cs="Times New Roman"/>
          <w:noProof/>
          <w:lang w:val="fr-CA"/>
        </w:rPr>
        <w:t xml:space="preserve"> serait raisonnable de penser que l’erreur a eu une incidence sur le résultat. Cette supposition est certes vraie, mais ce n’est pas ce qui nous divise en l’espèce. Parler de questions qui exigent du tribunal de révision qu’il se demande s’il </w:t>
      </w:r>
      <w:r>
        <w:rPr>
          <w:rFonts w:cs="Times New Roman"/>
          <w:i/>
          <w:noProof/>
          <w:lang w:val="fr-CA"/>
        </w:rPr>
        <w:t>est</w:t>
      </w:r>
      <w:r w:rsidRPr="007C3D27">
        <w:rPr>
          <w:rFonts w:cs="Times New Roman"/>
          <w:i/>
          <w:noProof/>
          <w:lang w:val="fr-CA"/>
        </w:rPr>
        <w:t xml:space="preserve"> raisonnable de penser </w:t>
      </w:r>
      <w:r w:rsidRPr="007C3D27">
        <w:rPr>
          <w:rFonts w:cs="Times New Roman"/>
          <w:noProof/>
          <w:lang w:val="fr-CA"/>
        </w:rPr>
        <w:t xml:space="preserve">qu’une erreur ou une omission a eu une incidence sur le résultat (et, le cas échéant, si un </w:t>
      </w:r>
      <w:r w:rsidRPr="007C3D27">
        <w:rPr>
          <w:rFonts w:cs="Times New Roman"/>
          <w:i/>
          <w:noProof/>
          <w:lang w:val="fr-CA"/>
        </w:rPr>
        <w:t xml:space="preserve">nouveau procès </w:t>
      </w:r>
      <w:r w:rsidRPr="007C3D27">
        <w:rPr>
          <w:rFonts w:cs="Times New Roman"/>
          <w:noProof/>
          <w:lang w:val="fr-CA"/>
        </w:rPr>
        <w:t xml:space="preserve">devrait être tenu) ne fait que détourner notre attention. Soit dit en tout respect, mes collègues adoptent une approche très différente. Plus précisément, ils disent que, même si des déclarations de culpabilité et un acquittement ont été prononcés à l’égard du même délit, et même si une erreur de droit a été commise lors du procès, il leur est possible de conclure que le jury croyait </w:t>
      </w:r>
      <w:r w:rsidRPr="007C3D27">
        <w:rPr>
          <w:rFonts w:cs="Times New Roman"/>
          <w:i/>
          <w:noProof/>
          <w:lang w:val="fr-CA"/>
        </w:rPr>
        <w:lastRenderedPageBreak/>
        <w:t xml:space="preserve">sûrement </w:t>
      </w:r>
      <w:r w:rsidRPr="007C3D27">
        <w:rPr>
          <w:rFonts w:cs="Times New Roman"/>
          <w:noProof/>
          <w:lang w:val="fr-CA"/>
        </w:rPr>
        <w:t>que l’intimé était coupable. Il y a une différence énorme entre le fait pour une cour d’appel d’affirmer (1) que « l’erreur en question, considérée objectivement, aurait pu influencer le jury » et le fait de dire (2) </w:t>
      </w:r>
      <w:r>
        <w:rPr>
          <w:rFonts w:cs="Times New Roman"/>
          <w:noProof/>
          <w:lang w:val="fr-CA"/>
        </w:rPr>
        <w:t>« j</w:t>
      </w:r>
      <w:r w:rsidRPr="007C3D27">
        <w:rPr>
          <w:rFonts w:cs="Times New Roman"/>
          <w:noProof/>
          <w:lang w:val="fr-CA"/>
        </w:rPr>
        <w:t>e sais, subjectivement, ce que pensait le jury ». Cette dernière affirmation est sans précédent. En effet, s’il s’agissait d’une considération « </w:t>
      </w:r>
      <w:r>
        <w:rPr>
          <w:rFonts w:cs="Times New Roman"/>
          <w:noProof/>
          <w:lang w:val="fr-CA"/>
        </w:rPr>
        <w:t>courant</w:t>
      </w:r>
      <w:r w:rsidRPr="007C3D27">
        <w:rPr>
          <w:rFonts w:cs="Times New Roman"/>
          <w:noProof/>
          <w:lang w:val="fr-CA"/>
        </w:rPr>
        <w:t>e » comme le soutiennent mes collègues (</w:t>
      </w:r>
      <w:r>
        <w:rPr>
          <w:rFonts w:cs="Times New Roman"/>
          <w:noProof/>
          <w:lang w:val="fr-CA"/>
        </w:rPr>
        <w:t>par. </w:t>
      </w:r>
      <w:r w:rsidRPr="007C3D27">
        <w:rPr>
          <w:rFonts w:cs="Times New Roman"/>
          <w:noProof/>
          <w:lang w:val="fr-CA"/>
        </w:rPr>
        <w:t xml:space="preserve">38), ils n’auraient pas à créer un nouveau cadre ⸺ encore moins un nouveau cadre qui rompt avec la jurisprudence de notre Cour. </w:t>
      </w:r>
    </w:p>
    <w:p w14:paraId="41652BD8" w14:textId="77777777" w:rsidR="00BE287D" w:rsidRPr="007C3D27" w:rsidRDefault="00BE287D" w:rsidP="00BE287D">
      <w:pPr>
        <w:pStyle w:val="ParaNoNdepar-AltN"/>
        <w:tabs>
          <w:tab w:val="clear" w:pos="1166"/>
          <w:tab w:val="num" w:pos="1152"/>
        </w:tabs>
        <w:rPr>
          <w:rFonts w:cs="Times New Roman"/>
          <w:noProof/>
          <w:lang w:val="fr-CA"/>
        </w:rPr>
      </w:pPr>
      <w:r w:rsidRPr="007C3D27">
        <w:rPr>
          <w:rFonts w:cs="Times New Roman"/>
          <w:noProof/>
          <w:lang w:val="fr-CA"/>
        </w:rPr>
        <w:t xml:space="preserve">Mes collègues vont encore plus loin pour éviter que l’on interprète leurs propos comme ayant infirmé l’arrêt </w:t>
      </w:r>
      <w:r w:rsidRPr="007C3D27">
        <w:rPr>
          <w:rFonts w:cs="Times New Roman"/>
          <w:i/>
          <w:noProof/>
          <w:lang w:val="fr-CA"/>
        </w:rPr>
        <w:t>J.F.</w:t>
      </w:r>
      <w:r w:rsidRPr="007C3D27">
        <w:rPr>
          <w:rFonts w:cs="Times New Roman"/>
          <w:noProof/>
          <w:lang w:val="fr-CA"/>
        </w:rPr>
        <w:t xml:space="preserve"> sur ce point, insistant que rien dans leur analyse « ne laisse entendre qu’une erreur de droit dans les directives au jury permet nécessairement de valider des verdicts incorrects ou de remédier à l’incompatibilité des verdicts » —</w:t>
      </w:r>
      <w:r w:rsidRPr="007C3D27">
        <w:rPr>
          <w:rFonts w:cs="Times New Roman"/>
          <w:noProof/>
          <w:lang w:val="fr-CA" w:bidi="en-US"/>
        </w:rPr>
        <w:t xml:space="preserve"> </w:t>
      </w:r>
      <w:r w:rsidRPr="007C3D27">
        <w:rPr>
          <w:rFonts w:cs="Times New Roman"/>
          <w:noProof/>
          <w:lang w:val="fr-CA"/>
        </w:rPr>
        <w:t xml:space="preserve">ce qui, bien entendu, ferait entorse à l’arrêt </w:t>
      </w:r>
      <w:r w:rsidRPr="007C3D27">
        <w:rPr>
          <w:rFonts w:cs="Times New Roman"/>
          <w:i/>
          <w:noProof/>
          <w:lang w:val="fr-CA"/>
        </w:rPr>
        <w:t>J.F.</w:t>
      </w:r>
      <w:r w:rsidRPr="007C3D27">
        <w:rPr>
          <w:rFonts w:cs="Times New Roman"/>
          <w:noProof/>
          <w:lang w:val="fr-CA"/>
        </w:rPr>
        <w:t xml:space="preserve"> —</w:t>
      </w:r>
      <w:r w:rsidRPr="007C3D27">
        <w:rPr>
          <w:rFonts w:cs="Times New Roman"/>
          <w:noProof/>
          <w:lang w:val="fr-CA" w:bidi="en-US"/>
        </w:rPr>
        <w:t xml:space="preserve"> </w:t>
      </w:r>
      <w:r w:rsidRPr="007C3D27">
        <w:rPr>
          <w:rFonts w:cs="Times New Roman"/>
          <w:noProof/>
          <w:lang w:val="fr-CA"/>
        </w:rPr>
        <w:t>car « [s]i l’erreur peut être restreinte à l’acquittement, ce n’est pas l’erreur elle</w:t>
      </w:r>
      <w:r>
        <w:rPr>
          <w:rFonts w:cs="Times New Roman"/>
          <w:noProof/>
          <w:lang w:val="fr-CA"/>
        </w:rPr>
        <w:noBreakHyphen/>
      </w:r>
      <w:r w:rsidRPr="007C3D27">
        <w:rPr>
          <w:rFonts w:cs="Times New Roman"/>
          <w:noProof/>
          <w:lang w:val="fr-CA"/>
        </w:rPr>
        <w:t>même qui permet de concilier les verdicts, mais plutôt la conclusion selon laquelle l’erreur n’a eu aucune incidence sur la déclaration de culpabilité</w:t>
      </w:r>
      <w:r>
        <w:rPr>
          <w:rFonts w:cs="Times New Roman"/>
          <w:noProof/>
          <w:lang w:val="fr-CA"/>
        </w:rPr>
        <w:t> </w:t>
      </w:r>
      <w:r w:rsidRPr="007C3D27">
        <w:rPr>
          <w:rFonts w:cs="Times New Roman"/>
          <w:noProof/>
          <w:lang w:val="fr-CA"/>
        </w:rPr>
        <w:t>» (</w:t>
      </w:r>
      <w:r>
        <w:rPr>
          <w:rFonts w:cs="Times New Roman"/>
          <w:noProof/>
          <w:lang w:val="fr-CA"/>
        </w:rPr>
        <w:t>par. </w:t>
      </w:r>
      <w:r w:rsidRPr="007C3D27">
        <w:rPr>
          <w:rFonts w:cs="Times New Roman"/>
          <w:noProof/>
          <w:lang w:val="fr-CA"/>
        </w:rPr>
        <w:t>40). Cependant, il n’y a tout simplement aucune différence significative entre (1) conclure qu’une erreur permet de concilier des verdicts incompatibles et (2) constater qu’ils sont conciliés par « la conclusion selon laquelle l’erreur n’a eu aucune incidence sur la déclaration de culpabilité ». Suivant leur cadre d’analyse, une erreur est constatée, le raisonnement du jury est (d’une manière quelconque) soigneusement retracé et reconstitué, et une conclusion est tirée selon laquelle —</w:t>
      </w:r>
      <w:r w:rsidRPr="007C3D27">
        <w:rPr>
          <w:rFonts w:cs="Times New Roman"/>
          <w:noProof/>
          <w:lang w:val="fr-CA" w:bidi="en-US"/>
        </w:rPr>
        <w:t xml:space="preserve"> </w:t>
      </w:r>
      <w:r w:rsidRPr="007C3D27">
        <w:rPr>
          <w:rFonts w:cs="Times New Roman"/>
          <w:noProof/>
          <w:lang w:val="fr-CA"/>
        </w:rPr>
        <w:t>dans l’esprit des jurés —</w:t>
      </w:r>
      <w:r w:rsidRPr="007C3D27">
        <w:rPr>
          <w:rFonts w:cs="Times New Roman"/>
          <w:noProof/>
          <w:lang w:val="fr-CA" w:bidi="en-US"/>
        </w:rPr>
        <w:t xml:space="preserve"> </w:t>
      </w:r>
      <w:r w:rsidRPr="007C3D27">
        <w:rPr>
          <w:rFonts w:cs="Times New Roman"/>
          <w:noProof/>
          <w:lang w:val="fr-CA"/>
        </w:rPr>
        <w:t>les infractions étaient différentes. L’erreur permet de concilier les verdicts incompatibles.</w:t>
      </w:r>
    </w:p>
    <w:p w14:paraId="614FCE77" w14:textId="77777777" w:rsidR="00BE287D" w:rsidRPr="007C3D27" w:rsidRDefault="00BE287D" w:rsidP="00BE287D">
      <w:pPr>
        <w:pStyle w:val="ParaNoNdepar-AltN"/>
        <w:tabs>
          <w:tab w:val="clear" w:pos="1166"/>
          <w:tab w:val="num" w:pos="1152"/>
        </w:tabs>
        <w:rPr>
          <w:rFonts w:cs="Times New Roman"/>
          <w:noProof/>
          <w:lang w:val="fr-CA"/>
        </w:rPr>
      </w:pPr>
      <w:r w:rsidRPr="007C3D27">
        <w:rPr>
          <w:rFonts w:cs="Times New Roman"/>
          <w:noProof/>
          <w:lang w:val="fr-CA"/>
        </w:rPr>
        <w:lastRenderedPageBreak/>
        <w:t>Mes collègues arrivent à cette conclusion ici, affirmant qu’en l’espèce, « l’erreur de droit permet de concilier les verdicts apparemment incompatibles » (</w:t>
      </w:r>
      <w:r>
        <w:rPr>
          <w:rFonts w:cs="Times New Roman"/>
          <w:noProof/>
          <w:lang w:val="fr-CA"/>
        </w:rPr>
        <w:t>par. </w:t>
      </w:r>
      <w:r w:rsidRPr="007C3D27">
        <w:rPr>
          <w:rFonts w:cs="Times New Roman"/>
          <w:noProof/>
          <w:lang w:val="fr-CA"/>
        </w:rPr>
        <w:t xml:space="preserve">70). Cette conclusion est manifestement incompatible avec l’arrêt </w:t>
      </w:r>
      <w:r w:rsidRPr="007C3D27">
        <w:rPr>
          <w:rFonts w:cs="Times New Roman"/>
          <w:i/>
          <w:noProof/>
          <w:lang w:val="fr-CA"/>
        </w:rPr>
        <w:t>J.F.</w:t>
      </w:r>
      <w:r w:rsidRPr="007C3D27">
        <w:rPr>
          <w:rFonts w:cs="Times New Roman"/>
          <w:noProof/>
          <w:lang w:val="fr-CA"/>
        </w:rPr>
        <w:t>, où le juge Fish a écrit que « [d]es directives inappropriées n’ont pas pour effet de [. . .] remédier à l’incompatibilité des verdicts » (</w:t>
      </w:r>
      <w:r>
        <w:rPr>
          <w:rFonts w:cs="Times New Roman"/>
          <w:noProof/>
          <w:lang w:val="fr-CA"/>
        </w:rPr>
        <w:t>par. </w:t>
      </w:r>
      <w:r w:rsidRPr="007C3D27">
        <w:rPr>
          <w:rFonts w:cs="Times New Roman"/>
          <w:noProof/>
          <w:lang w:val="fr-CA"/>
        </w:rPr>
        <w:t xml:space="preserve">23). Cette conclusion est également contraire à l’arrêt </w:t>
      </w:r>
      <w:r w:rsidRPr="007C3D27">
        <w:rPr>
          <w:rFonts w:cs="Times New Roman"/>
          <w:i/>
          <w:noProof/>
          <w:lang w:val="fr-CA"/>
        </w:rPr>
        <w:t>Pittiman</w:t>
      </w:r>
      <w:r w:rsidRPr="007C3D27">
        <w:rPr>
          <w:rFonts w:cs="Times New Roman"/>
          <w:noProof/>
          <w:lang w:val="fr-CA"/>
        </w:rPr>
        <w:t>, dans lequel la juge</w:t>
      </w:r>
      <w:r>
        <w:rPr>
          <w:rFonts w:cs="Times New Roman"/>
          <w:noProof/>
          <w:lang w:val="fr-CA"/>
        </w:rPr>
        <w:t xml:space="preserve"> </w:t>
      </w:r>
      <w:r w:rsidRPr="007C3D27">
        <w:rPr>
          <w:rFonts w:cs="Times New Roman"/>
          <w:noProof/>
          <w:lang w:val="fr-CA"/>
        </w:rPr>
        <w:t>Charron a proposé les voies suivantes pour concilier des verdicts potentiellement incompatibles dans le cas d’un accusé inculpé de plusieurs infractions</w:t>
      </w:r>
      <w:r>
        <w:rPr>
          <w:rFonts w:cs="Times New Roman"/>
          <w:noProof/>
          <w:lang w:val="fr-CA"/>
        </w:rPr>
        <w:t> :</w:t>
      </w:r>
      <w:r w:rsidRPr="007C3D27">
        <w:rPr>
          <w:rFonts w:cs="Times New Roman"/>
          <w:noProof/>
          <w:lang w:val="fr-CA"/>
        </w:rPr>
        <w:t xml:space="preserve"> la possibilité que les infractions « n’ont pas été commises en même temps ou [. . .] diffèrent sur le plan qualitatif ou dépendent de la crédibilité de divers plaignants ou témoins » (</w:t>
      </w:r>
      <w:r>
        <w:rPr>
          <w:rFonts w:cs="Times New Roman"/>
          <w:noProof/>
          <w:lang w:val="fr-CA"/>
        </w:rPr>
        <w:t>par. </w:t>
      </w:r>
      <w:r w:rsidRPr="007C3D27">
        <w:rPr>
          <w:rFonts w:cs="Times New Roman"/>
          <w:noProof/>
          <w:lang w:val="fr-CA"/>
        </w:rPr>
        <w:t>8). Je souligne que dans ses motifs, la juge Charron n’a nullement mentionné l’examen des directives au jury</w:t>
      </w:r>
      <w:r>
        <w:rPr>
          <w:rFonts w:cs="Times New Roman"/>
          <w:noProof/>
          <w:lang w:val="fr-CA"/>
        </w:rPr>
        <w:t> :</w:t>
      </w:r>
      <w:r w:rsidRPr="007C3D27">
        <w:rPr>
          <w:rFonts w:cs="Times New Roman"/>
          <w:noProof/>
          <w:lang w:val="fr-CA"/>
        </w:rPr>
        <w:t xml:space="preserve"> de fait, elle ne pouvait pas envisager cette possibilité, puisque (jusqu’à maintenant), les verdicts comme ceux en l’espèce étaient considérés comme </w:t>
      </w:r>
      <w:r w:rsidRPr="007C3D27">
        <w:rPr>
          <w:rFonts w:cs="Times New Roman"/>
          <w:i/>
          <w:noProof/>
          <w:lang w:val="fr-CA"/>
        </w:rPr>
        <w:t>réellement</w:t>
      </w:r>
      <w:r w:rsidRPr="007C3D27">
        <w:rPr>
          <w:rFonts w:cs="Times New Roman"/>
          <w:noProof/>
          <w:lang w:val="fr-CA"/>
        </w:rPr>
        <w:t xml:space="preserve"> incompatibles, et non </w:t>
      </w:r>
      <w:r w:rsidRPr="007C3D27">
        <w:rPr>
          <w:rFonts w:cs="Times New Roman"/>
          <w:i/>
          <w:noProof/>
          <w:lang w:val="fr-CA"/>
        </w:rPr>
        <w:t xml:space="preserve">potentiellement </w:t>
      </w:r>
      <w:r w:rsidRPr="007C3D27">
        <w:rPr>
          <w:rFonts w:cs="Times New Roman"/>
          <w:noProof/>
          <w:lang w:val="fr-CA"/>
        </w:rPr>
        <w:t xml:space="preserve">ou </w:t>
      </w:r>
      <w:r w:rsidRPr="007C3D27">
        <w:rPr>
          <w:rFonts w:cs="Times New Roman"/>
          <w:i/>
          <w:noProof/>
          <w:lang w:val="fr-CA"/>
        </w:rPr>
        <w:t>apparemment</w:t>
      </w:r>
      <w:r w:rsidRPr="007C3D27">
        <w:rPr>
          <w:rFonts w:cs="Times New Roman"/>
          <w:noProof/>
          <w:lang w:val="fr-CA"/>
        </w:rPr>
        <w:t xml:space="preserve"> incompatibles.</w:t>
      </w:r>
    </w:p>
    <w:p w14:paraId="4DB092A2" w14:textId="77777777" w:rsidR="00BE287D" w:rsidRPr="007C3D27" w:rsidRDefault="00BE287D" w:rsidP="00BE287D">
      <w:pPr>
        <w:pStyle w:val="ParaNoNdepar-AltN"/>
        <w:tabs>
          <w:tab w:val="clear" w:pos="1166"/>
          <w:tab w:val="num" w:pos="1152"/>
        </w:tabs>
        <w:rPr>
          <w:rFonts w:cs="Times New Roman"/>
          <w:noProof/>
          <w:lang w:val="fr-CA"/>
        </w:rPr>
      </w:pPr>
      <w:r w:rsidRPr="007C3D27">
        <w:rPr>
          <w:rFonts w:cs="Times New Roman"/>
          <w:noProof/>
          <w:lang w:val="fr-CA"/>
        </w:rPr>
        <w:t xml:space="preserve">En rétablissant les déclarations de culpabilité de l’intimé, mes collègues affirment que ce résultat se produira rarement. Je ne suis pas d’accord. Le résultat auquel ils arrivent est une invitation à se livrer couramment à des conjectures quant au processus de raisonnement du jury, un exercice (je le rappelle) que le </w:t>
      </w:r>
      <w:r w:rsidRPr="007C3D27">
        <w:rPr>
          <w:rFonts w:cs="Times New Roman"/>
          <w:i/>
          <w:noProof/>
          <w:lang w:val="fr-CA"/>
        </w:rPr>
        <w:t>Code criminel</w:t>
      </w:r>
      <w:r w:rsidRPr="007C3D27">
        <w:rPr>
          <w:rFonts w:cs="Times New Roman"/>
          <w:noProof/>
          <w:lang w:val="fr-CA"/>
        </w:rPr>
        <w:t xml:space="preserve"> —</w:t>
      </w:r>
      <w:r w:rsidRPr="007C3D27">
        <w:rPr>
          <w:rFonts w:cs="Times New Roman"/>
          <w:noProof/>
          <w:lang w:val="fr-CA" w:bidi="en-US"/>
        </w:rPr>
        <w:t xml:space="preserve"> </w:t>
      </w:r>
      <w:r w:rsidRPr="007C3D27">
        <w:rPr>
          <w:rFonts w:cs="Times New Roman"/>
          <w:noProof/>
          <w:lang w:val="fr-CA"/>
        </w:rPr>
        <w:t>par ses dispositions relatives aux appels de verdicts d’un jury interjetés par le ministère public —</w:t>
      </w:r>
      <w:r w:rsidRPr="007C3D27">
        <w:rPr>
          <w:rFonts w:cs="Times New Roman"/>
          <w:noProof/>
          <w:lang w:val="fr-CA" w:bidi="en-US"/>
        </w:rPr>
        <w:t xml:space="preserve"> </w:t>
      </w:r>
      <w:r w:rsidRPr="007C3D27">
        <w:rPr>
          <w:rFonts w:cs="Times New Roman"/>
          <w:noProof/>
          <w:lang w:val="fr-CA"/>
        </w:rPr>
        <w:t>exclut expressément. Il incitera au biais de confirmation suivant</w:t>
      </w:r>
      <w:r>
        <w:rPr>
          <w:rFonts w:cs="Times New Roman"/>
          <w:noProof/>
          <w:lang w:val="fr-CA"/>
        </w:rPr>
        <w:t> :</w:t>
      </w:r>
      <w:r w:rsidRPr="007C3D27">
        <w:rPr>
          <w:rFonts w:cs="Times New Roman"/>
          <w:noProof/>
          <w:lang w:val="fr-CA"/>
        </w:rPr>
        <w:t xml:space="preserve"> les verdicts sont incompatibles et le jury a reçu des directives erronées, tant et si bien que s’il y a incompatibilité, c’est forcément à cause des directives erronées. Tout aussi important, </w:t>
      </w:r>
      <w:r w:rsidRPr="007C3D27">
        <w:rPr>
          <w:rFonts w:cs="Times New Roman"/>
          <w:noProof/>
          <w:lang w:val="fr-CA"/>
        </w:rPr>
        <w:lastRenderedPageBreak/>
        <w:t>il ne dissuade pas le ministère public d’avoir recours à la multiplicité des accusations ou de rédiger des actes d’accusation portant à confusion; en réalité, il fait l’inverse, en éliminant toute conséquence. Rien de ceci n’est souhaitable —</w:t>
      </w:r>
      <w:r w:rsidRPr="007C3D27">
        <w:rPr>
          <w:rFonts w:cs="Times New Roman"/>
          <w:noProof/>
          <w:lang w:val="fr-CA" w:bidi="en-US"/>
        </w:rPr>
        <w:t xml:space="preserve"> </w:t>
      </w:r>
      <w:r w:rsidRPr="007C3D27">
        <w:rPr>
          <w:rFonts w:cs="Times New Roman"/>
          <w:noProof/>
          <w:lang w:val="fr-CA"/>
        </w:rPr>
        <w:t xml:space="preserve">et pourtant, en faisant abstraction des exigences non équivoques de la jurisprudence de notre Cour et du </w:t>
      </w:r>
      <w:r w:rsidRPr="007C3D27">
        <w:rPr>
          <w:rFonts w:cs="Times New Roman"/>
          <w:i/>
          <w:noProof/>
          <w:lang w:val="fr-CA"/>
        </w:rPr>
        <w:t>Code criminel</w:t>
      </w:r>
      <w:r w:rsidRPr="007C3D27">
        <w:rPr>
          <w:rFonts w:cs="Times New Roman"/>
          <w:noProof/>
          <w:lang w:val="fr-CA"/>
        </w:rPr>
        <w:t>, c’est précisément le résultat que produiront les motifs de mes collègues.</w:t>
      </w:r>
    </w:p>
    <w:p w14:paraId="09F61DCE" w14:textId="77777777" w:rsidR="00BE287D" w:rsidRPr="007C3D27" w:rsidRDefault="00BE287D" w:rsidP="00BE287D">
      <w:pPr>
        <w:pStyle w:val="ParaNoNdepar-AltN"/>
        <w:tabs>
          <w:tab w:val="clear" w:pos="1166"/>
          <w:tab w:val="num" w:pos="1152"/>
        </w:tabs>
        <w:rPr>
          <w:rFonts w:cs="Times New Roman"/>
          <w:noProof/>
          <w:lang w:val="fr-CA"/>
        </w:rPr>
      </w:pPr>
      <w:r w:rsidRPr="007C3D27">
        <w:rPr>
          <w:rFonts w:cs="Times New Roman"/>
          <w:noProof/>
          <w:lang w:val="fr-CA"/>
        </w:rPr>
        <w:t>J’aborde maintenant la question de la réparation qu’il y a lieu d’accorder en l’espèce. Lorsqu’une personne déclarée coupable établit que les verdicts du jury sont déraisonnables pour cause d’incompatibilité, la tenue d’un nouveau procès sera habituellement la réparation appropriée (</w:t>
      </w:r>
      <w:r w:rsidRPr="007C3D27">
        <w:rPr>
          <w:rFonts w:cs="Times New Roman"/>
          <w:i/>
          <w:noProof/>
          <w:lang w:val="fr-CA"/>
        </w:rPr>
        <w:t>Pittiman</w:t>
      </w:r>
      <w:r w:rsidRPr="007C3D27">
        <w:rPr>
          <w:rFonts w:cs="Times New Roman"/>
          <w:noProof/>
          <w:lang w:val="fr-CA"/>
        </w:rPr>
        <w:t xml:space="preserve">, </w:t>
      </w:r>
      <w:r>
        <w:rPr>
          <w:rFonts w:cs="Times New Roman"/>
          <w:noProof/>
          <w:lang w:val="fr-CA"/>
        </w:rPr>
        <w:t>par. </w:t>
      </w:r>
      <w:r w:rsidRPr="007C3D27">
        <w:rPr>
          <w:rFonts w:cs="Times New Roman"/>
          <w:noProof/>
          <w:lang w:val="fr-CA"/>
        </w:rPr>
        <w:t>14). La seule autre réparation possible est l’acquittement (</w:t>
      </w:r>
      <w:r>
        <w:rPr>
          <w:rFonts w:cs="Times New Roman"/>
          <w:noProof/>
          <w:lang w:val="fr-CA"/>
        </w:rPr>
        <w:t>al. </w:t>
      </w:r>
      <w:r w:rsidRPr="007C3D27">
        <w:rPr>
          <w:rFonts w:cs="Times New Roman"/>
          <w:noProof/>
          <w:lang w:val="fr-CA"/>
        </w:rPr>
        <w:t>686(2)a)). La réparation qu’il convient d’accorder dépend entièrement de l’issue de l’appel de l’acquittement interjeté par le ministère public.</w:t>
      </w:r>
    </w:p>
    <w:p w14:paraId="41E23038" w14:textId="77777777" w:rsidR="00BE287D" w:rsidRPr="007C3D27" w:rsidRDefault="00BE287D" w:rsidP="00BE287D">
      <w:pPr>
        <w:pStyle w:val="ParaNoNdepar-AltN"/>
        <w:tabs>
          <w:tab w:val="clear" w:pos="1166"/>
          <w:tab w:val="num" w:pos="1152"/>
        </w:tabs>
        <w:rPr>
          <w:rFonts w:cs="Times New Roman"/>
          <w:noProof/>
          <w:lang w:val="fr-CA" w:bidi="en-US"/>
        </w:rPr>
      </w:pPr>
      <w:r w:rsidRPr="007C3D27">
        <w:rPr>
          <w:rFonts w:cs="Times New Roman"/>
          <w:noProof/>
          <w:lang w:val="fr-CA" w:bidi="en-US"/>
        </w:rPr>
        <w:t>Lorsqu’elle est saisie de l’appel formé par le ministère public contre un acquittement par un jury, une cour d’appel peut soit (1) rejeter l’appel, soit (2) accueillir l’appel, annuler le verdict et ordonner la tenue d’un nouveau procès (</w:t>
      </w:r>
      <w:r>
        <w:rPr>
          <w:rFonts w:cs="Times New Roman"/>
          <w:noProof/>
          <w:lang w:val="fr-CA" w:bidi="en-US"/>
        </w:rPr>
        <w:t>par. </w:t>
      </w:r>
      <w:r w:rsidRPr="007C3D27">
        <w:rPr>
          <w:rFonts w:cs="Times New Roman"/>
          <w:noProof/>
          <w:lang w:val="fr-CA" w:bidi="en-US"/>
        </w:rPr>
        <w:t>686(4)). Lorsque le ministère public peut établir une erreur de droit</w:t>
      </w:r>
      <w:r w:rsidRPr="007C3D27">
        <w:rPr>
          <w:rFonts w:eastAsia="Times New Roman" w:cs="Times New Roman"/>
          <w:noProof/>
          <w:szCs w:val="24"/>
          <w:lang w:val="fr-CA" w:eastAsia="en-CA" w:bidi="en-US"/>
        </w:rPr>
        <w:t xml:space="preserve"> </w:t>
      </w:r>
      <w:r w:rsidRPr="007C3D27">
        <w:rPr>
          <w:rFonts w:cs="Times New Roman"/>
          <w:noProof/>
          <w:lang w:val="fr-CA" w:bidi="en-US"/>
        </w:rPr>
        <w:t>dont il serait raisonnable de penser qu’elle a eu une incidence sur le résultat (</w:t>
      </w:r>
      <w:r w:rsidRPr="007C3D27">
        <w:rPr>
          <w:rFonts w:cs="Times New Roman"/>
          <w:i/>
          <w:noProof/>
          <w:lang w:val="fr-CA" w:bidi="en-US"/>
        </w:rPr>
        <w:t>Graveline</w:t>
      </w:r>
      <w:r w:rsidRPr="007C3D27">
        <w:rPr>
          <w:rFonts w:cs="Times New Roman"/>
          <w:noProof/>
          <w:lang w:val="fr-CA" w:bidi="en-US"/>
        </w:rPr>
        <w:t xml:space="preserve">, </w:t>
      </w:r>
      <w:r>
        <w:rPr>
          <w:rFonts w:cs="Times New Roman"/>
          <w:noProof/>
          <w:lang w:val="fr-CA" w:bidi="en-US"/>
        </w:rPr>
        <w:t>par. </w:t>
      </w:r>
      <w:r w:rsidRPr="007C3D27">
        <w:rPr>
          <w:rFonts w:cs="Times New Roman"/>
          <w:noProof/>
          <w:lang w:val="fr-CA" w:bidi="en-US"/>
        </w:rPr>
        <w:t xml:space="preserve">14), la réparation qui consiste à tenir un nouveau procès — et l’impossibilité de substituer un verdict de culpabilité — est conforme au </w:t>
      </w:r>
      <w:r w:rsidRPr="007C3D27">
        <w:rPr>
          <w:rFonts w:cs="Times New Roman"/>
          <w:i/>
          <w:noProof/>
          <w:lang w:val="fr-CA" w:bidi="en-US"/>
        </w:rPr>
        <w:t>Code criminel</w:t>
      </w:r>
      <w:r w:rsidRPr="007C3D27">
        <w:rPr>
          <w:rFonts w:cs="Times New Roman"/>
          <w:noProof/>
          <w:lang w:val="fr-CA" w:bidi="en-US"/>
        </w:rPr>
        <w:t xml:space="preserve">, à la common law et à l’intention du Parlement. </w:t>
      </w:r>
    </w:p>
    <w:p w14:paraId="1D6099A8" w14:textId="77777777" w:rsidR="00BE287D" w:rsidRPr="007C3D27" w:rsidRDefault="00BE287D" w:rsidP="00BE287D">
      <w:pPr>
        <w:pStyle w:val="ParaNoNdepar-AltN"/>
        <w:tabs>
          <w:tab w:val="clear" w:pos="1166"/>
          <w:tab w:val="num" w:pos="1152"/>
        </w:tabs>
        <w:rPr>
          <w:rFonts w:cs="Times New Roman"/>
          <w:noProof/>
          <w:lang w:val="fr-CA"/>
        </w:rPr>
      </w:pPr>
      <w:r w:rsidRPr="007C3D27">
        <w:rPr>
          <w:rFonts w:cs="Times New Roman"/>
          <w:noProof/>
          <w:lang w:val="fr-CA"/>
        </w:rPr>
        <w:lastRenderedPageBreak/>
        <w:t>Mes collègues s’évertuent à éviter cette réalité, mais elle revient à ceci</w:t>
      </w:r>
      <w:r>
        <w:rPr>
          <w:rFonts w:cs="Times New Roman"/>
          <w:noProof/>
          <w:lang w:val="fr-CA"/>
        </w:rPr>
        <w:t> :</w:t>
      </w:r>
      <w:r w:rsidRPr="007C3D27">
        <w:rPr>
          <w:rFonts w:cs="Times New Roman"/>
          <w:noProof/>
          <w:lang w:val="fr-CA"/>
        </w:rPr>
        <w:t xml:space="preserve"> le droit fournit une réponse à la situation précise dont nous sommes saisis. Depuis les arrêts </w:t>
      </w:r>
      <w:r w:rsidRPr="007C3D27">
        <w:rPr>
          <w:rFonts w:cs="Times New Roman"/>
          <w:i/>
          <w:noProof/>
          <w:lang w:val="fr-CA"/>
        </w:rPr>
        <w:t xml:space="preserve">Pittiman </w:t>
      </w:r>
      <w:r w:rsidRPr="007C3D27">
        <w:rPr>
          <w:rFonts w:cs="Times New Roman"/>
          <w:noProof/>
          <w:lang w:val="fr-CA"/>
        </w:rPr>
        <w:t xml:space="preserve">et </w:t>
      </w:r>
      <w:r w:rsidRPr="007C3D27">
        <w:rPr>
          <w:rFonts w:cs="Times New Roman"/>
          <w:i/>
          <w:noProof/>
          <w:lang w:val="fr-CA"/>
        </w:rPr>
        <w:t>J.F.</w:t>
      </w:r>
      <w:r w:rsidRPr="007C3D27">
        <w:rPr>
          <w:rFonts w:cs="Times New Roman"/>
          <w:noProof/>
          <w:lang w:val="fr-CA"/>
        </w:rPr>
        <w:t>, le droit n’a pas changé. La seule chose qui a changé est que mes collègues sont maintenant en présence d’une affaire où ils estiment que l’application du droit mène à un résultat qu’ils sont incapables d’accepter. Toutefois, leur raisonnement fait abstraction du processus judiciaire et des préoccupations quant à la légitimité des verdicts qui sous</w:t>
      </w:r>
      <w:r>
        <w:rPr>
          <w:rFonts w:cs="Times New Roman"/>
          <w:noProof/>
          <w:lang w:val="fr-CA"/>
        </w:rPr>
        <w:noBreakHyphen/>
      </w:r>
      <w:r w:rsidRPr="007C3D27">
        <w:rPr>
          <w:rFonts w:cs="Times New Roman"/>
          <w:noProof/>
          <w:lang w:val="fr-CA"/>
        </w:rPr>
        <w:t xml:space="preserve">tendent les arrêts </w:t>
      </w:r>
      <w:r w:rsidRPr="007C3D27">
        <w:rPr>
          <w:rFonts w:cs="Times New Roman"/>
          <w:i/>
          <w:noProof/>
          <w:lang w:val="fr-CA"/>
        </w:rPr>
        <w:t xml:space="preserve">J.F. </w:t>
      </w:r>
      <w:r w:rsidRPr="007C3D27">
        <w:rPr>
          <w:rFonts w:cs="Times New Roman"/>
          <w:noProof/>
          <w:lang w:val="fr-CA"/>
        </w:rPr>
        <w:t xml:space="preserve">et </w:t>
      </w:r>
      <w:r w:rsidRPr="007C3D27">
        <w:rPr>
          <w:rFonts w:cs="Times New Roman"/>
          <w:i/>
          <w:noProof/>
          <w:lang w:val="fr-CA"/>
        </w:rPr>
        <w:t>Pittiman</w:t>
      </w:r>
      <w:r w:rsidRPr="007C3D27">
        <w:rPr>
          <w:rFonts w:cs="Times New Roman"/>
          <w:noProof/>
          <w:lang w:val="fr-CA"/>
        </w:rPr>
        <w:t>.</w:t>
      </w:r>
    </w:p>
    <w:p w14:paraId="1DF3762F" w14:textId="77777777" w:rsidR="00BE287D" w:rsidRPr="007C3D27" w:rsidRDefault="00BE287D" w:rsidP="00BE287D">
      <w:pPr>
        <w:pStyle w:val="ParaNoNdepar-AltN"/>
        <w:tabs>
          <w:tab w:val="clear" w:pos="1166"/>
          <w:tab w:val="num" w:pos="1152"/>
        </w:tabs>
        <w:rPr>
          <w:rFonts w:cs="Times New Roman"/>
          <w:noProof/>
          <w:lang w:val="fr-CA"/>
        </w:rPr>
      </w:pPr>
      <w:r w:rsidRPr="007C3D27">
        <w:rPr>
          <w:rFonts w:cs="Times New Roman"/>
          <w:noProof/>
          <w:lang w:val="fr-CA"/>
        </w:rPr>
        <w:t>Mes collègues s’appuient sur l’</w:t>
      </w:r>
      <w:r>
        <w:rPr>
          <w:rFonts w:cs="Times New Roman"/>
          <w:noProof/>
          <w:lang w:val="fr-CA"/>
        </w:rPr>
        <w:t>al. </w:t>
      </w:r>
      <w:r w:rsidRPr="007C3D27">
        <w:rPr>
          <w:rFonts w:cs="Times New Roman"/>
          <w:noProof/>
          <w:lang w:val="fr-CA"/>
        </w:rPr>
        <w:t xml:space="preserve">686(4)b) et le </w:t>
      </w:r>
      <w:r>
        <w:rPr>
          <w:rFonts w:cs="Times New Roman"/>
          <w:noProof/>
          <w:lang w:val="fr-CA"/>
        </w:rPr>
        <w:t>par. </w:t>
      </w:r>
      <w:r w:rsidRPr="007C3D27">
        <w:rPr>
          <w:rFonts w:cs="Times New Roman"/>
          <w:noProof/>
          <w:lang w:val="fr-CA"/>
        </w:rPr>
        <w:t xml:space="preserve">686(8) pour accueillir le pourvoi du ministère public et ordonner l’arrêt des procédures. Bien que le </w:t>
      </w:r>
      <w:r>
        <w:rPr>
          <w:rFonts w:cs="Times New Roman"/>
          <w:noProof/>
          <w:lang w:val="fr-CA"/>
        </w:rPr>
        <w:t>par. </w:t>
      </w:r>
      <w:r w:rsidRPr="007C3D27">
        <w:rPr>
          <w:rFonts w:cs="Times New Roman"/>
          <w:noProof/>
          <w:lang w:val="fr-CA"/>
        </w:rPr>
        <w:t xml:space="preserve">686(8) habilite une cour d’appel, dans l’exercice des pouvoirs que lui confère le </w:t>
      </w:r>
      <w:r>
        <w:rPr>
          <w:rFonts w:cs="Times New Roman"/>
          <w:noProof/>
          <w:lang w:val="fr-CA"/>
        </w:rPr>
        <w:t>par. </w:t>
      </w:r>
      <w:r w:rsidRPr="007C3D27">
        <w:rPr>
          <w:rFonts w:cs="Times New Roman"/>
          <w:noProof/>
          <w:lang w:val="fr-CA"/>
        </w:rPr>
        <w:t>686(4), à « </w:t>
      </w:r>
      <w:r w:rsidRPr="007C3D27">
        <w:rPr>
          <w:rFonts w:cs="Times New Roman"/>
          <w:noProof/>
          <w:u w:val="single"/>
          <w:lang w:val="fr-CA"/>
        </w:rPr>
        <w:t>en outre</w:t>
      </w:r>
      <w:r w:rsidRPr="007C3D27">
        <w:rPr>
          <w:rFonts w:cs="Times New Roman"/>
          <w:noProof/>
          <w:lang w:val="fr-CA"/>
        </w:rPr>
        <w:t xml:space="preserve"> rendre toute ordonnance que la justice exige » (ou, dans la version anglaise, « </w:t>
      </w:r>
      <w:r w:rsidRPr="007C3D27">
        <w:rPr>
          <w:rFonts w:cs="Times New Roman"/>
          <w:i/>
          <w:noProof/>
          <w:lang w:val="fr-CA"/>
        </w:rPr>
        <w:t xml:space="preserve">make any order, </w:t>
      </w:r>
      <w:r w:rsidRPr="007C3D27">
        <w:rPr>
          <w:rFonts w:cs="Times New Roman"/>
          <w:i/>
          <w:noProof/>
          <w:u w:val="single"/>
          <w:lang w:val="fr-CA"/>
        </w:rPr>
        <w:t>in addition</w:t>
      </w:r>
      <w:r w:rsidRPr="007C3D27">
        <w:rPr>
          <w:rFonts w:cs="Times New Roman"/>
          <w:i/>
          <w:noProof/>
          <w:lang w:val="fr-CA"/>
        </w:rPr>
        <w:t>, that justice requires</w:t>
      </w:r>
      <w:r>
        <w:rPr>
          <w:rFonts w:cs="Times New Roman"/>
          <w:noProof/>
          <w:lang w:val="fr-CA"/>
        </w:rPr>
        <w:t> </w:t>
      </w:r>
      <w:r w:rsidRPr="007C3D27">
        <w:rPr>
          <w:rFonts w:cs="Times New Roman"/>
          <w:noProof/>
          <w:lang w:val="fr-CA"/>
        </w:rPr>
        <w:t>»), mes collègues vont au</w:t>
      </w:r>
      <w:r>
        <w:rPr>
          <w:rFonts w:cs="Times New Roman"/>
          <w:noProof/>
          <w:lang w:val="fr-CA"/>
        </w:rPr>
        <w:noBreakHyphen/>
      </w:r>
      <w:r w:rsidRPr="007C3D27">
        <w:rPr>
          <w:rFonts w:cs="Times New Roman"/>
          <w:noProof/>
          <w:lang w:val="fr-CA"/>
        </w:rPr>
        <w:t xml:space="preserve">delà des contraintes de cette disposition. Mes collègues ne rendent pas une ordonnance </w:t>
      </w:r>
      <w:r w:rsidRPr="007C3D27">
        <w:rPr>
          <w:rFonts w:cs="Times New Roman"/>
          <w:i/>
          <w:noProof/>
          <w:lang w:val="fr-CA"/>
        </w:rPr>
        <w:t xml:space="preserve">additionnelle </w:t>
      </w:r>
      <w:r w:rsidRPr="007C3D27">
        <w:rPr>
          <w:rFonts w:cs="Times New Roman"/>
          <w:noProof/>
          <w:lang w:val="fr-CA"/>
        </w:rPr>
        <w:t xml:space="preserve">à ce qui est prévu au </w:t>
      </w:r>
      <w:r>
        <w:rPr>
          <w:rFonts w:cs="Times New Roman"/>
          <w:noProof/>
          <w:lang w:val="fr-CA"/>
        </w:rPr>
        <w:t>par. </w:t>
      </w:r>
      <w:r w:rsidRPr="007C3D27">
        <w:rPr>
          <w:rFonts w:cs="Times New Roman"/>
          <w:noProof/>
          <w:lang w:val="fr-CA"/>
        </w:rPr>
        <w:t xml:space="preserve">686(4); ils rendent plutôt une </w:t>
      </w:r>
      <w:r w:rsidRPr="007C3D27">
        <w:rPr>
          <w:rFonts w:cs="Times New Roman"/>
          <w:i/>
          <w:noProof/>
          <w:lang w:val="fr-CA"/>
        </w:rPr>
        <w:t xml:space="preserve">autre </w:t>
      </w:r>
      <w:r w:rsidRPr="007C3D27">
        <w:rPr>
          <w:rFonts w:cs="Times New Roman"/>
          <w:noProof/>
          <w:lang w:val="fr-CA"/>
        </w:rPr>
        <w:t xml:space="preserve">ordonnance. Cela n’est pas permis par le </w:t>
      </w:r>
      <w:r w:rsidRPr="007C3D27">
        <w:rPr>
          <w:rFonts w:cs="Times New Roman"/>
          <w:i/>
          <w:noProof/>
          <w:lang w:val="fr-CA"/>
        </w:rPr>
        <w:t>Code criminel</w:t>
      </w:r>
      <w:r w:rsidRPr="007C3D27">
        <w:rPr>
          <w:rFonts w:cs="Times New Roman"/>
          <w:noProof/>
          <w:lang w:val="fr-CA"/>
        </w:rPr>
        <w:t xml:space="preserve">. </w:t>
      </w:r>
      <w:r w:rsidRPr="007C3D27">
        <w:rPr>
          <w:rFonts w:cs="Times New Roman"/>
          <w:noProof/>
          <w:spacing w:val="-3"/>
          <w:shd w:val="clear" w:color="auto" w:fill="FFFFFF"/>
          <w:lang w:val="fr-CA"/>
        </w:rPr>
        <w:t>En exerçant un pouvoir qui n’est pas prévu à l’</w:t>
      </w:r>
      <w:r>
        <w:rPr>
          <w:rFonts w:cs="Times New Roman"/>
          <w:noProof/>
          <w:spacing w:val="-3"/>
          <w:shd w:val="clear" w:color="auto" w:fill="FFFFFF"/>
          <w:lang w:val="fr-CA"/>
        </w:rPr>
        <w:t>art. </w:t>
      </w:r>
      <w:r w:rsidRPr="007C3D27">
        <w:rPr>
          <w:rFonts w:cs="Times New Roman"/>
          <w:noProof/>
          <w:spacing w:val="-3"/>
          <w:shd w:val="clear" w:color="auto" w:fill="FFFFFF"/>
          <w:lang w:val="fr-CA"/>
        </w:rPr>
        <w:t>686, mes collègues se légifèrent eux</w:t>
      </w:r>
      <w:r>
        <w:rPr>
          <w:rFonts w:cs="Times New Roman"/>
          <w:noProof/>
          <w:spacing w:val="-3"/>
          <w:shd w:val="clear" w:color="auto" w:fill="FFFFFF"/>
          <w:lang w:val="fr-CA"/>
        </w:rPr>
        <w:noBreakHyphen/>
      </w:r>
      <w:r w:rsidRPr="007C3D27">
        <w:rPr>
          <w:rFonts w:cs="Times New Roman"/>
          <w:noProof/>
          <w:spacing w:val="-3"/>
          <w:shd w:val="clear" w:color="auto" w:fill="FFFFFF"/>
          <w:lang w:val="fr-CA"/>
        </w:rPr>
        <w:t xml:space="preserve">mêmes un pouvoir discrétionnaire que le Parlement ne leur a pas conféré. </w:t>
      </w:r>
    </w:p>
    <w:p w14:paraId="2009ACBD" w14:textId="77777777" w:rsidR="00BE287D" w:rsidRPr="007C3D27" w:rsidRDefault="00BE287D" w:rsidP="00BE287D">
      <w:pPr>
        <w:pStyle w:val="ParaNoNdepar-AltN"/>
        <w:tabs>
          <w:tab w:val="clear" w:pos="1166"/>
          <w:tab w:val="num" w:pos="1152"/>
        </w:tabs>
        <w:rPr>
          <w:rFonts w:cs="Times New Roman"/>
          <w:noProof/>
          <w:lang w:val="fr-CA"/>
        </w:rPr>
      </w:pPr>
      <w:r w:rsidRPr="007C3D27">
        <w:rPr>
          <w:rFonts w:cs="Times New Roman"/>
          <w:noProof/>
          <w:lang w:val="fr-CA"/>
        </w:rPr>
        <w:t xml:space="preserve">Certes, il est vrai que dans l’arrêt </w:t>
      </w:r>
      <w:r w:rsidRPr="007C3D27">
        <w:rPr>
          <w:rFonts w:cs="Times New Roman"/>
          <w:i/>
          <w:noProof/>
          <w:lang w:val="fr-CA"/>
        </w:rPr>
        <w:t>R. c. Bellusci</w:t>
      </w:r>
      <w:r w:rsidRPr="007C3D27">
        <w:rPr>
          <w:rFonts w:cs="Times New Roman"/>
          <w:noProof/>
          <w:lang w:val="fr-CA"/>
        </w:rPr>
        <w:t>, 2012 CSC 44, [2012] 2 R.C.S. 509, le juge</w:t>
      </w:r>
      <w:r>
        <w:rPr>
          <w:rFonts w:cs="Times New Roman"/>
          <w:noProof/>
          <w:lang w:val="fr-CA"/>
        </w:rPr>
        <w:t xml:space="preserve"> </w:t>
      </w:r>
      <w:r w:rsidRPr="007C3D27">
        <w:rPr>
          <w:rFonts w:cs="Times New Roman"/>
          <w:noProof/>
          <w:lang w:val="fr-CA"/>
        </w:rPr>
        <w:t xml:space="preserve">Fish a conclu, dans une remarque incidente, qu’en ce qui a trait au </w:t>
      </w:r>
      <w:r>
        <w:rPr>
          <w:rFonts w:cs="Times New Roman"/>
          <w:noProof/>
          <w:lang w:val="fr-CA"/>
        </w:rPr>
        <w:t>par. </w:t>
      </w:r>
      <w:r w:rsidRPr="007C3D27">
        <w:rPr>
          <w:rFonts w:cs="Times New Roman"/>
          <w:noProof/>
          <w:lang w:val="fr-CA"/>
        </w:rPr>
        <w:t xml:space="preserve">686(4), « la cour d’appel n’a pas à ordonner un nouveau procès ni à consigner un verdict de culpabilité pour que s’applique le </w:t>
      </w:r>
      <w:r>
        <w:rPr>
          <w:rFonts w:cs="Times New Roman"/>
          <w:noProof/>
          <w:lang w:val="fr-CA"/>
        </w:rPr>
        <w:t>par. </w:t>
      </w:r>
      <w:r w:rsidRPr="007C3D27">
        <w:rPr>
          <w:rFonts w:cs="Times New Roman"/>
          <w:noProof/>
          <w:lang w:val="fr-CA"/>
        </w:rPr>
        <w:t>686(8) » (</w:t>
      </w:r>
      <w:r>
        <w:rPr>
          <w:rFonts w:cs="Times New Roman"/>
          <w:noProof/>
          <w:lang w:val="fr-CA"/>
        </w:rPr>
        <w:t>par. </w:t>
      </w:r>
      <w:r w:rsidRPr="007C3D27">
        <w:rPr>
          <w:rFonts w:cs="Times New Roman"/>
          <w:noProof/>
          <w:lang w:val="fr-CA"/>
        </w:rPr>
        <w:t xml:space="preserve">39). Dans cette affaire, </w:t>
      </w:r>
      <w:r w:rsidRPr="007C3D27">
        <w:rPr>
          <w:rFonts w:cs="Times New Roman"/>
          <w:noProof/>
          <w:lang w:val="fr-CA"/>
        </w:rPr>
        <w:lastRenderedPageBreak/>
        <w:t xml:space="preserve">le juge Fish a conclu que le </w:t>
      </w:r>
      <w:r>
        <w:rPr>
          <w:rFonts w:cs="Times New Roman"/>
          <w:noProof/>
          <w:lang w:val="fr-CA"/>
        </w:rPr>
        <w:t>par. </w:t>
      </w:r>
      <w:r w:rsidRPr="007C3D27">
        <w:rPr>
          <w:rFonts w:cs="Times New Roman"/>
          <w:noProof/>
          <w:lang w:val="fr-CA"/>
        </w:rPr>
        <w:t xml:space="preserve">686(8) autorise une cour d’appel à ordonner la </w:t>
      </w:r>
      <w:r w:rsidRPr="007C3D27">
        <w:rPr>
          <w:rFonts w:cs="Times New Roman"/>
          <w:i/>
          <w:noProof/>
          <w:lang w:val="fr-CA"/>
        </w:rPr>
        <w:t>continuation</w:t>
      </w:r>
      <w:r w:rsidRPr="007C3D27">
        <w:rPr>
          <w:rFonts w:cs="Times New Roman"/>
          <w:noProof/>
          <w:lang w:val="fr-CA"/>
        </w:rPr>
        <w:t xml:space="preserve"> d’un procès, par opposition à un </w:t>
      </w:r>
      <w:r w:rsidRPr="007C3D27">
        <w:rPr>
          <w:rFonts w:cs="Times New Roman"/>
          <w:i/>
          <w:noProof/>
          <w:lang w:val="fr-CA"/>
        </w:rPr>
        <w:t>nouveau</w:t>
      </w:r>
      <w:r w:rsidRPr="007C3D27">
        <w:rPr>
          <w:rFonts w:cs="Times New Roman"/>
          <w:noProof/>
          <w:lang w:val="fr-CA"/>
        </w:rPr>
        <w:t xml:space="preserve"> procès. Il est également vrai que ce paragraphe autorise une cour d’appel à ordonner l’arrêt des procédures lorsqu’un acquittement est écarté, mais que la poursuite du procès constituerait un abus de procédure (</w:t>
      </w:r>
      <w:r w:rsidRPr="007C3D27">
        <w:rPr>
          <w:rFonts w:cs="Times New Roman"/>
          <w:i/>
          <w:noProof/>
          <w:lang w:val="fr-CA"/>
        </w:rPr>
        <w:t>R. c. Hinse</w:t>
      </w:r>
      <w:r>
        <w:rPr>
          <w:rFonts w:cs="Times New Roman"/>
          <w:noProof/>
          <w:lang w:val="fr-CA"/>
        </w:rPr>
        <w:t>, [1995] 4 R.C.S. 5</w:t>
      </w:r>
      <w:r w:rsidRPr="007C3D27">
        <w:rPr>
          <w:rFonts w:cs="Times New Roman"/>
          <w:noProof/>
          <w:lang w:val="fr-CA"/>
        </w:rPr>
        <w:t xml:space="preserve">97, </w:t>
      </w:r>
      <w:r>
        <w:rPr>
          <w:rFonts w:cs="Times New Roman"/>
          <w:noProof/>
          <w:lang w:val="fr-CA"/>
        </w:rPr>
        <w:t>par. </w:t>
      </w:r>
      <w:r w:rsidRPr="007C3D27">
        <w:rPr>
          <w:rFonts w:cs="Times New Roman"/>
          <w:noProof/>
          <w:lang w:val="fr-CA"/>
        </w:rPr>
        <w:t>22</w:t>
      </w:r>
      <w:r>
        <w:rPr>
          <w:rFonts w:cs="Times New Roman"/>
          <w:noProof/>
          <w:lang w:val="fr-CA"/>
        </w:rPr>
        <w:noBreakHyphen/>
      </w:r>
      <w:r w:rsidRPr="007C3D27">
        <w:rPr>
          <w:rFonts w:cs="Times New Roman"/>
          <w:noProof/>
          <w:lang w:val="fr-CA"/>
        </w:rPr>
        <w:t xml:space="preserve">23). Cependant, le </w:t>
      </w:r>
      <w:r>
        <w:rPr>
          <w:rFonts w:cs="Times New Roman"/>
          <w:noProof/>
          <w:lang w:val="fr-CA"/>
        </w:rPr>
        <w:t>par. </w:t>
      </w:r>
      <w:r w:rsidRPr="007C3D27">
        <w:rPr>
          <w:rFonts w:cs="Times New Roman"/>
          <w:noProof/>
          <w:lang w:val="fr-CA"/>
        </w:rPr>
        <w:t>686(8) exige tout de même que l’ordonnance ait un caractère fondamentalement accessoire et supplémentaire —</w:t>
      </w:r>
      <w:r w:rsidRPr="007C3D27">
        <w:rPr>
          <w:rFonts w:cs="Times New Roman"/>
          <w:noProof/>
          <w:lang w:val="fr-CA" w:bidi="en-US"/>
        </w:rPr>
        <w:t xml:space="preserve"> </w:t>
      </w:r>
      <w:r w:rsidRPr="007C3D27">
        <w:rPr>
          <w:rFonts w:cs="Times New Roman"/>
          <w:noProof/>
          <w:lang w:val="fr-CA"/>
        </w:rPr>
        <w:t xml:space="preserve">et non </w:t>
      </w:r>
      <w:r w:rsidRPr="007C3D27">
        <w:rPr>
          <w:rFonts w:cs="Times New Roman"/>
          <w:i/>
          <w:noProof/>
          <w:lang w:val="fr-CA"/>
        </w:rPr>
        <w:t>alternatif</w:t>
      </w:r>
      <w:r w:rsidRPr="007C3D27">
        <w:rPr>
          <w:rFonts w:cs="Times New Roman"/>
          <w:noProof/>
          <w:lang w:val="fr-CA"/>
        </w:rPr>
        <w:t xml:space="preserve"> —</w:t>
      </w:r>
      <w:r w:rsidRPr="007C3D27">
        <w:rPr>
          <w:rFonts w:cs="Times New Roman"/>
          <w:noProof/>
          <w:lang w:val="fr-CA" w:bidi="en-US"/>
        </w:rPr>
        <w:t xml:space="preserve"> </w:t>
      </w:r>
      <w:r w:rsidRPr="007C3D27">
        <w:rPr>
          <w:rFonts w:cs="Times New Roman"/>
          <w:noProof/>
          <w:lang w:val="fr-CA"/>
        </w:rPr>
        <w:t>et qu’il ne soit pas directement incompatible avec le jugement sous</w:t>
      </w:r>
      <w:r>
        <w:rPr>
          <w:rFonts w:cs="Times New Roman"/>
          <w:noProof/>
          <w:lang w:val="fr-CA"/>
        </w:rPr>
        <w:noBreakHyphen/>
      </w:r>
      <w:r w:rsidRPr="007C3D27">
        <w:rPr>
          <w:rFonts w:cs="Times New Roman"/>
          <w:noProof/>
          <w:lang w:val="fr-CA"/>
        </w:rPr>
        <w:t>jacent (</w:t>
      </w:r>
      <w:r w:rsidRPr="007C3D27">
        <w:rPr>
          <w:rFonts w:cs="Times New Roman"/>
          <w:i/>
          <w:noProof/>
          <w:lang w:val="fr-CA"/>
        </w:rPr>
        <w:t>Hinse</w:t>
      </w:r>
      <w:r w:rsidRPr="007C3D27">
        <w:rPr>
          <w:rFonts w:cs="Times New Roman"/>
          <w:noProof/>
          <w:lang w:val="fr-CA"/>
        </w:rPr>
        <w:t xml:space="preserve">, </w:t>
      </w:r>
      <w:r>
        <w:rPr>
          <w:rFonts w:cs="Times New Roman"/>
          <w:noProof/>
          <w:lang w:val="fr-CA"/>
        </w:rPr>
        <w:t>par. </w:t>
      </w:r>
      <w:r w:rsidRPr="007C3D27">
        <w:rPr>
          <w:rFonts w:cs="Times New Roman"/>
          <w:noProof/>
          <w:lang w:val="fr-CA"/>
        </w:rPr>
        <w:t>31;</w:t>
      </w:r>
      <w:r w:rsidRPr="007C3D27">
        <w:rPr>
          <w:rFonts w:cs="Times New Roman"/>
          <w:i/>
          <w:noProof/>
          <w:lang w:val="fr-CA"/>
        </w:rPr>
        <w:t xml:space="preserve"> </w:t>
      </w:r>
      <w:r w:rsidRPr="007C3D27">
        <w:rPr>
          <w:rFonts w:cs="Times New Roman"/>
          <w:i/>
          <w:noProof/>
          <w:spacing w:val="-3"/>
          <w:shd w:val="clear" w:color="auto" w:fill="FFFFFF"/>
          <w:lang w:val="fr-CA"/>
        </w:rPr>
        <w:t>R. c. Thomas</w:t>
      </w:r>
      <w:r w:rsidRPr="007C3D27">
        <w:rPr>
          <w:rFonts w:cs="Times New Roman"/>
          <w:noProof/>
          <w:spacing w:val="-3"/>
          <w:shd w:val="clear" w:color="auto" w:fill="FFFFFF"/>
          <w:lang w:val="fr-CA"/>
        </w:rPr>
        <w:t xml:space="preserve">, [1998] 3 R.C.S. 535, </w:t>
      </w:r>
      <w:r>
        <w:rPr>
          <w:rFonts w:cs="Times New Roman"/>
          <w:noProof/>
          <w:spacing w:val="-3"/>
          <w:shd w:val="clear" w:color="auto" w:fill="FFFFFF"/>
          <w:lang w:val="fr-CA"/>
        </w:rPr>
        <w:t>par. </w:t>
      </w:r>
      <w:r w:rsidRPr="007C3D27">
        <w:rPr>
          <w:rFonts w:cs="Times New Roman"/>
          <w:noProof/>
          <w:spacing w:val="-3"/>
          <w:shd w:val="clear" w:color="auto" w:fill="FFFFFF"/>
          <w:lang w:val="fr-CA"/>
        </w:rPr>
        <w:t>17).</w:t>
      </w:r>
    </w:p>
    <w:p w14:paraId="2E3482F6" w14:textId="77777777" w:rsidR="00BE287D" w:rsidRPr="007C3D27" w:rsidRDefault="00BE287D" w:rsidP="00BE287D">
      <w:pPr>
        <w:pStyle w:val="ParaNoNdepar-AltN"/>
        <w:tabs>
          <w:tab w:val="clear" w:pos="1166"/>
          <w:tab w:val="num" w:pos="1152"/>
        </w:tabs>
        <w:rPr>
          <w:rFonts w:cs="Times New Roman"/>
          <w:noProof/>
          <w:lang w:val="fr-CA"/>
        </w:rPr>
      </w:pPr>
      <w:r w:rsidRPr="007C3D27">
        <w:rPr>
          <w:rFonts w:cs="Times New Roman"/>
          <w:noProof/>
          <w:lang w:val="fr-CA"/>
        </w:rPr>
        <w:t>Mes collègues concluent que ces conditions sont réunies en l’espèce, puisqu’un arrêt des procédures équivaut à un verdict de non</w:t>
      </w:r>
      <w:r>
        <w:rPr>
          <w:rFonts w:cs="Times New Roman"/>
          <w:noProof/>
          <w:lang w:val="fr-CA"/>
        </w:rPr>
        <w:noBreakHyphen/>
      </w:r>
      <w:r w:rsidRPr="007C3D27">
        <w:rPr>
          <w:rFonts w:cs="Times New Roman"/>
          <w:noProof/>
          <w:lang w:val="fr-CA"/>
        </w:rPr>
        <w:t>culpabilité qui, selon eux, est tout à fait compatible avec le droit de l’intimé à la présomption d’innocence qui est rétabli après la mise de côté de l’acquittement. Toutefois, cela ne tient pas compte du jugement sous</w:t>
      </w:r>
      <w:r>
        <w:rPr>
          <w:rFonts w:cs="Times New Roman"/>
          <w:noProof/>
          <w:lang w:val="fr-CA"/>
        </w:rPr>
        <w:noBreakHyphen/>
      </w:r>
      <w:r w:rsidRPr="007C3D27">
        <w:rPr>
          <w:rFonts w:cs="Times New Roman"/>
          <w:noProof/>
          <w:lang w:val="fr-CA"/>
        </w:rPr>
        <w:t xml:space="preserve">jacent de la majorité en l’espèce, qui comprend </w:t>
      </w:r>
      <w:r w:rsidRPr="007C3D27">
        <w:rPr>
          <w:rFonts w:cs="Times New Roman"/>
          <w:i/>
          <w:noProof/>
          <w:lang w:val="fr-CA"/>
        </w:rPr>
        <w:t>aussi</w:t>
      </w:r>
      <w:r w:rsidRPr="007C3D27">
        <w:rPr>
          <w:rFonts w:cs="Times New Roman"/>
          <w:noProof/>
          <w:lang w:val="fr-CA"/>
        </w:rPr>
        <w:t xml:space="preserve"> le rétablissement de déclarations de culpabilité pour </w:t>
      </w:r>
      <w:r w:rsidRPr="007C3D27">
        <w:rPr>
          <w:rFonts w:cs="Times New Roman"/>
          <w:i/>
          <w:noProof/>
          <w:lang w:val="fr-CA"/>
        </w:rPr>
        <w:t>le même délit</w:t>
      </w:r>
      <w:r w:rsidRPr="007C3D27">
        <w:rPr>
          <w:rFonts w:cs="Times New Roman"/>
          <w:noProof/>
          <w:lang w:val="fr-CA"/>
        </w:rPr>
        <w:t xml:space="preserve"> du fait que celles</w:t>
      </w:r>
      <w:r>
        <w:rPr>
          <w:rFonts w:cs="Times New Roman"/>
          <w:noProof/>
          <w:lang w:val="fr-CA"/>
        </w:rPr>
        <w:noBreakHyphen/>
      </w:r>
      <w:r w:rsidRPr="007C3D27">
        <w:rPr>
          <w:rFonts w:cs="Times New Roman"/>
          <w:noProof/>
          <w:lang w:val="fr-CA"/>
        </w:rPr>
        <w:t>ci n’ont pas été viciées par une erreur de droit. Le prononcé d’une ordonnance qui équivaut à un verdict de non</w:t>
      </w:r>
      <w:r>
        <w:rPr>
          <w:rFonts w:cs="Times New Roman"/>
          <w:noProof/>
          <w:lang w:val="fr-CA"/>
        </w:rPr>
        <w:noBreakHyphen/>
      </w:r>
      <w:r w:rsidRPr="007C3D27">
        <w:rPr>
          <w:rFonts w:cs="Times New Roman"/>
          <w:noProof/>
          <w:lang w:val="fr-CA"/>
        </w:rPr>
        <w:t>culpabilité — une ordonnance qui, de surcroît, est censée rétablir la présomption d’innocence de l’intimé —</w:t>
      </w:r>
      <w:r w:rsidRPr="007C3D27">
        <w:rPr>
          <w:rFonts w:cs="Times New Roman"/>
          <w:noProof/>
          <w:lang w:val="fr-CA" w:bidi="en-US"/>
        </w:rPr>
        <w:t xml:space="preserve"> </w:t>
      </w:r>
      <w:r w:rsidRPr="007C3D27">
        <w:rPr>
          <w:rFonts w:cs="Times New Roman"/>
          <w:noProof/>
          <w:lang w:val="fr-CA"/>
        </w:rPr>
        <w:t>est tout à fait incompatible avec le jugement sous</w:t>
      </w:r>
      <w:r>
        <w:rPr>
          <w:rFonts w:cs="Times New Roman"/>
          <w:noProof/>
          <w:lang w:val="fr-CA"/>
        </w:rPr>
        <w:noBreakHyphen/>
      </w:r>
      <w:r w:rsidRPr="007C3D27">
        <w:rPr>
          <w:rFonts w:cs="Times New Roman"/>
          <w:noProof/>
          <w:lang w:val="fr-CA"/>
        </w:rPr>
        <w:t xml:space="preserve">jacent de la majorité qui confirme la culpabilité de l’intimé pour exactement le même comportement criminel. </w:t>
      </w:r>
    </w:p>
    <w:p w14:paraId="2F90E8F7" w14:textId="77777777" w:rsidR="00BE287D" w:rsidRPr="007C3D27" w:rsidRDefault="00BE287D" w:rsidP="00BE287D">
      <w:pPr>
        <w:pStyle w:val="ParaNoNdepar-AltN"/>
        <w:tabs>
          <w:tab w:val="clear" w:pos="1166"/>
          <w:tab w:val="num" w:pos="1152"/>
        </w:tabs>
        <w:rPr>
          <w:rFonts w:cs="Times New Roman"/>
          <w:noProof/>
          <w:lang w:val="fr-CA"/>
        </w:rPr>
      </w:pPr>
      <w:r w:rsidRPr="007C3D27">
        <w:rPr>
          <w:rFonts w:cs="Times New Roman"/>
          <w:noProof/>
          <w:lang w:val="fr-CA"/>
        </w:rPr>
        <w:lastRenderedPageBreak/>
        <w:t>En ordonnant l’arrêt des procédures, mes collègues s’appuient sur l’engagement du ministère public de ne pas intenter de nouveau procès sur l’accusation d’agression sexuelle. Toutefois, cet engagement n’a pas la moindre importance sur le plan juridique. Si le ministère public n’avait pas pris cet engagement, qu’auraient fait mes collègues? En toute justice, je reconnais qu’ils tentent de répondre à cette question. Dans une situation normale —</w:t>
      </w:r>
      <w:r w:rsidRPr="007C3D27">
        <w:rPr>
          <w:rFonts w:cs="Times New Roman"/>
          <w:noProof/>
          <w:lang w:val="fr-CA" w:bidi="en-US"/>
        </w:rPr>
        <w:t xml:space="preserve"> où </w:t>
      </w:r>
      <w:r w:rsidRPr="007C3D27">
        <w:rPr>
          <w:rFonts w:cs="Times New Roman"/>
          <w:noProof/>
          <w:lang w:val="fr-CA"/>
        </w:rPr>
        <w:t>le ministère public a interjeté appel d’un acquittement incompatible et ne s’est pas engagé à ne pas intenter de nouveau procès, et où le tribunal de révision peut isoler les effets d’une erreur de droit à l’acquittement et conclure que la déclaration de culpabilité n’est pas touchée —</w:t>
      </w:r>
      <w:r w:rsidRPr="007C3D27">
        <w:rPr>
          <w:rFonts w:cs="Times New Roman"/>
          <w:noProof/>
          <w:lang w:val="fr-CA" w:bidi="en-US"/>
        </w:rPr>
        <w:t xml:space="preserve"> mes collègues affirment qu’il y aurait lieu </w:t>
      </w:r>
      <w:r w:rsidRPr="007C3D27">
        <w:rPr>
          <w:rFonts w:cs="Times New Roman"/>
          <w:noProof/>
          <w:lang w:val="fr-CA"/>
        </w:rPr>
        <w:t>de renvoyer l’acquittement pour la tenue d’un nouveau procès et de confirmer par le fait même la déclaration de culpabilité. Ils reconnaissent que la question de l’autorité de la chose jugée, y compris le plaidoyer d’autrefois convict et l’</w:t>
      </w:r>
      <w:r>
        <w:rPr>
          <w:rFonts w:cs="Times New Roman"/>
          <w:noProof/>
          <w:lang w:val="fr-CA"/>
        </w:rPr>
        <w:t>al. </w:t>
      </w:r>
      <w:r w:rsidRPr="007C3D27">
        <w:rPr>
          <w:rFonts w:cs="Times New Roman"/>
          <w:noProof/>
          <w:lang w:val="fr-CA"/>
        </w:rPr>
        <w:t>11</w:t>
      </w:r>
      <w:r w:rsidRPr="00390CAF">
        <w:rPr>
          <w:rFonts w:cs="Times New Roman"/>
          <w:i/>
          <w:noProof/>
          <w:lang w:val="fr-CA"/>
        </w:rPr>
        <w:t>h</w:t>
      </w:r>
      <w:r w:rsidRPr="007C3D27">
        <w:rPr>
          <w:rFonts w:cs="Times New Roman"/>
          <w:noProof/>
          <w:lang w:val="fr-CA"/>
        </w:rPr>
        <w:t xml:space="preserve">) de la </w:t>
      </w:r>
      <w:r w:rsidRPr="007C3D27">
        <w:rPr>
          <w:rFonts w:cs="Times New Roman"/>
          <w:i/>
          <w:noProof/>
          <w:lang w:val="fr-CA"/>
        </w:rPr>
        <w:t>Charte canadienne des droits et libertés</w:t>
      </w:r>
      <w:r w:rsidRPr="007C3D27">
        <w:rPr>
          <w:rFonts w:cs="Times New Roman"/>
          <w:noProof/>
          <w:lang w:val="fr-CA"/>
        </w:rPr>
        <w:t>, peuvent se présenter. Or, j’estime, en toute déférence, qu’une telle interprétation ne tient pas compte du problème que crée le cadre proposé par mes collègues. Lorsque l’accusé choisit de ne pas invoquer le plaidoyer d’autrefois convict ou de présenter une contestation fondée sur l’</w:t>
      </w:r>
      <w:r>
        <w:rPr>
          <w:rFonts w:cs="Times New Roman"/>
          <w:noProof/>
          <w:lang w:val="fr-CA"/>
        </w:rPr>
        <w:t>al. </w:t>
      </w:r>
      <w:r w:rsidRPr="007C3D27">
        <w:rPr>
          <w:rFonts w:cs="Times New Roman"/>
          <w:noProof/>
          <w:lang w:val="fr-CA"/>
        </w:rPr>
        <w:t>11</w:t>
      </w:r>
      <w:r w:rsidRPr="00390CAF">
        <w:rPr>
          <w:rFonts w:cs="Times New Roman"/>
          <w:i/>
          <w:noProof/>
          <w:lang w:val="fr-CA"/>
        </w:rPr>
        <w:t>h</w:t>
      </w:r>
      <w:r w:rsidRPr="007C3D27">
        <w:rPr>
          <w:rFonts w:cs="Times New Roman"/>
          <w:noProof/>
          <w:lang w:val="fr-CA"/>
        </w:rPr>
        <w:t>) (et en l’absence d’engagement du ministère public de ne pas intenter de nouveau procès), la solution de mes collègues met l’accusé en péril pour une infraction dont il a déjà été déclaré coupable, ce qui crée la possibilité —</w:t>
      </w:r>
      <w:r w:rsidRPr="007C3D27">
        <w:rPr>
          <w:rFonts w:cs="Times New Roman"/>
          <w:noProof/>
          <w:lang w:val="fr-CA" w:bidi="en-US"/>
        </w:rPr>
        <w:t xml:space="preserve"> </w:t>
      </w:r>
      <w:r w:rsidRPr="007C3D27">
        <w:rPr>
          <w:rFonts w:cs="Times New Roman"/>
          <w:noProof/>
          <w:lang w:val="fr-CA"/>
        </w:rPr>
        <w:t>si un procès avait effectivement lieu —</w:t>
      </w:r>
      <w:r w:rsidRPr="007C3D27">
        <w:rPr>
          <w:rFonts w:cs="Times New Roman"/>
          <w:noProof/>
          <w:lang w:val="fr-CA" w:bidi="en-US"/>
        </w:rPr>
        <w:t xml:space="preserve"> </w:t>
      </w:r>
      <w:r w:rsidRPr="007C3D27">
        <w:rPr>
          <w:rFonts w:cs="Times New Roman"/>
          <w:noProof/>
          <w:lang w:val="fr-CA"/>
        </w:rPr>
        <w:t xml:space="preserve">qu’un jury rende de nouveau des verdicts incompatibles. </w:t>
      </w:r>
    </w:p>
    <w:p w14:paraId="65461E26" w14:textId="77777777" w:rsidR="00BE287D" w:rsidRPr="007C3D27" w:rsidRDefault="00BE287D" w:rsidP="00BE287D">
      <w:pPr>
        <w:pStyle w:val="ParaNoNdepar-AltN"/>
        <w:tabs>
          <w:tab w:val="clear" w:pos="1166"/>
          <w:tab w:val="num" w:pos="1152"/>
        </w:tabs>
        <w:rPr>
          <w:rFonts w:cs="Times New Roman"/>
          <w:noProof/>
          <w:lang w:val="fr-CA"/>
        </w:rPr>
      </w:pPr>
      <w:r w:rsidRPr="007C3D27">
        <w:rPr>
          <w:rFonts w:cs="Times New Roman"/>
          <w:noProof/>
          <w:lang w:val="fr-CA"/>
        </w:rPr>
        <w:lastRenderedPageBreak/>
        <w:t xml:space="preserve">Cela dit, je suis d’accord avec la proposition de mes collègues de laisser en suspens la question de la nécessité d’un appel formé par le ministère public jusqu’à ce que cette question nous soit nettement soumise. </w:t>
      </w:r>
    </w:p>
    <w:p w14:paraId="4DFF9083" w14:textId="5611093D" w:rsidR="00BE287D" w:rsidRPr="007C3D27" w:rsidRDefault="00BE287D" w:rsidP="00BE287D">
      <w:pPr>
        <w:pStyle w:val="ParaNoNdepar-AltN"/>
        <w:tabs>
          <w:tab w:val="clear" w:pos="1166"/>
          <w:tab w:val="num" w:pos="1152"/>
        </w:tabs>
        <w:rPr>
          <w:rFonts w:cs="Times New Roman"/>
          <w:noProof/>
          <w:lang w:val="fr-CA"/>
        </w:rPr>
      </w:pPr>
      <w:r w:rsidRPr="007C3D27">
        <w:rPr>
          <w:rFonts w:cs="Times New Roman"/>
          <w:noProof/>
          <w:lang w:val="fr-CA"/>
        </w:rPr>
        <w:t>Les cours d’appel comme la nôtre sont assujetties à certaines contraintes légales lorsqu’elles tranchent un appel formé par le ministère public contre un acquittement par un jury. C’est pour cette raison qu’en appel d’un acquittement par un jury, notre Cour a décrit la question comme consistant simplement à savoir si une directive erronée en est une dont «</w:t>
      </w:r>
      <w:r>
        <w:rPr>
          <w:rFonts w:cs="Times New Roman"/>
          <w:noProof/>
          <w:lang w:val="fr-CA"/>
        </w:rPr>
        <w:t xml:space="preserve"> </w:t>
      </w:r>
      <w:r w:rsidRPr="007C3D27">
        <w:rPr>
          <w:rFonts w:cs="Times New Roman"/>
          <w:noProof/>
          <w:lang w:val="fr-CA"/>
        </w:rPr>
        <w:t xml:space="preserve">il serait raisonnable de penser, compte tenu des faits concrets de l’affaire, </w:t>
      </w:r>
      <w:r w:rsidR="00A40984">
        <w:rPr>
          <w:rFonts w:cs="Times New Roman"/>
          <w:noProof/>
          <w:lang w:val="fr-CA" w:bidi="en-US"/>
        </w:rPr>
        <w:t xml:space="preserve">qu[’elle </w:t>
      </w:r>
      <w:r w:rsidRPr="007C3D27">
        <w:rPr>
          <w:rFonts w:cs="Times New Roman"/>
          <w:noProof/>
          <w:lang w:val="fr-CA" w:bidi="en-US"/>
        </w:rPr>
        <w:t xml:space="preserve">a] </w:t>
      </w:r>
      <w:r w:rsidRPr="007C3D27">
        <w:rPr>
          <w:rFonts w:cs="Times New Roman"/>
          <w:noProof/>
          <w:lang w:val="fr-CA"/>
        </w:rPr>
        <w:t>eu une incidence significative sur le verdict d’acquittement » (</w:t>
      </w:r>
      <w:r w:rsidRPr="007C3D27">
        <w:rPr>
          <w:rFonts w:cs="Times New Roman"/>
          <w:i/>
          <w:noProof/>
          <w:lang w:val="fr-CA"/>
        </w:rPr>
        <w:t>Graveline</w:t>
      </w:r>
      <w:r w:rsidRPr="007C3D27">
        <w:rPr>
          <w:rFonts w:cs="Times New Roman"/>
          <w:noProof/>
          <w:lang w:val="fr-CA"/>
        </w:rPr>
        <w:t xml:space="preserve">, </w:t>
      </w:r>
      <w:r>
        <w:rPr>
          <w:rFonts w:cs="Times New Roman"/>
          <w:noProof/>
          <w:lang w:val="fr-CA"/>
        </w:rPr>
        <w:t>par. </w:t>
      </w:r>
      <w:r w:rsidRPr="007C3D27">
        <w:rPr>
          <w:rFonts w:cs="Times New Roman"/>
          <w:noProof/>
          <w:lang w:val="fr-CA"/>
        </w:rPr>
        <w:t>14). Ceci explique aussi pourquoi la réparation qu’a choisie le Parlement, lorsque ce critère est respecté, est la tenue d’un nouveau procès.</w:t>
      </w:r>
    </w:p>
    <w:p w14:paraId="6057E354" w14:textId="77777777" w:rsidR="00BE287D" w:rsidRPr="007C3D27" w:rsidRDefault="00BE287D" w:rsidP="00BE287D">
      <w:pPr>
        <w:pStyle w:val="ParaNoNdepar-AltN"/>
        <w:tabs>
          <w:tab w:val="clear" w:pos="1166"/>
          <w:tab w:val="num" w:pos="1152"/>
        </w:tabs>
        <w:rPr>
          <w:rFonts w:cs="Times New Roman"/>
          <w:noProof/>
          <w:lang w:val="fr-CA"/>
        </w:rPr>
      </w:pPr>
      <w:r w:rsidRPr="007C3D27">
        <w:rPr>
          <w:rFonts w:cs="Times New Roman"/>
          <w:noProof/>
          <w:lang w:val="fr-CA"/>
        </w:rPr>
        <w:t>Bien entendu, la difficulté qu’ont mes collègues à ordonner la tenue d’un nouveau procès quant à l’accusation d’agression sexuelle est qu’ils souhaitent également rétablir les déclarations de culpabilité pour contacts sexuels et incitation à des contacts sexuels, qui sont manifestement incompatibles avec l’acquittement. Toutefois, c’est justement pour éviter cette difficulté que notre Cour a précédemment décrit le dispositif approprié dans une telle situation — à savoir, lorsque le ministère public a interjeté appel d’un acquittement parce qu’il est incompatible avec une déclaration de culpabilité quant à une autre accusation —</w:t>
      </w:r>
      <w:r w:rsidRPr="007C3D27">
        <w:rPr>
          <w:rFonts w:cs="Times New Roman"/>
          <w:noProof/>
          <w:lang w:val="fr-CA" w:bidi="en-US"/>
        </w:rPr>
        <w:t xml:space="preserve"> </w:t>
      </w:r>
      <w:r w:rsidRPr="007C3D27">
        <w:rPr>
          <w:rFonts w:cs="Times New Roman"/>
          <w:noProof/>
          <w:lang w:val="fr-CA"/>
        </w:rPr>
        <w:t xml:space="preserve">est la tenue d’un nouveau procès relativement à </w:t>
      </w:r>
      <w:r w:rsidRPr="007C3D27">
        <w:rPr>
          <w:rFonts w:cs="Times New Roman"/>
          <w:i/>
          <w:noProof/>
          <w:lang w:val="fr-CA"/>
        </w:rPr>
        <w:t>toutes</w:t>
      </w:r>
      <w:r w:rsidRPr="007C3D27">
        <w:rPr>
          <w:rFonts w:cs="Times New Roman"/>
          <w:noProof/>
          <w:lang w:val="fr-CA"/>
        </w:rPr>
        <w:t xml:space="preserve"> les accusations (</w:t>
      </w:r>
      <w:r w:rsidRPr="007C3D27">
        <w:rPr>
          <w:rFonts w:cs="Times New Roman"/>
          <w:i/>
          <w:noProof/>
          <w:lang w:val="fr-CA"/>
        </w:rPr>
        <w:t>Pittiman</w:t>
      </w:r>
      <w:r w:rsidRPr="007C3D27">
        <w:rPr>
          <w:rFonts w:cs="Times New Roman"/>
          <w:noProof/>
          <w:lang w:val="fr-CA"/>
        </w:rPr>
        <w:t xml:space="preserve">, </w:t>
      </w:r>
      <w:r>
        <w:rPr>
          <w:rFonts w:cs="Times New Roman"/>
          <w:noProof/>
          <w:lang w:val="fr-CA"/>
        </w:rPr>
        <w:t>par. </w:t>
      </w:r>
      <w:r w:rsidRPr="007C3D27">
        <w:rPr>
          <w:rFonts w:cs="Times New Roman"/>
          <w:noProof/>
          <w:lang w:val="fr-CA"/>
        </w:rPr>
        <w:t xml:space="preserve">14; </w:t>
      </w:r>
      <w:r w:rsidRPr="007C3D27">
        <w:rPr>
          <w:rFonts w:cs="Times New Roman"/>
          <w:i/>
          <w:noProof/>
          <w:lang w:val="fr-CA"/>
        </w:rPr>
        <w:t>J.F.</w:t>
      </w:r>
      <w:r w:rsidRPr="007C3D27">
        <w:rPr>
          <w:rFonts w:cs="Times New Roman"/>
          <w:noProof/>
          <w:lang w:val="fr-CA"/>
        </w:rPr>
        <w:t xml:space="preserve">, </w:t>
      </w:r>
      <w:r>
        <w:rPr>
          <w:rFonts w:cs="Times New Roman"/>
          <w:noProof/>
          <w:lang w:val="fr-CA"/>
        </w:rPr>
        <w:t>par. </w:t>
      </w:r>
      <w:r w:rsidRPr="007C3D27">
        <w:rPr>
          <w:rFonts w:cs="Times New Roman"/>
          <w:noProof/>
          <w:lang w:val="fr-CA"/>
        </w:rPr>
        <w:t>40</w:t>
      </w:r>
      <w:r>
        <w:rPr>
          <w:rFonts w:cs="Times New Roman"/>
          <w:noProof/>
          <w:lang w:val="fr-CA"/>
        </w:rPr>
        <w:noBreakHyphen/>
      </w:r>
      <w:r w:rsidRPr="007C3D27">
        <w:rPr>
          <w:rFonts w:cs="Times New Roman"/>
          <w:noProof/>
          <w:lang w:val="fr-CA"/>
        </w:rPr>
        <w:t>41).</w:t>
      </w:r>
    </w:p>
    <w:p w14:paraId="2B603B5A" w14:textId="0E20CF41" w:rsidR="00BE287D" w:rsidRPr="00193071" w:rsidRDefault="00BE287D" w:rsidP="00BE287D">
      <w:pPr>
        <w:pStyle w:val="ParaNoNdepar-AltN"/>
        <w:tabs>
          <w:tab w:val="clear" w:pos="1166"/>
          <w:tab w:val="num" w:pos="1152"/>
        </w:tabs>
        <w:rPr>
          <w:rFonts w:cs="Times New Roman"/>
          <w:noProof/>
          <w:lang w:val="fr-CA"/>
        </w:rPr>
      </w:pPr>
      <w:r w:rsidRPr="007C3D27">
        <w:rPr>
          <w:rFonts w:cs="Times New Roman"/>
          <w:noProof/>
          <w:lang w:val="fr-CA"/>
        </w:rPr>
        <w:lastRenderedPageBreak/>
        <w:t>Voilà le résultat qui s’impose en l’espèce. Je conviens avec mes collègues que le jury a reçu des directives erronées en l’espèce par suite de l’</w:t>
      </w:r>
      <w:r>
        <w:rPr>
          <w:rFonts w:cs="Times New Roman"/>
          <w:noProof/>
          <w:lang w:val="fr-CA"/>
        </w:rPr>
        <w:t>exposé</w:t>
      </w:r>
      <w:r w:rsidRPr="007C3D27">
        <w:rPr>
          <w:rFonts w:cs="Times New Roman"/>
          <w:noProof/>
          <w:lang w:val="fr-CA"/>
        </w:rPr>
        <w:t xml:space="preserve"> portant à confusion, de la divergence entre l’arbre décisionnel et la feuille de verdict, du fait que les voies de fait simples ont été présentées comme un verdict possible et du recours excessif aux directives modèles au jury (</w:t>
      </w:r>
      <w:r w:rsidRPr="007C3D27">
        <w:rPr>
          <w:rFonts w:cs="Times New Roman"/>
          <w:i/>
          <w:noProof/>
          <w:lang w:val="fr-CA"/>
        </w:rPr>
        <w:t>R. c. Hebert</w:t>
      </w:r>
      <w:r w:rsidRPr="007C3D27">
        <w:rPr>
          <w:rFonts w:cs="Times New Roman"/>
          <w:noProof/>
          <w:lang w:val="fr-CA"/>
        </w:rPr>
        <w:t xml:space="preserve">, [1996] 2 R.C.S. 272, </w:t>
      </w:r>
      <w:r>
        <w:rPr>
          <w:rFonts w:cs="Times New Roman"/>
          <w:noProof/>
          <w:lang w:val="fr-CA"/>
        </w:rPr>
        <w:t>par. </w:t>
      </w:r>
      <w:r w:rsidRPr="007C3D27">
        <w:rPr>
          <w:rFonts w:cs="Times New Roman"/>
          <w:noProof/>
          <w:lang w:val="fr-CA"/>
        </w:rPr>
        <w:t xml:space="preserve">8; </w:t>
      </w:r>
      <w:r w:rsidRPr="007C3D27">
        <w:rPr>
          <w:rFonts w:cs="Times New Roman"/>
          <w:i/>
          <w:noProof/>
          <w:lang w:val="fr-CA"/>
        </w:rPr>
        <w:t>R. c. Rodgerson</w:t>
      </w:r>
      <w:r w:rsidRPr="007C3D27">
        <w:rPr>
          <w:rFonts w:cs="Times New Roman"/>
          <w:noProof/>
          <w:lang w:val="fr-CA"/>
        </w:rPr>
        <w:t xml:space="preserve">, 2015 CSC 38, [2015] 2 R.C.S. 760, </w:t>
      </w:r>
      <w:r>
        <w:rPr>
          <w:rFonts w:cs="Times New Roman"/>
          <w:noProof/>
          <w:lang w:val="fr-CA"/>
        </w:rPr>
        <w:t>par. </w:t>
      </w:r>
      <w:r w:rsidRPr="007C3D27">
        <w:rPr>
          <w:rFonts w:cs="Times New Roman"/>
          <w:noProof/>
          <w:lang w:val="fr-CA"/>
        </w:rPr>
        <w:t>51). Je suis également d’accord pour dire que ces directives erronées équivalaient à une erreur de droit dont il serait raisonnable de penser qu’elle a eu une incidence significative sur l’acquittement (</w:t>
      </w:r>
      <w:r w:rsidRPr="007C3D27">
        <w:rPr>
          <w:rFonts w:cs="Times New Roman"/>
          <w:i/>
          <w:noProof/>
          <w:lang w:val="fr-CA"/>
        </w:rPr>
        <w:t>Graveline</w:t>
      </w:r>
      <w:r w:rsidRPr="007C3D27">
        <w:rPr>
          <w:rFonts w:cs="Times New Roman"/>
          <w:noProof/>
          <w:lang w:val="fr-CA"/>
        </w:rPr>
        <w:t xml:space="preserve">, </w:t>
      </w:r>
      <w:r>
        <w:rPr>
          <w:rFonts w:cs="Times New Roman"/>
          <w:noProof/>
          <w:lang w:val="fr-CA"/>
        </w:rPr>
        <w:t>par. </w:t>
      </w:r>
      <w:r w:rsidRPr="007C3D27">
        <w:rPr>
          <w:rFonts w:cs="Times New Roman"/>
          <w:noProof/>
          <w:lang w:val="fr-CA"/>
        </w:rPr>
        <w:t>14). Il s’ensuit que la seule réparation possible en réponse à l’appel du ministère public est l’ordonnance de la tenue d’un nouveau procès. Toutefois, ordonner la tenue d’un nouveau procès quant à un chef d’accusation et non quant aux autres aurait pour effet de placer l’intimé en péril pour quelque chose dont il a été déclaré coupable (puis acquitté, à la suite du jugement de la Cour d’appel de l’Ontario). Je suis donc d’avis d’accueillir le pourvoi en partie et d’ordonner la tenue d’un nouveau procès quant aux trois chefs d’accusation.</w:t>
      </w:r>
    </w:p>
    <w:p w14:paraId="6E1DFAA5" w14:textId="3998926B" w:rsidR="004D7D95" w:rsidRPr="006A7397" w:rsidRDefault="004D7D95" w:rsidP="00E03410">
      <w:pPr>
        <w:pStyle w:val="SCCNormalDoubleSpacing"/>
        <w:spacing w:after="480"/>
        <w:rPr>
          <w:lang w:val="fr-CA"/>
        </w:rPr>
      </w:pPr>
      <w:r w:rsidRPr="006A7397">
        <w:rPr>
          <w:lang w:val="fr-CA"/>
        </w:rPr>
        <w:tab/>
      </w:r>
      <w:r w:rsidR="000F5C3C" w:rsidRPr="006A7397">
        <w:rPr>
          <w:i/>
          <w:lang w:val="fr-CA"/>
        </w:rPr>
        <w:t xml:space="preserve">Pourvoi accueilli, les juges </w:t>
      </w:r>
      <w:r w:rsidR="000F5C3C" w:rsidRPr="006A7397">
        <w:rPr>
          <w:smallCaps/>
          <w:lang w:val="fr-CA"/>
        </w:rPr>
        <w:t>B</w:t>
      </w:r>
      <w:r w:rsidR="00FD1B72" w:rsidRPr="006A7397">
        <w:rPr>
          <w:smallCaps/>
          <w:lang w:val="fr-CA"/>
        </w:rPr>
        <w:t>rown</w:t>
      </w:r>
      <w:r w:rsidR="000F5C3C" w:rsidRPr="006A7397">
        <w:rPr>
          <w:i/>
          <w:lang w:val="fr-CA"/>
        </w:rPr>
        <w:t xml:space="preserve"> et </w:t>
      </w:r>
      <w:proofErr w:type="spellStart"/>
      <w:r w:rsidR="000F5C3C" w:rsidRPr="006A7397">
        <w:rPr>
          <w:smallCaps/>
          <w:lang w:val="fr-CA"/>
        </w:rPr>
        <w:t>K</w:t>
      </w:r>
      <w:r w:rsidR="00FD1B72" w:rsidRPr="006A7397">
        <w:rPr>
          <w:smallCaps/>
          <w:lang w:val="fr-CA"/>
        </w:rPr>
        <w:t>asirer</w:t>
      </w:r>
      <w:proofErr w:type="spellEnd"/>
      <w:r w:rsidR="000F5C3C" w:rsidRPr="006A7397">
        <w:rPr>
          <w:i/>
          <w:lang w:val="fr-CA"/>
        </w:rPr>
        <w:t xml:space="preserve"> sont dissidents en partie.</w:t>
      </w:r>
    </w:p>
    <w:p w14:paraId="0F256CFA" w14:textId="365E66C9" w:rsidR="004863D9" w:rsidRPr="006A7397" w:rsidRDefault="007C1CDE" w:rsidP="00E03410">
      <w:pPr>
        <w:pStyle w:val="SCCLawFirm"/>
        <w:spacing w:after="480"/>
        <w:rPr>
          <w:lang w:val="fr-CA"/>
        </w:rPr>
      </w:pPr>
      <w:r w:rsidRPr="006A7397">
        <w:rPr>
          <w:lang w:val="fr-CA"/>
        </w:rPr>
        <w:tab/>
        <w:t>Procureur de l</w:t>
      </w:r>
      <w:r w:rsidR="003A4F11" w:rsidRPr="006A7397">
        <w:rPr>
          <w:lang w:val="fr-CA"/>
        </w:rPr>
        <w:t>’</w:t>
      </w:r>
      <w:r w:rsidR="00E03410" w:rsidRPr="006A7397">
        <w:rPr>
          <w:lang w:val="fr-CA"/>
        </w:rPr>
        <w:t>appelante</w:t>
      </w:r>
      <w:r w:rsidR="001E4069">
        <w:rPr>
          <w:lang w:val="fr-CA"/>
        </w:rPr>
        <w:t> :</w:t>
      </w:r>
      <w:r w:rsidR="00E03410" w:rsidRPr="006A7397">
        <w:rPr>
          <w:lang w:val="fr-CA"/>
        </w:rPr>
        <w:t> </w:t>
      </w:r>
      <w:r w:rsidRPr="006A7397">
        <w:rPr>
          <w:lang w:val="fr-CA"/>
        </w:rPr>
        <w:t>Procureur général de l’Ontario, Toronto.</w:t>
      </w:r>
    </w:p>
    <w:p w14:paraId="29D26EFD" w14:textId="571FAAEB" w:rsidR="004863D9" w:rsidRPr="006A7397" w:rsidRDefault="007C1CDE" w:rsidP="00E03410">
      <w:pPr>
        <w:pStyle w:val="SCCLawFirm"/>
        <w:spacing w:after="480"/>
        <w:rPr>
          <w:lang w:val="fr-CA"/>
        </w:rPr>
      </w:pPr>
      <w:r w:rsidRPr="006A7397">
        <w:rPr>
          <w:lang w:val="fr-CA"/>
        </w:rPr>
        <w:tab/>
        <w:t>Procureurs de l</w:t>
      </w:r>
      <w:r w:rsidR="003A4F11" w:rsidRPr="006A7397">
        <w:rPr>
          <w:lang w:val="fr-CA"/>
        </w:rPr>
        <w:t>’</w:t>
      </w:r>
      <w:r w:rsidRPr="006A7397">
        <w:rPr>
          <w:lang w:val="fr-CA"/>
        </w:rPr>
        <w:t>intimé</w:t>
      </w:r>
      <w:r w:rsidR="001E4069">
        <w:rPr>
          <w:lang w:val="fr-CA"/>
        </w:rPr>
        <w:t> :</w:t>
      </w:r>
      <w:r w:rsidR="00E03410" w:rsidRPr="006A7397">
        <w:rPr>
          <w:lang w:val="fr-CA"/>
        </w:rPr>
        <w:t> </w:t>
      </w:r>
      <w:r w:rsidRPr="006A7397">
        <w:rPr>
          <w:lang w:val="fr-CA"/>
        </w:rPr>
        <w:t xml:space="preserve">Lockyer Campbell </w:t>
      </w:r>
      <w:proofErr w:type="spellStart"/>
      <w:r w:rsidRPr="006A7397">
        <w:rPr>
          <w:lang w:val="fr-CA"/>
        </w:rPr>
        <w:t>Posner</w:t>
      </w:r>
      <w:proofErr w:type="spellEnd"/>
      <w:r w:rsidRPr="006A7397">
        <w:rPr>
          <w:lang w:val="fr-CA"/>
        </w:rPr>
        <w:t>, Toronto.</w:t>
      </w:r>
    </w:p>
    <w:p w14:paraId="08F8B448" w14:textId="3F15F1C5" w:rsidR="00BA59C4" w:rsidRPr="006A7397" w:rsidRDefault="00BA59C4" w:rsidP="00E03410">
      <w:pPr>
        <w:pStyle w:val="SCCLawFirm"/>
        <w:spacing w:after="480"/>
        <w:rPr>
          <w:lang w:val="fr-CA"/>
        </w:rPr>
      </w:pPr>
      <w:r w:rsidRPr="006A7397">
        <w:rPr>
          <w:lang w:val="fr-CA"/>
        </w:rPr>
        <w:tab/>
        <w:t>Procureur de l’intervenant le Procureur général de l’</w:t>
      </w:r>
      <w:r w:rsidR="00E03410" w:rsidRPr="006A7397">
        <w:rPr>
          <w:lang w:val="fr-CA"/>
        </w:rPr>
        <w:t>Alberta</w:t>
      </w:r>
      <w:r w:rsidR="001E4069">
        <w:rPr>
          <w:lang w:val="fr-CA"/>
        </w:rPr>
        <w:t> :</w:t>
      </w:r>
      <w:r w:rsidR="00E03410" w:rsidRPr="006A7397">
        <w:rPr>
          <w:lang w:val="fr-CA"/>
        </w:rPr>
        <w:t> </w:t>
      </w:r>
      <w:r w:rsidR="00F56326" w:rsidRPr="006A7397">
        <w:rPr>
          <w:lang w:val="fr-CA"/>
        </w:rPr>
        <w:t xml:space="preserve">Justice and Solicitor General, </w:t>
      </w:r>
      <w:proofErr w:type="spellStart"/>
      <w:r w:rsidR="00F56326" w:rsidRPr="006A7397">
        <w:rPr>
          <w:lang w:val="fr-CA"/>
        </w:rPr>
        <w:t>Appeals</w:t>
      </w:r>
      <w:proofErr w:type="spellEnd"/>
      <w:r w:rsidR="00F56326" w:rsidRPr="006A7397">
        <w:rPr>
          <w:lang w:val="fr-CA"/>
        </w:rPr>
        <w:t xml:space="preserve">, </w:t>
      </w:r>
      <w:proofErr w:type="spellStart"/>
      <w:r w:rsidR="00F56326" w:rsidRPr="006A7397">
        <w:rPr>
          <w:lang w:val="fr-CA"/>
        </w:rPr>
        <w:t>Education</w:t>
      </w:r>
      <w:proofErr w:type="spellEnd"/>
      <w:r w:rsidR="00F56326" w:rsidRPr="006A7397">
        <w:rPr>
          <w:lang w:val="fr-CA"/>
        </w:rPr>
        <w:t xml:space="preserve"> &amp; </w:t>
      </w:r>
      <w:proofErr w:type="spellStart"/>
      <w:r w:rsidR="00F56326" w:rsidRPr="006A7397">
        <w:rPr>
          <w:lang w:val="fr-CA"/>
        </w:rPr>
        <w:t>Prosecution</w:t>
      </w:r>
      <w:proofErr w:type="spellEnd"/>
      <w:r w:rsidR="00F56326" w:rsidRPr="006A7397">
        <w:rPr>
          <w:lang w:val="fr-CA"/>
        </w:rPr>
        <w:t xml:space="preserve"> Policy Branch</w:t>
      </w:r>
      <w:r w:rsidRPr="006A7397">
        <w:rPr>
          <w:lang w:val="fr-CA"/>
        </w:rPr>
        <w:t>, Edmonton.</w:t>
      </w:r>
    </w:p>
    <w:p w14:paraId="4828F5DD" w14:textId="4BB13B40" w:rsidR="004863D9" w:rsidRPr="006A7397" w:rsidRDefault="007C1CDE">
      <w:pPr>
        <w:pStyle w:val="SCCLawFirm"/>
        <w:rPr>
          <w:lang w:val="fr-CA"/>
        </w:rPr>
      </w:pPr>
      <w:r w:rsidRPr="006A7397">
        <w:rPr>
          <w:lang w:val="fr-CA"/>
        </w:rPr>
        <w:lastRenderedPageBreak/>
        <w:tab/>
        <w:t>Procureur de l</w:t>
      </w:r>
      <w:r w:rsidR="003A4F11" w:rsidRPr="006A7397">
        <w:rPr>
          <w:lang w:val="fr-CA"/>
        </w:rPr>
        <w:t>’</w:t>
      </w:r>
      <w:r w:rsidRPr="006A7397">
        <w:rPr>
          <w:lang w:val="fr-CA"/>
        </w:rPr>
        <w:t xml:space="preserve">intervenante </w:t>
      </w:r>
      <w:proofErr w:type="spellStart"/>
      <w:r w:rsidRPr="006A7397">
        <w:rPr>
          <w:lang w:val="fr-CA"/>
        </w:rPr>
        <w:t>Criminal</w:t>
      </w:r>
      <w:proofErr w:type="spellEnd"/>
      <w:r w:rsidRPr="006A7397">
        <w:rPr>
          <w:lang w:val="fr-CA"/>
        </w:rPr>
        <w:t xml:space="preserve"> </w:t>
      </w:r>
      <w:proofErr w:type="spellStart"/>
      <w:r w:rsidRPr="006A7397">
        <w:rPr>
          <w:lang w:val="fr-CA"/>
        </w:rPr>
        <w:t>Lawyers</w:t>
      </w:r>
      <w:proofErr w:type="spellEnd"/>
      <w:r w:rsidR="003A4F11" w:rsidRPr="006A7397">
        <w:rPr>
          <w:lang w:val="fr-CA"/>
        </w:rPr>
        <w:t>’</w:t>
      </w:r>
      <w:r w:rsidR="00E03410" w:rsidRPr="006A7397">
        <w:rPr>
          <w:lang w:val="fr-CA"/>
        </w:rPr>
        <w:t xml:space="preserve"> Association of Ontario</w:t>
      </w:r>
      <w:r w:rsidR="001E4069">
        <w:rPr>
          <w:lang w:val="fr-CA"/>
        </w:rPr>
        <w:t> :</w:t>
      </w:r>
      <w:r w:rsidR="00E03410" w:rsidRPr="006A7397">
        <w:rPr>
          <w:lang w:val="fr-CA"/>
        </w:rPr>
        <w:t> </w:t>
      </w:r>
      <w:r w:rsidRPr="006A7397">
        <w:rPr>
          <w:lang w:val="fr-CA"/>
        </w:rPr>
        <w:t xml:space="preserve">Michael </w:t>
      </w:r>
      <w:proofErr w:type="spellStart"/>
      <w:r w:rsidRPr="006A7397">
        <w:rPr>
          <w:lang w:val="fr-CA"/>
        </w:rPr>
        <w:t>Dineen</w:t>
      </w:r>
      <w:proofErr w:type="spellEnd"/>
      <w:r w:rsidRPr="006A7397">
        <w:rPr>
          <w:lang w:val="fr-CA"/>
        </w:rPr>
        <w:t>, Toronto.</w:t>
      </w:r>
    </w:p>
    <w:sectPr w:rsidR="004863D9" w:rsidRPr="006A7397"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BCE10" w14:textId="77777777" w:rsidR="00C95C81" w:rsidRDefault="00C95C81">
      <w:r>
        <w:separator/>
      </w:r>
    </w:p>
  </w:endnote>
  <w:endnote w:type="continuationSeparator" w:id="0">
    <w:p w14:paraId="49E47957" w14:textId="77777777" w:rsidR="00C95C81" w:rsidRDefault="00C9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6573" w14:textId="77777777" w:rsidR="00F477AB" w:rsidRDefault="00F47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99386" w14:textId="77777777" w:rsidR="00F477AB" w:rsidRDefault="00F477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0A85" w14:textId="77777777" w:rsidR="00F477AB" w:rsidRDefault="00F47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FFEFB" w14:textId="77777777" w:rsidR="00C95C81" w:rsidRDefault="00C95C81">
      <w:r>
        <w:separator/>
      </w:r>
    </w:p>
  </w:footnote>
  <w:footnote w:type="continuationSeparator" w:id="0">
    <w:p w14:paraId="7B7928CF" w14:textId="77777777" w:rsidR="00C95C81" w:rsidRDefault="00C9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C6E99" w14:textId="77777777" w:rsidR="00F477AB" w:rsidRDefault="00F47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B8C84"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F6EB" w14:textId="77777777" w:rsidR="00F477AB" w:rsidRDefault="00F47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88745E"/>
    <w:multiLevelType w:val="hybridMultilevel"/>
    <w:tmpl w:val="1DFA70E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14216A1F"/>
    <w:multiLevelType w:val="hybridMultilevel"/>
    <w:tmpl w:val="D2B04342"/>
    <w:lvl w:ilvl="0" w:tplc="4BAC643C">
      <w:start w:val="1"/>
      <w:numFmt w:val="decimal"/>
      <w:lvlText w:val="(%1)"/>
      <w:lvlJc w:val="left"/>
      <w:pPr>
        <w:ind w:left="1886" w:hanging="360"/>
      </w:pPr>
      <w:rPr>
        <w:rFonts w:hint="default"/>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3" w15:restartNumberingAfterBreak="0">
    <w:nsid w:val="1DEB0A5E"/>
    <w:multiLevelType w:val="hybridMultilevel"/>
    <w:tmpl w:val="DCBA6B74"/>
    <w:lvl w:ilvl="0" w:tplc="0C0C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F960A1"/>
    <w:multiLevelType w:val="hybridMultilevel"/>
    <w:tmpl w:val="91FACB10"/>
    <w:lvl w:ilvl="0" w:tplc="B68E1B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70820"/>
    <w:multiLevelType w:val="hybridMultilevel"/>
    <w:tmpl w:val="B94C17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A15790B"/>
    <w:multiLevelType w:val="multilevel"/>
    <w:tmpl w:val="ABCACE0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5BB6189"/>
    <w:multiLevelType w:val="hybridMultilevel"/>
    <w:tmpl w:val="1ACEA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3130A"/>
    <w:multiLevelType w:val="multilevel"/>
    <w:tmpl w:val="0F1CEBD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AAE36D9"/>
    <w:multiLevelType w:val="hybridMultilevel"/>
    <w:tmpl w:val="A5229420"/>
    <w:lvl w:ilvl="0" w:tplc="B68E1BEC">
      <w:start w:val="1"/>
      <w:numFmt w:val="decimal"/>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A5231E"/>
    <w:multiLevelType w:val="hybridMultilevel"/>
    <w:tmpl w:val="D2B04342"/>
    <w:lvl w:ilvl="0" w:tplc="4BAC643C">
      <w:start w:val="1"/>
      <w:numFmt w:val="decimal"/>
      <w:lvlText w:val="(%1)"/>
      <w:lvlJc w:val="left"/>
      <w:pPr>
        <w:ind w:left="1886" w:hanging="360"/>
      </w:pPr>
      <w:rPr>
        <w:rFonts w:hint="default"/>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1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1D0A87"/>
    <w:multiLevelType w:val="hybridMultilevel"/>
    <w:tmpl w:val="D5E44B2A"/>
    <w:lvl w:ilvl="0" w:tplc="B68E1BEC">
      <w:start w:val="1"/>
      <w:numFmt w:val="decimal"/>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54283EE8"/>
    <w:multiLevelType w:val="multilevel"/>
    <w:tmpl w:val="9AB24E84"/>
    <w:lvl w:ilvl="0">
      <w:start w:val="1"/>
      <w:numFmt w:val="decimal"/>
      <w:pStyle w:val="ParaNoNdepar-AltN"/>
      <w:lvlText w:val="[%1]"/>
      <w:lvlJc w:val="left"/>
      <w:pPr>
        <w:tabs>
          <w:tab w:val="num" w:pos="1422"/>
        </w:tabs>
        <w:ind w:left="27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5232E6"/>
    <w:multiLevelType w:val="hybridMultilevel"/>
    <w:tmpl w:val="B172F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82FF7"/>
    <w:multiLevelType w:val="hybridMultilevel"/>
    <w:tmpl w:val="BC1E71A8"/>
    <w:lvl w:ilvl="0" w:tplc="B68E1BEC">
      <w:start w:val="1"/>
      <w:numFmt w:val="decimal"/>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7CE1BE7"/>
    <w:multiLevelType w:val="hybridMultilevel"/>
    <w:tmpl w:val="39C8F732"/>
    <w:lvl w:ilvl="0" w:tplc="0409001B">
      <w:start w:val="1"/>
      <w:numFmt w:val="lowerRoman"/>
      <w:lvlText w:val="%1."/>
      <w:lvlJc w:val="righ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num w:numId="1">
    <w:abstractNumId w:val="18"/>
  </w:num>
  <w:num w:numId="2">
    <w:abstractNumId w:val="4"/>
  </w:num>
  <w:num w:numId="3">
    <w:abstractNumId w:val="0"/>
  </w:num>
  <w:num w:numId="4">
    <w:abstractNumId w:val="11"/>
  </w:num>
  <w:num w:numId="5">
    <w:abstractNumId w:val="13"/>
  </w:num>
  <w:num w:numId="6">
    <w:abstractNumId w:val="15"/>
  </w:num>
  <w:num w:numId="7">
    <w:abstractNumId w:val="9"/>
  </w:num>
  <w:num w:numId="8">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6"/>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 w:numId="12">
    <w:abstractNumId w:val="5"/>
  </w:num>
  <w:num w:numId="13">
    <w:abstractNumId w:val="17"/>
  </w:num>
  <w:num w:numId="14">
    <w:abstractNumId w:val="10"/>
  </w:num>
  <w:num w:numId="15">
    <w:abstractNumId w:val="1"/>
  </w:num>
  <w:num w:numId="16">
    <w:abstractNumId w:val="3"/>
  </w:num>
  <w:num w:numId="17">
    <w:abstractNumId w:val="12"/>
  </w:num>
  <w:num w:numId="18">
    <w:abstractNumId w:val="2"/>
  </w:num>
  <w:num w:numId="19">
    <w:abstractNumId w:val="19"/>
  </w:num>
  <w:num w:numId="20">
    <w:abstractNumId w:val="8"/>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3382"/>
    <w:rsid w:val="000578A3"/>
    <w:rsid w:val="000648CC"/>
    <w:rsid w:val="00086C25"/>
    <w:rsid w:val="00087849"/>
    <w:rsid w:val="000C59B8"/>
    <w:rsid w:val="000C6AF0"/>
    <w:rsid w:val="000D0A77"/>
    <w:rsid w:val="000F0D91"/>
    <w:rsid w:val="000F44E3"/>
    <w:rsid w:val="000F5C3C"/>
    <w:rsid w:val="000F7993"/>
    <w:rsid w:val="00104F33"/>
    <w:rsid w:val="00111DE2"/>
    <w:rsid w:val="00116B38"/>
    <w:rsid w:val="00130421"/>
    <w:rsid w:val="00132927"/>
    <w:rsid w:val="00135406"/>
    <w:rsid w:val="00135972"/>
    <w:rsid w:val="001426A9"/>
    <w:rsid w:val="001462BB"/>
    <w:rsid w:val="00154D7C"/>
    <w:rsid w:val="001570B0"/>
    <w:rsid w:val="0015752C"/>
    <w:rsid w:val="00157737"/>
    <w:rsid w:val="00165277"/>
    <w:rsid w:val="00170592"/>
    <w:rsid w:val="001720F7"/>
    <w:rsid w:val="00193071"/>
    <w:rsid w:val="00195D83"/>
    <w:rsid w:val="001A00C1"/>
    <w:rsid w:val="001B33E0"/>
    <w:rsid w:val="001B4573"/>
    <w:rsid w:val="001C779F"/>
    <w:rsid w:val="001D2AC1"/>
    <w:rsid w:val="001D4E88"/>
    <w:rsid w:val="001E4069"/>
    <w:rsid w:val="00220FC2"/>
    <w:rsid w:val="002222F4"/>
    <w:rsid w:val="00224FC0"/>
    <w:rsid w:val="00225EA4"/>
    <w:rsid w:val="00226EAF"/>
    <w:rsid w:val="00231F3A"/>
    <w:rsid w:val="002406EE"/>
    <w:rsid w:val="00243EC8"/>
    <w:rsid w:val="00270D93"/>
    <w:rsid w:val="002745CC"/>
    <w:rsid w:val="002A5B00"/>
    <w:rsid w:val="002B6FBE"/>
    <w:rsid w:val="002B7924"/>
    <w:rsid w:val="002C10A6"/>
    <w:rsid w:val="002D1783"/>
    <w:rsid w:val="002D28C3"/>
    <w:rsid w:val="002D39A4"/>
    <w:rsid w:val="002E6705"/>
    <w:rsid w:val="0030329A"/>
    <w:rsid w:val="0031086F"/>
    <w:rsid w:val="0031414C"/>
    <w:rsid w:val="00314E01"/>
    <w:rsid w:val="0032089D"/>
    <w:rsid w:val="003310DE"/>
    <w:rsid w:val="003323B0"/>
    <w:rsid w:val="00340A49"/>
    <w:rsid w:val="0035169A"/>
    <w:rsid w:val="003519FB"/>
    <w:rsid w:val="0035259D"/>
    <w:rsid w:val="00364B18"/>
    <w:rsid w:val="003726F3"/>
    <w:rsid w:val="00384531"/>
    <w:rsid w:val="003A125D"/>
    <w:rsid w:val="003A4C70"/>
    <w:rsid w:val="003A4F11"/>
    <w:rsid w:val="003B215F"/>
    <w:rsid w:val="003C5DB8"/>
    <w:rsid w:val="003C7349"/>
    <w:rsid w:val="003C799C"/>
    <w:rsid w:val="003D0399"/>
    <w:rsid w:val="003D0F81"/>
    <w:rsid w:val="003D1949"/>
    <w:rsid w:val="003E1C71"/>
    <w:rsid w:val="003F327B"/>
    <w:rsid w:val="00406166"/>
    <w:rsid w:val="0040704B"/>
    <w:rsid w:val="00410A55"/>
    <w:rsid w:val="00411300"/>
    <w:rsid w:val="00413F17"/>
    <w:rsid w:val="00414DEE"/>
    <w:rsid w:val="00415417"/>
    <w:rsid w:val="00426659"/>
    <w:rsid w:val="00450352"/>
    <w:rsid w:val="00454BDB"/>
    <w:rsid w:val="00465132"/>
    <w:rsid w:val="00480C90"/>
    <w:rsid w:val="0048396F"/>
    <w:rsid w:val="004863D9"/>
    <w:rsid w:val="00493C18"/>
    <w:rsid w:val="004A600C"/>
    <w:rsid w:val="004A6118"/>
    <w:rsid w:val="004C478D"/>
    <w:rsid w:val="004D7D95"/>
    <w:rsid w:val="004E2C26"/>
    <w:rsid w:val="005125A8"/>
    <w:rsid w:val="00517549"/>
    <w:rsid w:val="00520ABC"/>
    <w:rsid w:val="00521AE8"/>
    <w:rsid w:val="00527180"/>
    <w:rsid w:val="00555291"/>
    <w:rsid w:val="00566AD1"/>
    <w:rsid w:val="00583EDE"/>
    <w:rsid w:val="005A6079"/>
    <w:rsid w:val="005A6972"/>
    <w:rsid w:val="005D586C"/>
    <w:rsid w:val="005D71D9"/>
    <w:rsid w:val="005E4698"/>
    <w:rsid w:val="00603924"/>
    <w:rsid w:val="00610539"/>
    <w:rsid w:val="00613969"/>
    <w:rsid w:val="00625C35"/>
    <w:rsid w:val="00647E49"/>
    <w:rsid w:val="00656313"/>
    <w:rsid w:val="006565F4"/>
    <w:rsid w:val="00684EEA"/>
    <w:rsid w:val="0069689B"/>
    <w:rsid w:val="006A7397"/>
    <w:rsid w:val="006B2FC3"/>
    <w:rsid w:val="006B5FF5"/>
    <w:rsid w:val="006F30AF"/>
    <w:rsid w:val="00701759"/>
    <w:rsid w:val="00705C15"/>
    <w:rsid w:val="007110F6"/>
    <w:rsid w:val="007208D1"/>
    <w:rsid w:val="00744518"/>
    <w:rsid w:val="00747288"/>
    <w:rsid w:val="00747DD3"/>
    <w:rsid w:val="007549C8"/>
    <w:rsid w:val="00766D14"/>
    <w:rsid w:val="00767A0F"/>
    <w:rsid w:val="00791272"/>
    <w:rsid w:val="007A05F6"/>
    <w:rsid w:val="007B6F4A"/>
    <w:rsid w:val="007C1CDE"/>
    <w:rsid w:val="007D4F2E"/>
    <w:rsid w:val="007E0CC7"/>
    <w:rsid w:val="007E1C47"/>
    <w:rsid w:val="007E337A"/>
    <w:rsid w:val="007E5C70"/>
    <w:rsid w:val="007F2FF5"/>
    <w:rsid w:val="007F3F08"/>
    <w:rsid w:val="00804CC6"/>
    <w:rsid w:val="00817190"/>
    <w:rsid w:val="008260E2"/>
    <w:rsid w:val="008322BD"/>
    <w:rsid w:val="00834F73"/>
    <w:rsid w:val="00864C8A"/>
    <w:rsid w:val="00864CF8"/>
    <w:rsid w:val="00874914"/>
    <w:rsid w:val="00891422"/>
    <w:rsid w:val="00892E1A"/>
    <w:rsid w:val="008B39FB"/>
    <w:rsid w:val="008B660A"/>
    <w:rsid w:val="008B7467"/>
    <w:rsid w:val="008C01DA"/>
    <w:rsid w:val="008F2674"/>
    <w:rsid w:val="008F7556"/>
    <w:rsid w:val="008F78E9"/>
    <w:rsid w:val="008F7DF5"/>
    <w:rsid w:val="009179F9"/>
    <w:rsid w:val="00917C7A"/>
    <w:rsid w:val="00933E5E"/>
    <w:rsid w:val="00935218"/>
    <w:rsid w:val="00937C52"/>
    <w:rsid w:val="009403F3"/>
    <w:rsid w:val="009555B7"/>
    <w:rsid w:val="009567AA"/>
    <w:rsid w:val="009602C9"/>
    <w:rsid w:val="00967374"/>
    <w:rsid w:val="009A343A"/>
    <w:rsid w:val="009B2F23"/>
    <w:rsid w:val="009B57B3"/>
    <w:rsid w:val="009D2920"/>
    <w:rsid w:val="009D5AEB"/>
    <w:rsid w:val="009F0E33"/>
    <w:rsid w:val="00A149DF"/>
    <w:rsid w:val="00A1755C"/>
    <w:rsid w:val="00A21B90"/>
    <w:rsid w:val="00A22AAC"/>
    <w:rsid w:val="00A40984"/>
    <w:rsid w:val="00A41805"/>
    <w:rsid w:val="00A51882"/>
    <w:rsid w:val="00A52AFB"/>
    <w:rsid w:val="00A548CB"/>
    <w:rsid w:val="00A5521C"/>
    <w:rsid w:val="00A643E7"/>
    <w:rsid w:val="00A73C38"/>
    <w:rsid w:val="00A921A7"/>
    <w:rsid w:val="00AA04BD"/>
    <w:rsid w:val="00AB670D"/>
    <w:rsid w:val="00AF03C5"/>
    <w:rsid w:val="00B000D8"/>
    <w:rsid w:val="00B00F75"/>
    <w:rsid w:val="00B1108A"/>
    <w:rsid w:val="00B145B6"/>
    <w:rsid w:val="00B279EB"/>
    <w:rsid w:val="00B35C56"/>
    <w:rsid w:val="00B50C81"/>
    <w:rsid w:val="00B557F8"/>
    <w:rsid w:val="00B815FC"/>
    <w:rsid w:val="00B93FBC"/>
    <w:rsid w:val="00BA59C4"/>
    <w:rsid w:val="00BA7DA0"/>
    <w:rsid w:val="00BB2EE4"/>
    <w:rsid w:val="00BB4C92"/>
    <w:rsid w:val="00BC2108"/>
    <w:rsid w:val="00BC4D02"/>
    <w:rsid w:val="00BD0E9E"/>
    <w:rsid w:val="00BD1BEC"/>
    <w:rsid w:val="00BD32FF"/>
    <w:rsid w:val="00BE287D"/>
    <w:rsid w:val="00BF6FE9"/>
    <w:rsid w:val="00C02092"/>
    <w:rsid w:val="00C24D91"/>
    <w:rsid w:val="00C26DB2"/>
    <w:rsid w:val="00C53F14"/>
    <w:rsid w:val="00C600CF"/>
    <w:rsid w:val="00C6084F"/>
    <w:rsid w:val="00C62A66"/>
    <w:rsid w:val="00C66359"/>
    <w:rsid w:val="00C71458"/>
    <w:rsid w:val="00C77613"/>
    <w:rsid w:val="00C828E7"/>
    <w:rsid w:val="00C86719"/>
    <w:rsid w:val="00C921DD"/>
    <w:rsid w:val="00C95C81"/>
    <w:rsid w:val="00CA6391"/>
    <w:rsid w:val="00CA660D"/>
    <w:rsid w:val="00CB0FF4"/>
    <w:rsid w:val="00CE036E"/>
    <w:rsid w:val="00CE3171"/>
    <w:rsid w:val="00CF1601"/>
    <w:rsid w:val="00D0172F"/>
    <w:rsid w:val="00D01E33"/>
    <w:rsid w:val="00D068A7"/>
    <w:rsid w:val="00D17476"/>
    <w:rsid w:val="00D17B0E"/>
    <w:rsid w:val="00D32086"/>
    <w:rsid w:val="00D37A3F"/>
    <w:rsid w:val="00D4431D"/>
    <w:rsid w:val="00D4667A"/>
    <w:rsid w:val="00D63A1C"/>
    <w:rsid w:val="00D7516F"/>
    <w:rsid w:val="00D9450B"/>
    <w:rsid w:val="00D95F8E"/>
    <w:rsid w:val="00DA0590"/>
    <w:rsid w:val="00DC1739"/>
    <w:rsid w:val="00DC1788"/>
    <w:rsid w:val="00DE319C"/>
    <w:rsid w:val="00DF0CA8"/>
    <w:rsid w:val="00DF2B48"/>
    <w:rsid w:val="00DF435F"/>
    <w:rsid w:val="00DF49A7"/>
    <w:rsid w:val="00E03410"/>
    <w:rsid w:val="00E07EE2"/>
    <w:rsid w:val="00E07FD1"/>
    <w:rsid w:val="00E20052"/>
    <w:rsid w:val="00E24573"/>
    <w:rsid w:val="00E25E1E"/>
    <w:rsid w:val="00E27EE7"/>
    <w:rsid w:val="00E35404"/>
    <w:rsid w:val="00E45109"/>
    <w:rsid w:val="00E47B7A"/>
    <w:rsid w:val="00E56A44"/>
    <w:rsid w:val="00E60269"/>
    <w:rsid w:val="00E97830"/>
    <w:rsid w:val="00EE0830"/>
    <w:rsid w:val="00EE24E3"/>
    <w:rsid w:val="00EE6CB8"/>
    <w:rsid w:val="00EF0683"/>
    <w:rsid w:val="00EF5FAB"/>
    <w:rsid w:val="00F0070C"/>
    <w:rsid w:val="00F00EB7"/>
    <w:rsid w:val="00F13502"/>
    <w:rsid w:val="00F36AB6"/>
    <w:rsid w:val="00F37A09"/>
    <w:rsid w:val="00F409CE"/>
    <w:rsid w:val="00F4379D"/>
    <w:rsid w:val="00F477AB"/>
    <w:rsid w:val="00F50D2D"/>
    <w:rsid w:val="00F53F8C"/>
    <w:rsid w:val="00F56326"/>
    <w:rsid w:val="00F56C8B"/>
    <w:rsid w:val="00F62639"/>
    <w:rsid w:val="00F66810"/>
    <w:rsid w:val="00F84DF4"/>
    <w:rsid w:val="00F85C97"/>
    <w:rsid w:val="00FA4645"/>
    <w:rsid w:val="00FB2437"/>
    <w:rsid w:val="00FB37D2"/>
    <w:rsid w:val="00FC4EFB"/>
    <w:rsid w:val="00FD068D"/>
    <w:rsid w:val="00FD1B72"/>
    <w:rsid w:val="00FD4F28"/>
    <w:rsid w:val="00FD71E1"/>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9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84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ListParagraph"/>
    <w:next w:val="Normal"/>
    <w:link w:val="Heading8Char"/>
    <w:uiPriority w:val="9"/>
    <w:unhideWhenUsed/>
    <w:qFormat/>
    <w:rsid w:val="00BE287D"/>
    <w:pPr>
      <w:tabs>
        <w:tab w:val="left" w:pos="2340"/>
      </w:tabs>
      <w:ind w:left="2520" w:hanging="360"/>
      <w:jc w:val="both"/>
      <w:outlineLvl w:val="7"/>
    </w:pPr>
    <w:rPr>
      <w:rFonts w:eastAsiaTheme="minorHAnsi" w:cstheme="minorBidi"/>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087849"/>
    <w:rPr>
      <w:rFonts w:cs="Tahoma"/>
      <w:sz w:val="22"/>
      <w:szCs w:val="16"/>
    </w:rPr>
  </w:style>
  <w:style w:type="character" w:customStyle="1" w:styleId="BalloonTextChar">
    <w:name w:val="Balloon Text Char"/>
    <w:basedOn w:val="DefaultParagraphFont"/>
    <w:link w:val="BalloonText"/>
    <w:uiPriority w:val="99"/>
    <w:semiHidden/>
    <w:rsid w:val="00087849"/>
    <w:rPr>
      <w:rFonts w:cs="Tahoma"/>
      <w:sz w:val="22"/>
      <w:szCs w:val="16"/>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reflex3-block">
    <w:name w:val="reflex3-block"/>
    <w:basedOn w:val="DefaultParagraphFont"/>
    <w:rsid w:val="00F53F8C"/>
  </w:style>
  <w:style w:type="character" w:customStyle="1" w:styleId="reflex3-alt">
    <w:name w:val="reflex3-alt"/>
    <w:basedOn w:val="DefaultParagraphFont"/>
    <w:rsid w:val="00F53F8C"/>
  </w:style>
  <w:style w:type="character" w:styleId="Emphasis">
    <w:name w:val="Emphasis"/>
    <w:basedOn w:val="DefaultParagraphFont"/>
    <w:uiPriority w:val="20"/>
    <w:qFormat/>
    <w:rsid w:val="00F53F8C"/>
    <w:rPr>
      <w:i/>
      <w:iCs/>
    </w:rPr>
  </w:style>
  <w:style w:type="character" w:styleId="CommentReference">
    <w:name w:val="annotation reference"/>
    <w:basedOn w:val="DefaultParagraphFont"/>
    <w:uiPriority w:val="99"/>
    <w:semiHidden/>
    <w:unhideWhenUsed/>
    <w:rsid w:val="003519FB"/>
    <w:rPr>
      <w:sz w:val="16"/>
      <w:szCs w:val="16"/>
    </w:rPr>
  </w:style>
  <w:style w:type="paragraph" w:styleId="CommentText">
    <w:name w:val="annotation text"/>
    <w:basedOn w:val="Normal"/>
    <w:link w:val="CommentTextChar"/>
    <w:uiPriority w:val="99"/>
    <w:semiHidden/>
    <w:unhideWhenUsed/>
    <w:rsid w:val="003519FB"/>
    <w:rPr>
      <w:sz w:val="20"/>
    </w:rPr>
  </w:style>
  <w:style w:type="character" w:customStyle="1" w:styleId="CommentTextChar">
    <w:name w:val="Comment Text Char"/>
    <w:basedOn w:val="DefaultParagraphFont"/>
    <w:link w:val="CommentText"/>
    <w:uiPriority w:val="99"/>
    <w:semiHidden/>
    <w:rsid w:val="003519FB"/>
  </w:style>
  <w:style w:type="paragraph" w:styleId="CommentSubject">
    <w:name w:val="annotation subject"/>
    <w:basedOn w:val="CommentText"/>
    <w:next w:val="CommentText"/>
    <w:link w:val="CommentSubjectChar"/>
    <w:uiPriority w:val="99"/>
    <w:semiHidden/>
    <w:unhideWhenUsed/>
    <w:rsid w:val="000F5C3C"/>
    <w:rPr>
      <w:b/>
      <w:bCs/>
    </w:rPr>
  </w:style>
  <w:style w:type="character" w:customStyle="1" w:styleId="CommentSubjectChar">
    <w:name w:val="Comment Subject Char"/>
    <w:basedOn w:val="CommentTextChar"/>
    <w:link w:val="CommentSubject"/>
    <w:uiPriority w:val="99"/>
    <w:semiHidden/>
    <w:rsid w:val="000F5C3C"/>
    <w:rPr>
      <w:b/>
      <w:bCs/>
    </w:rPr>
  </w:style>
  <w:style w:type="character" w:customStyle="1" w:styleId="Heading8Char">
    <w:name w:val="Heading 8 Char"/>
    <w:basedOn w:val="DefaultParagraphFont"/>
    <w:link w:val="Heading8"/>
    <w:uiPriority w:val="9"/>
    <w:rsid w:val="00BE287D"/>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BE287D"/>
    <w:pPr>
      <w:spacing w:after="480"/>
    </w:pPr>
    <w:rPr>
      <w:rFonts w:eastAsiaTheme="minorHAnsi" w:cstheme="minorBidi"/>
      <w:szCs w:val="22"/>
      <w:lang w:eastAsia="en-US"/>
    </w:rPr>
  </w:style>
  <w:style w:type="paragraph" w:customStyle="1" w:styleId="SCCCoram">
    <w:name w:val="SCC.Coram"/>
    <w:basedOn w:val="Normal"/>
    <w:next w:val="Normal"/>
    <w:link w:val="SCCCoramChar"/>
    <w:rsid w:val="00BE287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E287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E287D"/>
    <w:rPr>
      <w:rFonts w:eastAsiaTheme="minorHAnsi" w:cstheme="minorBidi"/>
      <w:sz w:val="24"/>
      <w:szCs w:val="22"/>
      <w:lang w:eastAsia="en-US"/>
    </w:rPr>
  </w:style>
  <w:style w:type="character" w:customStyle="1" w:styleId="SCCBanSummaryChar">
    <w:name w:val="SCC.BanSummary Char"/>
    <w:basedOn w:val="DefaultParagraphFont"/>
    <w:link w:val="SCCBanSummary"/>
    <w:rsid w:val="00BE287D"/>
    <w:rPr>
      <w:b/>
      <w:sz w:val="24"/>
    </w:rPr>
  </w:style>
  <w:style w:type="table" w:styleId="TableGrid">
    <w:name w:val="Table Grid"/>
    <w:basedOn w:val="TableNormal"/>
    <w:uiPriority w:val="59"/>
    <w:rsid w:val="00BE287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E287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E287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E287D"/>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BE287D"/>
    <w:pPr>
      <w:numPr>
        <w:numId w:val="6"/>
      </w:numPr>
      <w:tabs>
        <w:tab w:val="clear" w:pos="1422"/>
        <w:tab w:val="left" w:pos="1166"/>
      </w:tabs>
      <w:spacing w:before="480" w:after="480" w:line="480" w:lineRule="auto"/>
      <w:ind w:left="0"/>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BE287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E287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E287D"/>
    <w:pPr>
      <w:numPr>
        <w:ilvl w:val="2"/>
      </w:numPr>
      <w:outlineLvl w:val="2"/>
    </w:pPr>
  </w:style>
  <w:style w:type="paragraph" w:customStyle="1" w:styleId="Title4LevelTitre4Niveau">
    <w:name w:val="Title 4 Level / Titre 4 Niveau"/>
    <w:basedOn w:val="Title3LevelTitre3Niveau"/>
    <w:next w:val="ParaNoNdepar-AltN"/>
    <w:uiPriority w:val="4"/>
    <w:qFormat/>
    <w:rsid w:val="00BE287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E287D"/>
    <w:pPr>
      <w:numPr>
        <w:ilvl w:val="4"/>
      </w:numPr>
      <w:outlineLvl w:val="4"/>
    </w:pPr>
  </w:style>
  <w:style w:type="paragraph" w:styleId="TOC1">
    <w:name w:val="toc 1"/>
    <w:basedOn w:val="Normal"/>
    <w:next w:val="Normal"/>
    <w:autoRedefine/>
    <w:uiPriority w:val="39"/>
    <w:unhideWhenUsed/>
    <w:rsid w:val="00BE287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E287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E287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E287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E287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E287D"/>
    <w:pPr>
      <w:tabs>
        <w:tab w:val="left" w:pos="2160"/>
        <w:tab w:val="right" w:leader="dot" w:pos="8270"/>
      </w:tabs>
      <w:spacing w:after="100"/>
      <w:ind w:left="1800"/>
    </w:pPr>
    <w:rPr>
      <w:noProof/>
    </w:rPr>
  </w:style>
  <w:style w:type="table" w:customStyle="1" w:styleId="TableGrid1">
    <w:name w:val="Table Grid1"/>
    <w:basedOn w:val="TableNormal"/>
    <w:uiPriority w:val="59"/>
    <w:rsid w:val="00BE287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E287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E287D"/>
    <w:pPr>
      <w:numPr>
        <w:ilvl w:val="5"/>
      </w:numPr>
      <w:outlineLvl w:val="5"/>
    </w:pPr>
    <w:rPr>
      <w:i/>
      <w:u w:val="none"/>
    </w:rPr>
  </w:style>
  <w:style w:type="paragraph" w:styleId="FootnoteText">
    <w:name w:val="footnote text"/>
    <w:basedOn w:val="Normal"/>
    <w:link w:val="FootnoteTextChar"/>
    <w:uiPriority w:val="99"/>
    <w:unhideWhenUsed/>
    <w:rsid w:val="00BE287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E287D"/>
  </w:style>
  <w:style w:type="character" w:styleId="FootnoteReference">
    <w:name w:val="footnote reference"/>
    <w:basedOn w:val="DefaultParagraphFont"/>
    <w:uiPriority w:val="99"/>
    <w:semiHidden/>
    <w:unhideWhenUsed/>
    <w:rsid w:val="00BE287D"/>
    <w:rPr>
      <w:vertAlign w:val="superscript"/>
    </w:rPr>
  </w:style>
  <w:style w:type="character" w:customStyle="1" w:styleId="ParaNoNdepar-AltNChar">
    <w:name w:val="Para. No. / Nº de par. - Alt N Char"/>
    <w:basedOn w:val="DefaultParagraphFont"/>
    <w:link w:val="ParaNoNdepar-AltN"/>
    <w:locked/>
    <w:rsid w:val="00BE287D"/>
    <w:rPr>
      <w:rFonts w:eastAsiaTheme="minorEastAsia" w:cstheme="minorBidi"/>
      <w:sz w:val="24"/>
      <w:szCs w:val="22"/>
      <w:lang w:eastAsia="en-US"/>
    </w:rPr>
  </w:style>
  <w:style w:type="paragraph" w:styleId="ListParagraph">
    <w:name w:val="List Paragraph"/>
    <w:basedOn w:val="Normal"/>
    <w:uiPriority w:val="34"/>
    <w:qFormat/>
    <w:rsid w:val="00BE287D"/>
    <w:pPr>
      <w:ind w:left="720"/>
      <w:contextualSpacing/>
    </w:pPr>
    <w:rPr>
      <w:szCs w:val="24"/>
    </w:rPr>
  </w:style>
  <w:style w:type="paragraph" w:customStyle="1" w:styleId="CITATION">
    <w:name w:val="CITATION"/>
    <w:basedOn w:val="Normal"/>
    <w:next w:val="Normal"/>
    <w:qFormat/>
    <w:rsid w:val="00BE287D"/>
    <w:pPr>
      <w:spacing w:after="600"/>
      <w:ind w:left="1170"/>
      <w:jc w:val="both"/>
    </w:pPr>
  </w:style>
  <w:style w:type="character" w:styleId="LineNumber">
    <w:name w:val="line number"/>
    <w:basedOn w:val="DefaultParagraphFont"/>
    <w:uiPriority w:val="99"/>
    <w:semiHidden/>
    <w:unhideWhenUsed/>
    <w:rsid w:val="00BE287D"/>
  </w:style>
  <w:style w:type="character" w:styleId="Hyperlink">
    <w:name w:val="Hyperlink"/>
    <w:basedOn w:val="DefaultParagraphFont"/>
    <w:uiPriority w:val="99"/>
    <w:unhideWhenUsed/>
    <w:rsid w:val="00BE287D"/>
    <w:rPr>
      <w:color w:val="0000FF"/>
      <w:u w:val="single"/>
    </w:rPr>
  </w:style>
  <w:style w:type="paragraph" w:styleId="EndnoteText">
    <w:name w:val="endnote text"/>
    <w:basedOn w:val="Normal"/>
    <w:link w:val="EndnoteTextChar"/>
    <w:uiPriority w:val="99"/>
    <w:semiHidden/>
    <w:unhideWhenUsed/>
    <w:rsid w:val="00BE287D"/>
    <w:rPr>
      <w:sz w:val="20"/>
    </w:rPr>
  </w:style>
  <w:style w:type="character" w:customStyle="1" w:styleId="EndnoteTextChar">
    <w:name w:val="Endnote Text Char"/>
    <w:basedOn w:val="DefaultParagraphFont"/>
    <w:link w:val="EndnoteText"/>
    <w:uiPriority w:val="99"/>
    <w:semiHidden/>
    <w:rsid w:val="00BE287D"/>
  </w:style>
  <w:style w:type="character" w:styleId="EndnoteReference">
    <w:name w:val="endnote reference"/>
    <w:basedOn w:val="DefaultParagraphFont"/>
    <w:uiPriority w:val="99"/>
    <w:semiHidden/>
    <w:unhideWhenUsed/>
    <w:rsid w:val="00BE287D"/>
    <w:rPr>
      <w:vertAlign w:val="superscript"/>
    </w:rPr>
  </w:style>
  <w:style w:type="character" w:customStyle="1" w:styleId="normaltextrun">
    <w:name w:val="normaltextrun"/>
    <w:basedOn w:val="DefaultParagraphFont"/>
    <w:rsid w:val="00BE287D"/>
  </w:style>
  <w:style w:type="character" w:customStyle="1" w:styleId="eop">
    <w:name w:val="eop"/>
    <w:basedOn w:val="DefaultParagraphFont"/>
    <w:rsid w:val="00BE287D"/>
  </w:style>
  <w:style w:type="character" w:styleId="FollowedHyperlink">
    <w:name w:val="FollowedHyperlink"/>
    <w:basedOn w:val="DefaultParagraphFont"/>
    <w:uiPriority w:val="99"/>
    <w:semiHidden/>
    <w:unhideWhenUsed/>
    <w:rsid w:val="00BE287D"/>
    <w:rPr>
      <w:color w:val="800080" w:themeColor="followedHyperlink"/>
      <w:u w:val="single"/>
    </w:rPr>
  </w:style>
  <w:style w:type="paragraph" w:styleId="Revision">
    <w:name w:val="Revision"/>
    <w:hidden/>
    <w:uiPriority w:val="99"/>
    <w:semiHidden/>
    <w:rsid w:val="00BE287D"/>
    <w:rPr>
      <w:sz w:val="24"/>
      <w:szCs w:val="24"/>
    </w:rPr>
  </w:style>
  <w:style w:type="table" w:customStyle="1" w:styleId="TableGrid2">
    <w:name w:val="Table Grid2"/>
    <w:basedOn w:val="TableNormal"/>
    <w:next w:val="TableGrid"/>
    <w:uiPriority w:val="59"/>
    <w:rsid w:val="00BE287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14709</Words>
  <Characters>80905</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2021-05-19T14:16:00Z</dcterms:created>
  <dcterms:modified xsi:type="dcterms:W3CDTF">2024-01-11T21:47:00Z</dcterms:modified>
</cp:coreProperties>
</file>