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2111"/>
        <w:gridCol w:w="3134"/>
      </w:tblGrid>
      <w:tr w:rsidR="00423C0D" w:rsidTr="00575871">
        <w:trPr>
          <w:trHeight w:val="1786"/>
        </w:trPr>
        <w:tc>
          <w:tcPr>
            <w:tcW w:w="5000" w:type="pct"/>
            <w:gridSpan w:val="4"/>
          </w:tcPr>
          <w:p w:rsidR="00423C0D" w:rsidRDefault="00423C0D" w:rsidP="00A51442">
            <w:pPr>
              <w:pStyle w:val="SCCBold"/>
              <w:jc w:val="center"/>
            </w:pPr>
            <w:r>
              <w:rPr>
                <w:noProof/>
                <w:lang w:val="en-US"/>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Default="00423C0D" w:rsidP="009764CA">
            <w:pPr>
              <w:spacing w:before="120" w:after="100" w:afterAutospacing="1"/>
              <w:jc w:val="center"/>
              <w:rPr>
                <w:rFonts w:eastAsia="Calibri"/>
              </w:rPr>
            </w:pPr>
            <w:r w:rsidRPr="00C22905">
              <w:rPr>
                <w:rFonts w:eastAsia="Calibri"/>
                <w:b/>
              </w:rPr>
              <w:t>COUR</w:t>
            </w:r>
            <w:r>
              <w:rPr>
                <w:rFonts w:eastAsia="Calibri"/>
                <w:b/>
              </w:rPr>
              <w:t xml:space="preserve"> SUPRÊME DU</w:t>
            </w:r>
            <w:r w:rsidRPr="00C22905">
              <w:rPr>
                <w:rFonts w:eastAsia="Calibri"/>
                <w:b/>
              </w:rPr>
              <w:t xml:space="preserve"> CANADA</w:t>
            </w:r>
          </w:p>
        </w:tc>
      </w:tr>
      <w:tr w:rsidR="00D056AE" w:rsidRPr="00E7577F" w:rsidTr="002E5878">
        <w:tblPrEx>
          <w:tblCellMar>
            <w:top w:w="58" w:type="dxa"/>
            <w:left w:w="58" w:type="dxa"/>
            <w:bottom w:w="58" w:type="dxa"/>
            <w:right w:w="58" w:type="dxa"/>
          </w:tblCellMar>
        </w:tblPrEx>
        <w:trPr>
          <w:cantSplit/>
        </w:trPr>
        <w:tc>
          <w:tcPr>
            <w:tcW w:w="2110" w:type="pct"/>
            <w:gridSpan w:val="2"/>
          </w:tcPr>
          <w:p w:rsidR="008215C3" w:rsidRDefault="008215C3" w:rsidP="002F0B6C">
            <w:pPr>
              <w:rPr>
                <w:b/>
                <w:smallCaps/>
              </w:rPr>
            </w:pPr>
          </w:p>
          <w:p w:rsidR="00D056AE" w:rsidRDefault="00D056AE" w:rsidP="002F0B6C">
            <w:pPr>
              <w:rPr>
                <w:b/>
                <w:smallCaps/>
              </w:rPr>
            </w:pPr>
            <w:r>
              <w:rPr>
                <w:b/>
                <w:smallCaps/>
              </w:rPr>
              <w:t>Référence :</w:t>
            </w:r>
            <w:r w:rsidRPr="001E12E2">
              <w:t xml:space="preserve"> </w:t>
            </w:r>
            <w:r w:rsidR="008D575B">
              <w:t xml:space="preserve">Richardson </w:t>
            </w:r>
            <w:r w:rsidR="008D575B">
              <w:rPr>
                <w:i/>
              </w:rPr>
              <w:t xml:space="preserve">c. </w:t>
            </w:r>
            <w:r w:rsidR="008D575B">
              <w:t xml:space="preserve">Richardson, </w:t>
            </w:r>
            <w:r>
              <w:t>2021 CSC 36</w:t>
            </w:r>
          </w:p>
        </w:tc>
        <w:tc>
          <w:tcPr>
            <w:tcW w:w="1163" w:type="pct"/>
          </w:tcPr>
          <w:p w:rsidR="00D056AE" w:rsidRPr="001E12E2" w:rsidRDefault="00D056AE" w:rsidP="002F0B6C"/>
        </w:tc>
        <w:tc>
          <w:tcPr>
            <w:tcW w:w="1727" w:type="pct"/>
          </w:tcPr>
          <w:p w:rsidR="00D056AE" w:rsidRDefault="00D056AE" w:rsidP="00423C0D">
            <w:pPr>
              <w:jc w:val="both"/>
              <w:rPr>
                <w:b/>
                <w:smallCaps/>
              </w:rPr>
            </w:pPr>
          </w:p>
          <w:p w:rsidR="00D056AE" w:rsidRPr="00177E57" w:rsidRDefault="00D056AE" w:rsidP="00423C0D">
            <w:pPr>
              <w:jc w:val="both"/>
            </w:pPr>
            <w:r w:rsidRPr="00E71FD7">
              <w:rPr>
                <w:b/>
                <w:smallCaps/>
              </w:rPr>
              <w:t>Appel entendu :</w:t>
            </w:r>
            <w:r w:rsidRPr="00E71FD7">
              <w:t xml:space="preserve"> </w:t>
            </w:r>
            <w:r w:rsidR="008D575B">
              <w:t xml:space="preserve">13 octobre </w:t>
            </w:r>
            <w:r>
              <w:t>2021</w:t>
            </w:r>
          </w:p>
          <w:p w:rsidR="00D056AE" w:rsidRPr="001E12E2" w:rsidRDefault="00D056AE">
            <w:r w:rsidRPr="00CB5B04">
              <w:rPr>
                <w:b/>
                <w:smallCaps/>
              </w:rPr>
              <w:t>Jugement rendu </w:t>
            </w:r>
            <w:r>
              <w:rPr>
                <w:b/>
                <w:smallCaps/>
              </w:rPr>
              <w:t>:</w:t>
            </w:r>
            <w:r w:rsidRPr="001E12E2">
              <w:t xml:space="preserve"> </w:t>
            </w:r>
            <w:r w:rsidR="008D575B">
              <w:t>13 octobre 2021</w:t>
            </w:r>
          </w:p>
          <w:p w:rsidR="00D056AE" w:rsidRPr="00D73EF4" w:rsidRDefault="00D056AE" w:rsidP="002F0B6C">
            <w:r w:rsidRPr="00D73EF4">
              <w:rPr>
                <w:b/>
                <w:smallCaps/>
              </w:rPr>
              <w:t>Dossier :</w:t>
            </w:r>
            <w:r w:rsidRPr="00D73EF4">
              <w:t xml:space="preserve"> </w:t>
            </w:r>
            <w:r>
              <w:t>39123</w:t>
            </w:r>
          </w:p>
        </w:tc>
      </w:tr>
      <w:tr w:rsidR="00423C0D" w:rsidRPr="001119BD" w:rsidTr="00575871">
        <w:tblPrEx>
          <w:tblCellMar>
            <w:top w:w="58" w:type="dxa"/>
            <w:left w:w="58" w:type="dxa"/>
            <w:bottom w:w="58" w:type="dxa"/>
            <w:right w:w="58" w:type="dxa"/>
          </w:tblCellMar>
        </w:tblPrEx>
        <w:trPr>
          <w:cantSplit/>
        </w:trPr>
        <w:tc>
          <w:tcPr>
            <w:tcW w:w="5000" w:type="pct"/>
            <w:gridSpan w:val="4"/>
          </w:tcPr>
          <w:p w:rsidR="00423C0D" w:rsidRPr="00D73EF4" w:rsidRDefault="00423C0D" w:rsidP="00423C0D"/>
          <w:p w:rsidR="00AD1450" w:rsidRDefault="008D575B">
            <w:pPr>
              <w:pStyle w:val="SCCLsocPrefix"/>
            </w:pPr>
            <w:r>
              <w:t>Entre </w:t>
            </w:r>
            <w:r w:rsidR="00FC53B1">
              <w:t>:</w:t>
            </w:r>
          </w:p>
          <w:p w:rsidR="002E5878" w:rsidRPr="002E5878" w:rsidRDefault="002E5878" w:rsidP="002E5878">
            <w:bookmarkStart w:id="0" w:name="_GoBack"/>
            <w:bookmarkEnd w:id="0"/>
          </w:p>
          <w:p w:rsidR="00AD1450" w:rsidRDefault="00FC53B1">
            <w:pPr>
              <w:pStyle w:val="SCCLsocParty"/>
            </w:pPr>
            <w:r>
              <w:t>Sylvia H.</w:t>
            </w:r>
            <w:r w:rsidR="008D575B">
              <w:t> </w:t>
            </w:r>
            <w:r>
              <w:t>C.</w:t>
            </w:r>
            <w:r w:rsidR="008D575B">
              <w:t> </w:t>
            </w:r>
            <w:r>
              <w:t>C. Richardson</w:t>
            </w:r>
          </w:p>
          <w:p w:rsidR="00AD1450" w:rsidRDefault="008D575B">
            <w:pPr>
              <w:pStyle w:val="SCCLsocPartyRole"/>
            </w:pPr>
            <w:r>
              <w:t>Appelante</w:t>
            </w:r>
          </w:p>
          <w:p w:rsidR="00AD1450" w:rsidRDefault="00AD1450"/>
          <w:p w:rsidR="00AD1450" w:rsidRDefault="008D575B">
            <w:pPr>
              <w:pStyle w:val="SCCLsocVersus"/>
            </w:pPr>
            <w:r>
              <w:t>et</w:t>
            </w:r>
          </w:p>
          <w:p w:rsidR="00AD1450" w:rsidRDefault="00AD1450"/>
          <w:p w:rsidR="00AD1450" w:rsidRDefault="00FC53B1">
            <w:pPr>
              <w:pStyle w:val="SCCLsocParty"/>
            </w:pPr>
            <w:r>
              <w:t>Mark Edward Richardson</w:t>
            </w:r>
          </w:p>
          <w:p w:rsidR="00AD1450" w:rsidRDefault="008D575B">
            <w:pPr>
              <w:pStyle w:val="SCCLsocPartyRole"/>
            </w:pPr>
            <w:r>
              <w:t>Intimé</w:t>
            </w:r>
          </w:p>
          <w:p w:rsidR="00C34313" w:rsidRPr="001E12E2" w:rsidRDefault="00C34313" w:rsidP="00423C0D"/>
          <w:p w:rsidR="00423C0D" w:rsidRPr="001E12E2" w:rsidRDefault="00423C0D" w:rsidP="00423C0D">
            <w:pPr>
              <w:jc w:val="center"/>
              <w:rPr>
                <w:b/>
                <w:smallCaps/>
              </w:rPr>
            </w:pPr>
            <w:r>
              <w:rPr>
                <w:b/>
                <w:smallCaps/>
              </w:rPr>
              <w:t>Traduction française o</w:t>
            </w:r>
            <w:r w:rsidRPr="001E12E2">
              <w:rPr>
                <w:b/>
                <w:smallCaps/>
              </w:rPr>
              <w:t>ffici</w:t>
            </w:r>
            <w:r>
              <w:rPr>
                <w:b/>
                <w:smallCaps/>
              </w:rPr>
              <w:t>elle</w:t>
            </w:r>
          </w:p>
          <w:p w:rsidR="00423C0D" w:rsidRPr="001E12E2" w:rsidRDefault="00423C0D" w:rsidP="00423C0D"/>
          <w:p w:rsidR="00423C0D" w:rsidRPr="001119BD" w:rsidRDefault="00423C0D" w:rsidP="00423C0D">
            <w:r w:rsidRPr="001119BD">
              <w:rPr>
                <w:b/>
                <w:smallCaps/>
              </w:rPr>
              <w:t>Coram :</w:t>
            </w:r>
            <w:r w:rsidRPr="001119BD">
              <w:t xml:space="preserve"> </w:t>
            </w:r>
            <w:r w:rsidR="001119BD">
              <w:rPr>
                <w:color w:val="000000"/>
              </w:rPr>
              <w:t>Le juge en chef Wagner et les juges Moldaver, Karakatsanis, Côté, Brown, Rowe, Martin, Kasirer et Jamal</w:t>
            </w:r>
          </w:p>
          <w:p w:rsidR="00423C0D" w:rsidRPr="001119BD" w:rsidRDefault="00423C0D" w:rsidP="00423C0D">
            <w:pPr>
              <w:jc w:val="both"/>
              <w:rPr>
                <w:b/>
                <w:smallCaps/>
              </w:rPr>
            </w:pPr>
          </w:p>
        </w:tc>
      </w:tr>
      <w:tr w:rsidR="004E69EC" w:rsidRPr="001119BD" w:rsidTr="00575871">
        <w:tblPrEx>
          <w:tblCellMar>
            <w:top w:w="58" w:type="dxa"/>
            <w:left w:w="58" w:type="dxa"/>
            <w:bottom w:w="58" w:type="dxa"/>
            <w:right w:w="58" w:type="dxa"/>
          </w:tblCellMar>
        </w:tblPrEx>
        <w:trPr>
          <w:cantSplit/>
        </w:trPr>
        <w:tc>
          <w:tcPr>
            <w:tcW w:w="1251" w:type="pct"/>
          </w:tcPr>
          <w:p w:rsidR="001119BD" w:rsidRPr="007B3D74" w:rsidRDefault="001119BD" w:rsidP="001119BD">
            <w:pPr>
              <w:widowControl w:val="0"/>
              <w:rPr>
                <w:b/>
                <w:smallCaps/>
              </w:rPr>
            </w:pPr>
            <w:r w:rsidRPr="007B3D74">
              <w:rPr>
                <w:b/>
                <w:smallCaps/>
              </w:rPr>
              <w:t>Jugement</w:t>
            </w:r>
            <w:r>
              <w:rPr>
                <w:b/>
                <w:smallCaps/>
              </w:rPr>
              <w:t xml:space="preserve"> unanime lu par : </w:t>
            </w:r>
          </w:p>
          <w:p w:rsidR="004E69EC" w:rsidRPr="001119BD" w:rsidRDefault="001119BD" w:rsidP="001119BD">
            <w:pPr>
              <w:widowControl w:val="0"/>
            </w:pPr>
            <w:r w:rsidRPr="008A731F">
              <w:t>(par. 1</w:t>
            </w:r>
            <w:r w:rsidR="00C12FEA">
              <w:t xml:space="preserve"> à 7</w:t>
            </w:r>
            <w:r w:rsidRPr="008A731F">
              <w:t>)</w:t>
            </w:r>
          </w:p>
        </w:tc>
        <w:tc>
          <w:tcPr>
            <w:tcW w:w="3749" w:type="pct"/>
            <w:gridSpan w:val="3"/>
          </w:tcPr>
          <w:p w:rsidR="004E69EC" w:rsidRPr="001119BD" w:rsidRDefault="001119BD">
            <w:r>
              <w:rPr>
                <w:lang w:val="en-US"/>
              </w:rPr>
              <w:t>Le</w:t>
            </w:r>
            <w:r w:rsidRPr="006F2943">
              <w:rPr>
                <w:lang w:val="en-US"/>
              </w:rPr>
              <w:t xml:space="preserve"> juge</w:t>
            </w:r>
            <w:r>
              <w:rPr>
                <w:lang w:val="en-US"/>
              </w:rPr>
              <w:t xml:space="preserve"> Kasirer</w:t>
            </w:r>
          </w:p>
        </w:tc>
      </w:tr>
      <w:tr w:rsidR="00D73EF4" w:rsidRPr="001119BD" w:rsidTr="00575871">
        <w:tblPrEx>
          <w:tblCellMar>
            <w:top w:w="58" w:type="dxa"/>
            <w:left w:w="58" w:type="dxa"/>
            <w:bottom w:w="58" w:type="dxa"/>
            <w:right w:w="58" w:type="dxa"/>
          </w:tblCellMar>
        </w:tblPrEx>
        <w:trPr>
          <w:cantSplit/>
        </w:trPr>
        <w:tc>
          <w:tcPr>
            <w:tcW w:w="5000" w:type="pct"/>
            <w:gridSpan w:val="4"/>
          </w:tcPr>
          <w:p w:rsidR="001119BD" w:rsidRPr="001119BD" w:rsidRDefault="001119BD"/>
        </w:tc>
      </w:tr>
    </w:tbl>
    <w:p w:rsidR="00904937" w:rsidRPr="00E7577F" w:rsidRDefault="00904937">
      <w:r w:rsidRPr="00787F6E">
        <w:rPr>
          <w:b/>
          <w:smallCaps/>
        </w:rPr>
        <w:t>Note</w:t>
      </w:r>
      <w:r w:rsidR="002F0B6C" w:rsidRPr="00787F6E">
        <w:rPr>
          <w:b/>
          <w:smallCaps/>
        </w:rPr>
        <w:t> :</w:t>
      </w:r>
      <w:r w:rsidRPr="00787F6E">
        <w:rPr>
          <w:b/>
        </w:rPr>
        <w:t xml:space="preserve"> </w:t>
      </w:r>
      <w:r w:rsidR="001E12E2" w:rsidRPr="00E7577F">
        <w:t>Ce document fera l’objet de retouches de forme avant la parution</w:t>
      </w:r>
      <w:r w:rsidR="005C0397" w:rsidRPr="00E7577F">
        <w:t xml:space="preserve"> </w:t>
      </w:r>
      <w:r w:rsidR="001E12E2" w:rsidRPr="00E7577F">
        <w:t>de sa version définitive dans le</w:t>
      </w:r>
      <w:r w:rsidRPr="00E7577F">
        <w:t xml:space="preserve"> </w:t>
      </w:r>
      <w:r w:rsidR="001E12E2" w:rsidRPr="00E7577F">
        <w:rPr>
          <w:i/>
        </w:rPr>
        <w:t>Recueil des arrêts de la Cour suprême du C</w:t>
      </w:r>
      <w:r w:rsidRPr="00E7577F">
        <w:rPr>
          <w:i/>
        </w:rPr>
        <w:t>anada</w:t>
      </w:r>
      <w:r w:rsidRPr="00E7577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Tr="003375C9">
        <w:tc>
          <w:tcPr>
            <w:tcW w:w="1500" w:type="pct"/>
            <w:tcMar>
              <w:top w:w="284" w:type="dxa"/>
            </w:tcMar>
          </w:tcPr>
          <w:p w:rsidR="000D1436" w:rsidRDefault="000D1436" w:rsidP="003375C9">
            <w:pPr>
              <w:rPr>
                <w:rFonts w:eastAsia="Calibri"/>
              </w:rPr>
            </w:pPr>
          </w:p>
        </w:tc>
        <w:tc>
          <w:tcPr>
            <w:tcW w:w="2000" w:type="pct"/>
            <w:tcBorders>
              <w:bottom w:val="single" w:sz="4" w:space="0" w:color="auto"/>
            </w:tcBorders>
            <w:tcMar>
              <w:top w:w="284" w:type="dxa"/>
            </w:tcMar>
          </w:tcPr>
          <w:p w:rsidR="000D1436" w:rsidRDefault="000D1436" w:rsidP="003375C9">
            <w:pPr>
              <w:rPr>
                <w:rFonts w:eastAsia="Calibri"/>
              </w:rPr>
            </w:pPr>
          </w:p>
        </w:tc>
        <w:tc>
          <w:tcPr>
            <w:tcW w:w="1500" w:type="pct"/>
            <w:tcMar>
              <w:top w:w="284" w:type="dxa"/>
            </w:tcMar>
          </w:tcPr>
          <w:p w:rsidR="000D1436" w:rsidRDefault="000D1436" w:rsidP="003375C9">
            <w:pPr>
              <w:rPr>
                <w:rFonts w:eastAsia="Calibri"/>
              </w:rPr>
            </w:pPr>
          </w:p>
        </w:tc>
      </w:tr>
    </w:tbl>
    <w:p w:rsidR="009C1021" w:rsidRPr="007B32CD" w:rsidRDefault="00DE2D91" w:rsidP="009C1021">
      <w:pPr>
        <w:pStyle w:val="SCCLsocLastPartyInRole"/>
        <w:rPr>
          <w:lang w:val="fr-CA"/>
        </w:rPr>
      </w:pPr>
      <w:r w:rsidRPr="007B32CD">
        <w:rPr>
          <w:lang w:val="fr-CA"/>
        </w:rPr>
        <w:br w:type="page"/>
      </w:r>
      <w:r w:rsidR="009C1021" w:rsidRPr="007B32CD">
        <w:rPr>
          <w:bCs/>
          <w:lang w:val="fr-CA"/>
        </w:rPr>
        <w:lastRenderedPageBreak/>
        <w:t>Sylvia H. C. C. Richardson</w:t>
      </w:r>
      <w:r w:rsidR="009C1021" w:rsidRPr="007B32CD">
        <w:rPr>
          <w:b w:val="0"/>
          <w:lang w:val="fr-CA"/>
        </w:rPr>
        <w:tab/>
      </w:r>
      <w:r w:rsidR="009C1021" w:rsidRPr="007B32CD">
        <w:rPr>
          <w:b w:val="0"/>
          <w:i/>
          <w:lang w:val="fr-CA"/>
        </w:rPr>
        <w:t>Appelante</w:t>
      </w:r>
    </w:p>
    <w:p w:rsidR="009C1021" w:rsidRPr="007B32CD" w:rsidRDefault="009C1021" w:rsidP="007B32CD">
      <w:pPr>
        <w:pStyle w:val="SCCLsocVersus"/>
        <w:spacing w:after="720"/>
        <w:jc w:val="left"/>
        <w:rPr>
          <w:i/>
        </w:rPr>
      </w:pPr>
      <w:r w:rsidRPr="007B32CD">
        <w:rPr>
          <w:i/>
        </w:rPr>
        <w:t>c.</w:t>
      </w:r>
    </w:p>
    <w:p w:rsidR="009C1021" w:rsidRDefault="009C1021" w:rsidP="009C1021">
      <w:pPr>
        <w:pStyle w:val="SCCLsocLastPartyInRole"/>
        <w:rPr>
          <w:lang w:val="fr-CA"/>
        </w:rPr>
      </w:pPr>
      <w:r>
        <w:rPr>
          <w:bCs/>
          <w:lang w:val="fr-CA"/>
        </w:rPr>
        <w:t>Mark Edward Richardson</w:t>
      </w:r>
      <w:r>
        <w:rPr>
          <w:b w:val="0"/>
          <w:lang w:val="fr-CA"/>
        </w:rPr>
        <w:tab/>
      </w:r>
      <w:r w:rsidRPr="007B32CD">
        <w:rPr>
          <w:b w:val="0"/>
          <w:i/>
          <w:lang w:val="fr-CA"/>
        </w:rPr>
        <w:t>Intimé</w:t>
      </w:r>
    </w:p>
    <w:p w:rsidR="009C1021" w:rsidRDefault="009C1021" w:rsidP="009C1021">
      <w:pPr>
        <w:spacing w:after="720"/>
        <w:jc w:val="both"/>
        <w:rPr>
          <w:b/>
        </w:rPr>
      </w:pPr>
      <w:r>
        <w:rPr>
          <w:b/>
        </w:rPr>
        <w:t xml:space="preserve">Répertorié : Richardson </w:t>
      </w:r>
      <w:r>
        <w:rPr>
          <w:b/>
          <w:i/>
        </w:rPr>
        <w:t>c</w:t>
      </w:r>
      <w:r>
        <w:rPr>
          <w:b/>
          <w:i/>
          <w:iCs/>
        </w:rPr>
        <w:t xml:space="preserve">. </w:t>
      </w:r>
      <w:r>
        <w:rPr>
          <w:b/>
        </w:rPr>
        <w:t>Richardson</w:t>
      </w:r>
    </w:p>
    <w:p w:rsidR="009C1021" w:rsidRDefault="009C1021" w:rsidP="009C1021">
      <w:pPr>
        <w:pStyle w:val="SCCSystemYear"/>
        <w:spacing w:after="720"/>
        <w:jc w:val="both"/>
        <w:rPr>
          <w:lang w:val="fr-CA"/>
        </w:rPr>
      </w:pPr>
      <w:r>
        <w:rPr>
          <w:lang w:val="fr-CA"/>
        </w:rPr>
        <w:t xml:space="preserve">2021 CSC </w:t>
      </w:r>
      <w:r>
        <w:rPr>
          <w:color w:val="000000"/>
          <w:lang w:val="fr-CA"/>
        </w:rPr>
        <w:t>36</w:t>
      </w:r>
    </w:p>
    <w:p w:rsidR="009C1021" w:rsidRDefault="009C1021" w:rsidP="009C1021">
      <w:pPr>
        <w:spacing w:after="720"/>
        <w:jc w:val="both"/>
      </w:pPr>
      <w:r>
        <w:t>N</w:t>
      </w:r>
      <w:r>
        <w:rPr>
          <w:vertAlign w:val="superscript"/>
        </w:rPr>
        <w:t>o</w:t>
      </w:r>
      <w:r>
        <w:t xml:space="preserve"> du greffe : </w:t>
      </w:r>
      <w:r>
        <w:rPr>
          <w:color w:val="000000"/>
        </w:rPr>
        <w:t>39123</w:t>
      </w:r>
      <w:r>
        <w:t>.</w:t>
      </w:r>
    </w:p>
    <w:p w:rsidR="009C1021" w:rsidRDefault="009C1021" w:rsidP="009C1021">
      <w:pPr>
        <w:spacing w:after="720"/>
        <w:jc w:val="both"/>
      </w:pPr>
      <w:r>
        <w:t xml:space="preserve">2021 : </w:t>
      </w:r>
      <w:r>
        <w:rPr>
          <w:color w:val="000000"/>
        </w:rPr>
        <w:t>13 octobre</w:t>
      </w:r>
      <w:r>
        <w:t>.</w:t>
      </w:r>
    </w:p>
    <w:p w:rsidR="009C1021" w:rsidRDefault="009C1021" w:rsidP="009C1021">
      <w:pPr>
        <w:spacing w:after="720"/>
        <w:jc w:val="both"/>
      </w:pPr>
      <w:r>
        <w:t xml:space="preserve">Présents : </w:t>
      </w:r>
      <w:r>
        <w:rPr>
          <w:color w:val="000000"/>
        </w:rPr>
        <w:t>Le juge en chef Wagner et les juges Moldaver, Karakatsanis, Côté, Brown, Rowe, Martin, Kasirer et Jamal.</w:t>
      </w:r>
    </w:p>
    <w:p w:rsidR="009C1021" w:rsidRDefault="009C1021" w:rsidP="009C1021">
      <w:pPr>
        <w:spacing w:after="720"/>
        <w:jc w:val="both"/>
        <w:rPr>
          <w:smallCaps/>
        </w:rPr>
      </w:pPr>
      <w:r>
        <w:rPr>
          <w:smallCaps/>
        </w:rPr>
        <w:t>en appel de la cour d’appel de l’ontario</w:t>
      </w:r>
    </w:p>
    <w:p w:rsidR="009C1021" w:rsidRDefault="009C1021" w:rsidP="009C1021">
      <w:pPr>
        <w:pStyle w:val="SCCNormalDoubleSpacing"/>
        <w:spacing w:after="480"/>
        <w:rPr>
          <w:i/>
          <w:lang w:val="fr-CA"/>
        </w:rPr>
      </w:pPr>
      <w:r>
        <w:rPr>
          <w:lang w:val="fr-CA"/>
        </w:rPr>
        <w:tab/>
      </w:r>
      <w:r>
        <w:rPr>
          <w:i/>
          <w:lang w:val="fr-CA"/>
        </w:rPr>
        <w:t>Droit de la famille — Garde — Modification — Changement du lieu de résidence — Intérêt de l’enfant — Requête en modification de l’ordonnance relative à la garde présentée par la mère à la suite de son déménagement de la région de Niagara pour s’installer dans la région d’Ottawa — Conclusion par les parties durant le procès d’un règlement aux termes duquel les enfants déménageraient dans la région d’Ottawa pour y vivre avec la mère — Rejet du projet de règlement par le juge de première instance et poursuite par ce dernier de l’instruction du procès — Rejet de la requête en modification par le juge de première instance et prononcé par celui</w:t>
      </w:r>
      <w:r>
        <w:rPr>
          <w:i/>
          <w:lang w:val="fr-CA"/>
        </w:rPr>
        <w:noBreakHyphen/>
        <w:t xml:space="preserve">ci, </w:t>
      </w:r>
      <w:r>
        <w:rPr>
          <w:i/>
          <w:lang w:val="fr-CA"/>
        </w:rPr>
        <w:lastRenderedPageBreak/>
        <w:t>sur la base de l’intérêt des enfants, d’une ordonnance intimant que ces derniers continuent de résider principalement avec le père dans la région de Niagara — Décision confirmée par la Cour d’appel — Changements concernant les enfants et ayant une incidence sur le dossier survenus avant l’audition de l’appel par la Cour suprême du Canada — Caractère incomplet du dossier faisant obstacle à la formulation d’orientations appropriées relativement à l’intérêt des enfants.</w:t>
      </w:r>
    </w:p>
    <w:p w:rsidR="009C1021" w:rsidRDefault="009C1021" w:rsidP="009C1021">
      <w:pPr>
        <w:pStyle w:val="SCCNormalDoubleSpacing"/>
        <w:spacing w:after="480"/>
        <w:rPr>
          <w:lang w:val="fr-CA"/>
        </w:rPr>
      </w:pPr>
      <w:r>
        <w:rPr>
          <w:lang w:val="fr-CA"/>
        </w:rPr>
        <w:tab/>
        <w:t xml:space="preserve">POURVOI contre un arrêt de la Cour d’appel </w:t>
      </w:r>
      <w:r>
        <w:rPr>
          <w:color w:val="000000"/>
          <w:lang w:val="fr-CA"/>
        </w:rPr>
        <w:t>de l’Ontario</w:t>
      </w:r>
      <w:r>
        <w:rPr>
          <w:lang w:val="fr-CA"/>
        </w:rPr>
        <w:t xml:space="preserve"> (les juges Rouleau, Huscroft et Nordheimer), </w:t>
      </w:r>
      <w:r>
        <w:rPr>
          <w:color w:val="000000"/>
          <w:lang w:val="fr-CA"/>
        </w:rPr>
        <w:t xml:space="preserve">2019 ONCA 983, 35 R.F.L. (8th) 265, [2019] O.J. No. 6313 (QL), 2019 CarswellOnt 20744 (WL Can.), </w:t>
      </w:r>
      <w:r>
        <w:rPr>
          <w:lang w:val="fr-CA"/>
        </w:rPr>
        <w:t>qui a confirmé la décision du juge Ramsay, 2019 ONSC 2175, ayant rejeté la requête en modification de l’ordonnance relative à la garde des deux enfants du mariage et modifié le calendrier d’accès.</w:t>
      </w:r>
      <w:r>
        <w:rPr>
          <w:bCs/>
          <w:lang w:val="fr-CA"/>
        </w:rPr>
        <w:t xml:space="preserve"> Pourvoi rejeté.</w:t>
      </w:r>
    </w:p>
    <w:p w:rsidR="009C1021" w:rsidRDefault="009C1021" w:rsidP="009C1021">
      <w:pPr>
        <w:pStyle w:val="SCCNormalDoubleSpacing"/>
        <w:spacing w:after="480"/>
        <w:rPr>
          <w:color w:val="000000"/>
          <w:lang w:val="fr-CA"/>
        </w:rPr>
      </w:pPr>
      <w:r>
        <w:rPr>
          <w:lang w:val="fr-CA"/>
        </w:rPr>
        <w:tab/>
      </w:r>
      <w:r>
        <w:rPr>
          <w:i/>
          <w:iCs/>
          <w:lang w:val="fr-CA"/>
        </w:rPr>
        <w:t>Shawn Duguay</w:t>
      </w:r>
      <w:r>
        <w:rPr>
          <w:iCs/>
          <w:lang w:val="fr-CA"/>
        </w:rPr>
        <w:t xml:space="preserve"> et </w:t>
      </w:r>
      <w:r>
        <w:rPr>
          <w:i/>
          <w:iCs/>
          <w:lang w:val="fr-CA"/>
        </w:rPr>
        <w:t>Lauren Wilson</w:t>
      </w:r>
      <w:r>
        <w:rPr>
          <w:color w:val="000000"/>
          <w:lang w:val="fr-CA"/>
        </w:rPr>
        <w:t>, pour l’appelante.</w:t>
      </w:r>
    </w:p>
    <w:p w:rsidR="009C1021" w:rsidRDefault="009C1021" w:rsidP="009C1021">
      <w:pPr>
        <w:pStyle w:val="SCCNormalDoubleSpacing"/>
        <w:spacing w:after="480"/>
        <w:rPr>
          <w:color w:val="000000"/>
          <w:lang w:val="fr-CA"/>
        </w:rPr>
      </w:pPr>
      <w:r>
        <w:rPr>
          <w:color w:val="000000"/>
          <w:lang w:val="fr-CA"/>
        </w:rPr>
        <w:tab/>
      </w:r>
      <w:r>
        <w:rPr>
          <w:i/>
          <w:iCs/>
          <w:lang w:val="fr-CA"/>
        </w:rPr>
        <w:t>Aaron Franks</w:t>
      </w:r>
      <w:r>
        <w:rPr>
          <w:iCs/>
          <w:lang w:val="fr-CA"/>
        </w:rPr>
        <w:t xml:space="preserve">, </w:t>
      </w:r>
      <w:r>
        <w:rPr>
          <w:i/>
          <w:iCs/>
          <w:lang w:val="fr-CA"/>
        </w:rPr>
        <w:t>Michael Zalev</w:t>
      </w:r>
      <w:r>
        <w:rPr>
          <w:iCs/>
          <w:lang w:val="fr-CA"/>
        </w:rPr>
        <w:t xml:space="preserve"> et </w:t>
      </w:r>
      <w:r>
        <w:rPr>
          <w:i/>
          <w:iCs/>
          <w:lang w:val="fr-CA"/>
        </w:rPr>
        <w:t>Samantha Eisen</w:t>
      </w:r>
      <w:r>
        <w:rPr>
          <w:color w:val="000000"/>
          <w:lang w:val="fr-CA"/>
        </w:rPr>
        <w:t>, pour l’intimé.</w:t>
      </w:r>
    </w:p>
    <w:p w:rsidR="009C1021" w:rsidRDefault="009C1021" w:rsidP="009C1021">
      <w:pPr>
        <w:pStyle w:val="SCCNormalDoubleSpacing"/>
        <w:spacing w:after="480"/>
        <w:rPr>
          <w:color w:val="000000"/>
          <w:szCs w:val="20"/>
          <w:lang w:val="fr-CA" w:eastAsia="en-CA"/>
        </w:rPr>
      </w:pPr>
      <w:r>
        <w:rPr>
          <w:color w:val="000000"/>
          <w:lang w:val="fr-CA"/>
        </w:rPr>
        <w:tab/>
        <w:t>Version française du jugement de la Cour rendu oralement par</w:t>
      </w:r>
    </w:p>
    <w:p w:rsidR="009C1021" w:rsidRDefault="009C1021" w:rsidP="009C1021">
      <w:pPr>
        <w:pStyle w:val="SCCNormalDoubleSpacing"/>
        <w:spacing w:after="480"/>
        <w:rPr>
          <w:color w:val="000000"/>
          <w:lang w:val="fr-CA"/>
        </w:rPr>
      </w:pPr>
      <w:r>
        <w:rPr>
          <w:lang w:val="fr-CA"/>
        </w:rPr>
        <w:t>[1]</w:t>
      </w:r>
      <w:r>
        <w:rPr>
          <w:lang w:val="fr-CA"/>
        </w:rPr>
        <w:tab/>
      </w:r>
      <w:r>
        <w:rPr>
          <w:smallCaps/>
          <w:color w:val="000000"/>
          <w:lang w:val="fr-CA"/>
        </w:rPr>
        <w:t>Le juge Kasirer</w:t>
      </w:r>
      <w:r>
        <w:rPr>
          <w:color w:val="000000"/>
          <w:lang w:val="fr-CA"/>
        </w:rPr>
        <w:t xml:space="preserve"> — Le litige concernant la garde des deux enfants des parties en cause dans le présent pourvoi porte sur une appréciation correcte de l’intérêt des enfants. Lorsque l’autorisation d’interjeter appel a été accordée, une des questions en litige était de savoir si la fille et le fils des parties, âgés respectivement de 16 et 10 ans, devraient vivre principalement avec l’appelante à Ottawa ou avec l’intimé à Niagara.</w:t>
      </w:r>
    </w:p>
    <w:p w:rsidR="009C1021" w:rsidRDefault="009C1021" w:rsidP="009C1021">
      <w:pPr>
        <w:pStyle w:val="SCCNormalDoubleSpacing"/>
        <w:spacing w:after="480"/>
        <w:rPr>
          <w:color w:val="000000"/>
          <w:lang w:val="fr-CA"/>
        </w:rPr>
      </w:pPr>
      <w:r>
        <w:rPr>
          <w:color w:val="000000"/>
          <w:lang w:val="fr-CA"/>
        </w:rPr>
        <w:lastRenderedPageBreak/>
        <w:t>[2]</w:t>
      </w:r>
      <w:r>
        <w:rPr>
          <w:color w:val="000000"/>
          <w:lang w:val="fr-CA"/>
        </w:rPr>
        <w:tab/>
        <w:t>Le 6 octobre 2021 — une semaine avant la présente audience devant la Cour —, les parties ont écrit une lettre conjointe adressée au registraire pour informer la Cour de ce qu’ils ont décrit comme des [</w:t>
      </w:r>
      <w:r>
        <w:rPr>
          <w:smallCaps/>
          <w:color w:val="000000"/>
          <w:lang w:val="fr-CA"/>
        </w:rPr>
        <w:t>traduction</w:t>
      </w:r>
      <w:r>
        <w:rPr>
          <w:color w:val="000000"/>
          <w:lang w:val="fr-CA"/>
        </w:rPr>
        <w:t>] « changements relatifs aux enfants qui ont une incidence sur le dossier dans cette affaire ».</w:t>
      </w:r>
    </w:p>
    <w:p w:rsidR="009C1021" w:rsidRDefault="009C1021" w:rsidP="009C1021">
      <w:pPr>
        <w:pStyle w:val="SCCNormalDoubleSpacing"/>
        <w:spacing w:after="480"/>
        <w:rPr>
          <w:color w:val="000000"/>
          <w:lang w:val="fr-CA"/>
        </w:rPr>
      </w:pPr>
      <w:r>
        <w:rPr>
          <w:color w:val="000000"/>
          <w:lang w:val="fr-CA"/>
        </w:rPr>
        <w:t>[3]</w:t>
      </w:r>
      <w:r>
        <w:rPr>
          <w:color w:val="000000"/>
          <w:lang w:val="fr-CA"/>
        </w:rPr>
        <w:tab/>
        <w:t>Il s’agissait notamment d’une déclaration selon laquelle la fille des parties vit à Ottawa depuis plus d’un an et que, compte tenu de son âge, l’intimé ne souhaite pas prendre de mesures supplémentaires pour faire appliquer l’ordonnance du juge du procès quant à cette enfant.</w:t>
      </w:r>
    </w:p>
    <w:p w:rsidR="009C1021" w:rsidRDefault="009C1021" w:rsidP="009C1021">
      <w:pPr>
        <w:pStyle w:val="SCCNormalDoubleSpacing"/>
        <w:spacing w:after="480"/>
        <w:rPr>
          <w:color w:val="000000"/>
          <w:lang w:val="fr-CA"/>
        </w:rPr>
      </w:pPr>
      <w:r>
        <w:rPr>
          <w:color w:val="000000"/>
          <w:lang w:val="fr-CA"/>
        </w:rPr>
        <w:t>[4]</w:t>
      </w:r>
      <w:r>
        <w:rPr>
          <w:color w:val="000000"/>
          <w:lang w:val="fr-CA"/>
        </w:rPr>
        <w:tab/>
        <w:t>Nous notons en outre que les parties n’ont pas déposé de requête en vue de présenter devant notre Cour de nouveaux éléments de preuve quant à l’intérêt actuel des enfants.</w:t>
      </w:r>
    </w:p>
    <w:p w:rsidR="009C1021" w:rsidRDefault="009C1021" w:rsidP="009C1021">
      <w:pPr>
        <w:pStyle w:val="SCCNormalDoubleSpacing"/>
        <w:spacing w:after="480"/>
        <w:rPr>
          <w:color w:val="000000"/>
          <w:lang w:val="fr-CA"/>
        </w:rPr>
      </w:pPr>
      <w:r>
        <w:rPr>
          <w:color w:val="000000"/>
          <w:lang w:val="fr-CA"/>
        </w:rPr>
        <w:t>[5]</w:t>
      </w:r>
      <w:r>
        <w:rPr>
          <w:color w:val="000000"/>
          <w:lang w:val="fr-CA"/>
        </w:rPr>
        <w:tab/>
        <w:t>Dans les circonstances inhabituelles du présent pourvoi, et compte tenu de l’état du dossier qui, de l’avis même des parties, est incomplet, nous sommes unanimement d’avis que le pourvoi devrait être rejeté, sans dépens devant notre Cour. Le bon forum pour cerner et résoudre tout litige qui subsisterait entre les parties est la Cour supérieure où, s’il est satisfait aux exigences légales, il serait possible de solliciter une ordonnance modificative relative à la garde et au droit de visite.</w:t>
      </w:r>
    </w:p>
    <w:p w:rsidR="009C1021" w:rsidRDefault="009C1021" w:rsidP="009C1021">
      <w:pPr>
        <w:pStyle w:val="SCCNormalDoubleSpacing"/>
        <w:spacing w:after="480"/>
        <w:rPr>
          <w:color w:val="000000"/>
          <w:lang w:val="fr-CA"/>
        </w:rPr>
      </w:pPr>
      <w:r>
        <w:rPr>
          <w:color w:val="000000"/>
          <w:lang w:val="fr-CA"/>
        </w:rPr>
        <w:t>[6]</w:t>
      </w:r>
      <w:r>
        <w:rPr>
          <w:color w:val="000000"/>
          <w:lang w:val="fr-CA"/>
        </w:rPr>
        <w:tab/>
        <w:t>Compte tenu de la teneur de la lettre conjointe des parties et de l’état du dossier, nous ne sommes pas en mesure de fournir les orientations qui conviendraient quant à l’intérêt des enfants dans les circonstances.</w:t>
      </w:r>
    </w:p>
    <w:p w:rsidR="009C1021" w:rsidRDefault="009C1021" w:rsidP="009C1021">
      <w:pPr>
        <w:pStyle w:val="SCCNormalDoubleSpacing"/>
        <w:spacing w:after="480"/>
        <w:rPr>
          <w:color w:val="000000"/>
          <w:lang w:val="fr-CA"/>
        </w:rPr>
      </w:pPr>
      <w:r>
        <w:rPr>
          <w:color w:val="000000"/>
          <w:lang w:val="fr-CA"/>
        </w:rPr>
        <w:t>[7]</w:t>
      </w:r>
      <w:r>
        <w:rPr>
          <w:color w:val="000000"/>
          <w:lang w:val="fr-CA"/>
        </w:rPr>
        <w:tab/>
        <w:t>En conséquence, le pourvoi est rejeté, sans dépens devant notre Cour.</w:t>
      </w:r>
    </w:p>
    <w:p w:rsidR="009C1021" w:rsidRDefault="009C1021" w:rsidP="009C1021">
      <w:pPr>
        <w:pStyle w:val="SCCNormalDoubleSpacing"/>
        <w:spacing w:after="480"/>
        <w:rPr>
          <w:i/>
          <w:iCs/>
          <w:color w:val="000000"/>
          <w:lang w:val="fr-CA"/>
        </w:rPr>
      </w:pPr>
      <w:r>
        <w:rPr>
          <w:lang w:val="fr-CA"/>
        </w:rPr>
        <w:lastRenderedPageBreak/>
        <w:tab/>
      </w:r>
      <w:r>
        <w:rPr>
          <w:i/>
          <w:iCs/>
          <w:color w:val="000000"/>
          <w:lang w:val="fr-CA"/>
        </w:rPr>
        <w:t>Jugement en conséquence.</w:t>
      </w:r>
    </w:p>
    <w:p w:rsidR="009C1021" w:rsidRDefault="009C1021" w:rsidP="009C1021">
      <w:pPr>
        <w:pStyle w:val="SCCNormalDoubleSpacing"/>
        <w:spacing w:after="480"/>
        <w:rPr>
          <w:i/>
          <w:iCs/>
          <w:color w:val="000000"/>
          <w:lang w:val="fr-CA"/>
        </w:rPr>
      </w:pPr>
      <w:r>
        <w:rPr>
          <w:i/>
          <w:iCs/>
          <w:color w:val="000000"/>
          <w:lang w:val="fr-CA"/>
        </w:rPr>
        <w:tab/>
        <w:t xml:space="preserve">Procureurs de l’appelante : </w:t>
      </w:r>
      <w:r>
        <w:rPr>
          <w:bCs/>
          <w:i/>
          <w:lang w:val="fr-CA"/>
        </w:rPr>
        <w:t>Gowling WLG (Canada)</w:t>
      </w:r>
      <w:r>
        <w:rPr>
          <w:i/>
          <w:iCs/>
          <w:lang w:val="fr-CA"/>
        </w:rPr>
        <w:t>, Ottawa</w:t>
      </w:r>
      <w:r>
        <w:rPr>
          <w:i/>
          <w:iCs/>
          <w:color w:val="000000"/>
          <w:lang w:val="fr-CA"/>
        </w:rPr>
        <w:t>.</w:t>
      </w:r>
    </w:p>
    <w:p w:rsidR="009C1021" w:rsidRDefault="009C1021" w:rsidP="009C1021">
      <w:pPr>
        <w:pStyle w:val="SCCNormalDoubleSpacing"/>
        <w:spacing w:after="480"/>
        <w:rPr>
          <w:i/>
          <w:iCs/>
          <w:color w:val="000000"/>
          <w:lang w:val="fr-CA"/>
        </w:rPr>
      </w:pPr>
      <w:r>
        <w:rPr>
          <w:i/>
          <w:iCs/>
          <w:color w:val="000000"/>
          <w:lang w:val="fr-CA"/>
        </w:rPr>
        <w:tab/>
        <w:t xml:space="preserve">Procureurs de l’intimé : </w:t>
      </w:r>
      <w:r>
        <w:rPr>
          <w:i/>
          <w:color w:val="333333"/>
          <w:szCs w:val="21"/>
          <w:shd w:val="clear" w:color="auto" w:fill="FFFFFF"/>
          <w:lang w:val="fr-CA"/>
        </w:rPr>
        <w:t>Epstein Cole</w:t>
      </w:r>
      <w:r>
        <w:rPr>
          <w:i/>
          <w:lang w:val="fr-CA"/>
        </w:rPr>
        <w:t xml:space="preserve">, </w:t>
      </w:r>
      <w:r>
        <w:rPr>
          <w:i/>
          <w:iCs/>
          <w:lang w:val="fr-CA"/>
        </w:rPr>
        <w:t>Toronto</w:t>
      </w:r>
      <w:r>
        <w:rPr>
          <w:i/>
          <w:iCs/>
          <w:color w:val="000000"/>
          <w:lang w:val="fr-CA"/>
        </w:rPr>
        <w:t>.</w:t>
      </w:r>
    </w:p>
    <w:sectPr w:rsidR="009C1021" w:rsidSect="005F5429">
      <w:pgSz w:w="12240" w:h="15840"/>
      <w:pgMar w:top="1440" w:right="1440" w:bottom="1440" w:left="1440" w:header="180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D1436"/>
    <w:rsid w:val="000D1831"/>
    <w:rsid w:val="000F4467"/>
    <w:rsid w:val="00100074"/>
    <w:rsid w:val="001119BD"/>
    <w:rsid w:val="001311DA"/>
    <w:rsid w:val="00177E57"/>
    <w:rsid w:val="00196882"/>
    <w:rsid w:val="001A2CF8"/>
    <w:rsid w:val="001D6B8C"/>
    <w:rsid w:val="001E12E2"/>
    <w:rsid w:val="001E5B5A"/>
    <w:rsid w:val="001F1F83"/>
    <w:rsid w:val="00256B56"/>
    <w:rsid w:val="0028675F"/>
    <w:rsid w:val="0029156B"/>
    <w:rsid w:val="002E5878"/>
    <w:rsid w:val="002F0B6C"/>
    <w:rsid w:val="00355967"/>
    <w:rsid w:val="0036772A"/>
    <w:rsid w:val="00384384"/>
    <w:rsid w:val="003B2BE1"/>
    <w:rsid w:val="003B3C63"/>
    <w:rsid w:val="003B7306"/>
    <w:rsid w:val="00423C0D"/>
    <w:rsid w:val="00460AFC"/>
    <w:rsid w:val="00467372"/>
    <w:rsid w:val="00481754"/>
    <w:rsid w:val="004B6D25"/>
    <w:rsid w:val="004E69EC"/>
    <w:rsid w:val="004F090E"/>
    <w:rsid w:val="004F7322"/>
    <w:rsid w:val="00535189"/>
    <w:rsid w:val="00575871"/>
    <w:rsid w:val="00582136"/>
    <w:rsid w:val="0058383C"/>
    <w:rsid w:val="005C0397"/>
    <w:rsid w:val="005D5624"/>
    <w:rsid w:val="005F5429"/>
    <w:rsid w:val="006034F1"/>
    <w:rsid w:val="006936F1"/>
    <w:rsid w:val="006D697E"/>
    <w:rsid w:val="00701ABD"/>
    <w:rsid w:val="007740CA"/>
    <w:rsid w:val="00787F6E"/>
    <w:rsid w:val="007B32CD"/>
    <w:rsid w:val="008029A6"/>
    <w:rsid w:val="008029AC"/>
    <w:rsid w:val="00803557"/>
    <w:rsid w:val="008215C3"/>
    <w:rsid w:val="00842677"/>
    <w:rsid w:val="008714CB"/>
    <w:rsid w:val="00880B14"/>
    <w:rsid w:val="008B5797"/>
    <w:rsid w:val="008C75A4"/>
    <w:rsid w:val="008D575B"/>
    <w:rsid w:val="008F4691"/>
    <w:rsid w:val="00904937"/>
    <w:rsid w:val="00996510"/>
    <w:rsid w:val="009C1021"/>
    <w:rsid w:val="009F0F2D"/>
    <w:rsid w:val="00A51442"/>
    <w:rsid w:val="00A51D10"/>
    <w:rsid w:val="00A863F7"/>
    <w:rsid w:val="00AB2201"/>
    <w:rsid w:val="00AD1450"/>
    <w:rsid w:val="00BD4217"/>
    <w:rsid w:val="00C12FEA"/>
    <w:rsid w:val="00C34313"/>
    <w:rsid w:val="00CA3730"/>
    <w:rsid w:val="00D030DA"/>
    <w:rsid w:val="00D056AE"/>
    <w:rsid w:val="00D07EED"/>
    <w:rsid w:val="00D5237B"/>
    <w:rsid w:val="00D73EF4"/>
    <w:rsid w:val="00D751FC"/>
    <w:rsid w:val="00D76BDF"/>
    <w:rsid w:val="00DE2D91"/>
    <w:rsid w:val="00E356C7"/>
    <w:rsid w:val="00E53ED9"/>
    <w:rsid w:val="00E64FA7"/>
    <w:rsid w:val="00E7577F"/>
    <w:rsid w:val="00E770CB"/>
    <w:rsid w:val="00F01FC5"/>
    <w:rsid w:val="00F060D9"/>
    <w:rsid w:val="00F23028"/>
    <w:rsid w:val="00F25646"/>
    <w:rsid w:val="00F72014"/>
    <w:rsid w:val="00F837E7"/>
    <w:rsid w:val="00F9518C"/>
    <w:rsid w:val="00FA59EF"/>
    <w:rsid w:val="00FB616D"/>
    <w:rsid w:val="00FC53B1"/>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customStyle="1" w:styleId="SCCNormalDoubleSpacingChar">
    <w:name w:val="SCC.Normal.DoubleSpacing Char"/>
    <w:basedOn w:val="DefaultParagraphFont"/>
    <w:link w:val="SCCNormalDoubleSpacing"/>
    <w:locked/>
    <w:rsid w:val="009C1021"/>
  </w:style>
  <w:style w:type="paragraph" w:customStyle="1" w:styleId="SCCNormalDoubleSpacing">
    <w:name w:val="SCC.Normal.DoubleSpacing"/>
    <w:basedOn w:val="Normal"/>
    <w:link w:val="SCCNormalDoubleSpacingChar"/>
    <w:rsid w:val="009C1021"/>
    <w:pPr>
      <w:tabs>
        <w:tab w:val="left" w:pos="1168"/>
      </w:tabs>
      <w:spacing w:line="480" w:lineRule="auto"/>
      <w:jc w:val="both"/>
    </w:pPr>
    <w:rPr>
      <w:lang w:val="en-US"/>
    </w:rPr>
  </w:style>
  <w:style w:type="character" w:customStyle="1" w:styleId="SCCSystemYearChar">
    <w:name w:val="SCC.SystemYear Char"/>
    <w:basedOn w:val="DefaultParagraphFont"/>
    <w:link w:val="SCCSystemYear"/>
    <w:locked/>
    <w:rsid w:val="009C1021"/>
    <w:rPr>
      <w:b/>
    </w:rPr>
  </w:style>
  <w:style w:type="paragraph" w:customStyle="1" w:styleId="SCCSystemYear">
    <w:name w:val="SCC.SystemYear"/>
    <w:basedOn w:val="Normal"/>
    <w:next w:val="Normal"/>
    <w:link w:val="SCCSystemYearChar"/>
    <w:rsid w:val="009C1021"/>
    <w:rPr>
      <w:b/>
      <w:lang w:val="en-US"/>
    </w:rPr>
  </w:style>
  <w:style w:type="character" w:customStyle="1" w:styleId="SCCLsocLastPartyInRoleChar">
    <w:name w:val="SCC.Lsoc.LastPartyInRole Char"/>
    <w:basedOn w:val="DefaultParagraphFont"/>
    <w:link w:val="SCCLsocLastPartyInRole"/>
    <w:locked/>
    <w:rsid w:val="009C1021"/>
    <w:rPr>
      <w:b/>
    </w:rPr>
  </w:style>
  <w:style w:type="paragraph" w:customStyle="1" w:styleId="SCCLsocLastPartyInRole">
    <w:name w:val="SCC.Lsoc.LastPartyInRole"/>
    <w:basedOn w:val="Normal"/>
    <w:next w:val="Normal"/>
    <w:link w:val="SCCLsocLastPartyInRoleChar"/>
    <w:qFormat/>
    <w:rsid w:val="009C1021"/>
    <w:pPr>
      <w:tabs>
        <w:tab w:val="right" w:pos="8222"/>
      </w:tabs>
      <w:spacing w:after="720"/>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068">
      <w:bodyDiv w:val="1"/>
      <w:marLeft w:val="0"/>
      <w:marRight w:val="0"/>
      <w:marTop w:val="0"/>
      <w:marBottom w:val="0"/>
      <w:divBdr>
        <w:top w:val="none" w:sz="0" w:space="0" w:color="auto"/>
        <w:left w:val="none" w:sz="0" w:space="0" w:color="auto"/>
        <w:bottom w:val="none" w:sz="0" w:space="0" w:color="auto"/>
        <w:right w:val="none" w:sz="0" w:space="0" w:color="auto"/>
      </w:divBdr>
    </w:div>
    <w:div w:id="1009286803">
      <w:bodyDiv w:val="1"/>
      <w:marLeft w:val="0"/>
      <w:marRight w:val="0"/>
      <w:marTop w:val="0"/>
      <w:marBottom w:val="0"/>
      <w:divBdr>
        <w:top w:val="none" w:sz="0" w:space="0" w:color="auto"/>
        <w:left w:val="none" w:sz="0" w:space="0" w:color="auto"/>
        <w:bottom w:val="none" w:sz="0" w:space="0" w:color="auto"/>
        <w:right w:val="none" w:sz="0" w:space="0" w:color="auto"/>
      </w:divBdr>
    </w:div>
    <w:div w:id="1635602383">
      <w:bodyDiv w:val="1"/>
      <w:marLeft w:val="0"/>
      <w:marRight w:val="0"/>
      <w:marTop w:val="0"/>
      <w:marBottom w:val="0"/>
      <w:divBdr>
        <w:top w:val="none" w:sz="0" w:space="0" w:color="auto"/>
        <w:left w:val="none" w:sz="0" w:space="0" w:color="auto"/>
        <w:bottom w:val="none" w:sz="0" w:space="0" w:color="auto"/>
        <w:right w:val="none" w:sz="0" w:space="0" w:color="auto"/>
      </w:divBdr>
    </w:div>
    <w:div w:id="1806391657">
      <w:bodyDiv w:val="1"/>
      <w:marLeft w:val="0"/>
      <w:marRight w:val="0"/>
      <w:marTop w:val="0"/>
      <w:marBottom w:val="0"/>
      <w:divBdr>
        <w:top w:val="none" w:sz="0" w:space="0" w:color="auto"/>
        <w:left w:val="none" w:sz="0" w:space="0" w:color="auto"/>
        <w:bottom w:val="none" w:sz="0" w:space="0" w:color="auto"/>
        <w:right w:val="none" w:sz="0" w:space="0" w:color="auto"/>
      </w:divBdr>
    </w:div>
    <w:div w:id="1839615464">
      <w:bodyDiv w:val="1"/>
      <w:marLeft w:val="0"/>
      <w:marRight w:val="0"/>
      <w:marTop w:val="0"/>
      <w:marBottom w:val="0"/>
      <w:divBdr>
        <w:top w:val="none" w:sz="0" w:space="0" w:color="auto"/>
        <w:left w:val="none" w:sz="0" w:space="0" w:color="auto"/>
        <w:bottom w:val="none" w:sz="0" w:space="0" w:color="auto"/>
        <w:right w:val="none" w:sz="0" w:space="0" w:color="auto"/>
      </w:divBdr>
    </w:div>
    <w:div w:id="20019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72252.19B69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2021-10-15T12:22:00Z</dcterms:created>
  <dcterms:modified xsi:type="dcterms:W3CDTF">2022-02-25T20:05:00Z</dcterms:modified>
</cp:coreProperties>
</file>