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270"/>
        <w:gridCol w:w="1559"/>
        <w:gridCol w:w="1415"/>
        <w:gridCol w:w="3828"/>
      </w:tblGrid>
      <w:tr w:rsidR="00423C0D" w:rsidRPr="005778C4" w:rsidTr="00423C0D">
        <w:trPr>
          <w:trHeight w:val="1786"/>
        </w:trPr>
        <w:tc>
          <w:tcPr>
            <w:tcW w:w="5000" w:type="pct"/>
            <w:gridSpan w:val="4"/>
          </w:tcPr>
          <w:p w:rsidR="00423C0D" w:rsidRPr="005778C4" w:rsidRDefault="00423C0D" w:rsidP="00A51442">
            <w:pPr>
              <w:pStyle w:val="SCCBold"/>
              <w:jc w:val="center"/>
            </w:pPr>
            <w:r w:rsidRPr="005778C4">
              <w:rPr>
                <w:noProof/>
                <w:lang w:val="en-US"/>
              </w:rPr>
              <w:drawing>
                <wp:inline distT="0" distB="0" distL="0" distR="0" wp14:anchorId="4E1468BC" wp14:editId="0002C899">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423C0D" w:rsidRPr="005778C4" w:rsidRDefault="00423C0D" w:rsidP="009764CA">
            <w:pPr>
              <w:spacing w:before="120" w:after="100" w:afterAutospacing="1"/>
              <w:jc w:val="center"/>
              <w:rPr>
                <w:rFonts w:eastAsia="Calibri"/>
              </w:rPr>
            </w:pPr>
            <w:r w:rsidRPr="005778C4">
              <w:rPr>
                <w:rFonts w:eastAsia="Calibri"/>
                <w:b/>
              </w:rPr>
              <w:t>COUR SUPRÊME DU CANADA</w:t>
            </w:r>
          </w:p>
        </w:tc>
      </w:tr>
      <w:tr w:rsidR="00D056AE" w:rsidRPr="005778C4" w:rsidTr="00D056AE">
        <w:tblPrEx>
          <w:tblCellMar>
            <w:top w:w="58" w:type="dxa"/>
            <w:left w:w="58" w:type="dxa"/>
            <w:bottom w:w="58" w:type="dxa"/>
            <w:right w:w="58" w:type="dxa"/>
          </w:tblCellMar>
        </w:tblPrEx>
        <w:trPr>
          <w:cantSplit/>
        </w:trPr>
        <w:tc>
          <w:tcPr>
            <w:tcW w:w="2110" w:type="pct"/>
            <w:gridSpan w:val="2"/>
          </w:tcPr>
          <w:p w:rsidR="008215C3" w:rsidRPr="005778C4" w:rsidRDefault="008215C3" w:rsidP="002F0B6C">
            <w:pPr>
              <w:rPr>
                <w:b/>
                <w:smallCaps/>
              </w:rPr>
            </w:pPr>
          </w:p>
          <w:p w:rsidR="00D056AE" w:rsidRPr="005778C4" w:rsidRDefault="00D056AE" w:rsidP="000D1CF6">
            <w:pPr>
              <w:rPr>
                <w:b/>
                <w:smallCaps/>
              </w:rPr>
            </w:pPr>
            <w:r w:rsidRPr="005778C4">
              <w:rPr>
                <w:b/>
                <w:smallCaps/>
              </w:rPr>
              <w:t>Référence :</w:t>
            </w:r>
            <w:r w:rsidRPr="005778C4">
              <w:t xml:space="preserve"> </w:t>
            </w:r>
            <w:r w:rsidR="000D1CF6" w:rsidRPr="005778C4">
              <w:t xml:space="preserve">R. </w:t>
            </w:r>
            <w:r w:rsidR="000D1CF6" w:rsidRPr="005778C4">
              <w:rPr>
                <w:i/>
              </w:rPr>
              <w:t xml:space="preserve">c. </w:t>
            </w:r>
            <w:r w:rsidR="000D1CF6" w:rsidRPr="005778C4">
              <w:t xml:space="preserve">Reilly, 2021 CSC </w:t>
            </w:r>
            <w:r w:rsidR="00B07E61" w:rsidRPr="005778C4">
              <w:rPr>
                <w:rFonts w:ascii="Helvetica Neue" w:hAnsi="Helvetica Neue"/>
                <w:color w:val="333333"/>
                <w:shd w:val="clear" w:color="auto" w:fill="FFFFFF"/>
              </w:rPr>
              <w:t>38</w:t>
            </w:r>
          </w:p>
        </w:tc>
        <w:tc>
          <w:tcPr>
            <w:tcW w:w="780" w:type="pct"/>
          </w:tcPr>
          <w:p w:rsidR="00D056AE" w:rsidRPr="005778C4" w:rsidRDefault="00D056AE" w:rsidP="002F0B6C"/>
        </w:tc>
        <w:tc>
          <w:tcPr>
            <w:tcW w:w="2109" w:type="pct"/>
          </w:tcPr>
          <w:p w:rsidR="00D056AE" w:rsidRPr="005778C4" w:rsidRDefault="00D056AE" w:rsidP="00423C0D">
            <w:pPr>
              <w:jc w:val="both"/>
              <w:rPr>
                <w:b/>
                <w:smallCaps/>
              </w:rPr>
            </w:pPr>
          </w:p>
          <w:p w:rsidR="00D056AE" w:rsidRPr="005778C4" w:rsidRDefault="00D056AE" w:rsidP="00423C0D">
            <w:pPr>
              <w:jc w:val="both"/>
            </w:pPr>
            <w:r w:rsidRPr="005778C4">
              <w:rPr>
                <w:b/>
                <w:smallCaps/>
              </w:rPr>
              <w:t>Appel entendu :</w:t>
            </w:r>
            <w:r w:rsidRPr="005778C4">
              <w:t xml:space="preserve"> </w:t>
            </w:r>
            <w:r w:rsidR="000D1CF6" w:rsidRPr="005778C4">
              <w:t>14 octobre 2021</w:t>
            </w:r>
          </w:p>
          <w:p w:rsidR="00D056AE" w:rsidRPr="005778C4" w:rsidRDefault="00D056AE">
            <w:r w:rsidRPr="005778C4">
              <w:rPr>
                <w:b/>
                <w:smallCaps/>
              </w:rPr>
              <w:t>Jugement rendu :</w:t>
            </w:r>
            <w:r w:rsidRPr="005778C4">
              <w:t xml:space="preserve"> </w:t>
            </w:r>
            <w:r w:rsidR="000D1CF6" w:rsidRPr="005778C4">
              <w:t>14 octobre 2021</w:t>
            </w:r>
          </w:p>
          <w:p w:rsidR="00D056AE" w:rsidRPr="005778C4" w:rsidRDefault="00D056AE" w:rsidP="000D1CF6">
            <w:r w:rsidRPr="005778C4">
              <w:rPr>
                <w:b/>
                <w:smallCaps/>
              </w:rPr>
              <w:t>Dossier :</w:t>
            </w:r>
            <w:r w:rsidRPr="005778C4">
              <w:t xml:space="preserve"> </w:t>
            </w:r>
            <w:r w:rsidR="000D1CF6" w:rsidRPr="005778C4">
              <w:t>39531</w:t>
            </w:r>
          </w:p>
        </w:tc>
      </w:tr>
      <w:tr w:rsidR="00423C0D" w:rsidRPr="005778C4" w:rsidTr="00423C0D">
        <w:tblPrEx>
          <w:tblCellMar>
            <w:top w:w="58" w:type="dxa"/>
            <w:left w:w="58" w:type="dxa"/>
            <w:bottom w:w="58" w:type="dxa"/>
            <w:right w:w="58" w:type="dxa"/>
          </w:tblCellMar>
        </w:tblPrEx>
        <w:trPr>
          <w:cantSplit/>
        </w:trPr>
        <w:tc>
          <w:tcPr>
            <w:tcW w:w="5000" w:type="pct"/>
            <w:gridSpan w:val="4"/>
          </w:tcPr>
          <w:p w:rsidR="00423C0D" w:rsidRPr="005778C4" w:rsidRDefault="00423C0D" w:rsidP="00423C0D"/>
          <w:p w:rsidR="00296CA1" w:rsidRPr="005778C4" w:rsidRDefault="004533C0">
            <w:pPr>
              <w:pStyle w:val="SCCLsocPrefix"/>
            </w:pPr>
            <w:r w:rsidRPr="005778C4">
              <w:t>Entre :</w:t>
            </w:r>
          </w:p>
          <w:p w:rsidR="00356422" w:rsidRPr="005778C4" w:rsidRDefault="00356422" w:rsidP="00356422"/>
          <w:p w:rsidR="000D1CF6" w:rsidRPr="005778C4" w:rsidRDefault="000D1CF6">
            <w:pPr>
              <w:pStyle w:val="SCCLsocPartyRole"/>
              <w:rPr>
                <w:b/>
                <w:bCs/>
              </w:rPr>
            </w:pPr>
            <w:r w:rsidRPr="005778C4">
              <w:rPr>
                <w:b/>
                <w:bCs/>
              </w:rPr>
              <w:t>Sa Majesté la Reine</w:t>
            </w:r>
          </w:p>
          <w:p w:rsidR="00296CA1" w:rsidRPr="005778C4" w:rsidRDefault="000D1CF6">
            <w:pPr>
              <w:pStyle w:val="SCCLsocPartyRole"/>
            </w:pPr>
            <w:r w:rsidRPr="005778C4">
              <w:t>Appelante</w:t>
            </w:r>
          </w:p>
          <w:p w:rsidR="00296CA1" w:rsidRPr="005778C4" w:rsidRDefault="00296CA1"/>
          <w:p w:rsidR="00296CA1" w:rsidRPr="005778C4" w:rsidRDefault="000D1CF6">
            <w:pPr>
              <w:pStyle w:val="SCCLsocVersus"/>
            </w:pPr>
            <w:r w:rsidRPr="005778C4">
              <w:t>et</w:t>
            </w:r>
          </w:p>
          <w:p w:rsidR="00296CA1" w:rsidRPr="005778C4" w:rsidRDefault="00296CA1"/>
          <w:p w:rsidR="00296CA1" w:rsidRPr="005778C4" w:rsidRDefault="000D1CF6">
            <w:pPr>
              <w:pStyle w:val="SCCLsocParty"/>
            </w:pPr>
            <w:r w:rsidRPr="005778C4">
              <w:rPr>
                <w:bCs/>
              </w:rPr>
              <w:t>Liam Reilly</w:t>
            </w:r>
          </w:p>
          <w:p w:rsidR="00296CA1" w:rsidRPr="005778C4" w:rsidRDefault="000D1CF6">
            <w:pPr>
              <w:pStyle w:val="SCCLsocPartyRole"/>
            </w:pPr>
            <w:r w:rsidRPr="005778C4">
              <w:t>Intimé</w:t>
            </w:r>
          </w:p>
          <w:p w:rsidR="00C34313" w:rsidRPr="005778C4" w:rsidRDefault="00C34313" w:rsidP="00423C0D"/>
          <w:p w:rsidR="00423C0D" w:rsidRPr="005778C4" w:rsidRDefault="00423C0D" w:rsidP="00423C0D">
            <w:pPr>
              <w:jc w:val="center"/>
              <w:rPr>
                <w:b/>
                <w:smallCaps/>
              </w:rPr>
            </w:pPr>
            <w:r w:rsidRPr="005778C4">
              <w:rPr>
                <w:b/>
                <w:smallCaps/>
              </w:rPr>
              <w:t>Traduction française officielle</w:t>
            </w:r>
          </w:p>
          <w:p w:rsidR="00423C0D" w:rsidRPr="005778C4" w:rsidRDefault="00423C0D" w:rsidP="00423C0D"/>
          <w:p w:rsidR="00423C0D" w:rsidRPr="005778C4" w:rsidRDefault="00423C0D" w:rsidP="00423C0D">
            <w:r w:rsidRPr="005778C4">
              <w:rPr>
                <w:b/>
                <w:smallCaps/>
              </w:rPr>
              <w:t>Coram :</w:t>
            </w:r>
            <w:r w:rsidRPr="005778C4">
              <w:t xml:space="preserve"> </w:t>
            </w:r>
            <w:r w:rsidR="00A25381" w:rsidRPr="005778C4">
              <w:rPr>
                <w:color w:val="000000"/>
              </w:rPr>
              <w:t>Le juge en chef Wagner et les juges Moldaver, Karakatsanis, Côté, Brown, Rowe, Martin, Kasirer et Jamal</w:t>
            </w:r>
          </w:p>
          <w:p w:rsidR="00423C0D" w:rsidRPr="005778C4" w:rsidRDefault="00423C0D" w:rsidP="00423C0D">
            <w:pPr>
              <w:jc w:val="both"/>
              <w:rPr>
                <w:b/>
                <w:smallCaps/>
              </w:rPr>
            </w:pPr>
          </w:p>
        </w:tc>
      </w:tr>
      <w:tr w:rsidR="004E69EC" w:rsidRPr="005778C4" w:rsidTr="00D056AE">
        <w:tblPrEx>
          <w:tblCellMar>
            <w:top w:w="58" w:type="dxa"/>
            <w:left w:w="58" w:type="dxa"/>
            <w:bottom w:w="58" w:type="dxa"/>
            <w:right w:w="58" w:type="dxa"/>
          </w:tblCellMar>
        </w:tblPrEx>
        <w:trPr>
          <w:cantSplit/>
        </w:trPr>
        <w:tc>
          <w:tcPr>
            <w:tcW w:w="1251" w:type="pct"/>
          </w:tcPr>
          <w:p w:rsidR="00130A1C" w:rsidRPr="005778C4" w:rsidRDefault="00130A1C" w:rsidP="00130A1C">
            <w:pPr>
              <w:rPr>
                <w:rFonts w:eastAsia="Times New Roman" w:cs="Times New Roman"/>
                <w:color w:val="000000"/>
                <w:szCs w:val="27"/>
              </w:rPr>
            </w:pPr>
            <w:r w:rsidRPr="005778C4">
              <w:rPr>
                <w:rFonts w:eastAsia="Times New Roman" w:cs="Times New Roman"/>
                <w:b/>
                <w:bCs/>
                <w:smallCaps/>
                <w:color w:val="000000"/>
                <w:szCs w:val="27"/>
              </w:rPr>
              <w:t>Jugement unanime lu par :</w:t>
            </w:r>
          </w:p>
          <w:p w:rsidR="00130A1C" w:rsidRPr="005778C4" w:rsidRDefault="00130A1C" w:rsidP="00130A1C">
            <w:pPr>
              <w:rPr>
                <w:rFonts w:eastAsia="Times New Roman" w:cs="Times New Roman"/>
                <w:color w:val="000000"/>
                <w:szCs w:val="27"/>
              </w:rPr>
            </w:pPr>
            <w:r w:rsidRPr="005778C4">
              <w:rPr>
                <w:rFonts w:eastAsia="Times New Roman" w:cs="Times New Roman"/>
                <w:color w:val="000000"/>
                <w:szCs w:val="27"/>
              </w:rPr>
              <w:t>(par. </w:t>
            </w:r>
            <w:r w:rsidR="00B07E61" w:rsidRPr="005778C4">
              <w:rPr>
                <w:rFonts w:eastAsia="Times New Roman" w:cs="Times New Roman"/>
                <w:color w:val="000000"/>
                <w:szCs w:val="27"/>
              </w:rPr>
              <w:t>1 à 4</w:t>
            </w:r>
            <w:r w:rsidRPr="005778C4">
              <w:rPr>
                <w:rFonts w:eastAsia="Times New Roman" w:cs="Times New Roman"/>
                <w:color w:val="000000"/>
                <w:szCs w:val="27"/>
              </w:rPr>
              <w:t>)</w:t>
            </w:r>
          </w:p>
          <w:p w:rsidR="00130A1C" w:rsidRPr="005778C4" w:rsidRDefault="00130A1C" w:rsidP="00130A1C"/>
        </w:tc>
        <w:tc>
          <w:tcPr>
            <w:tcW w:w="3749" w:type="pct"/>
            <w:gridSpan w:val="3"/>
          </w:tcPr>
          <w:p w:rsidR="004E69EC" w:rsidRPr="005778C4" w:rsidRDefault="00B07E61" w:rsidP="00B07E61">
            <w:r w:rsidRPr="005778C4">
              <w:t xml:space="preserve">Le juge </w:t>
            </w:r>
            <w:r w:rsidRPr="005778C4">
              <w:rPr>
                <w:color w:val="000000"/>
              </w:rPr>
              <w:t>Moldaver</w:t>
            </w:r>
          </w:p>
        </w:tc>
      </w:tr>
      <w:tr w:rsidR="00130A1C" w:rsidRPr="005778C4" w:rsidTr="00E276D5">
        <w:tblPrEx>
          <w:tblCellMar>
            <w:top w:w="58" w:type="dxa"/>
            <w:left w:w="58" w:type="dxa"/>
            <w:bottom w:w="58" w:type="dxa"/>
            <w:right w:w="58" w:type="dxa"/>
          </w:tblCellMar>
        </w:tblPrEx>
        <w:trPr>
          <w:cantSplit/>
        </w:trPr>
        <w:tc>
          <w:tcPr>
            <w:tcW w:w="1" w:type="pct"/>
            <w:gridSpan w:val="4"/>
          </w:tcPr>
          <w:p w:rsidR="00130A1C" w:rsidRPr="005778C4" w:rsidRDefault="00130A1C" w:rsidP="001F1F32"/>
        </w:tc>
      </w:tr>
    </w:tbl>
    <w:p w:rsidR="00904937" w:rsidRPr="005778C4" w:rsidRDefault="00904937">
      <w:r w:rsidRPr="005778C4">
        <w:rPr>
          <w:b/>
          <w:smallCaps/>
        </w:rPr>
        <w:t>Note</w:t>
      </w:r>
      <w:r w:rsidR="002F0B6C" w:rsidRPr="005778C4">
        <w:rPr>
          <w:b/>
          <w:smallCaps/>
        </w:rPr>
        <w:t> :</w:t>
      </w:r>
      <w:r w:rsidRPr="005778C4">
        <w:rPr>
          <w:b/>
        </w:rPr>
        <w:t xml:space="preserve"> </w:t>
      </w:r>
      <w:r w:rsidR="001E12E2" w:rsidRPr="005778C4">
        <w:t>Ce document fera l’objet de retouches de forme avant la parution</w:t>
      </w:r>
      <w:r w:rsidR="005C0397" w:rsidRPr="005778C4">
        <w:t xml:space="preserve"> </w:t>
      </w:r>
      <w:r w:rsidR="001E12E2" w:rsidRPr="005778C4">
        <w:t>de sa version définitive dans le</w:t>
      </w:r>
      <w:r w:rsidRPr="005778C4">
        <w:t xml:space="preserve"> </w:t>
      </w:r>
      <w:r w:rsidR="001E12E2" w:rsidRPr="005778C4">
        <w:rPr>
          <w:i/>
        </w:rPr>
        <w:t>Recueil des arrêts de la Cour suprême du C</w:t>
      </w:r>
      <w:r w:rsidRPr="005778C4">
        <w:rPr>
          <w:i/>
        </w:rPr>
        <w:t>anada</w:t>
      </w:r>
      <w:r w:rsidRPr="005778C4">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0D1436" w:rsidRPr="005778C4" w:rsidTr="003375C9">
        <w:tc>
          <w:tcPr>
            <w:tcW w:w="1500" w:type="pct"/>
            <w:tcMar>
              <w:top w:w="284" w:type="dxa"/>
            </w:tcMar>
          </w:tcPr>
          <w:p w:rsidR="000D1436" w:rsidRPr="005778C4" w:rsidRDefault="000D1436" w:rsidP="003375C9">
            <w:pPr>
              <w:rPr>
                <w:rFonts w:eastAsia="Calibri"/>
              </w:rPr>
            </w:pPr>
          </w:p>
        </w:tc>
        <w:tc>
          <w:tcPr>
            <w:tcW w:w="2000" w:type="pct"/>
            <w:tcBorders>
              <w:bottom w:val="single" w:sz="4" w:space="0" w:color="auto"/>
            </w:tcBorders>
            <w:tcMar>
              <w:top w:w="284" w:type="dxa"/>
            </w:tcMar>
          </w:tcPr>
          <w:p w:rsidR="000D1436" w:rsidRPr="005778C4" w:rsidRDefault="000D1436" w:rsidP="003375C9">
            <w:pPr>
              <w:rPr>
                <w:rFonts w:eastAsia="Calibri"/>
              </w:rPr>
            </w:pPr>
          </w:p>
        </w:tc>
        <w:tc>
          <w:tcPr>
            <w:tcW w:w="1500" w:type="pct"/>
            <w:tcMar>
              <w:top w:w="284" w:type="dxa"/>
            </w:tcMar>
          </w:tcPr>
          <w:p w:rsidR="000D1436" w:rsidRPr="005778C4" w:rsidRDefault="000D1436" w:rsidP="003375C9">
            <w:pPr>
              <w:rPr>
                <w:rFonts w:eastAsia="Calibri"/>
              </w:rPr>
            </w:pPr>
          </w:p>
        </w:tc>
      </w:tr>
    </w:tbl>
    <w:p w:rsidR="005778C4" w:rsidRPr="005778C4" w:rsidRDefault="005778C4"/>
    <w:p w:rsidR="005778C4" w:rsidRPr="005778C4" w:rsidRDefault="005778C4" w:rsidP="005778C4">
      <w:r w:rsidRPr="005778C4">
        <w:br w:type="page"/>
      </w:r>
    </w:p>
    <w:p w:rsidR="005778C4" w:rsidRPr="005778C4" w:rsidRDefault="005778C4" w:rsidP="005778C4">
      <w:pPr>
        <w:pStyle w:val="SCCLsocLastPartyInRole"/>
        <w:rPr>
          <w:lang w:val="fr-CA"/>
        </w:rPr>
      </w:pPr>
      <w:r w:rsidRPr="005778C4">
        <w:rPr>
          <w:bCs/>
          <w:lang w:val="fr-CA"/>
        </w:rPr>
        <w:t>Sa Majesté la Reine</w:t>
      </w:r>
      <w:r w:rsidRPr="005778C4">
        <w:rPr>
          <w:lang w:val="fr-CA"/>
        </w:rPr>
        <w:tab/>
      </w:r>
      <w:r w:rsidRPr="005778C4">
        <w:rPr>
          <w:b w:val="0"/>
          <w:i/>
          <w:lang w:val="fr-CA"/>
        </w:rPr>
        <w:t>Appelante</w:t>
      </w:r>
    </w:p>
    <w:p w:rsidR="005778C4" w:rsidRPr="005778C4" w:rsidRDefault="005778C4" w:rsidP="005778C4">
      <w:pPr>
        <w:pStyle w:val="SCCLsocVersus"/>
        <w:spacing w:after="480" w:line="480" w:lineRule="auto"/>
        <w:jc w:val="left"/>
        <w:rPr>
          <w:i/>
        </w:rPr>
      </w:pPr>
      <w:proofErr w:type="gramStart"/>
      <w:r w:rsidRPr="005778C4">
        <w:rPr>
          <w:i/>
        </w:rPr>
        <w:t>c</w:t>
      </w:r>
      <w:proofErr w:type="gramEnd"/>
      <w:r w:rsidRPr="005778C4">
        <w:rPr>
          <w:i/>
        </w:rPr>
        <w:t>.</w:t>
      </w:r>
    </w:p>
    <w:p w:rsidR="005778C4" w:rsidRPr="005778C4" w:rsidRDefault="005778C4" w:rsidP="005778C4">
      <w:pPr>
        <w:pStyle w:val="SCCLsocLastPartyInRole"/>
        <w:rPr>
          <w:lang w:val="fr-CA"/>
        </w:rPr>
      </w:pPr>
      <w:r w:rsidRPr="005778C4">
        <w:rPr>
          <w:bCs/>
          <w:lang w:val="fr-CA"/>
        </w:rPr>
        <w:t>Liam Reilly</w:t>
      </w:r>
      <w:r w:rsidRPr="005778C4">
        <w:rPr>
          <w:lang w:val="fr-CA"/>
        </w:rPr>
        <w:tab/>
      </w:r>
      <w:r w:rsidRPr="005778C4">
        <w:rPr>
          <w:b w:val="0"/>
          <w:i/>
          <w:lang w:val="fr-CA"/>
        </w:rPr>
        <w:t>Intimé</w:t>
      </w:r>
    </w:p>
    <w:p w:rsidR="005778C4" w:rsidRPr="005778C4" w:rsidRDefault="005778C4" w:rsidP="005778C4">
      <w:pPr>
        <w:spacing w:after="720"/>
        <w:jc w:val="both"/>
        <w:rPr>
          <w:b/>
        </w:rPr>
      </w:pPr>
      <w:r w:rsidRPr="005778C4">
        <w:rPr>
          <w:b/>
        </w:rPr>
        <w:t xml:space="preserve">Répertorié : R. </w:t>
      </w:r>
      <w:r w:rsidRPr="005778C4">
        <w:rPr>
          <w:b/>
          <w:i/>
          <w:iCs/>
        </w:rPr>
        <w:t>c.</w:t>
      </w:r>
      <w:r w:rsidRPr="005778C4">
        <w:rPr>
          <w:b/>
        </w:rPr>
        <w:t xml:space="preserve"> Reilly</w:t>
      </w:r>
    </w:p>
    <w:p w:rsidR="005778C4" w:rsidRPr="005778C4" w:rsidRDefault="005778C4" w:rsidP="005778C4">
      <w:pPr>
        <w:pStyle w:val="SCCSystemYear"/>
        <w:spacing w:after="720"/>
        <w:jc w:val="both"/>
        <w:rPr>
          <w:lang w:val="fr-CA"/>
        </w:rPr>
      </w:pPr>
      <w:r w:rsidRPr="005778C4">
        <w:rPr>
          <w:lang w:val="fr-CA"/>
        </w:rPr>
        <w:t xml:space="preserve">2021 CSC </w:t>
      </w:r>
      <w:r w:rsidRPr="005778C4">
        <w:rPr>
          <w:rFonts w:ascii="Helvetica Neue" w:hAnsi="Helvetica Neue"/>
          <w:color w:val="333333"/>
          <w:shd w:val="clear" w:color="auto" w:fill="FFFFFF"/>
          <w:lang w:val="fr-CA"/>
        </w:rPr>
        <w:t>38</w:t>
      </w:r>
    </w:p>
    <w:p w:rsidR="005778C4" w:rsidRPr="005778C4" w:rsidRDefault="005778C4" w:rsidP="005778C4">
      <w:pPr>
        <w:spacing w:after="720"/>
        <w:jc w:val="both"/>
      </w:pPr>
      <w:r w:rsidRPr="005778C4">
        <w:t>N</w:t>
      </w:r>
      <w:r w:rsidRPr="005778C4">
        <w:rPr>
          <w:vertAlign w:val="superscript"/>
        </w:rPr>
        <w:t>o</w:t>
      </w:r>
      <w:r w:rsidRPr="005778C4">
        <w:t xml:space="preserve"> du greffe : </w:t>
      </w:r>
      <w:r w:rsidRPr="005778C4">
        <w:rPr>
          <w:color w:val="000000"/>
        </w:rPr>
        <w:t>39531</w:t>
      </w:r>
      <w:r w:rsidRPr="005778C4">
        <w:t>.</w:t>
      </w:r>
    </w:p>
    <w:p w:rsidR="005778C4" w:rsidRPr="005778C4" w:rsidRDefault="005778C4" w:rsidP="005778C4">
      <w:pPr>
        <w:spacing w:after="720"/>
        <w:jc w:val="both"/>
      </w:pPr>
      <w:r w:rsidRPr="005778C4">
        <w:t xml:space="preserve">2021 : </w:t>
      </w:r>
      <w:r w:rsidRPr="005778C4">
        <w:rPr>
          <w:color w:val="000000"/>
        </w:rPr>
        <w:t>14 octobre</w:t>
      </w:r>
      <w:r w:rsidRPr="005778C4">
        <w:t>.</w:t>
      </w:r>
    </w:p>
    <w:p w:rsidR="005778C4" w:rsidRPr="005778C4" w:rsidRDefault="005778C4" w:rsidP="005778C4">
      <w:pPr>
        <w:spacing w:after="720"/>
        <w:jc w:val="both"/>
      </w:pPr>
      <w:r w:rsidRPr="005778C4">
        <w:t xml:space="preserve">Présents : </w:t>
      </w:r>
      <w:r w:rsidRPr="005778C4">
        <w:rPr>
          <w:color w:val="000000"/>
        </w:rPr>
        <w:t>Le juge en chef Wagner et les juges Moldaver, Karakatsanis, Côté, Brown, Rowe, Martin, Kasirer et Jamal.</w:t>
      </w:r>
    </w:p>
    <w:p w:rsidR="005778C4" w:rsidRPr="005778C4" w:rsidRDefault="005778C4" w:rsidP="005778C4">
      <w:pPr>
        <w:spacing w:after="720"/>
        <w:jc w:val="both"/>
        <w:rPr>
          <w:smallCaps/>
        </w:rPr>
      </w:pPr>
      <w:r w:rsidRPr="005778C4">
        <w:rPr>
          <w:smallCaps/>
        </w:rPr>
        <w:t>en appel de la cour d’appel de la colombie</w:t>
      </w:r>
      <w:r w:rsidRPr="005778C4">
        <w:rPr>
          <w:smallCaps/>
        </w:rPr>
        <w:noBreakHyphen/>
        <w:t>britannique</w:t>
      </w:r>
    </w:p>
    <w:p w:rsidR="005778C4" w:rsidRPr="005778C4" w:rsidRDefault="005778C4" w:rsidP="005778C4">
      <w:pPr>
        <w:pStyle w:val="SCCNormalDoubleSpacing"/>
        <w:spacing w:after="480"/>
        <w:rPr>
          <w:lang w:val="fr-CA"/>
        </w:rPr>
      </w:pPr>
      <w:r w:rsidRPr="005778C4">
        <w:rPr>
          <w:lang w:val="fr-CA"/>
        </w:rPr>
        <w:tab/>
      </w:r>
      <w:r w:rsidRPr="005778C4">
        <w:rPr>
          <w:i/>
          <w:lang w:val="fr-CA"/>
        </w:rPr>
        <w:t>Droit constitutionnel — Charte des droits — Fouilles, perquisitions et saisies — Réparation — Exclusion de la preuve — Policiers se rendant à la résidence de l’accusé et y entrant illégalement par une porte arrière non verrouillée afin de l’arrêter pour vol qualifié et pour des infractions liées aux armes à feu — Policiers procédant à une fouille des lieux à des fins sécuritaires et obtenant subséquemment un mandat de perquisition basé en partie sur des observations effectuées durant cette fouille — Juge du procès reconnaissant que la conduite des policiers a violé la Charte mais concluant à la validité du mandat et à l’admissibilité de la preuve et déclarant l’accusé coupable — Majorité de la Cour d’appel souscrivant à la validité du mandat mais statuant que le juge du procès a fait erreur en considérant que les comportements des policiers respectant la Charte atténuaient leur conduite attentatoire à celle</w:t>
      </w:r>
      <w:r w:rsidRPr="005778C4">
        <w:rPr>
          <w:i/>
          <w:lang w:val="fr-CA"/>
        </w:rPr>
        <w:noBreakHyphen/>
        <w:t>ci et en effectuant une analyse compartimentée des facteurs afin de décider s’il y avait lieu d’écarter la preuve — Majorité écartant la preuve, annulant les déclarations de culpabilité et ordonnant la tenue d’un nouveau procès — Ordonnance intimant la tenue d’un nouveau procès confirmée.</w:t>
      </w:r>
    </w:p>
    <w:p w:rsidR="005778C4" w:rsidRPr="005778C4" w:rsidRDefault="005778C4" w:rsidP="005778C4">
      <w:pPr>
        <w:pStyle w:val="SCCNormalDoubleSpacing"/>
        <w:widowControl w:val="0"/>
        <w:spacing w:after="720" w:line="240" w:lineRule="auto"/>
        <w:rPr>
          <w:b/>
          <w:bCs/>
          <w:color w:val="000000"/>
          <w:lang w:val="fr-CA"/>
        </w:rPr>
      </w:pPr>
      <w:r w:rsidRPr="005778C4">
        <w:rPr>
          <w:b/>
          <w:bCs/>
          <w:color w:val="000000"/>
          <w:lang w:val="fr-CA"/>
        </w:rPr>
        <w:t>Jurisprudence</w:t>
      </w:r>
    </w:p>
    <w:p w:rsidR="005778C4" w:rsidRPr="005778C4" w:rsidRDefault="005778C4" w:rsidP="005778C4">
      <w:pPr>
        <w:pStyle w:val="SCCNormalDoubleSpacing"/>
        <w:widowControl w:val="0"/>
        <w:spacing w:after="720" w:line="240" w:lineRule="auto"/>
        <w:rPr>
          <w:bCs/>
          <w:color w:val="000000"/>
          <w:lang w:val="fr-CA"/>
        </w:rPr>
      </w:pPr>
      <w:r w:rsidRPr="005778C4">
        <w:rPr>
          <w:bCs/>
          <w:color w:val="000000"/>
          <w:lang w:val="fr-CA"/>
        </w:rPr>
        <w:tab/>
      </w:r>
      <w:r w:rsidRPr="005778C4">
        <w:rPr>
          <w:b/>
          <w:bCs/>
          <w:color w:val="000000"/>
          <w:lang w:val="fr-CA"/>
        </w:rPr>
        <w:t>Arrêt mentionné :</w:t>
      </w:r>
      <w:r w:rsidRPr="005778C4">
        <w:rPr>
          <w:bCs/>
          <w:color w:val="000000"/>
          <w:lang w:val="fr-CA"/>
        </w:rPr>
        <w:t xml:space="preserve"> </w:t>
      </w:r>
      <w:r w:rsidRPr="005778C4">
        <w:rPr>
          <w:i/>
          <w:iCs/>
          <w:color w:val="000000"/>
          <w:lang w:val="fr-CA"/>
        </w:rPr>
        <w:t>R. c. Grant</w:t>
      </w:r>
      <w:r w:rsidRPr="005778C4">
        <w:rPr>
          <w:color w:val="000000"/>
          <w:lang w:val="fr-CA"/>
        </w:rPr>
        <w:t>, 2009 CSC 32, [2009] 2 R.C.S. 353.</w:t>
      </w:r>
    </w:p>
    <w:p w:rsidR="005778C4" w:rsidRPr="005778C4" w:rsidRDefault="005778C4" w:rsidP="005778C4">
      <w:pPr>
        <w:pStyle w:val="SCCNormalDoubleSpacing"/>
        <w:widowControl w:val="0"/>
        <w:spacing w:after="720" w:line="240" w:lineRule="auto"/>
        <w:rPr>
          <w:b/>
          <w:lang w:val="fr-CA"/>
        </w:rPr>
      </w:pPr>
      <w:r w:rsidRPr="005778C4">
        <w:rPr>
          <w:b/>
          <w:bCs/>
          <w:color w:val="000000"/>
          <w:lang w:val="fr-CA"/>
        </w:rPr>
        <w:t>Lois et règlements cités</w:t>
      </w:r>
    </w:p>
    <w:p w:rsidR="005778C4" w:rsidRPr="005778C4" w:rsidRDefault="005778C4" w:rsidP="005778C4">
      <w:pPr>
        <w:pStyle w:val="SCCNormalDoubleSpacing"/>
        <w:widowControl w:val="0"/>
        <w:spacing w:after="720" w:line="240" w:lineRule="auto"/>
        <w:rPr>
          <w:b/>
          <w:lang w:val="fr-CA"/>
        </w:rPr>
      </w:pPr>
      <w:r w:rsidRPr="005778C4">
        <w:rPr>
          <w:rFonts w:eastAsiaTheme="majorEastAsia"/>
          <w:i/>
          <w:iCs/>
          <w:color w:val="000000"/>
          <w:lang w:val="fr-CA"/>
        </w:rPr>
        <w:t>Charte canadienne des droits et libertés</w:t>
      </w:r>
      <w:r w:rsidRPr="005778C4">
        <w:rPr>
          <w:color w:val="000000"/>
          <w:lang w:val="fr-CA"/>
        </w:rPr>
        <w:t>, art. 8, 24(2).</w:t>
      </w:r>
    </w:p>
    <w:p w:rsidR="005778C4" w:rsidRPr="005778C4" w:rsidRDefault="005778C4" w:rsidP="005778C4">
      <w:pPr>
        <w:pStyle w:val="SCCNormalDoubleSpacing"/>
        <w:spacing w:after="480"/>
        <w:rPr>
          <w:lang w:val="fr-CA"/>
        </w:rPr>
      </w:pPr>
      <w:r w:rsidRPr="005778C4">
        <w:rPr>
          <w:lang w:val="fr-CA"/>
        </w:rPr>
        <w:tab/>
        <w:t xml:space="preserve">POURVOI contre un arrêt de la Cour d’appel </w:t>
      </w:r>
      <w:r w:rsidRPr="005778C4">
        <w:rPr>
          <w:color w:val="000000"/>
          <w:lang w:val="fr-CA"/>
        </w:rPr>
        <w:t>de la Colombie</w:t>
      </w:r>
      <w:r w:rsidRPr="005778C4">
        <w:rPr>
          <w:color w:val="000000"/>
          <w:lang w:val="fr-CA"/>
        </w:rPr>
        <w:noBreakHyphen/>
        <w:t>Britannique</w:t>
      </w:r>
      <w:r w:rsidRPr="005778C4">
        <w:rPr>
          <w:lang w:val="fr-CA"/>
        </w:rPr>
        <w:t xml:space="preserve"> (les juges Willcock, Fenlon et Griffin), </w:t>
      </w:r>
      <w:hyperlink r:id="rId8" w:history="1">
        <w:r w:rsidRPr="005778C4">
          <w:rPr>
            <w:rStyle w:val="Hyperlink"/>
            <w:lang w:val="fr-CA"/>
          </w:rPr>
          <w:t>2020 BCCA 369</w:t>
        </w:r>
      </w:hyperlink>
      <w:r w:rsidRPr="005778C4">
        <w:rPr>
          <w:color w:val="000000"/>
          <w:lang w:val="fr-CA"/>
        </w:rPr>
        <w:t xml:space="preserve">, 397 C.C.C. (3d) 219, 70 C.R. (7th) 175, [2020] B.C.J. No. 2095 (QL), 2020 CarswellBC 3250 (WL), </w:t>
      </w:r>
      <w:r w:rsidRPr="005778C4">
        <w:rPr>
          <w:lang w:val="fr-CA"/>
        </w:rPr>
        <w:t>qui a infirmé les déclarations de culpabilité prononcées contre l’accusé et qui a ordonné un nouveau procès</w:t>
      </w:r>
      <w:r w:rsidRPr="005778C4">
        <w:rPr>
          <w:bCs/>
          <w:lang w:val="fr-CA"/>
        </w:rPr>
        <w:t>. Pourvoi rejeté.</w:t>
      </w:r>
    </w:p>
    <w:p w:rsidR="005778C4" w:rsidRPr="005778C4" w:rsidRDefault="005778C4" w:rsidP="005778C4">
      <w:pPr>
        <w:pStyle w:val="SCCLawFirm"/>
        <w:spacing w:after="480"/>
        <w:rPr>
          <w:color w:val="000000"/>
          <w:szCs w:val="24"/>
          <w:lang w:val="fr-CA" w:eastAsia="en-US"/>
        </w:rPr>
      </w:pPr>
      <w:r w:rsidRPr="005778C4">
        <w:rPr>
          <w:i w:val="0"/>
          <w:lang w:val="fr-CA"/>
        </w:rPr>
        <w:tab/>
      </w:r>
      <w:r w:rsidRPr="005778C4">
        <w:rPr>
          <w:iCs/>
          <w:lang w:val="fr-CA"/>
        </w:rPr>
        <w:t>Mark K. Levitz</w:t>
      </w:r>
      <w:r w:rsidRPr="005778C4">
        <w:rPr>
          <w:i w:val="0"/>
          <w:color w:val="000000"/>
          <w:szCs w:val="24"/>
          <w:lang w:val="fr-CA" w:eastAsia="en-US"/>
        </w:rPr>
        <w:t>, pour l’appelante.</w:t>
      </w:r>
    </w:p>
    <w:p w:rsidR="005778C4" w:rsidRPr="005778C4" w:rsidRDefault="005778C4" w:rsidP="005778C4">
      <w:pPr>
        <w:pStyle w:val="SCCLawFirm"/>
        <w:spacing w:after="480"/>
        <w:rPr>
          <w:color w:val="000000"/>
          <w:szCs w:val="24"/>
          <w:lang w:val="fr-CA" w:eastAsia="en-US"/>
        </w:rPr>
      </w:pPr>
      <w:r w:rsidRPr="005778C4">
        <w:rPr>
          <w:color w:val="000000"/>
          <w:szCs w:val="24"/>
          <w:lang w:val="fr-CA" w:eastAsia="en-US"/>
        </w:rPr>
        <w:tab/>
      </w:r>
      <w:r w:rsidRPr="005778C4">
        <w:rPr>
          <w:iCs/>
          <w:lang w:val="fr-CA"/>
        </w:rPr>
        <w:t>William E. Jessop</w:t>
      </w:r>
      <w:r w:rsidRPr="005778C4">
        <w:rPr>
          <w:i w:val="0"/>
          <w:color w:val="000000"/>
          <w:szCs w:val="24"/>
          <w:lang w:val="fr-CA" w:eastAsia="en-US"/>
        </w:rPr>
        <w:t>, pour l’intimé.</w:t>
      </w:r>
    </w:p>
    <w:p w:rsidR="005778C4" w:rsidRPr="005778C4" w:rsidRDefault="005778C4" w:rsidP="005778C4">
      <w:pPr>
        <w:pStyle w:val="SCCNormalDoubleSpacing"/>
        <w:spacing w:after="480"/>
        <w:rPr>
          <w:color w:val="000000"/>
          <w:lang w:val="fr-CA"/>
        </w:rPr>
      </w:pPr>
      <w:r w:rsidRPr="005778C4">
        <w:rPr>
          <w:color w:val="000000"/>
          <w:lang w:val="fr-CA"/>
        </w:rPr>
        <w:tab/>
        <w:t>Version française du jugement de la Cour rendu oralement par</w:t>
      </w:r>
    </w:p>
    <w:p w:rsidR="005778C4" w:rsidRPr="005778C4" w:rsidRDefault="005778C4" w:rsidP="005778C4">
      <w:pPr>
        <w:pStyle w:val="ParaNoNdepar-AltN"/>
        <w:rPr>
          <w:lang w:val="fr-CA"/>
        </w:rPr>
      </w:pPr>
      <w:r w:rsidRPr="005778C4">
        <w:rPr>
          <w:lang w:val="fr-CA"/>
        </w:rPr>
        <w:t>[1]</w:t>
      </w:r>
      <w:r w:rsidRPr="005778C4">
        <w:rPr>
          <w:lang w:val="fr-CA"/>
        </w:rPr>
        <w:tab/>
      </w:r>
      <w:r w:rsidRPr="005778C4">
        <w:rPr>
          <w:smallCaps/>
          <w:color w:val="000000"/>
          <w:lang w:val="fr-CA"/>
        </w:rPr>
        <w:t>Le juge Moldaver</w:t>
      </w:r>
      <w:r w:rsidRPr="005778C4">
        <w:rPr>
          <w:color w:val="000000"/>
          <w:lang w:val="fr-CA"/>
        </w:rPr>
        <w:t xml:space="preserve"> — Nous sommes d’avis de rejeter le présent pourvoi, essentiellement pour les motifs exhaustifs exposés par la juge Griffin au nom des juges majoritaires de la Cour d’appel. Nous convenons que le juge du procès a fait erreur dans son analyse fondée sur le </w:t>
      </w:r>
      <w:r w:rsidRPr="005778C4">
        <w:rPr>
          <w:rFonts w:eastAsiaTheme="majorEastAsia"/>
          <w:lang w:val="fr-CA"/>
        </w:rPr>
        <w:t xml:space="preserve">par. 24(2) </w:t>
      </w:r>
      <w:r w:rsidRPr="005778C4">
        <w:rPr>
          <w:color w:val="000000"/>
          <w:lang w:val="fr-CA"/>
        </w:rPr>
        <w:t xml:space="preserve">de la </w:t>
      </w:r>
      <w:r w:rsidRPr="005778C4">
        <w:rPr>
          <w:rFonts w:eastAsiaTheme="majorEastAsia"/>
          <w:i/>
          <w:iCs/>
          <w:color w:val="000000"/>
          <w:lang w:val="fr-CA"/>
        </w:rPr>
        <w:t xml:space="preserve">Charte canadienne des droits et libertés </w:t>
      </w:r>
      <w:r w:rsidRPr="005778C4">
        <w:rPr>
          <w:color w:val="000000"/>
          <w:lang w:val="fr-CA"/>
        </w:rPr>
        <w:t xml:space="preserve">en considérant comme un facteur atténuant les comportements policiers qui respectaient la </w:t>
      </w:r>
      <w:r w:rsidRPr="005778C4">
        <w:rPr>
          <w:rFonts w:eastAsiaTheme="majorEastAsia"/>
          <w:i/>
          <w:iCs/>
          <w:color w:val="000000"/>
          <w:lang w:val="fr-CA"/>
        </w:rPr>
        <w:t xml:space="preserve">Charte </w:t>
      </w:r>
      <w:r w:rsidRPr="005778C4">
        <w:rPr>
          <w:rFonts w:eastAsiaTheme="majorEastAsia"/>
          <w:iCs/>
          <w:color w:val="000000"/>
          <w:lang w:val="fr-CA"/>
        </w:rPr>
        <w:t>(2018 BCPC 362)</w:t>
      </w:r>
      <w:r w:rsidRPr="005778C4">
        <w:rPr>
          <w:color w:val="000000"/>
          <w:lang w:val="fr-CA"/>
        </w:rPr>
        <w:t>.</w:t>
      </w:r>
    </w:p>
    <w:p w:rsidR="005778C4" w:rsidRPr="005778C4" w:rsidRDefault="005778C4" w:rsidP="005778C4">
      <w:pPr>
        <w:pStyle w:val="ParaNoNdepar-AltN"/>
        <w:rPr>
          <w:lang w:val="fr-CA"/>
        </w:rPr>
      </w:pPr>
      <w:r w:rsidRPr="005778C4">
        <w:rPr>
          <w:lang w:val="fr-CA"/>
        </w:rPr>
        <w:t>[2]</w:t>
      </w:r>
      <w:r w:rsidRPr="005778C4">
        <w:rPr>
          <w:lang w:val="fr-CA"/>
        </w:rPr>
        <w:tab/>
      </w:r>
      <w:r w:rsidRPr="005778C4">
        <w:rPr>
          <w:color w:val="000000"/>
          <w:lang w:val="fr-CA"/>
        </w:rPr>
        <w:t xml:space="preserve">Nous convenons également que le juge du procès a fait erreur en procédant erronément à la mise en balance globale — la question de savoir si l’admission de la preuve est susceptible de déconsidérer l’administration de la justice — dans le cadre des deux premiers facteurs énoncés dans </w:t>
      </w:r>
      <w:r w:rsidRPr="005778C4">
        <w:rPr>
          <w:i/>
          <w:iCs/>
          <w:color w:val="000000"/>
          <w:lang w:val="fr-CA"/>
        </w:rPr>
        <w:t>R. c. Grant</w:t>
      </w:r>
      <w:r w:rsidRPr="005778C4">
        <w:rPr>
          <w:color w:val="000000"/>
          <w:lang w:val="fr-CA"/>
        </w:rPr>
        <w:t xml:space="preserve">, 2009 CSC 32, [2009] 2 R.C.S. 353. Le texte de l’arrêt </w:t>
      </w:r>
      <w:r w:rsidRPr="005778C4">
        <w:rPr>
          <w:i/>
          <w:iCs/>
          <w:color w:val="000000"/>
          <w:lang w:val="fr-CA"/>
        </w:rPr>
        <w:t xml:space="preserve">Grant </w:t>
      </w:r>
      <w:r w:rsidRPr="005778C4">
        <w:rPr>
          <w:color w:val="000000"/>
          <w:lang w:val="fr-CA"/>
        </w:rPr>
        <w:t xml:space="preserve">est clair : cette mise en balance se fait à la fin (par. 85). Les juges doivent d’abord décider si chacun des trois facteurs milite en faveur de l’admission ou de l’exclusion de la preuve avant de se demander si — eu égard à l’ensemble des facteurs — l’admission de la preuve est susceptible de déconsidérer l’administration de la justice. Procéder à la mise en balance globale dans le cadre des deux premiers facteurs énoncés dans </w:t>
      </w:r>
      <w:r w:rsidRPr="005778C4">
        <w:rPr>
          <w:i/>
          <w:iCs/>
          <w:color w:val="000000"/>
          <w:lang w:val="fr-CA"/>
        </w:rPr>
        <w:t xml:space="preserve">Grant </w:t>
      </w:r>
      <w:r w:rsidRPr="005778C4">
        <w:rPr>
          <w:color w:val="000000"/>
          <w:lang w:val="fr-CA"/>
        </w:rPr>
        <w:t xml:space="preserve">a pour effet d’affaiblir tout pouvoir d’exclusion que pourraient avoir ces facteurs. Ce type d’analyse compromet l’objectif et l’application du </w:t>
      </w:r>
      <w:r w:rsidRPr="005778C4">
        <w:rPr>
          <w:rFonts w:eastAsiaTheme="majorEastAsia"/>
          <w:lang w:val="fr-CA"/>
        </w:rPr>
        <w:t>par. 24(2)</w:t>
      </w:r>
      <w:r w:rsidRPr="005778C4">
        <w:rPr>
          <w:color w:val="000000"/>
          <w:lang w:val="fr-CA"/>
        </w:rPr>
        <w:t>.</w:t>
      </w:r>
    </w:p>
    <w:p w:rsidR="005778C4" w:rsidRPr="005778C4" w:rsidRDefault="005778C4" w:rsidP="005778C4">
      <w:pPr>
        <w:pStyle w:val="ParaNoNdepar-AltN"/>
        <w:rPr>
          <w:lang w:val="fr-CA"/>
        </w:rPr>
      </w:pPr>
      <w:r w:rsidRPr="005778C4">
        <w:rPr>
          <w:lang w:val="fr-CA"/>
        </w:rPr>
        <w:t>[3]</w:t>
      </w:r>
      <w:r w:rsidRPr="005778C4">
        <w:rPr>
          <w:lang w:val="fr-CA"/>
        </w:rPr>
        <w:tab/>
      </w:r>
      <w:r w:rsidRPr="005778C4">
        <w:rPr>
          <w:color w:val="000000"/>
          <w:lang w:val="fr-CA"/>
        </w:rPr>
        <w:t xml:space="preserve">Avec égards, toutefois, nous ne pouvons souscrire à la conclusion des juges majoritaires de la Cour d’appel selon laquelle le juge du procès a adéquatement tenu compte de l’ensemble de la conduite attentatoire pertinente de l’État dans le cadre du premier facteur énoncé dans </w:t>
      </w:r>
      <w:r w:rsidRPr="005778C4">
        <w:rPr>
          <w:i/>
          <w:iCs/>
          <w:color w:val="000000"/>
          <w:lang w:val="fr-CA"/>
        </w:rPr>
        <w:t>Grant</w:t>
      </w:r>
      <w:r w:rsidRPr="005778C4">
        <w:rPr>
          <w:color w:val="000000"/>
          <w:lang w:val="fr-CA"/>
        </w:rPr>
        <w:t>. Le premier juge a pris en considération les comportements attentatoires de l’État liés à seulement deux des trois violations de l’</w:t>
      </w:r>
      <w:r w:rsidRPr="005778C4">
        <w:rPr>
          <w:rFonts w:eastAsiaTheme="majorEastAsia"/>
          <w:lang w:val="fr-CA"/>
        </w:rPr>
        <w:t>art. 8</w:t>
      </w:r>
      <w:r w:rsidRPr="005778C4">
        <w:rPr>
          <w:color w:val="000000"/>
          <w:lang w:val="fr-CA"/>
        </w:rPr>
        <w:t>. L’omission de considérer la conduite de l’État qui a entraîné la troisième violation — la fouille des lieux à des fins sécuritaires — constituait une erreur. Indépendamment de la question de savoir si la troisième violation a ou non été causée par les deux premières, et du fait qu’elle a été considérée nécessaire dans la foulée de l’entrée illicite de l’agent Sinclair, il s’agissait néanmoins d’une violation des droits garantis à M. Reilly par l’</w:t>
      </w:r>
      <w:r w:rsidRPr="005778C4">
        <w:rPr>
          <w:rFonts w:eastAsiaTheme="majorEastAsia"/>
          <w:lang w:val="fr-CA"/>
        </w:rPr>
        <w:t xml:space="preserve">art. 8 </w:t>
      </w:r>
      <w:r w:rsidRPr="005778C4">
        <w:rPr>
          <w:color w:val="000000"/>
          <w:lang w:val="fr-CA"/>
        </w:rPr>
        <w:t xml:space="preserve">de la </w:t>
      </w:r>
      <w:r w:rsidRPr="005778C4">
        <w:rPr>
          <w:rFonts w:eastAsiaTheme="majorEastAsia"/>
          <w:i/>
          <w:iCs/>
          <w:color w:val="000000"/>
          <w:lang w:val="fr-CA"/>
        </w:rPr>
        <w:t xml:space="preserve">Charte </w:t>
      </w:r>
      <w:r w:rsidRPr="005778C4">
        <w:rPr>
          <w:color w:val="000000"/>
          <w:lang w:val="fr-CA"/>
        </w:rPr>
        <w:t xml:space="preserve">et elle doit être examinée dans le cadre du premier facteur énoncé dans </w:t>
      </w:r>
      <w:r w:rsidRPr="005778C4">
        <w:rPr>
          <w:i/>
          <w:iCs/>
          <w:color w:val="000000"/>
          <w:lang w:val="fr-CA"/>
        </w:rPr>
        <w:t>Grant</w:t>
      </w:r>
      <w:r w:rsidRPr="005778C4">
        <w:rPr>
          <w:color w:val="000000"/>
          <w:lang w:val="fr-CA"/>
        </w:rPr>
        <w:t>. Les juges qui président des procès ne peuvent choisir quelles sont les conduites attentatoires de l’État pertinentes à prendre en considération.</w:t>
      </w:r>
    </w:p>
    <w:p w:rsidR="005778C4" w:rsidRPr="005778C4" w:rsidRDefault="005778C4" w:rsidP="005778C4">
      <w:pPr>
        <w:pStyle w:val="ParaNoNdepar-AltN"/>
        <w:rPr>
          <w:color w:val="000000"/>
          <w:lang w:val="fr-CA"/>
        </w:rPr>
      </w:pPr>
      <w:r w:rsidRPr="005778C4">
        <w:rPr>
          <w:lang w:val="fr-CA"/>
        </w:rPr>
        <w:t>[4]</w:t>
      </w:r>
      <w:r w:rsidRPr="005778C4">
        <w:rPr>
          <w:lang w:val="fr-CA"/>
        </w:rPr>
        <w:tab/>
      </w:r>
      <w:r w:rsidRPr="005778C4">
        <w:rPr>
          <w:color w:val="000000"/>
          <w:lang w:val="fr-CA"/>
        </w:rPr>
        <w:t xml:space="preserve">Le juge du procès a commis des erreurs qui ont obligé les juges majoritaires de la Cour d’appel à procéder à une nouvelle analyse fondée sur le </w:t>
      </w:r>
      <w:r w:rsidRPr="005778C4">
        <w:rPr>
          <w:rFonts w:eastAsiaTheme="majorEastAsia"/>
          <w:lang w:val="fr-CA"/>
        </w:rPr>
        <w:t>par. 24(2)</w:t>
      </w:r>
      <w:r w:rsidRPr="005778C4">
        <w:rPr>
          <w:color w:val="000000"/>
          <w:lang w:val="fr-CA"/>
        </w:rPr>
        <w:t>. À notre avis, nous ne sommes pas incompétents pour examiner les erreurs dont serait entachée la nouvelle analyse qu’ont effectuée les juges majoritaires. Nous ne voyons aucune raison de modifier leur nouvelle analyse. En conséquence, nous sommes d’avis de rejeter le pourvoi, et de confirmer l’exclusion de la preuve et la tenue d’un nouveau procès.</w:t>
      </w:r>
    </w:p>
    <w:p w:rsidR="005778C4" w:rsidRPr="005778C4" w:rsidRDefault="005778C4" w:rsidP="005778C4">
      <w:pPr>
        <w:pStyle w:val="SCCNormalDoubleSpacing"/>
        <w:spacing w:after="480"/>
        <w:rPr>
          <w:lang w:val="fr-CA"/>
        </w:rPr>
      </w:pPr>
      <w:r w:rsidRPr="005778C4">
        <w:rPr>
          <w:lang w:val="fr-CA"/>
        </w:rPr>
        <w:tab/>
      </w:r>
      <w:r w:rsidRPr="005778C4">
        <w:rPr>
          <w:i/>
          <w:iCs/>
          <w:color w:val="000000"/>
          <w:lang w:val="fr-CA"/>
        </w:rPr>
        <w:t>Jugement en conséquence.</w:t>
      </w:r>
    </w:p>
    <w:p w:rsidR="005778C4" w:rsidRPr="005778C4" w:rsidRDefault="005778C4" w:rsidP="005778C4">
      <w:pPr>
        <w:pStyle w:val="SCCLawFirm"/>
        <w:spacing w:after="480"/>
        <w:rPr>
          <w:iCs/>
          <w:color w:val="000000"/>
          <w:lang w:val="fr-CA"/>
        </w:rPr>
      </w:pPr>
      <w:r w:rsidRPr="005778C4">
        <w:rPr>
          <w:iCs/>
          <w:color w:val="000000"/>
          <w:lang w:val="fr-CA"/>
        </w:rPr>
        <w:tab/>
        <w:t>Procureur de l’appelante : Procureur général de la Colombie</w:t>
      </w:r>
      <w:r w:rsidRPr="005778C4">
        <w:rPr>
          <w:iCs/>
          <w:color w:val="000000"/>
          <w:lang w:val="fr-CA"/>
        </w:rPr>
        <w:noBreakHyphen/>
        <w:t>Britannique, Vancouver.</w:t>
      </w:r>
    </w:p>
    <w:p w:rsidR="005778C4" w:rsidRPr="000872E6" w:rsidRDefault="005778C4" w:rsidP="005778C4">
      <w:pPr>
        <w:pStyle w:val="SCCLawFirm"/>
        <w:spacing w:after="480"/>
        <w:rPr>
          <w:i w:val="0"/>
          <w:iCs/>
          <w:color w:val="000000"/>
          <w:lang w:val="fr-CA"/>
        </w:rPr>
      </w:pPr>
      <w:r w:rsidRPr="005778C4">
        <w:rPr>
          <w:iCs/>
          <w:color w:val="000000"/>
          <w:lang w:val="fr-CA"/>
        </w:rPr>
        <w:tab/>
        <w:t>Procureurs de l’intimé : Jessop Criminal Law, Vancouver.</w:t>
      </w:r>
      <w:bookmarkStart w:id="0" w:name="_GoBack"/>
      <w:bookmarkEnd w:id="0"/>
    </w:p>
    <w:p w:rsidR="00904937" w:rsidRPr="001E12E2" w:rsidRDefault="00904937"/>
    <w:sectPr w:rsidR="00904937" w:rsidRPr="001E12E2" w:rsidSect="00F72014">
      <w:headerReference w:type="default" r:id="rId9"/>
      <w:pgSz w:w="12240" w:h="15840"/>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467" w:rsidRDefault="000F4467" w:rsidP="00F72014">
      <w:r>
        <w:separator/>
      </w:r>
    </w:p>
  </w:endnote>
  <w:endnote w:type="continuationSeparator" w:id="0">
    <w:p w:rsidR="000F4467" w:rsidRDefault="000F4467" w:rsidP="00F7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467" w:rsidRDefault="000F4467" w:rsidP="00F72014">
      <w:r>
        <w:separator/>
      </w:r>
    </w:p>
  </w:footnote>
  <w:footnote w:type="continuationSeparator" w:id="0">
    <w:p w:rsidR="000F4467" w:rsidRDefault="000F4467" w:rsidP="00F7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882" w:rsidRDefault="001968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DA"/>
    <w:rsid w:val="00011E76"/>
    <w:rsid w:val="00061E8C"/>
    <w:rsid w:val="000D1436"/>
    <w:rsid w:val="000D1CF6"/>
    <w:rsid w:val="000F4467"/>
    <w:rsid w:val="00100074"/>
    <w:rsid w:val="00130A1C"/>
    <w:rsid w:val="001311DA"/>
    <w:rsid w:val="00177E57"/>
    <w:rsid w:val="00196882"/>
    <w:rsid w:val="001A2CF8"/>
    <w:rsid w:val="001D6B8C"/>
    <w:rsid w:val="001E12E2"/>
    <w:rsid w:val="001E5B5A"/>
    <w:rsid w:val="001F1F32"/>
    <w:rsid w:val="001F1F83"/>
    <w:rsid w:val="00256B56"/>
    <w:rsid w:val="0028675F"/>
    <w:rsid w:val="0029156B"/>
    <w:rsid w:val="00296CA1"/>
    <w:rsid w:val="002F0B6C"/>
    <w:rsid w:val="00355967"/>
    <w:rsid w:val="00356422"/>
    <w:rsid w:val="0036772A"/>
    <w:rsid w:val="00384384"/>
    <w:rsid w:val="003B2BE1"/>
    <w:rsid w:val="003B3C63"/>
    <w:rsid w:val="003B7306"/>
    <w:rsid w:val="00423C0D"/>
    <w:rsid w:val="004533C0"/>
    <w:rsid w:val="00460AFC"/>
    <w:rsid w:val="00467372"/>
    <w:rsid w:val="004B6D25"/>
    <w:rsid w:val="004C2423"/>
    <w:rsid w:val="004E69EC"/>
    <w:rsid w:val="004F090E"/>
    <w:rsid w:val="004F7322"/>
    <w:rsid w:val="00535189"/>
    <w:rsid w:val="005778C4"/>
    <w:rsid w:val="00582136"/>
    <w:rsid w:val="0058383C"/>
    <w:rsid w:val="0059160B"/>
    <w:rsid w:val="005C0397"/>
    <w:rsid w:val="005D5624"/>
    <w:rsid w:val="006034F1"/>
    <w:rsid w:val="006936F1"/>
    <w:rsid w:val="006D697E"/>
    <w:rsid w:val="00701ABD"/>
    <w:rsid w:val="007740CA"/>
    <w:rsid w:val="00787F6E"/>
    <w:rsid w:val="008029A6"/>
    <w:rsid w:val="008029AC"/>
    <w:rsid w:val="00803557"/>
    <w:rsid w:val="008215C3"/>
    <w:rsid w:val="00842677"/>
    <w:rsid w:val="008714CB"/>
    <w:rsid w:val="00880B14"/>
    <w:rsid w:val="008B5797"/>
    <w:rsid w:val="008C75A4"/>
    <w:rsid w:val="008F4691"/>
    <w:rsid w:val="00904937"/>
    <w:rsid w:val="0096047A"/>
    <w:rsid w:val="00996510"/>
    <w:rsid w:val="009F0F2D"/>
    <w:rsid w:val="00A25381"/>
    <w:rsid w:val="00A51442"/>
    <w:rsid w:val="00A51D10"/>
    <w:rsid w:val="00A863F7"/>
    <w:rsid w:val="00AB2201"/>
    <w:rsid w:val="00B07E61"/>
    <w:rsid w:val="00BD4217"/>
    <w:rsid w:val="00C20E43"/>
    <w:rsid w:val="00C34313"/>
    <w:rsid w:val="00CA3730"/>
    <w:rsid w:val="00D030DA"/>
    <w:rsid w:val="00D056AE"/>
    <w:rsid w:val="00D07EED"/>
    <w:rsid w:val="00D5237B"/>
    <w:rsid w:val="00D751FC"/>
    <w:rsid w:val="00D76BDF"/>
    <w:rsid w:val="00E356C7"/>
    <w:rsid w:val="00E53ED9"/>
    <w:rsid w:val="00E64FA7"/>
    <w:rsid w:val="00E7577F"/>
    <w:rsid w:val="00E770CB"/>
    <w:rsid w:val="00F01FC5"/>
    <w:rsid w:val="00F060D9"/>
    <w:rsid w:val="00F24166"/>
    <w:rsid w:val="00F25646"/>
    <w:rsid w:val="00F72014"/>
    <w:rsid w:val="00F837E7"/>
    <w:rsid w:val="00F9518C"/>
    <w:rsid w:val="00FA59EF"/>
    <w:rsid w:val="00FB616D"/>
    <w:rsid w:val="00FE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EED"/>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0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030DA"/>
    <w:rPr>
      <w:color w:val="808080"/>
    </w:rPr>
  </w:style>
  <w:style w:type="paragraph" w:styleId="BalloonText">
    <w:name w:val="Balloon Text"/>
    <w:basedOn w:val="Normal"/>
    <w:link w:val="BalloonTextChar"/>
    <w:uiPriority w:val="99"/>
    <w:semiHidden/>
    <w:unhideWhenUsed/>
    <w:rsid w:val="00D030DA"/>
    <w:rPr>
      <w:rFonts w:ascii="Tahoma" w:hAnsi="Tahoma" w:cs="Tahoma"/>
      <w:sz w:val="16"/>
      <w:szCs w:val="16"/>
    </w:rPr>
  </w:style>
  <w:style w:type="character" w:customStyle="1" w:styleId="BalloonTextChar">
    <w:name w:val="Balloon Text Char"/>
    <w:basedOn w:val="DefaultParagraphFont"/>
    <w:link w:val="BalloonText"/>
    <w:uiPriority w:val="99"/>
    <w:semiHidden/>
    <w:rsid w:val="00D030DA"/>
    <w:rPr>
      <w:rFonts w:ascii="Tahoma" w:hAnsi="Tahoma" w:cs="Tahoma"/>
      <w:sz w:val="16"/>
      <w:szCs w:val="16"/>
    </w:rPr>
  </w:style>
  <w:style w:type="paragraph" w:styleId="Header">
    <w:name w:val="header"/>
    <w:basedOn w:val="Normal"/>
    <w:link w:val="HeaderChar"/>
    <w:uiPriority w:val="99"/>
    <w:unhideWhenUsed/>
    <w:rsid w:val="00F72014"/>
    <w:pPr>
      <w:tabs>
        <w:tab w:val="center" w:pos="4680"/>
        <w:tab w:val="right" w:pos="9360"/>
      </w:tabs>
    </w:pPr>
  </w:style>
  <w:style w:type="character" w:customStyle="1" w:styleId="HeaderChar">
    <w:name w:val="Header Char"/>
    <w:basedOn w:val="DefaultParagraphFont"/>
    <w:link w:val="Header"/>
    <w:uiPriority w:val="99"/>
    <w:rsid w:val="00F72014"/>
  </w:style>
  <w:style w:type="paragraph" w:styleId="Footer">
    <w:name w:val="footer"/>
    <w:basedOn w:val="Normal"/>
    <w:link w:val="FooterChar"/>
    <w:uiPriority w:val="99"/>
    <w:semiHidden/>
    <w:unhideWhenUsed/>
    <w:rsid w:val="00F72014"/>
    <w:pPr>
      <w:tabs>
        <w:tab w:val="center" w:pos="4680"/>
        <w:tab w:val="right" w:pos="9360"/>
      </w:tabs>
    </w:pPr>
  </w:style>
  <w:style w:type="character" w:customStyle="1" w:styleId="FooterChar">
    <w:name w:val="Footer Char"/>
    <w:basedOn w:val="DefaultParagraphFont"/>
    <w:link w:val="Footer"/>
    <w:uiPriority w:val="99"/>
    <w:semiHidden/>
    <w:rsid w:val="00F72014"/>
  </w:style>
  <w:style w:type="paragraph" w:customStyle="1" w:styleId="SCCRestrictionOnPublicationTitle">
    <w:name w:val="SCC.RestrictionOnPublicationTitle"/>
    <w:basedOn w:val="Normal"/>
    <w:next w:val="Normal"/>
    <w:link w:val="SCCRestrictionOnPublicationTitleChar"/>
    <w:rsid w:val="009F0F2D"/>
    <w:rPr>
      <w:b/>
      <w:smallCaps/>
    </w:rPr>
  </w:style>
  <w:style w:type="character" w:customStyle="1" w:styleId="SCCRestrictionOnPublicationTitleChar">
    <w:name w:val="SCC.RestrictionOnPublicationTitle Char"/>
    <w:basedOn w:val="DefaultParagraphFont"/>
    <w:link w:val="SCCRestrictionOnPublicationTitle"/>
    <w:rsid w:val="009F0F2D"/>
    <w:rPr>
      <w:b/>
      <w:smallCaps/>
      <w:lang w:val="fr-CA"/>
    </w:rPr>
  </w:style>
  <w:style w:type="paragraph" w:customStyle="1" w:styleId="SCCRestrictionOnPublicationText">
    <w:name w:val="SCC.RestrictionOnPublicationText"/>
    <w:basedOn w:val="Normal"/>
    <w:next w:val="Normal"/>
    <w:link w:val="SCCRestrictionOnPublicationTextChar"/>
    <w:rsid w:val="009F0F2D"/>
  </w:style>
  <w:style w:type="character" w:customStyle="1" w:styleId="SCCRestrictionOnPublicationTextChar">
    <w:name w:val="SCC.RestrictionOnPublicationText Char"/>
    <w:basedOn w:val="DefaultParagraphFont"/>
    <w:link w:val="SCCRestrictionOnPublicationText"/>
    <w:rsid w:val="009F0F2D"/>
    <w:rPr>
      <w:lang w:val="fr-CA"/>
    </w:rPr>
  </w:style>
  <w:style w:type="paragraph" w:customStyle="1" w:styleId="SCCLsocOtherPartyRole">
    <w:name w:val="SCC.Lsoc.OtherPartyRole"/>
    <w:basedOn w:val="Normal"/>
    <w:next w:val="Normal"/>
    <w:link w:val="SCCLsocOtherPartyRoleChar"/>
    <w:rsid w:val="008B5797"/>
    <w:pPr>
      <w:jc w:val="center"/>
    </w:pPr>
  </w:style>
  <w:style w:type="character" w:customStyle="1" w:styleId="SCCLsocOtherPartyRoleChar">
    <w:name w:val="SCC.Lsoc.OtherPartyRole Char"/>
    <w:basedOn w:val="DefaultParagraphFont"/>
    <w:link w:val="SCCLsocOtherPartyRole"/>
    <w:rsid w:val="008B5797"/>
    <w:rPr>
      <w:lang w:val="fr-CA"/>
    </w:rPr>
  </w:style>
  <w:style w:type="paragraph" w:customStyle="1" w:styleId="SCCLsocParty">
    <w:name w:val="SCC.Lsoc.Party"/>
    <w:basedOn w:val="Normal"/>
    <w:next w:val="Normal"/>
    <w:link w:val="SCCLsocPartyChar"/>
    <w:rsid w:val="008B5797"/>
    <w:pPr>
      <w:jc w:val="center"/>
    </w:pPr>
    <w:rPr>
      <w:b/>
    </w:rPr>
  </w:style>
  <w:style w:type="character" w:customStyle="1" w:styleId="SCCLsocPartyChar">
    <w:name w:val="SCC.Lsoc.Party Char"/>
    <w:basedOn w:val="DefaultParagraphFont"/>
    <w:link w:val="SCCLsocParty"/>
    <w:rsid w:val="008B5797"/>
    <w:rPr>
      <w:b/>
      <w:lang w:val="fr-CA"/>
    </w:rPr>
  </w:style>
  <w:style w:type="paragraph" w:customStyle="1" w:styleId="SCCLsocSubfileSeparator">
    <w:name w:val="SCC.Lsoc.SubfileSeparator"/>
    <w:basedOn w:val="Normal"/>
    <w:next w:val="Normal"/>
    <w:link w:val="SCCLsocSubfileSeparatorChar"/>
    <w:rsid w:val="005C0397"/>
    <w:rPr>
      <w:b/>
      <w:smallCaps/>
    </w:rPr>
  </w:style>
  <w:style w:type="character" w:customStyle="1" w:styleId="SCCLsocSubfileSeparatorChar">
    <w:name w:val="SCC.Lsoc.SubfileSeparator Char"/>
    <w:basedOn w:val="DefaultParagraphFont"/>
    <w:link w:val="SCCLsocSubfileSeparator"/>
    <w:rsid w:val="005C0397"/>
    <w:rPr>
      <w:b/>
      <w:smallCaps/>
      <w:lang w:val="fr-CA"/>
    </w:rPr>
  </w:style>
  <w:style w:type="paragraph" w:customStyle="1" w:styleId="SCCLsocVersus">
    <w:name w:val="SCC.Lsoc.Versus"/>
    <w:basedOn w:val="Normal"/>
    <w:next w:val="Normal"/>
    <w:link w:val="SCCLsocVersusChar"/>
    <w:rsid w:val="008B5797"/>
    <w:pPr>
      <w:jc w:val="center"/>
    </w:pPr>
  </w:style>
  <w:style w:type="character" w:customStyle="1" w:styleId="SCCLsocVersusChar">
    <w:name w:val="SCC.Lsoc.Versus Char"/>
    <w:basedOn w:val="DefaultParagraphFont"/>
    <w:link w:val="SCCLsocVersus"/>
    <w:rsid w:val="008B5797"/>
    <w:rPr>
      <w:lang w:val="fr-CA"/>
    </w:rPr>
  </w:style>
  <w:style w:type="paragraph" w:customStyle="1" w:styleId="SCCLsocPartyRole">
    <w:name w:val="SCC.Lsoc.PartyRole"/>
    <w:basedOn w:val="Normal"/>
    <w:next w:val="Normal"/>
    <w:link w:val="SCCLsocPartyRoleChar"/>
    <w:rsid w:val="008B5797"/>
    <w:pPr>
      <w:jc w:val="center"/>
    </w:pPr>
  </w:style>
  <w:style w:type="character" w:customStyle="1" w:styleId="SCCLsocPartyRoleChar">
    <w:name w:val="SCC.Lsoc.PartyRole Char"/>
    <w:basedOn w:val="DefaultParagraphFont"/>
    <w:link w:val="SCCLsocPartyRole"/>
    <w:rsid w:val="008B5797"/>
    <w:rPr>
      <w:lang w:val="fr-CA"/>
    </w:rPr>
  </w:style>
  <w:style w:type="paragraph" w:customStyle="1" w:styleId="SCCLsocPrefix">
    <w:name w:val="SCC.Lsoc.Prefix"/>
    <w:basedOn w:val="Normal"/>
    <w:next w:val="Normal"/>
    <w:link w:val="SCCLsocPrefixChar"/>
    <w:rsid w:val="005C0397"/>
    <w:rPr>
      <w:b/>
      <w:smallCaps/>
    </w:rPr>
  </w:style>
  <w:style w:type="character" w:customStyle="1" w:styleId="SCCLsocPrefixChar">
    <w:name w:val="SCC.Lsoc.Prefix Char"/>
    <w:basedOn w:val="DefaultParagraphFont"/>
    <w:link w:val="SCCLsocPrefix"/>
    <w:rsid w:val="005C0397"/>
    <w:rPr>
      <w:b/>
      <w:smallCaps/>
      <w:lang w:val="fr-CA"/>
    </w:rPr>
  </w:style>
  <w:style w:type="paragraph" w:customStyle="1" w:styleId="SCCHearingJudgmentDatesText">
    <w:name w:val="SCC.HearingJudgmentDatesText"/>
    <w:basedOn w:val="Normal"/>
    <w:next w:val="Normal"/>
    <w:link w:val="SCCHearingJudgmentDatesTextChar"/>
    <w:rsid w:val="00CA3730"/>
  </w:style>
  <w:style w:type="character" w:customStyle="1" w:styleId="SCCHearingJudgmentDatesTextChar">
    <w:name w:val="SCC.HearingJudgmentDatesText Char"/>
    <w:basedOn w:val="DefaultParagraphFont"/>
    <w:link w:val="SCCHearingJudgmentDatesText"/>
    <w:rsid w:val="00CA3730"/>
    <w:rPr>
      <w:lang w:val="fr-CA"/>
    </w:rPr>
  </w:style>
  <w:style w:type="paragraph" w:customStyle="1" w:styleId="SCCHearingJudgmentDatesTitle">
    <w:name w:val="SCC.HearingJudgmentDatesTitle"/>
    <w:basedOn w:val="Normal"/>
    <w:next w:val="Normal"/>
    <w:link w:val="SCCHearingJudgmentDatesTitleChar"/>
    <w:rsid w:val="00CA3730"/>
    <w:rPr>
      <w:b/>
      <w:smallCaps/>
    </w:rPr>
  </w:style>
  <w:style w:type="character" w:customStyle="1" w:styleId="SCCHearingJudgmentDatesTitleChar">
    <w:name w:val="SCC.HearingJudgmentDatesTitle Char"/>
    <w:basedOn w:val="DefaultParagraphFont"/>
    <w:link w:val="SCCHearingJudgmentDatesTitle"/>
    <w:rsid w:val="00CA3730"/>
    <w:rPr>
      <w:b/>
      <w:smallCaps/>
      <w:lang w:val="fr-CA"/>
    </w:rPr>
  </w:style>
  <w:style w:type="paragraph" w:customStyle="1" w:styleId="SCCLsocOtherPartySeparator">
    <w:name w:val="SCC.Lsoc.OtherPartySeparator"/>
    <w:basedOn w:val="Normal"/>
    <w:next w:val="Normal"/>
    <w:link w:val="SCCLsocOtherPartySeparatorChar"/>
    <w:rsid w:val="00196882"/>
    <w:pPr>
      <w:jc w:val="center"/>
    </w:pPr>
  </w:style>
  <w:style w:type="character" w:customStyle="1" w:styleId="SCCLsocOtherPartySeparatorChar">
    <w:name w:val="SCC.Lsoc.OtherPartySeparator Char"/>
    <w:basedOn w:val="DefaultParagraphFont"/>
    <w:link w:val="SCCLsocOtherPartySeparator"/>
    <w:rsid w:val="00196882"/>
    <w:rPr>
      <w:lang w:val="fr-CA"/>
    </w:rPr>
  </w:style>
  <w:style w:type="paragraph" w:customStyle="1" w:styleId="SCCCounselName">
    <w:name w:val="SCC.CounselName"/>
    <w:basedOn w:val="Normal"/>
    <w:next w:val="Normal"/>
    <w:link w:val="SCCCounselNameChar"/>
    <w:rsid w:val="003B7306"/>
    <w:rPr>
      <w:i/>
    </w:rPr>
  </w:style>
  <w:style w:type="character" w:customStyle="1" w:styleId="SCCCounselNameChar">
    <w:name w:val="SCC.CounselName Char"/>
    <w:basedOn w:val="DefaultParagraphFont"/>
    <w:link w:val="SCCCounselName"/>
    <w:rsid w:val="003B7306"/>
    <w:rPr>
      <w:rFonts w:eastAsia="Times New Roman" w:cs="Times New Roman"/>
      <w:i/>
      <w:szCs w:val="20"/>
      <w:lang w:val="fr-CA" w:eastAsia="en-CA"/>
    </w:rPr>
  </w:style>
  <w:style w:type="paragraph" w:customStyle="1" w:styleId="SCCCounselSeparator">
    <w:name w:val="SCC.CounselSeparator"/>
    <w:basedOn w:val="Normal"/>
    <w:next w:val="Normal"/>
    <w:link w:val="SCCCounselSeparatorChar"/>
    <w:rsid w:val="003B7306"/>
  </w:style>
  <w:style w:type="character" w:customStyle="1" w:styleId="SCCCounselSeparatorChar">
    <w:name w:val="SCC.CounselSeparator Char"/>
    <w:basedOn w:val="DefaultParagraphFont"/>
    <w:link w:val="SCCCounselSeparator"/>
    <w:rsid w:val="003B7306"/>
    <w:rPr>
      <w:rFonts w:eastAsia="Times New Roman" w:cs="Times New Roman"/>
      <w:szCs w:val="20"/>
      <w:lang w:val="fr-CA" w:eastAsia="en-CA"/>
    </w:rPr>
  </w:style>
  <w:style w:type="paragraph" w:customStyle="1" w:styleId="SCCCounselPartyRole">
    <w:name w:val="SCC.CounselPartyRole"/>
    <w:basedOn w:val="Normal"/>
    <w:next w:val="Normal"/>
    <w:link w:val="SCCCounselPartyRoleChar"/>
    <w:rsid w:val="003B7306"/>
  </w:style>
  <w:style w:type="character" w:customStyle="1" w:styleId="SCCCounselPartyRoleChar">
    <w:name w:val="SCC.CounselPartyRole Char"/>
    <w:basedOn w:val="DefaultParagraphFont"/>
    <w:link w:val="SCCCounselPartyRole"/>
    <w:rsid w:val="003B7306"/>
    <w:rPr>
      <w:rFonts w:eastAsia="Times New Roman" w:cs="Times New Roman"/>
      <w:szCs w:val="20"/>
      <w:lang w:val="fr-CA" w:eastAsia="en-CA"/>
    </w:rPr>
  </w:style>
  <w:style w:type="paragraph" w:customStyle="1" w:styleId="SCCBold">
    <w:name w:val="SCC.Bold"/>
    <w:basedOn w:val="Normal"/>
    <w:next w:val="Normal"/>
    <w:qFormat/>
    <w:rsid w:val="00D07EED"/>
    <w:rPr>
      <w:b/>
    </w:rPr>
  </w:style>
  <w:style w:type="paragraph" w:customStyle="1" w:styleId="SCCReasonsTitle">
    <w:name w:val="SCC.ReasonsTitle"/>
    <w:basedOn w:val="Normal"/>
    <w:next w:val="Normal"/>
    <w:link w:val="SCCReasonsTitleChar"/>
    <w:qFormat/>
    <w:rsid w:val="00D5237B"/>
    <w:rPr>
      <w:b/>
    </w:rPr>
  </w:style>
  <w:style w:type="character" w:customStyle="1" w:styleId="SCCReasonsTitleChar">
    <w:name w:val="SCC.ReasonsTitle Char"/>
    <w:basedOn w:val="DefaultParagraphFont"/>
    <w:link w:val="SCCReasonsTitle"/>
    <w:rsid w:val="00100074"/>
    <w:rPr>
      <w:b/>
      <w:lang w:val="fr-CA"/>
    </w:rPr>
  </w:style>
  <w:style w:type="paragraph" w:customStyle="1" w:styleId="SCCNormalDoubleSpacing">
    <w:name w:val="SCC.Normal.DoubleSpacing"/>
    <w:basedOn w:val="Normal"/>
    <w:link w:val="SCCNormalDoubleSpacingChar"/>
    <w:rsid w:val="005778C4"/>
    <w:pPr>
      <w:tabs>
        <w:tab w:val="left" w:pos="1168"/>
      </w:tabs>
      <w:spacing w:line="480" w:lineRule="auto"/>
      <w:jc w:val="both"/>
    </w:pPr>
    <w:rPr>
      <w:rFonts w:eastAsia="Times New Roman" w:cs="Times New Roman"/>
      <w:szCs w:val="20"/>
      <w:lang w:val="en-CA" w:eastAsia="en-CA"/>
    </w:rPr>
  </w:style>
  <w:style w:type="character" w:customStyle="1" w:styleId="SCCNormalDoubleSpacingChar">
    <w:name w:val="SCC.Normal.DoubleSpacing Char"/>
    <w:basedOn w:val="DefaultParagraphFont"/>
    <w:link w:val="SCCNormalDoubleSpacing"/>
    <w:rsid w:val="005778C4"/>
    <w:rPr>
      <w:rFonts w:eastAsia="Times New Roman" w:cs="Times New Roman"/>
      <w:szCs w:val="20"/>
      <w:lang w:val="en-CA" w:eastAsia="en-CA"/>
    </w:rPr>
  </w:style>
  <w:style w:type="paragraph" w:customStyle="1" w:styleId="SCCSystemYear">
    <w:name w:val="SCC.SystemYear"/>
    <w:basedOn w:val="Normal"/>
    <w:next w:val="Normal"/>
    <w:link w:val="SCCSystemYearChar"/>
    <w:rsid w:val="005778C4"/>
    <w:rPr>
      <w:rFonts w:eastAsia="Times New Roman" w:cs="Times New Roman"/>
      <w:b/>
      <w:szCs w:val="20"/>
      <w:lang w:val="en-CA" w:eastAsia="en-CA"/>
    </w:rPr>
  </w:style>
  <w:style w:type="character" w:customStyle="1" w:styleId="SCCSystemYearChar">
    <w:name w:val="SCC.SystemYear Char"/>
    <w:basedOn w:val="DefaultParagraphFont"/>
    <w:link w:val="SCCSystemYear"/>
    <w:rsid w:val="005778C4"/>
    <w:rPr>
      <w:rFonts w:eastAsia="Times New Roman" w:cs="Times New Roman"/>
      <w:b/>
      <w:szCs w:val="20"/>
      <w:lang w:val="en-CA" w:eastAsia="en-CA"/>
    </w:rPr>
  </w:style>
  <w:style w:type="paragraph" w:customStyle="1" w:styleId="SCCLawFirm">
    <w:name w:val="SCC.LawFirm"/>
    <w:basedOn w:val="SCCNormalDoubleSpacing"/>
    <w:next w:val="SCCNormalDoubleSpacing"/>
    <w:link w:val="SCCLawFirmChar"/>
    <w:rsid w:val="005778C4"/>
    <w:rPr>
      <w:i/>
    </w:rPr>
  </w:style>
  <w:style w:type="character" w:customStyle="1" w:styleId="SCCLawFirmChar">
    <w:name w:val="SCC.LawFirm Char"/>
    <w:basedOn w:val="SCCNormalDoubleSpacingChar"/>
    <w:link w:val="SCCLawFirm"/>
    <w:rsid w:val="005778C4"/>
    <w:rPr>
      <w:rFonts w:eastAsia="Times New Roman" w:cs="Times New Roman"/>
      <w:i/>
      <w:szCs w:val="20"/>
      <w:lang w:val="en-CA" w:eastAsia="en-CA"/>
    </w:rPr>
  </w:style>
  <w:style w:type="paragraph" w:customStyle="1" w:styleId="SCCLsocLastPartyInRole">
    <w:name w:val="SCC.Lsoc.LastPartyInRole"/>
    <w:basedOn w:val="Normal"/>
    <w:next w:val="Normal"/>
    <w:link w:val="SCCLsocLastPartyInRoleChar"/>
    <w:qFormat/>
    <w:rsid w:val="005778C4"/>
    <w:pPr>
      <w:tabs>
        <w:tab w:val="right" w:pos="8222"/>
      </w:tabs>
      <w:spacing w:after="720"/>
    </w:pPr>
    <w:rPr>
      <w:rFonts w:eastAsia="Times New Roman" w:cs="Times New Roman"/>
      <w:b/>
      <w:szCs w:val="20"/>
      <w:lang w:val="en-CA" w:eastAsia="en-CA"/>
    </w:rPr>
  </w:style>
  <w:style w:type="character" w:customStyle="1" w:styleId="SCCLsocLastPartyInRoleChar">
    <w:name w:val="SCC.Lsoc.LastPartyInRole Char"/>
    <w:basedOn w:val="SCCLsocPartyChar"/>
    <w:link w:val="SCCLsocLastPartyInRole"/>
    <w:rsid w:val="005778C4"/>
    <w:rPr>
      <w:rFonts w:eastAsia="Times New Roman" w:cs="Times New Roman"/>
      <w:b/>
      <w:szCs w:val="20"/>
      <w:lang w:val="en-CA" w:eastAsia="en-CA"/>
    </w:rPr>
  </w:style>
  <w:style w:type="character" w:styleId="Hyperlink">
    <w:name w:val="Hyperlink"/>
    <w:basedOn w:val="DefaultParagraphFont"/>
    <w:uiPriority w:val="99"/>
    <w:unhideWhenUsed/>
    <w:rsid w:val="005778C4"/>
    <w:rPr>
      <w:color w:val="660000"/>
      <w:u w:val="none"/>
    </w:rPr>
  </w:style>
  <w:style w:type="paragraph" w:customStyle="1" w:styleId="ParaNoNdepar-AltN">
    <w:name w:val="Para. No. / Nº de par. - Alt N"/>
    <w:link w:val="ParaNoNdepar-AltNChar"/>
    <w:qFormat/>
    <w:rsid w:val="005778C4"/>
    <w:pPr>
      <w:tabs>
        <w:tab w:val="left" w:pos="1166"/>
      </w:tabs>
      <w:spacing w:before="480" w:after="480" w:line="480" w:lineRule="auto"/>
      <w:jc w:val="both"/>
    </w:pPr>
    <w:rPr>
      <w:rFonts w:eastAsiaTheme="minorEastAsia"/>
      <w:szCs w:val="22"/>
      <w:lang w:val="en-CA"/>
    </w:rPr>
  </w:style>
  <w:style w:type="character" w:customStyle="1" w:styleId="ParaNoNdepar-AltNChar">
    <w:name w:val="Para. No. / Nº de par. - Alt N Char"/>
    <w:basedOn w:val="DefaultParagraphFont"/>
    <w:link w:val="ParaNoNdepar-AltN"/>
    <w:rsid w:val="005778C4"/>
    <w:rPr>
      <w:rFonts w:eastAsiaTheme="minorEastAsia"/>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430145">
      <w:bodyDiv w:val="1"/>
      <w:marLeft w:val="0"/>
      <w:marRight w:val="0"/>
      <w:marTop w:val="0"/>
      <w:marBottom w:val="0"/>
      <w:divBdr>
        <w:top w:val="none" w:sz="0" w:space="0" w:color="auto"/>
        <w:left w:val="none" w:sz="0" w:space="0" w:color="auto"/>
        <w:bottom w:val="none" w:sz="0" w:space="0" w:color="auto"/>
        <w:right w:val="none" w:sz="0" w:space="0" w:color="auto"/>
      </w:divBdr>
    </w:div>
    <w:div w:id="138709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ccourts.ca/jdb-txt/ca/20/03/2020BCCA0369cor1.htm" TargetMode="External"/><Relationship Id="rId3" Type="http://schemas.openxmlformats.org/officeDocument/2006/relationships/webSettings" Target="webSettings.xml"/><Relationship Id="rId7" Type="http://schemas.openxmlformats.org/officeDocument/2006/relationships/image" Target="cid:image001.jpg@01D72252.19B69DE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2022-12-22T18:10:00Z</dcterms:created>
  <dcterms:modified xsi:type="dcterms:W3CDTF">2022-12-22T18:10:00Z</dcterms:modified>
</cp:coreProperties>
</file>