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70"/>
        <w:gridCol w:w="1559"/>
        <w:gridCol w:w="1415"/>
        <w:gridCol w:w="3828"/>
      </w:tblGrid>
      <w:tr w:rsidR="00423C0D" w:rsidRPr="00AC064D" w:rsidTr="00423C0D">
        <w:trPr>
          <w:trHeight w:val="1786"/>
        </w:trPr>
        <w:tc>
          <w:tcPr>
            <w:tcW w:w="5000" w:type="pct"/>
            <w:gridSpan w:val="4"/>
          </w:tcPr>
          <w:p w:rsidR="00423C0D" w:rsidRPr="00AC064D" w:rsidRDefault="00423C0D" w:rsidP="00A51442">
            <w:pPr>
              <w:pStyle w:val="SCCBold"/>
              <w:jc w:val="center"/>
            </w:pPr>
            <w:r w:rsidRPr="00AC064D">
              <w:rPr>
                <w:noProof/>
                <w:lang w:val="en-US"/>
              </w:rPr>
              <w:drawing>
                <wp:inline distT="0" distB="0" distL="0" distR="0" wp14:anchorId="4E1468BC" wp14:editId="0002C899">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423C0D" w:rsidRPr="00AC064D" w:rsidRDefault="00423C0D" w:rsidP="009764CA">
            <w:pPr>
              <w:spacing w:before="120" w:after="100" w:afterAutospacing="1"/>
              <w:jc w:val="center"/>
              <w:rPr>
                <w:rFonts w:eastAsia="Calibri"/>
              </w:rPr>
            </w:pPr>
            <w:r w:rsidRPr="00AC064D">
              <w:rPr>
                <w:rFonts w:eastAsia="Calibri"/>
                <w:b/>
              </w:rPr>
              <w:t>COUR SUPRÊME DU CANADA</w:t>
            </w:r>
          </w:p>
        </w:tc>
      </w:tr>
      <w:tr w:rsidR="00D056AE" w:rsidRPr="00AC064D" w:rsidTr="00D056AE">
        <w:tblPrEx>
          <w:tblCellMar>
            <w:top w:w="58" w:type="dxa"/>
            <w:left w:w="58" w:type="dxa"/>
            <w:bottom w:w="58" w:type="dxa"/>
            <w:right w:w="58" w:type="dxa"/>
          </w:tblCellMar>
        </w:tblPrEx>
        <w:trPr>
          <w:cantSplit/>
        </w:trPr>
        <w:tc>
          <w:tcPr>
            <w:tcW w:w="2110" w:type="pct"/>
            <w:gridSpan w:val="2"/>
          </w:tcPr>
          <w:p w:rsidR="008215C3" w:rsidRPr="00AC064D" w:rsidRDefault="008215C3" w:rsidP="002F0B6C">
            <w:pPr>
              <w:rPr>
                <w:b/>
                <w:smallCaps/>
              </w:rPr>
            </w:pPr>
          </w:p>
          <w:p w:rsidR="00D056AE" w:rsidRPr="00AC064D" w:rsidRDefault="00D056AE" w:rsidP="002F0B6C">
            <w:pPr>
              <w:rPr>
                <w:b/>
                <w:smallCaps/>
              </w:rPr>
            </w:pPr>
            <w:r w:rsidRPr="00AC064D">
              <w:rPr>
                <w:b/>
                <w:smallCaps/>
              </w:rPr>
              <w:t>Référence :</w:t>
            </w:r>
            <w:r w:rsidRPr="00AC064D">
              <w:t xml:space="preserve"> </w:t>
            </w:r>
            <w:r w:rsidR="00B223EF" w:rsidRPr="00AC064D">
              <w:t xml:space="preserve">R. </w:t>
            </w:r>
            <w:r w:rsidR="00B223EF" w:rsidRPr="00AC064D">
              <w:rPr>
                <w:i/>
              </w:rPr>
              <w:t>c.</w:t>
            </w:r>
            <w:r w:rsidR="00B223EF" w:rsidRPr="00AC064D">
              <w:t xml:space="preserve"> </w:t>
            </w:r>
            <w:r w:rsidR="00B223EF" w:rsidRPr="00AC064D">
              <w:rPr>
                <w:rFonts w:ascii="Helvetica Neue" w:hAnsi="Helvetica Neue"/>
                <w:color w:val="333333"/>
                <w:shd w:val="clear" w:color="auto" w:fill="FFFFFF"/>
              </w:rPr>
              <w:t xml:space="preserve">Strathdee, </w:t>
            </w:r>
            <w:r w:rsidR="00B223EF" w:rsidRPr="00AC064D">
              <w:t xml:space="preserve">2021 CSC </w:t>
            </w:r>
            <w:r w:rsidR="00464CC6" w:rsidRPr="00AC064D">
              <w:t>40</w:t>
            </w:r>
          </w:p>
        </w:tc>
        <w:tc>
          <w:tcPr>
            <w:tcW w:w="780" w:type="pct"/>
          </w:tcPr>
          <w:p w:rsidR="00D056AE" w:rsidRPr="00AC064D" w:rsidRDefault="00D056AE" w:rsidP="002F0B6C"/>
        </w:tc>
        <w:tc>
          <w:tcPr>
            <w:tcW w:w="2109" w:type="pct"/>
          </w:tcPr>
          <w:p w:rsidR="00D056AE" w:rsidRPr="00AC064D" w:rsidRDefault="00D056AE" w:rsidP="00423C0D">
            <w:pPr>
              <w:jc w:val="both"/>
              <w:rPr>
                <w:b/>
                <w:smallCaps/>
              </w:rPr>
            </w:pPr>
          </w:p>
          <w:p w:rsidR="00D056AE" w:rsidRPr="00AC064D" w:rsidRDefault="00D056AE" w:rsidP="00423C0D">
            <w:pPr>
              <w:jc w:val="both"/>
            </w:pPr>
            <w:r w:rsidRPr="00AC064D">
              <w:rPr>
                <w:b/>
                <w:smallCaps/>
              </w:rPr>
              <w:t>Appel entendu :</w:t>
            </w:r>
            <w:r w:rsidRPr="00AC064D">
              <w:t xml:space="preserve"> </w:t>
            </w:r>
            <w:r w:rsidR="00B223EF" w:rsidRPr="00AC064D">
              <w:t>15 octobre 2021</w:t>
            </w:r>
          </w:p>
          <w:p w:rsidR="00D056AE" w:rsidRPr="00AC064D" w:rsidRDefault="00D056AE">
            <w:r w:rsidRPr="00AC064D">
              <w:rPr>
                <w:b/>
                <w:smallCaps/>
              </w:rPr>
              <w:t>Jugement rendu :</w:t>
            </w:r>
            <w:r w:rsidRPr="00AC064D">
              <w:t xml:space="preserve"> </w:t>
            </w:r>
            <w:r w:rsidR="00B223EF" w:rsidRPr="00AC064D">
              <w:t>15 octobre 2021</w:t>
            </w:r>
          </w:p>
          <w:p w:rsidR="00D056AE" w:rsidRPr="00AC064D" w:rsidRDefault="00D056AE" w:rsidP="002F0B6C">
            <w:r w:rsidRPr="00AC064D">
              <w:rPr>
                <w:b/>
                <w:smallCaps/>
              </w:rPr>
              <w:t>Dossier :</w:t>
            </w:r>
            <w:r w:rsidRPr="00AC064D">
              <w:t xml:space="preserve"> </w:t>
            </w:r>
            <w:r w:rsidR="00B223EF" w:rsidRPr="00AC064D">
              <w:t>39556</w:t>
            </w:r>
          </w:p>
        </w:tc>
      </w:tr>
      <w:tr w:rsidR="00423C0D" w:rsidRPr="00AC064D" w:rsidTr="00423C0D">
        <w:tblPrEx>
          <w:tblCellMar>
            <w:top w:w="58" w:type="dxa"/>
            <w:left w:w="58" w:type="dxa"/>
            <w:bottom w:w="58" w:type="dxa"/>
            <w:right w:w="58" w:type="dxa"/>
          </w:tblCellMar>
        </w:tblPrEx>
        <w:trPr>
          <w:cantSplit/>
        </w:trPr>
        <w:tc>
          <w:tcPr>
            <w:tcW w:w="5000" w:type="pct"/>
            <w:gridSpan w:val="4"/>
          </w:tcPr>
          <w:p w:rsidR="00423C0D" w:rsidRPr="00AC064D" w:rsidRDefault="00423C0D" w:rsidP="00423C0D"/>
          <w:p w:rsidR="00615A97" w:rsidRPr="00AC064D" w:rsidRDefault="00B223EF">
            <w:pPr>
              <w:pStyle w:val="SCCLsocPrefix"/>
            </w:pPr>
            <w:r w:rsidRPr="00AC064D">
              <w:t>Entre </w:t>
            </w:r>
            <w:r w:rsidR="00B56DBB" w:rsidRPr="00AC064D">
              <w:t>:</w:t>
            </w:r>
          </w:p>
          <w:p w:rsidR="00615A97" w:rsidRPr="00AC064D" w:rsidRDefault="00B223EF">
            <w:pPr>
              <w:pStyle w:val="SCCLsocParty"/>
            </w:pPr>
            <w:r w:rsidRPr="00AC064D">
              <w:rPr>
                <w:rFonts w:ascii="Helvetica Neue" w:hAnsi="Helvetica Neue"/>
                <w:color w:val="333333"/>
                <w:shd w:val="clear" w:color="auto" w:fill="FFFFFF"/>
              </w:rPr>
              <w:t>Tyler Gordon Strathdee</w:t>
            </w:r>
          </w:p>
          <w:p w:rsidR="00615A97" w:rsidRPr="00AC064D" w:rsidRDefault="00B223EF">
            <w:pPr>
              <w:pStyle w:val="SCCLsocPartyRole"/>
            </w:pPr>
            <w:r w:rsidRPr="00AC064D">
              <w:t>Appelant</w:t>
            </w:r>
          </w:p>
          <w:p w:rsidR="00615A97" w:rsidRPr="00AC064D" w:rsidRDefault="00615A97"/>
          <w:p w:rsidR="00615A97" w:rsidRPr="00AC064D" w:rsidRDefault="00B223EF">
            <w:pPr>
              <w:pStyle w:val="SCCLsocVersus"/>
            </w:pPr>
            <w:r w:rsidRPr="00AC064D">
              <w:t>et</w:t>
            </w:r>
          </w:p>
          <w:p w:rsidR="00615A97" w:rsidRPr="00AC064D" w:rsidRDefault="00615A97"/>
          <w:p w:rsidR="00615A97" w:rsidRPr="00AC064D" w:rsidRDefault="00B56DBB">
            <w:pPr>
              <w:pStyle w:val="SCCLsocParty"/>
            </w:pPr>
            <w:r w:rsidRPr="00AC064D">
              <w:t>Sa Majesté la Reine</w:t>
            </w:r>
          </w:p>
          <w:p w:rsidR="00615A97" w:rsidRPr="00AC064D" w:rsidRDefault="00B223EF">
            <w:pPr>
              <w:pStyle w:val="SCCLsocPartyRole"/>
            </w:pPr>
            <w:r w:rsidRPr="00AC064D">
              <w:t>Intimée</w:t>
            </w:r>
          </w:p>
          <w:p w:rsidR="00C34313" w:rsidRPr="00AC064D" w:rsidRDefault="00C34313" w:rsidP="00423C0D"/>
          <w:p w:rsidR="00423C0D" w:rsidRPr="00AC064D" w:rsidRDefault="00423C0D" w:rsidP="00423C0D">
            <w:pPr>
              <w:jc w:val="center"/>
              <w:rPr>
                <w:b/>
                <w:smallCaps/>
              </w:rPr>
            </w:pPr>
            <w:r w:rsidRPr="00AC064D">
              <w:rPr>
                <w:b/>
                <w:smallCaps/>
              </w:rPr>
              <w:t>Traduction française officielle</w:t>
            </w:r>
          </w:p>
          <w:p w:rsidR="00423C0D" w:rsidRPr="00AC064D" w:rsidRDefault="00423C0D" w:rsidP="00423C0D"/>
          <w:p w:rsidR="00423C0D" w:rsidRPr="00AC064D" w:rsidRDefault="00423C0D" w:rsidP="00423C0D">
            <w:r w:rsidRPr="00AC064D">
              <w:rPr>
                <w:b/>
                <w:smallCaps/>
              </w:rPr>
              <w:t>Coram :</w:t>
            </w:r>
            <w:r w:rsidRPr="00AC064D">
              <w:t xml:space="preserve"> </w:t>
            </w:r>
            <w:r w:rsidR="00B223EF" w:rsidRPr="00AC064D">
              <w:rPr>
                <w:color w:val="000000"/>
              </w:rPr>
              <w:t>Le juge en chef Wagner et les juges Moldaver, Karakatsanis, Côté, Brown, Rowe, Martin, Kasirer et Jamal</w:t>
            </w:r>
          </w:p>
          <w:p w:rsidR="00423C0D" w:rsidRPr="00AC064D" w:rsidRDefault="00423C0D" w:rsidP="00423C0D">
            <w:pPr>
              <w:jc w:val="both"/>
              <w:rPr>
                <w:b/>
                <w:smallCaps/>
              </w:rPr>
            </w:pPr>
          </w:p>
        </w:tc>
      </w:tr>
      <w:tr w:rsidR="004E69EC" w:rsidRPr="00AC064D" w:rsidTr="00D056AE">
        <w:tblPrEx>
          <w:tblCellMar>
            <w:top w:w="58" w:type="dxa"/>
            <w:left w:w="58" w:type="dxa"/>
            <w:bottom w:w="58" w:type="dxa"/>
            <w:right w:w="58" w:type="dxa"/>
          </w:tblCellMar>
        </w:tblPrEx>
        <w:trPr>
          <w:cantSplit/>
        </w:trPr>
        <w:tc>
          <w:tcPr>
            <w:tcW w:w="1251" w:type="pct"/>
          </w:tcPr>
          <w:p w:rsidR="00B223EF" w:rsidRPr="00AC064D" w:rsidRDefault="00B223EF" w:rsidP="00B223EF">
            <w:pPr>
              <w:rPr>
                <w:rFonts w:eastAsia="Times New Roman" w:cs="Times New Roman"/>
                <w:color w:val="000000"/>
                <w:szCs w:val="27"/>
              </w:rPr>
            </w:pPr>
            <w:r w:rsidRPr="00AC064D">
              <w:rPr>
                <w:rFonts w:eastAsia="Times New Roman" w:cs="Times New Roman"/>
                <w:b/>
                <w:bCs/>
                <w:smallCaps/>
                <w:color w:val="000000"/>
                <w:szCs w:val="27"/>
              </w:rPr>
              <w:t>Jugement unanime lu par :</w:t>
            </w:r>
          </w:p>
          <w:p w:rsidR="00B223EF" w:rsidRPr="00AC064D" w:rsidRDefault="00B223EF" w:rsidP="00B223EF">
            <w:pPr>
              <w:rPr>
                <w:rFonts w:eastAsia="Times New Roman" w:cs="Times New Roman"/>
                <w:color w:val="000000"/>
                <w:szCs w:val="27"/>
              </w:rPr>
            </w:pPr>
            <w:r w:rsidRPr="00AC064D">
              <w:rPr>
                <w:rFonts w:eastAsia="Times New Roman" w:cs="Times New Roman"/>
                <w:color w:val="000000"/>
                <w:szCs w:val="27"/>
              </w:rPr>
              <w:t>(par. </w:t>
            </w:r>
            <w:r w:rsidR="00815494" w:rsidRPr="00AC064D">
              <w:rPr>
                <w:rFonts w:eastAsia="Times New Roman" w:cs="Times New Roman"/>
                <w:color w:val="000000"/>
                <w:szCs w:val="27"/>
              </w:rPr>
              <w:t>1 à 5</w:t>
            </w:r>
            <w:r w:rsidRPr="00AC064D">
              <w:rPr>
                <w:rFonts w:eastAsia="Times New Roman" w:cs="Times New Roman"/>
                <w:color w:val="000000"/>
                <w:szCs w:val="27"/>
              </w:rPr>
              <w:t>)</w:t>
            </w:r>
          </w:p>
          <w:p w:rsidR="004E69EC" w:rsidRPr="00AC064D" w:rsidRDefault="004E69EC" w:rsidP="002F0B6C"/>
        </w:tc>
        <w:tc>
          <w:tcPr>
            <w:tcW w:w="3749" w:type="pct"/>
            <w:gridSpan w:val="3"/>
          </w:tcPr>
          <w:p w:rsidR="004E69EC" w:rsidRPr="00AC064D" w:rsidRDefault="00464CC6">
            <w:r w:rsidRPr="00AC064D">
              <w:t xml:space="preserve">Le juge </w:t>
            </w:r>
            <w:r w:rsidRPr="00AC064D">
              <w:rPr>
                <w:color w:val="000000"/>
              </w:rPr>
              <w:t>Rowe</w:t>
            </w:r>
          </w:p>
        </w:tc>
      </w:tr>
      <w:tr w:rsidR="00B223EF" w:rsidRPr="00AC064D" w:rsidTr="006B36DF">
        <w:tblPrEx>
          <w:tblCellMar>
            <w:top w:w="58" w:type="dxa"/>
            <w:left w:w="58" w:type="dxa"/>
            <w:bottom w:w="58" w:type="dxa"/>
            <w:right w:w="58" w:type="dxa"/>
          </w:tblCellMar>
        </w:tblPrEx>
        <w:trPr>
          <w:cantSplit/>
        </w:trPr>
        <w:tc>
          <w:tcPr>
            <w:tcW w:w="1" w:type="pct"/>
            <w:gridSpan w:val="4"/>
          </w:tcPr>
          <w:p w:rsidR="00B223EF" w:rsidRPr="00AC064D" w:rsidRDefault="00B223EF"/>
        </w:tc>
      </w:tr>
    </w:tbl>
    <w:p w:rsidR="00904937" w:rsidRPr="00AC064D" w:rsidRDefault="00904937">
      <w:r w:rsidRPr="00AC064D">
        <w:rPr>
          <w:b/>
          <w:smallCaps/>
        </w:rPr>
        <w:t>Note</w:t>
      </w:r>
      <w:r w:rsidR="002F0B6C" w:rsidRPr="00AC064D">
        <w:rPr>
          <w:b/>
          <w:smallCaps/>
        </w:rPr>
        <w:t> :</w:t>
      </w:r>
      <w:r w:rsidRPr="00AC064D">
        <w:rPr>
          <w:b/>
        </w:rPr>
        <w:t xml:space="preserve"> </w:t>
      </w:r>
      <w:r w:rsidR="001E12E2" w:rsidRPr="00AC064D">
        <w:t>Ce document fera l’objet de retouches de forme avant la parution</w:t>
      </w:r>
      <w:r w:rsidR="005C0397" w:rsidRPr="00AC064D">
        <w:t xml:space="preserve"> </w:t>
      </w:r>
      <w:r w:rsidR="001E12E2" w:rsidRPr="00AC064D">
        <w:t>de sa version définitive dans le</w:t>
      </w:r>
      <w:r w:rsidRPr="00AC064D">
        <w:t xml:space="preserve"> </w:t>
      </w:r>
      <w:r w:rsidR="001E12E2" w:rsidRPr="00AC064D">
        <w:rPr>
          <w:i/>
        </w:rPr>
        <w:t>Recueil des arrêts de la Cour suprême du C</w:t>
      </w:r>
      <w:r w:rsidRPr="00AC064D">
        <w:rPr>
          <w:i/>
        </w:rPr>
        <w:t>anada</w:t>
      </w:r>
      <w:r w:rsidRPr="00AC064D">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D1436" w:rsidRPr="00AC064D" w:rsidTr="003375C9">
        <w:tc>
          <w:tcPr>
            <w:tcW w:w="1500" w:type="pct"/>
            <w:tcMar>
              <w:top w:w="284" w:type="dxa"/>
            </w:tcMar>
          </w:tcPr>
          <w:p w:rsidR="000D1436" w:rsidRPr="00AC064D" w:rsidRDefault="000D1436" w:rsidP="003375C9">
            <w:pPr>
              <w:rPr>
                <w:rFonts w:eastAsia="Calibri"/>
              </w:rPr>
            </w:pPr>
          </w:p>
        </w:tc>
        <w:tc>
          <w:tcPr>
            <w:tcW w:w="2000" w:type="pct"/>
            <w:tcBorders>
              <w:bottom w:val="single" w:sz="4" w:space="0" w:color="auto"/>
            </w:tcBorders>
            <w:tcMar>
              <w:top w:w="284" w:type="dxa"/>
            </w:tcMar>
          </w:tcPr>
          <w:p w:rsidR="000D1436" w:rsidRPr="00AC064D" w:rsidRDefault="000D1436" w:rsidP="003375C9">
            <w:pPr>
              <w:rPr>
                <w:rFonts w:eastAsia="Calibri"/>
              </w:rPr>
            </w:pPr>
          </w:p>
        </w:tc>
        <w:tc>
          <w:tcPr>
            <w:tcW w:w="1500" w:type="pct"/>
            <w:tcMar>
              <w:top w:w="284" w:type="dxa"/>
            </w:tcMar>
          </w:tcPr>
          <w:p w:rsidR="000D1436" w:rsidRPr="00AC064D" w:rsidRDefault="000D1436" w:rsidP="003375C9">
            <w:pPr>
              <w:rPr>
                <w:rFonts w:eastAsia="Calibri"/>
              </w:rPr>
            </w:pPr>
          </w:p>
        </w:tc>
      </w:tr>
    </w:tbl>
    <w:p w:rsidR="00AC064D" w:rsidRPr="00AC064D" w:rsidRDefault="00AC064D"/>
    <w:p w:rsidR="00AC064D" w:rsidRPr="00AC064D" w:rsidRDefault="00AC064D" w:rsidP="00AC064D">
      <w:r w:rsidRPr="00AC064D">
        <w:br w:type="page"/>
      </w:r>
    </w:p>
    <w:p w:rsidR="00AC064D" w:rsidRPr="00C537C2" w:rsidRDefault="00AC064D" w:rsidP="00AC064D">
      <w:pPr>
        <w:pStyle w:val="SCCLsocLastPartyInRole"/>
        <w:rPr>
          <w:b w:val="0"/>
          <w:i/>
          <w:lang w:val="fr-CA"/>
        </w:rPr>
      </w:pPr>
      <w:r w:rsidRPr="00C537C2">
        <w:rPr>
          <w:bCs/>
          <w:lang w:val="fr-CA"/>
        </w:rPr>
        <w:lastRenderedPageBreak/>
        <w:t>Tyler Gordon Strathdee</w:t>
      </w:r>
      <w:r w:rsidRPr="00C537C2">
        <w:rPr>
          <w:lang w:val="fr-CA"/>
        </w:rPr>
        <w:tab/>
      </w:r>
      <w:r w:rsidRPr="00C537C2">
        <w:rPr>
          <w:b w:val="0"/>
          <w:i/>
          <w:lang w:val="fr-CA"/>
        </w:rPr>
        <w:t>Appelant</w:t>
      </w:r>
    </w:p>
    <w:p w:rsidR="00AC064D" w:rsidRPr="00C537C2" w:rsidRDefault="00AC064D" w:rsidP="00955060">
      <w:pPr>
        <w:pStyle w:val="SCCLsocVersus"/>
        <w:spacing w:after="480" w:line="480" w:lineRule="auto"/>
        <w:jc w:val="left"/>
        <w:rPr>
          <w:i/>
        </w:rPr>
      </w:pPr>
      <w:bookmarkStart w:id="0" w:name="_GoBack"/>
      <w:proofErr w:type="gramStart"/>
      <w:r w:rsidRPr="00C537C2">
        <w:rPr>
          <w:i/>
        </w:rPr>
        <w:t>c</w:t>
      </w:r>
      <w:proofErr w:type="gramEnd"/>
      <w:r w:rsidRPr="00C537C2">
        <w:rPr>
          <w:i/>
        </w:rPr>
        <w:t>.</w:t>
      </w:r>
    </w:p>
    <w:bookmarkEnd w:id="0"/>
    <w:p w:rsidR="00AC064D" w:rsidRPr="00C537C2" w:rsidRDefault="00AC064D" w:rsidP="00AC064D">
      <w:pPr>
        <w:pStyle w:val="SCCLsocLastPartyInRole"/>
        <w:rPr>
          <w:b w:val="0"/>
          <w:i/>
          <w:lang w:val="fr-CA"/>
        </w:rPr>
      </w:pPr>
      <w:r w:rsidRPr="00AC064D">
        <w:rPr>
          <w:bCs/>
          <w:lang w:val="fr-CA"/>
        </w:rPr>
        <w:t>Sa Majesté la Reine</w:t>
      </w:r>
      <w:r w:rsidRPr="00AC064D">
        <w:rPr>
          <w:lang w:val="fr-CA"/>
        </w:rPr>
        <w:tab/>
      </w:r>
      <w:r w:rsidRPr="00C537C2">
        <w:rPr>
          <w:b w:val="0"/>
          <w:i/>
          <w:lang w:val="fr-CA"/>
        </w:rPr>
        <w:t>Intimée</w:t>
      </w:r>
    </w:p>
    <w:p w:rsidR="00AC064D" w:rsidRPr="00AC064D" w:rsidRDefault="00AC064D" w:rsidP="00AC064D">
      <w:pPr>
        <w:spacing w:after="720"/>
        <w:jc w:val="both"/>
        <w:rPr>
          <w:b/>
        </w:rPr>
      </w:pPr>
      <w:r w:rsidRPr="00AC064D">
        <w:rPr>
          <w:b/>
        </w:rPr>
        <w:t>Répertorié : R. </w:t>
      </w:r>
      <w:r w:rsidRPr="00AC064D">
        <w:rPr>
          <w:b/>
          <w:i/>
          <w:iCs/>
        </w:rPr>
        <w:t>c.</w:t>
      </w:r>
      <w:r w:rsidRPr="00AC064D">
        <w:rPr>
          <w:b/>
        </w:rPr>
        <w:t> Strathdee</w:t>
      </w:r>
    </w:p>
    <w:p w:rsidR="00AC064D" w:rsidRPr="00AC064D" w:rsidRDefault="00AC064D" w:rsidP="00AC064D">
      <w:pPr>
        <w:pStyle w:val="SCCSystemYear"/>
        <w:spacing w:after="720"/>
        <w:jc w:val="both"/>
        <w:rPr>
          <w:lang w:val="fr-CA"/>
        </w:rPr>
      </w:pPr>
      <w:r w:rsidRPr="00AC064D">
        <w:rPr>
          <w:lang w:val="fr-CA"/>
        </w:rPr>
        <w:t>2021 CSC </w:t>
      </w:r>
      <w:r w:rsidRPr="00AC064D">
        <w:rPr>
          <w:rFonts w:ascii="Helvetica Neue" w:hAnsi="Helvetica Neue"/>
          <w:color w:val="333333"/>
          <w:shd w:val="clear" w:color="auto" w:fill="FFFFFF"/>
          <w:lang w:val="fr-CA"/>
        </w:rPr>
        <w:t>40</w:t>
      </w:r>
    </w:p>
    <w:p w:rsidR="00AC064D" w:rsidRPr="00AC064D" w:rsidRDefault="00AC064D" w:rsidP="00AC064D">
      <w:pPr>
        <w:spacing w:after="720"/>
        <w:jc w:val="both"/>
      </w:pPr>
      <w:r w:rsidRPr="00AC064D">
        <w:t>N</w:t>
      </w:r>
      <w:r w:rsidRPr="00AC064D">
        <w:rPr>
          <w:vertAlign w:val="superscript"/>
        </w:rPr>
        <w:t>o</w:t>
      </w:r>
      <w:r w:rsidRPr="00AC064D">
        <w:t xml:space="preserve"> du greffe : </w:t>
      </w:r>
      <w:r w:rsidRPr="00AC064D">
        <w:rPr>
          <w:color w:val="000000"/>
        </w:rPr>
        <w:t>39556</w:t>
      </w:r>
      <w:r w:rsidRPr="00AC064D">
        <w:t>.</w:t>
      </w:r>
    </w:p>
    <w:p w:rsidR="00AC064D" w:rsidRPr="00AC064D" w:rsidRDefault="00AC064D" w:rsidP="00AC064D">
      <w:pPr>
        <w:spacing w:after="720"/>
        <w:jc w:val="both"/>
      </w:pPr>
      <w:r w:rsidRPr="00AC064D">
        <w:t>2021 : </w:t>
      </w:r>
      <w:r w:rsidRPr="00AC064D">
        <w:rPr>
          <w:color w:val="000000"/>
        </w:rPr>
        <w:t>15 octobre</w:t>
      </w:r>
      <w:r w:rsidRPr="00AC064D">
        <w:t>.</w:t>
      </w:r>
    </w:p>
    <w:p w:rsidR="00AC064D" w:rsidRPr="00AC064D" w:rsidRDefault="00AC064D" w:rsidP="00AC064D">
      <w:pPr>
        <w:spacing w:after="720"/>
        <w:jc w:val="both"/>
      </w:pPr>
      <w:r w:rsidRPr="00AC064D">
        <w:t>Présents : </w:t>
      </w:r>
      <w:r w:rsidRPr="00AC064D">
        <w:rPr>
          <w:color w:val="000000"/>
        </w:rPr>
        <w:t>Le juge en chef Wagner et les juges Moldaver, Karakatsanis, Côté, Brown, Rowe, Martin, Kasirer et Jamal.</w:t>
      </w:r>
    </w:p>
    <w:p w:rsidR="00AC064D" w:rsidRPr="00AC064D" w:rsidRDefault="00AC064D" w:rsidP="00AC064D">
      <w:pPr>
        <w:spacing w:after="720"/>
        <w:jc w:val="both"/>
        <w:rPr>
          <w:smallCaps/>
        </w:rPr>
      </w:pPr>
      <w:r w:rsidRPr="00AC064D">
        <w:rPr>
          <w:smallCaps/>
        </w:rPr>
        <w:t xml:space="preserve">en appel de la cour d’appel de </w:t>
      </w:r>
      <w:proofErr w:type="spellStart"/>
      <w:r w:rsidRPr="00AC064D">
        <w:rPr>
          <w:smallCaps/>
        </w:rPr>
        <w:t>l’alberta</w:t>
      </w:r>
      <w:proofErr w:type="spellEnd"/>
    </w:p>
    <w:p w:rsidR="00AC064D" w:rsidRPr="00AC064D" w:rsidRDefault="00AC064D" w:rsidP="00AC064D">
      <w:pPr>
        <w:pStyle w:val="SCCNormalDoubleSpacing"/>
        <w:spacing w:after="480"/>
        <w:rPr>
          <w:lang w:val="fr-CA"/>
        </w:rPr>
      </w:pPr>
      <w:r w:rsidRPr="00AC064D">
        <w:rPr>
          <w:lang w:val="fr-CA"/>
        </w:rPr>
        <w:tab/>
      </w:r>
      <w:r w:rsidRPr="00AC064D">
        <w:rPr>
          <w:i/>
          <w:lang w:val="fr-CA"/>
        </w:rPr>
        <w:t xml:space="preserve">Droit criminel — Parties à l’infraction — </w:t>
      </w:r>
      <w:r w:rsidRPr="00AC064D">
        <w:rPr>
          <w:i/>
          <w:iCs/>
          <w:color w:val="000000"/>
          <w:lang w:val="fr-CA"/>
        </w:rPr>
        <w:t xml:space="preserve">Responsabilité en tant que coauteur de l’infraction </w:t>
      </w:r>
      <w:r w:rsidRPr="00AC064D">
        <w:rPr>
          <w:i/>
          <w:lang w:val="fr-CA"/>
        </w:rPr>
        <w:t>— Agression en groupe — Accusé faisant partie d’un groupe d’individus qui sont entrés dans un appartement et y ont agressé plusieurs occupants — Décès d’un des occupants par suite d’un seul coup de couteau — Accusé inculpé d’homicide involontaire coupable — Accusé acquitté par la juge du procès parce que l’unique blessure par coup de couteau ne pouvait qu’avoir été causée par un seul auteur principal et que la Couronne n’avait pas prouvé au</w:t>
      </w:r>
      <w:r w:rsidRPr="00AC064D">
        <w:rPr>
          <w:i/>
          <w:lang w:val="fr-CA"/>
        </w:rPr>
        <w:noBreakHyphen/>
        <w:t xml:space="preserve">delà de tout doute raisonnable que l’accusé avait infligé cette blessure — Arrêt de la Cour d’appel concluant </w:t>
      </w:r>
      <w:r w:rsidRPr="00AC064D">
        <w:rPr>
          <w:i/>
          <w:lang w:val="fr-CA"/>
        </w:rPr>
        <w:lastRenderedPageBreak/>
        <w:t>que la juge du procès avait commis une erreur de droit en omettant d’apprécier comme il se doit la responsabilité de l’accusé en tant que coauteur de l’homicide involontaire coupable compte tenu de sa conclusion portant que ce dernier avait participé à l’agression en groupe — Acquittement écarté par la Cour d’appel et déclaration de culpabilité inscrite — Déclaration de culpabilité confirmée.</w:t>
      </w:r>
    </w:p>
    <w:p w:rsidR="00AC064D" w:rsidRPr="00AC064D" w:rsidRDefault="00AC064D" w:rsidP="00AC064D">
      <w:pPr>
        <w:pStyle w:val="SCCNormalDoubleSpacing"/>
        <w:spacing w:after="720" w:line="240" w:lineRule="auto"/>
        <w:rPr>
          <w:b/>
          <w:bCs/>
          <w:color w:val="000000"/>
          <w:lang w:val="fr-CA"/>
        </w:rPr>
      </w:pPr>
      <w:r w:rsidRPr="00AC064D">
        <w:rPr>
          <w:b/>
          <w:bCs/>
          <w:color w:val="000000"/>
          <w:lang w:val="fr-CA"/>
        </w:rPr>
        <w:t>Jurisprudence</w:t>
      </w:r>
    </w:p>
    <w:p w:rsidR="00AC064D" w:rsidRPr="00AC064D" w:rsidRDefault="00AC064D" w:rsidP="00AC064D">
      <w:pPr>
        <w:pStyle w:val="SCCNormalDoubleSpacing"/>
        <w:spacing w:after="480"/>
        <w:rPr>
          <w:bCs/>
          <w:color w:val="000000"/>
          <w:lang w:val="fr-CA"/>
        </w:rPr>
      </w:pPr>
      <w:r w:rsidRPr="00AC064D">
        <w:rPr>
          <w:bCs/>
          <w:color w:val="000000"/>
          <w:lang w:val="fr-CA"/>
        </w:rPr>
        <w:tab/>
      </w:r>
      <w:r w:rsidRPr="00AC064D">
        <w:rPr>
          <w:b/>
          <w:bCs/>
          <w:color w:val="000000"/>
          <w:lang w:val="fr-CA"/>
        </w:rPr>
        <w:t>Arrêts mentionnés :</w:t>
      </w:r>
      <w:r w:rsidRPr="00AC064D">
        <w:rPr>
          <w:bCs/>
          <w:color w:val="000000"/>
          <w:lang w:val="fr-CA"/>
        </w:rPr>
        <w:t xml:space="preserve"> </w:t>
      </w:r>
      <w:r w:rsidRPr="00AC064D">
        <w:rPr>
          <w:i/>
          <w:iCs/>
          <w:color w:val="000000"/>
          <w:lang w:val="fr-CA"/>
        </w:rPr>
        <w:t>R. c. Cabrera</w:t>
      </w:r>
      <w:r w:rsidRPr="00AC064D">
        <w:rPr>
          <w:color w:val="000000"/>
          <w:lang w:val="fr-CA"/>
        </w:rPr>
        <w:t xml:space="preserve">, 2019 ABCA 184, 95 Alta. L.R. (6th) 258, conf. </w:t>
      </w:r>
      <w:proofErr w:type="gramStart"/>
      <w:r w:rsidRPr="00AC064D">
        <w:rPr>
          <w:color w:val="000000"/>
          <w:lang w:val="fr-CA"/>
        </w:rPr>
        <w:t>par</w:t>
      </w:r>
      <w:proofErr w:type="gramEnd"/>
      <w:r w:rsidRPr="00AC064D">
        <w:rPr>
          <w:color w:val="000000"/>
          <w:lang w:val="fr-CA"/>
        </w:rPr>
        <w:t> </w:t>
      </w:r>
      <w:r w:rsidRPr="00AC064D">
        <w:rPr>
          <w:i/>
          <w:iCs/>
          <w:color w:val="000000"/>
          <w:lang w:val="fr-CA"/>
        </w:rPr>
        <w:t>R. c. Shlah</w:t>
      </w:r>
      <w:r w:rsidRPr="00AC064D">
        <w:rPr>
          <w:color w:val="000000"/>
          <w:lang w:val="fr-CA"/>
        </w:rPr>
        <w:t xml:space="preserve">, 2019 CSC 56, [2019] 4 R.C.S. 136; </w:t>
      </w:r>
      <w:r w:rsidRPr="00AC064D">
        <w:rPr>
          <w:i/>
          <w:color w:val="000000"/>
          <w:lang w:val="fr-CA"/>
        </w:rPr>
        <w:t>R</w:t>
      </w:r>
      <w:r w:rsidRPr="00AC064D">
        <w:rPr>
          <w:i/>
          <w:iCs/>
          <w:color w:val="000000"/>
          <w:lang w:val="fr-CA"/>
        </w:rPr>
        <w:t>. c. Pickton</w:t>
      </w:r>
      <w:r w:rsidRPr="00AC064D">
        <w:rPr>
          <w:color w:val="000000"/>
          <w:lang w:val="fr-CA"/>
        </w:rPr>
        <w:t>, 2010 CSC 32, [2010] 2 R.C.S. 198.</w:t>
      </w:r>
    </w:p>
    <w:p w:rsidR="00AC064D" w:rsidRPr="00AC064D" w:rsidRDefault="00AC064D" w:rsidP="00AC064D">
      <w:pPr>
        <w:pStyle w:val="SCCNormalDoubleSpacing"/>
        <w:spacing w:after="720" w:line="240" w:lineRule="auto"/>
        <w:rPr>
          <w:b/>
          <w:lang w:val="fr-CA"/>
        </w:rPr>
      </w:pPr>
      <w:r w:rsidRPr="00AC064D">
        <w:rPr>
          <w:b/>
          <w:bCs/>
          <w:color w:val="000000"/>
          <w:lang w:val="fr-CA"/>
        </w:rPr>
        <w:t>Lois et règlements cités</w:t>
      </w:r>
    </w:p>
    <w:p w:rsidR="00AC064D" w:rsidRPr="00AC064D" w:rsidRDefault="00AC064D" w:rsidP="00AC064D">
      <w:pPr>
        <w:pStyle w:val="SCCNormalDoubleSpacing"/>
        <w:spacing w:after="720" w:line="240" w:lineRule="auto"/>
        <w:rPr>
          <w:b/>
          <w:lang w:val="fr-CA"/>
        </w:rPr>
      </w:pPr>
      <w:r w:rsidRPr="00AC064D">
        <w:rPr>
          <w:rFonts w:eastAsiaTheme="majorEastAsia"/>
          <w:i/>
          <w:iCs/>
          <w:lang w:val="fr-CA"/>
        </w:rPr>
        <w:t>Code criminel</w:t>
      </w:r>
      <w:r w:rsidRPr="00AC064D">
        <w:rPr>
          <w:rFonts w:eastAsiaTheme="majorEastAsia"/>
          <w:lang w:val="fr-CA"/>
        </w:rPr>
        <w:t>, L.R.C. 1985, c. C</w:t>
      </w:r>
      <w:r w:rsidRPr="00AC064D">
        <w:rPr>
          <w:rFonts w:eastAsiaTheme="majorEastAsia"/>
          <w:lang w:val="fr-CA"/>
        </w:rPr>
        <w:noBreakHyphen/>
        <w:t>46</w:t>
      </w:r>
      <w:r w:rsidRPr="00AC064D">
        <w:rPr>
          <w:color w:val="000000"/>
          <w:lang w:val="fr-CA"/>
        </w:rPr>
        <w:t>, art. </w:t>
      </w:r>
      <w:r w:rsidRPr="00AC064D">
        <w:rPr>
          <w:rFonts w:eastAsiaTheme="majorEastAsia"/>
          <w:lang w:val="fr-CA"/>
        </w:rPr>
        <w:t>21(1)</w:t>
      </w:r>
      <w:r w:rsidRPr="00AC064D">
        <w:rPr>
          <w:color w:val="000000"/>
          <w:lang w:val="fr-CA"/>
        </w:rPr>
        <w:t xml:space="preserve">a), c), </w:t>
      </w:r>
      <w:r w:rsidRPr="00AC064D">
        <w:rPr>
          <w:rFonts w:eastAsiaTheme="majorEastAsia"/>
          <w:lang w:val="fr-CA"/>
        </w:rPr>
        <w:t>691(2)</w:t>
      </w:r>
      <w:r w:rsidRPr="00AC064D">
        <w:rPr>
          <w:color w:val="000000"/>
          <w:lang w:val="fr-CA"/>
        </w:rPr>
        <w:t>b).</w:t>
      </w:r>
    </w:p>
    <w:p w:rsidR="00AC064D" w:rsidRPr="00AC064D" w:rsidRDefault="00AC064D" w:rsidP="00AC064D">
      <w:pPr>
        <w:pStyle w:val="SCCNormalDoubleSpacing"/>
        <w:spacing w:after="480"/>
        <w:rPr>
          <w:lang w:val="fr-CA"/>
        </w:rPr>
      </w:pPr>
      <w:r w:rsidRPr="00AC064D">
        <w:rPr>
          <w:lang w:val="fr-CA"/>
        </w:rPr>
        <w:tab/>
        <w:t xml:space="preserve">POURVOI contre un arrêt de la Cour d’appel </w:t>
      </w:r>
      <w:r w:rsidRPr="00AC064D">
        <w:rPr>
          <w:color w:val="000000"/>
          <w:lang w:val="fr-CA"/>
        </w:rPr>
        <w:t>de l’Alberta</w:t>
      </w:r>
      <w:r w:rsidRPr="00AC064D">
        <w:rPr>
          <w:lang w:val="fr-CA"/>
        </w:rPr>
        <w:t xml:space="preserve"> (la juge en chef Fraser et les juges Watson et Pentelechuk), </w:t>
      </w:r>
      <w:hyperlink r:id="rId9" w:history="1">
        <w:r w:rsidRPr="00AC064D">
          <w:rPr>
            <w:rStyle w:val="Hyperlink"/>
            <w:lang w:val="fr-CA"/>
          </w:rPr>
          <w:t>2020 ABCA 443</w:t>
        </w:r>
      </w:hyperlink>
      <w:r w:rsidRPr="00AC064D">
        <w:rPr>
          <w:color w:val="000000"/>
          <w:lang w:val="fr-CA"/>
        </w:rPr>
        <w:t xml:space="preserve">, 21 Alta. L.R. (7th) 72, 410 C.C.C. (3d) 46, 463 D.L.R. (4th) 193, [2021] 5 W.W.R. 456, [2020] A.J. No. 1357 (QL), 2020 CarswellAlta 2352 (WL), </w:t>
      </w:r>
      <w:r w:rsidRPr="00AC064D">
        <w:rPr>
          <w:lang w:val="fr-CA"/>
        </w:rPr>
        <w:t xml:space="preserve">qui a écarté l’acquittement pour homicide involontaire coupable </w:t>
      </w:r>
      <w:r w:rsidRPr="00AC064D">
        <w:rPr>
          <w:color w:val="000000"/>
          <w:lang w:val="fr-CA"/>
        </w:rPr>
        <w:t>prononcé par la juge </w:t>
      </w:r>
      <w:r w:rsidRPr="00AC064D">
        <w:rPr>
          <w:lang w:val="fr-CA"/>
        </w:rPr>
        <w:t xml:space="preserve">Goss, 2019 ABQB 479, </w:t>
      </w:r>
      <w:r w:rsidRPr="00AC064D">
        <w:rPr>
          <w:bCs/>
          <w:lang w:val="fr-CA"/>
        </w:rPr>
        <w:t xml:space="preserve">[2019] A.J. No. 853 (QL), 2019 CarswellAlta 1310 (WL), </w:t>
      </w:r>
      <w:r w:rsidRPr="00AC064D">
        <w:rPr>
          <w:lang w:val="fr-CA"/>
        </w:rPr>
        <w:t>et inscrit une déclaration de culpabilité</w:t>
      </w:r>
      <w:r w:rsidRPr="00AC064D">
        <w:rPr>
          <w:bCs/>
          <w:lang w:val="fr-CA"/>
        </w:rPr>
        <w:t>. Pourvoi rejeté.</w:t>
      </w:r>
    </w:p>
    <w:p w:rsidR="00AC064D" w:rsidRPr="00AC064D" w:rsidRDefault="00AC064D" w:rsidP="00AC064D">
      <w:pPr>
        <w:pStyle w:val="SCCNormalDoubleSpacing"/>
        <w:spacing w:after="480"/>
        <w:rPr>
          <w:color w:val="000000"/>
          <w:szCs w:val="24"/>
          <w:lang w:val="fr-CA" w:eastAsia="en-US"/>
        </w:rPr>
      </w:pPr>
      <w:r w:rsidRPr="00AC064D">
        <w:rPr>
          <w:lang w:val="fr-CA"/>
        </w:rPr>
        <w:tab/>
      </w:r>
      <w:r w:rsidRPr="00AC064D">
        <w:rPr>
          <w:i/>
          <w:iCs/>
          <w:lang w:val="fr-CA"/>
        </w:rPr>
        <w:t>Graham Johnson</w:t>
      </w:r>
      <w:r w:rsidRPr="00AC064D">
        <w:rPr>
          <w:iCs/>
          <w:lang w:val="fr-CA"/>
        </w:rPr>
        <w:t xml:space="preserve"> et </w:t>
      </w:r>
      <w:r w:rsidRPr="00AC064D">
        <w:rPr>
          <w:i/>
          <w:iCs/>
          <w:lang w:val="fr-CA"/>
        </w:rPr>
        <w:t>Tania Shapka</w:t>
      </w:r>
      <w:r w:rsidRPr="00AC064D">
        <w:rPr>
          <w:color w:val="000000"/>
          <w:szCs w:val="24"/>
          <w:lang w:val="fr-CA" w:eastAsia="en-US"/>
        </w:rPr>
        <w:t>, pour l’appelant.</w:t>
      </w:r>
    </w:p>
    <w:p w:rsidR="00AC064D" w:rsidRPr="00AC064D" w:rsidRDefault="00AC064D" w:rsidP="00AC064D">
      <w:pPr>
        <w:pStyle w:val="SCCNormalDoubleSpacing"/>
        <w:spacing w:after="480"/>
        <w:rPr>
          <w:color w:val="000000"/>
          <w:szCs w:val="24"/>
          <w:lang w:val="fr-CA" w:eastAsia="en-US"/>
        </w:rPr>
      </w:pPr>
      <w:r w:rsidRPr="00AC064D">
        <w:rPr>
          <w:color w:val="000000"/>
          <w:szCs w:val="24"/>
          <w:lang w:val="fr-CA" w:eastAsia="en-US"/>
        </w:rPr>
        <w:tab/>
      </w:r>
      <w:r w:rsidRPr="00AC064D">
        <w:rPr>
          <w:i/>
          <w:iCs/>
          <w:lang w:val="fr-CA"/>
        </w:rPr>
        <w:t>Julie Morgan</w:t>
      </w:r>
      <w:r w:rsidRPr="00AC064D">
        <w:rPr>
          <w:color w:val="000000"/>
          <w:szCs w:val="24"/>
          <w:lang w:val="fr-CA" w:eastAsia="en-US"/>
        </w:rPr>
        <w:t>, pour l’intimée.</w:t>
      </w:r>
    </w:p>
    <w:p w:rsidR="00AC064D" w:rsidRPr="00AC064D" w:rsidRDefault="00AC064D" w:rsidP="00AC064D">
      <w:pPr>
        <w:pStyle w:val="SCCNormalDoubleSpacing"/>
        <w:spacing w:after="480"/>
        <w:rPr>
          <w:color w:val="000000"/>
          <w:lang w:val="fr-CA"/>
        </w:rPr>
      </w:pPr>
      <w:r w:rsidRPr="00AC064D">
        <w:rPr>
          <w:color w:val="000000"/>
          <w:lang w:val="fr-CA"/>
        </w:rPr>
        <w:tab/>
        <w:t>Version française du jugement de la Cour rendu oralement par</w:t>
      </w:r>
    </w:p>
    <w:p w:rsidR="00AC064D" w:rsidRPr="00AC064D" w:rsidRDefault="00AC064D" w:rsidP="00AC064D">
      <w:pPr>
        <w:pStyle w:val="ParaNoNdepar-AltN"/>
        <w:numPr>
          <w:ilvl w:val="0"/>
          <w:numId w:val="0"/>
        </w:numPr>
        <w:rPr>
          <w:lang w:val="fr-CA"/>
        </w:rPr>
      </w:pPr>
      <w:r w:rsidRPr="00AC064D">
        <w:rPr>
          <w:lang w:val="fr-CA"/>
        </w:rPr>
        <w:t>[1]</w:t>
      </w:r>
      <w:r w:rsidRPr="00AC064D">
        <w:rPr>
          <w:lang w:val="fr-CA"/>
        </w:rPr>
        <w:tab/>
      </w:r>
      <w:r w:rsidRPr="00AC064D">
        <w:rPr>
          <w:smallCaps/>
          <w:color w:val="000000"/>
          <w:lang w:val="fr-CA"/>
        </w:rPr>
        <w:t>Le juge Rowe</w:t>
      </w:r>
      <w:r w:rsidRPr="00AC064D">
        <w:rPr>
          <w:color w:val="000000"/>
          <w:lang w:val="fr-CA"/>
        </w:rPr>
        <w:t xml:space="preserve"> — Monsieur Strathdee fait appel de plein droit devant notre Cour en vertu de l’</w:t>
      </w:r>
      <w:r w:rsidRPr="00AC064D">
        <w:rPr>
          <w:rFonts w:eastAsiaTheme="majorEastAsia"/>
          <w:lang w:val="fr-CA"/>
        </w:rPr>
        <w:t>al. 691(2)</w:t>
      </w:r>
      <w:r w:rsidRPr="00AC064D">
        <w:rPr>
          <w:color w:val="000000"/>
          <w:lang w:val="fr-CA"/>
        </w:rPr>
        <w:t xml:space="preserve">b) du </w:t>
      </w:r>
      <w:r w:rsidRPr="00AC064D">
        <w:rPr>
          <w:rFonts w:eastAsiaTheme="majorEastAsia"/>
          <w:i/>
          <w:iCs/>
          <w:lang w:val="fr-CA"/>
        </w:rPr>
        <w:t>Code criminel</w:t>
      </w:r>
      <w:r w:rsidRPr="00AC064D">
        <w:rPr>
          <w:rFonts w:eastAsiaTheme="majorEastAsia"/>
          <w:lang w:val="fr-CA"/>
        </w:rPr>
        <w:t>, L.R.C. 1985, c. C</w:t>
      </w:r>
      <w:r w:rsidRPr="00AC064D">
        <w:rPr>
          <w:rFonts w:eastAsiaTheme="majorEastAsia"/>
          <w:lang w:val="fr-CA"/>
        </w:rPr>
        <w:noBreakHyphen/>
        <w:t>46</w:t>
      </w:r>
      <w:r w:rsidRPr="00AC064D">
        <w:rPr>
          <w:color w:val="000000"/>
          <w:lang w:val="fr-CA"/>
        </w:rPr>
        <w:t xml:space="preserve">, au motif que la Cour d’appel de l’Alberta a annulé son acquittement relativement à une accusation d’homicide </w:t>
      </w:r>
      <w:r w:rsidRPr="00AC064D">
        <w:rPr>
          <w:rFonts w:cs="Times New Roman"/>
          <w:lang w:val="fr-CA"/>
        </w:rPr>
        <w:t>involontaire</w:t>
      </w:r>
      <w:r w:rsidRPr="00AC064D">
        <w:rPr>
          <w:color w:val="000000"/>
          <w:lang w:val="fr-CA"/>
        </w:rPr>
        <w:t xml:space="preserve"> coupable résultant d’un acte illégal et a inscrit une déclaration de culpabilité. La juge du procès, siégeant seule, avait acquitté M. Strathdee après avoir considéré la responsabilité comme auteur conjoint/coauteur, et l’encouragement à commettre une infraction, suivant les </w:t>
      </w:r>
      <w:r w:rsidRPr="00AC064D">
        <w:rPr>
          <w:rFonts w:eastAsiaTheme="majorEastAsia"/>
          <w:lang w:val="fr-CA"/>
        </w:rPr>
        <w:t>al. 21(1)</w:t>
      </w:r>
      <w:r w:rsidRPr="00AC064D">
        <w:rPr>
          <w:color w:val="000000"/>
          <w:lang w:val="fr-CA"/>
        </w:rPr>
        <w:t xml:space="preserve">a) et </w:t>
      </w:r>
      <w:r w:rsidRPr="00AC064D">
        <w:rPr>
          <w:rFonts w:eastAsiaTheme="majorEastAsia"/>
          <w:lang w:val="fr-CA"/>
        </w:rPr>
        <w:t>21(1)</w:t>
      </w:r>
      <w:r w:rsidRPr="00AC064D">
        <w:rPr>
          <w:color w:val="000000"/>
          <w:lang w:val="fr-CA"/>
        </w:rPr>
        <w:t xml:space="preserve">c), respectivement, du </w:t>
      </w:r>
      <w:r w:rsidRPr="00AC064D">
        <w:rPr>
          <w:rFonts w:eastAsiaTheme="majorEastAsia"/>
          <w:i/>
          <w:iCs/>
          <w:color w:val="000000"/>
          <w:lang w:val="fr-CA"/>
        </w:rPr>
        <w:t xml:space="preserve">Code criminel </w:t>
      </w:r>
      <w:r w:rsidRPr="00AC064D">
        <w:rPr>
          <w:color w:val="000000"/>
          <w:lang w:val="fr-CA"/>
        </w:rPr>
        <w:t xml:space="preserve">(2019 ABQB 479). Les accusations portées contre M. Strathdee découlaient d’une agression en groupe au cours de laquelle plusieurs victimes ont subi de multiples blessures et l’une d’entre elles, M. Tong, a reçu un </w:t>
      </w:r>
      <w:r w:rsidRPr="00AC064D">
        <w:rPr>
          <w:i/>
          <w:iCs/>
          <w:color w:val="000000"/>
          <w:lang w:val="fr-CA"/>
        </w:rPr>
        <w:t xml:space="preserve">seul </w:t>
      </w:r>
      <w:r w:rsidRPr="00AC064D">
        <w:rPr>
          <w:color w:val="000000"/>
          <w:lang w:val="fr-CA"/>
        </w:rPr>
        <w:t>coup de couteau qui a causé sa mort.</w:t>
      </w:r>
    </w:p>
    <w:p w:rsidR="00AC064D" w:rsidRPr="00AC064D" w:rsidRDefault="00AC064D" w:rsidP="00AC064D">
      <w:pPr>
        <w:pStyle w:val="ParaNoNdepar-AltN"/>
        <w:numPr>
          <w:ilvl w:val="0"/>
          <w:numId w:val="0"/>
        </w:numPr>
        <w:rPr>
          <w:lang w:val="fr-CA"/>
        </w:rPr>
      </w:pPr>
      <w:r w:rsidRPr="00AC064D">
        <w:rPr>
          <w:lang w:val="fr-CA"/>
        </w:rPr>
        <w:t>[2]</w:t>
      </w:r>
      <w:r w:rsidRPr="00AC064D">
        <w:rPr>
          <w:lang w:val="fr-CA"/>
        </w:rPr>
        <w:tab/>
      </w:r>
      <w:r w:rsidRPr="00AC064D">
        <w:rPr>
          <w:color w:val="000000"/>
          <w:lang w:val="fr-CA"/>
        </w:rPr>
        <w:t>À l’instar de la Cour d’appel, nous sommes d’avis que rien n’étaye l’opinion selon laquelle le coup de couteau asséné à M. Tong a constitué un acte distinct, indépendant de l’agression en groupe.</w:t>
      </w:r>
    </w:p>
    <w:p w:rsidR="00AC064D" w:rsidRPr="00AC064D" w:rsidRDefault="00AC064D" w:rsidP="00AC064D">
      <w:pPr>
        <w:pStyle w:val="ParaNoNdepar-AltN"/>
        <w:numPr>
          <w:ilvl w:val="0"/>
          <w:numId w:val="0"/>
        </w:numPr>
        <w:rPr>
          <w:lang w:val="fr-CA"/>
        </w:rPr>
      </w:pPr>
      <w:r w:rsidRPr="00AC064D">
        <w:rPr>
          <w:lang w:val="fr-CA"/>
        </w:rPr>
        <w:t>[3]</w:t>
      </w:r>
      <w:r w:rsidRPr="00AC064D">
        <w:rPr>
          <w:lang w:val="fr-CA"/>
        </w:rPr>
        <w:tab/>
      </w:r>
      <w:r w:rsidRPr="00AC064D">
        <w:rPr>
          <w:color w:val="000000"/>
          <w:lang w:val="fr-CA"/>
        </w:rPr>
        <w:t>Eu égard aux conclusions de fait tirées aux par. 137 et 156</w:t>
      </w:r>
      <w:r w:rsidRPr="00AC064D">
        <w:rPr>
          <w:color w:val="000000"/>
          <w:lang w:val="fr-CA"/>
        </w:rPr>
        <w:noBreakHyphen/>
        <w:t>159 (CanLII) du jugement de première instance, ainsi qu’à l’énoncé du droit formulé par la Cour d’appel aux par. 61, 66 et 68 de son arrêt, notre Cour confirme la décision de la Cour d’appel de l’Alberta portant que M. Strathdee est coupable d’homicide involontaire coupable résultant d’un acte illégal.</w:t>
      </w:r>
    </w:p>
    <w:p w:rsidR="00AC064D" w:rsidRPr="00AC064D" w:rsidRDefault="00AC064D" w:rsidP="00AC064D">
      <w:pPr>
        <w:pStyle w:val="ParaNoNdepar-AltN"/>
        <w:numPr>
          <w:ilvl w:val="0"/>
          <w:numId w:val="0"/>
        </w:numPr>
        <w:rPr>
          <w:color w:val="000000"/>
          <w:lang w:val="fr-CA"/>
        </w:rPr>
      </w:pPr>
      <w:r w:rsidRPr="00AC064D">
        <w:rPr>
          <w:lang w:val="fr-CA"/>
        </w:rPr>
        <w:t>[4]</w:t>
      </w:r>
      <w:r w:rsidRPr="00AC064D">
        <w:rPr>
          <w:lang w:val="fr-CA"/>
        </w:rPr>
        <w:tab/>
      </w:r>
      <w:r w:rsidRPr="00AC064D">
        <w:rPr>
          <w:color w:val="000000"/>
          <w:lang w:val="fr-CA"/>
        </w:rPr>
        <w:t xml:space="preserve">Nous tenons aussi à nous arrêter brièvement pour clarifier un énoncé du droit dans l’arrêt </w:t>
      </w:r>
      <w:r w:rsidRPr="00AC064D">
        <w:rPr>
          <w:i/>
          <w:iCs/>
          <w:color w:val="000000"/>
          <w:lang w:val="fr-CA"/>
        </w:rPr>
        <w:t>R. c. Cabrera</w:t>
      </w:r>
      <w:r w:rsidRPr="00AC064D">
        <w:rPr>
          <w:color w:val="000000"/>
          <w:lang w:val="fr-CA"/>
        </w:rPr>
        <w:t xml:space="preserve">, 2019 ABCA 184, 95 Alta. L.R. (6th) 258, conf. </w:t>
      </w:r>
      <w:proofErr w:type="gramStart"/>
      <w:r w:rsidRPr="00AC064D">
        <w:rPr>
          <w:color w:val="000000"/>
          <w:lang w:val="fr-CA"/>
        </w:rPr>
        <w:t>par</w:t>
      </w:r>
      <w:proofErr w:type="gramEnd"/>
      <w:r w:rsidRPr="00AC064D">
        <w:rPr>
          <w:color w:val="000000"/>
          <w:lang w:val="fr-CA"/>
        </w:rPr>
        <w:t xml:space="preserve"> </w:t>
      </w:r>
      <w:r w:rsidRPr="00AC064D">
        <w:rPr>
          <w:i/>
          <w:iCs/>
          <w:color w:val="000000"/>
          <w:lang w:val="fr-CA"/>
        </w:rPr>
        <w:t>R. c. Shlah</w:t>
      </w:r>
      <w:r w:rsidRPr="00AC064D">
        <w:rPr>
          <w:color w:val="000000"/>
          <w:lang w:val="fr-CA"/>
        </w:rPr>
        <w:t xml:space="preserve">, 2019 CSC 56, [2019] 4 R.C.S. 136. Est inexacte toute suggestion tirée de l’arrêt </w:t>
      </w:r>
      <w:r w:rsidRPr="00AC064D">
        <w:rPr>
          <w:i/>
          <w:iCs/>
          <w:color w:val="000000"/>
          <w:lang w:val="fr-CA"/>
        </w:rPr>
        <w:t xml:space="preserve">Cabrera </w:t>
      </w:r>
      <w:r w:rsidRPr="00AC064D">
        <w:rPr>
          <w:color w:val="000000"/>
          <w:lang w:val="fr-CA"/>
        </w:rPr>
        <w:t xml:space="preserve">voulant que la responsabilité comme auteur conjoint/coauteur soit automatiquement écartée si la preuve démontre qu’un seul auteur a eu recours à la force. Il y a responsabilité comme auteur conjoint/coauteur dans tous les cas où deux individus ou plus se rassemblent dans l’intention de commettre une infraction, sont présents durant la perpétration de l’infraction et y contribuent. Dans le contexte de l’homicide involontaire coupable, le juge des faits doit s’attacher à la question de savoir si les actes de l’accusé ont constitué une cause ayant contribué de façon appréciable au décès, plutôt que se demander quel agresseur a infligé quelle blessure ou si toutes les blessures ont été causées par un seul individu. Dans le contexte d’agressions en groupe, en l’absence d’un événement distinct ou intermédiaire, les actes de tous les assaillants peuvent constituer une cause ayant contribué de façon appréciable à toutes les blessures subies. Interprétée correctement, l’analyse de la responsabilité d’un participant faite dans </w:t>
      </w:r>
      <w:r w:rsidRPr="00AC064D">
        <w:rPr>
          <w:i/>
          <w:iCs/>
          <w:color w:val="000000"/>
          <w:lang w:val="fr-CA"/>
        </w:rPr>
        <w:t>R. c. Pickton</w:t>
      </w:r>
      <w:r w:rsidRPr="00AC064D">
        <w:rPr>
          <w:color w:val="000000"/>
          <w:lang w:val="fr-CA"/>
        </w:rPr>
        <w:t>, 2010 CSC 32, [2010] 2 R.C.S. 198, s’accorde entièrement avec ce qui précède.</w:t>
      </w:r>
    </w:p>
    <w:p w:rsidR="00AC064D" w:rsidRPr="00AC064D" w:rsidRDefault="00AC064D" w:rsidP="00AC064D">
      <w:pPr>
        <w:pStyle w:val="ParaNoNdepar-AltN"/>
        <w:numPr>
          <w:ilvl w:val="0"/>
          <w:numId w:val="0"/>
        </w:numPr>
        <w:rPr>
          <w:lang w:val="fr-CA"/>
        </w:rPr>
      </w:pPr>
      <w:r w:rsidRPr="00AC064D">
        <w:rPr>
          <w:color w:val="000000"/>
          <w:lang w:val="fr-CA"/>
        </w:rPr>
        <w:t>[5]</w:t>
      </w:r>
      <w:r w:rsidRPr="00AC064D">
        <w:rPr>
          <w:color w:val="000000"/>
          <w:lang w:val="fr-CA"/>
        </w:rPr>
        <w:tab/>
        <w:t>Par conséquent, nous sommes d’avis de rejeter le pourvoi.</w:t>
      </w:r>
    </w:p>
    <w:p w:rsidR="00AC064D" w:rsidRPr="00AC064D" w:rsidRDefault="00AC064D" w:rsidP="00AC064D">
      <w:pPr>
        <w:pStyle w:val="SCCNormalDoubleSpacing"/>
        <w:spacing w:after="480"/>
        <w:rPr>
          <w:lang w:val="fr-CA"/>
        </w:rPr>
      </w:pPr>
      <w:r w:rsidRPr="00AC064D">
        <w:rPr>
          <w:lang w:val="fr-CA"/>
        </w:rPr>
        <w:tab/>
      </w:r>
      <w:r w:rsidRPr="00AC064D">
        <w:rPr>
          <w:i/>
          <w:iCs/>
          <w:color w:val="000000"/>
          <w:lang w:val="fr-CA"/>
        </w:rPr>
        <w:t>Jugement en conséquence.</w:t>
      </w:r>
    </w:p>
    <w:p w:rsidR="00AC064D" w:rsidRPr="00AC064D" w:rsidRDefault="00AC064D" w:rsidP="00AC064D">
      <w:pPr>
        <w:pStyle w:val="SCCNormalDoubleSpacing"/>
        <w:spacing w:after="480"/>
        <w:rPr>
          <w:i/>
          <w:iCs/>
          <w:color w:val="000000"/>
          <w:lang w:val="fr-CA"/>
        </w:rPr>
      </w:pPr>
      <w:r w:rsidRPr="00AC064D">
        <w:rPr>
          <w:lang w:val="fr-CA"/>
        </w:rPr>
        <w:tab/>
      </w:r>
      <w:r w:rsidRPr="00AC064D">
        <w:rPr>
          <w:i/>
          <w:iCs/>
          <w:color w:val="000000"/>
          <w:lang w:val="fr-CA"/>
        </w:rPr>
        <w:t>Procureurs de l’appelant : Dawson Duckett Garcia &amp; Johnson, Edmonton.</w:t>
      </w:r>
    </w:p>
    <w:p w:rsidR="00AC064D" w:rsidRPr="001542E6" w:rsidRDefault="00AC064D" w:rsidP="00AC064D">
      <w:pPr>
        <w:pStyle w:val="SCCNormalDoubleSpacing"/>
        <w:rPr>
          <w:i/>
          <w:iCs/>
          <w:color w:val="000000"/>
          <w:lang w:val="fr-CA"/>
        </w:rPr>
      </w:pPr>
      <w:r w:rsidRPr="00AC064D">
        <w:rPr>
          <w:i/>
          <w:iCs/>
          <w:color w:val="000000"/>
          <w:lang w:val="fr-CA"/>
        </w:rPr>
        <w:tab/>
        <w:t>Procureur de l’intimée : Procureur général de l’Alberta, Calgary.</w:t>
      </w:r>
    </w:p>
    <w:p w:rsidR="00904937" w:rsidRPr="001E12E2" w:rsidRDefault="00904937"/>
    <w:sectPr w:rsidR="00904937" w:rsidRPr="001E12E2" w:rsidSect="00F72014">
      <w:headerReference w:type="default" r:id="rId10"/>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67" w:rsidRDefault="000F4467" w:rsidP="00F72014">
      <w:r>
        <w:separator/>
      </w:r>
    </w:p>
  </w:endnote>
  <w:endnote w:type="continuationSeparator" w:id="0">
    <w:p w:rsidR="000F4467" w:rsidRDefault="000F4467"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67" w:rsidRDefault="000F4467" w:rsidP="00F72014">
      <w:r>
        <w:separator/>
      </w:r>
    </w:p>
  </w:footnote>
  <w:footnote w:type="continuationSeparator" w:id="0">
    <w:p w:rsidR="000F4467" w:rsidRDefault="000F4467" w:rsidP="00F7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82" w:rsidRDefault="00196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F693B"/>
    <w:multiLevelType w:val="multilevel"/>
    <w:tmpl w:val="AC163DFA"/>
    <w:lvl w:ilvl="0">
      <w:start w:val="1"/>
      <w:numFmt w:val="decimal"/>
      <w:pStyle w:val="ParaNoNdepar-Alt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11E76"/>
    <w:rsid w:val="000D1436"/>
    <w:rsid w:val="000F4467"/>
    <w:rsid w:val="00100074"/>
    <w:rsid w:val="001311DA"/>
    <w:rsid w:val="00177E57"/>
    <w:rsid w:val="00196882"/>
    <w:rsid w:val="001A2CF8"/>
    <w:rsid w:val="001D6B8C"/>
    <w:rsid w:val="001E12E2"/>
    <w:rsid w:val="001E5B5A"/>
    <w:rsid w:val="001F1F83"/>
    <w:rsid w:val="00256B56"/>
    <w:rsid w:val="0028675F"/>
    <w:rsid w:val="0029156B"/>
    <w:rsid w:val="002925ED"/>
    <w:rsid w:val="002F0B6C"/>
    <w:rsid w:val="00355967"/>
    <w:rsid w:val="0036772A"/>
    <w:rsid w:val="00384384"/>
    <w:rsid w:val="003B2BE1"/>
    <w:rsid w:val="003B3C63"/>
    <w:rsid w:val="003B7306"/>
    <w:rsid w:val="00423C0D"/>
    <w:rsid w:val="00460AFC"/>
    <w:rsid w:val="00464CC6"/>
    <w:rsid w:val="00467372"/>
    <w:rsid w:val="004B6D25"/>
    <w:rsid w:val="004E69EC"/>
    <w:rsid w:val="004F090E"/>
    <w:rsid w:val="004F7322"/>
    <w:rsid w:val="00535189"/>
    <w:rsid w:val="00582136"/>
    <w:rsid w:val="0058383C"/>
    <w:rsid w:val="005C0397"/>
    <w:rsid w:val="005D5624"/>
    <w:rsid w:val="006034F1"/>
    <w:rsid w:val="00615A97"/>
    <w:rsid w:val="006936F1"/>
    <w:rsid w:val="006D697E"/>
    <w:rsid w:val="00701ABD"/>
    <w:rsid w:val="007740CA"/>
    <w:rsid w:val="00787F6E"/>
    <w:rsid w:val="008029A6"/>
    <w:rsid w:val="008029AC"/>
    <w:rsid w:val="00803557"/>
    <w:rsid w:val="00815494"/>
    <w:rsid w:val="008215C3"/>
    <w:rsid w:val="00842677"/>
    <w:rsid w:val="008714CB"/>
    <w:rsid w:val="00880B14"/>
    <w:rsid w:val="008B5797"/>
    <w:rsid w:val="008C75A4"/>
    <w:rsid w:val="008D191E"/>
    <w:rsid w:val="008F4691"/>
    <w:rsid w:val="00904937"/>
    <w:rsid w:val="00955060"/>
    <w:rsid w:val="00996510"/>
    <w:rsid w:val="009F0F2D"/>
    <w:rsid w:val="00A51442"/>
    <w:rsid w:val="00A51D10"/>
    <w:rsid w:val="00A863F7"/>
    <w:rsid w:val="00AA5D85"/>
    <w:rsid w:val="00AB2201"/>
    <w:rsid w:val="00AC064D"/>
    <w:rsid w:val="00B223EF"/>
    <w:rsid w:val="00B56DBB"/>
    <w:rsid w:val="00BD4217"/>
    <w:rsid w:val="00C34313"/>
    <w:rsid w:val="00C537C2"/>
    <w:rsid w:val="00CA3730"/>
    <w:rsid w:val="00D030DA"/>
    <w:rsid w:val="00D056AE"/>
    <w:rsid w:val="00D07EED"/>
    <w:rsid w:val="00D5237B"/>
    <w:rsid w:val="00D751FC"/>
    <w:rsid w:val="00D76BDF"/>
    <w:rsid w:val="00E356C7"/>
    <w:rsid w:val="00E53ED9"/>
    <w:rsid w:val="00E64FA7"/>
    <w:rsid w:val="00E7577F"/>
    <w:rsid w:val="00E770CB"/>
    <w:rsid w:val="00F01FC5"/>
    <w:rsid w:val="00F060D9"/>
    <w:rsid w:val="00F25646"/>
    <w:rsid w:val="00F72014"/>
    <w:rsid w:val="00F837E7"/>
    <w:rsid w:val="00F9518C"/>
    <w:rsid w:val="00FA59EF"/>
    <w:rsid w:val="00FB616D"/>
    <w:rsid w:val="00FE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ED"/>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9F0F2D"/>
    <w:rPr>
      <w:b/>
      <w:smallCaps/>
    </w:rPr>
  </w:style>
  <w:style w:type="character" w:customStyle="1" w:styleId="SCCRestrictionOnPublicationTitleChar">
    <w:name w:val="SCC.RestrictionOnPublicationTitle Char"/>
    <w:basedOn w:val="DefaultParagraphFont"/>
    <w:link w:val="SCCRestrictionOnPublicationTitle"/>
    <w:rsid w:val="009F0F2D"/>
    <w:rPr>
      <w:b/>
      <w:smallCaps/>
      <w:lang w:val="fr-CA"/>
    </w:rPr>
  </w:style>
  <w:style w:type="paragraph" w:customStyle="1" w:styleId="SCCRestrictionOnPublicationText">
    <w:name w:val="SCC.RestrictionOnPublicationText"/>
    <w:basedOn w:val="Normal"/>
    <w:next w:val="Normal"/>
    <w:link w:val="SCCRestrictionOnPublicationTextChar"/>
    <w:rsid w:val="009F0F2D"/>
  </w:style>
  <w:style w:type="character" w:customStyle="1" w:styleId="SCCRestrictionOnPublicationTextChar">
    <w:name w:val="SCC.RestrictionOnPublicationText Char"/>
    <w:basedOn w:val="DefaultParagraphFont"/>
    <w:link w:val="SCCRestrictionOnPublicationText"/>
    <w:rsid w:val="009F0F2D"/>
    <w:rPr>
      <w:lang w:val="fr-CA"/>
    </w:rPr>
  </w:style>
  <w:style w:type="paragraph" w:customStyle="1" w:styleId="SCCLsocOtherPartyRole">
    <w:name w:val="SCC.Lsoc.OtherPartyRole"/>
    <w:basedOn w:val="Normal"/>
    <w:next w:val="Normal"/>
    <w:link w:val="SCCLsocOtherPartyRoleChar"/>
    <w:rsid w:val="008B5797"/>
    <w:pPr>
      <w:jc w:val="center"/>
    </w:pPr>
  </w:style>
  <w:style w:type="character" w:customStyle="1" w:styleId="SCCLsocOtherPartyRoleChar">
    <w:name w:val="SCC.Lsoc.OtherPartyRole Char"/>
    <w:basedOn w:val="DefaultParagraphFont"/>
    <w:link w:val="SCCLsocOtherPartyRole"/>
    <w:rsid w:val="008B5797"/>
    <w:rPr>
      <w:lang w:val="fr-CA"/>
    </w:rPr>
  </w:style>
  <w:style w:type="paragraph" w:customStyle="1" w:styleId="SCCLsocParty">
    <w:name w:val="SCC.Lsoc.Party"/>
    <w:basedOn w:val="Normal"/>
    <w:next w:val="Normal"/>
    <w:link w:val="SCCLsocPartyChar"/>
    <w:rsid w:val="008B5797"/>
    <w:pPr>
      <w:jc w:val="center"/>
    </w:pPr>
    <w:rPr>
      <w:b/>
    </w:rPr>
  </w:style>
  <w:style w:type="character" w:customStyle="1" w:styleId="SCCLsocPartyChar">
    <w:name w:val="SCC.Lsoc.Party Char"/>
    <w:basedOn w:val="DefaultParagraphFont"/>
    <w:link w:val="SCCLsocParty"/>
    <w:rsid w:val="008B5797"/>
    <w:rPr>
      <w:b/>
      <w:lang w:val="fr-CA"/>
    </w:rPr>
  </w:style>
  <w:style w:type="paragraph" w:customStyle="1" w:styleId="SCCLsocSubfileSeparator">
    <w:name w:val="SCC.Lsoc.SubfileSeparator"/>
    <w:basedOn w:val="Normal"/>
    <w:next w:val="Normal"/>
    <w:link w:val="SCCLsocSubfileSeparatorChar"/>
    <w:rsid w:val="005C0397"/>
    <w:rPr>
      <w:b/>
      <w:smallCaps/>
    </w:rPr>
  </w:style>
  <w:style w:type="character" w:customStyle="1" w:styleId="SCCLsocSubfileSeparatorChar">
    <w:name w:val="SCC.Lsoc.SubfileSeparator Char"/>
    <w:basedOn w:val="DefaultParagraphFont"/>
    <w:link w:val="SCCLsocSubfileSeparator"/>
    <w:rsid w:val="005C0397"/>
    <w:rPr>
      <w:b/>
      <w:smallCaps/>
      <w:lang w:val="fr-CA"/>
    </w:rPr>
  </w:style>
  <w:style w:type="paragraph" w:customStyle="1" w:styleId="SCCLsocVersus">
    <w:name w:val="SCC.Lsoc.Versus"/>
    <w:basedOn w:val="Normal"/>
    <w:next w:val="Normal"/>
    <w:link w:val="SCCLsocVersusChar"/>
    <w:rsid w:val="008B5797"/>
    <w:pPr>
      <w:jc w:val="center"/>
    </w:pPr>
  </w:style>
  <w:style w:type="character" w:customStyle="1" w:styleId="SCCLsocVersusChar">
    <w:name w:val="SCC.Lsoc.Versus Char"/>
    <w:basedOn w:val="DefaultParagraphFont"/>
    <w:link w:val="SCCLsocVersus"/>
    <w:rsid w:val="008B5797"/>
    <w:rPr>
      <w:lang w:val="fr-CA"/>
    </w:rPr>
  </w:style>
  <w:style w:type="paragraph" w:customStyle="1" w:styleId="SCCLsocPartyRole">
    <w:name w:val="SCC.Lsoc.PartyRole"/>
    <w:basedOn w:val="Normal"/>
    <w:next w:val="Normal"/>
    <w:link w:val="SCCLsocPartyRoleChar"/>
    <w:rsid w:val="008B5797"/>
    <w:pPr>
      <w:jc w:val="center"/>
    </w:pPr>
  </w:style>
  <w:style w:type="character" w:customStyle="1" w:styleId="SCCLsocPartyRoleChar">
    <w:name w:val="SCC.Lsoc.PartyRole Char"/>
    <w:basedOn w:val="DefaultParagraphFont"/>
    <w:link w:val="SCCLsocPartyRole"/>
    <w:rsid w:val="008B5797"/>
    <w:rPr>
      <w:lang w:val="fr-CA"/>
    </w:rPr>
  </w:style>
  <w:style w:type="paragraph" w:customStyle="1" w:styleId="SCCLsocPrefix">
    <w:name w:val="SCC.Lsoc.Prefix"/>
    <w:basedOn w:val="Normal"/>
    <w:next w:val="Normal"/>
    <w:link w:val="SCCLsocPrefixChar"/>
    <w:rsid w:val="005C0397"/>
    <w:rPr>
      <w:b/>
      <w:smallCaps/>
    </w:rPr>
  </w:style>
  <w:style w:type="character" w:customStyle="1" w:styleId="SCCLsocPrefixChar">
    <w:name w:val="SCC.Lsoc.Prefix Char"/>
    <w:basedOn w:val="DefaultParagraphFont"/>
    <w:link w:val="SCCLsocPrefix"/>
    <w:rsid w:val="005C0397"/>
    <w:rPr>
      <w:b/>
      <w:smallCaps/>
      <w:lang w:val="fr-CA"/>
    </w:rPr>
  </w:style>
  <w:style w:type="paragraph" w:customStyle="1" w:styleId="SCCHearingJudgmentDatesText">
    <w:name w:val="SCC.HearingJudgmentDatesText"/>
    <w:basedOn w:val="Normal"/>
    <w:next w:val="Normal"/>
    <w:link w:val="SCCHearingJudgmentDatesTextChar"/>
    <w:rsid w:val="00CA3730"/>
  </w:style>
  <w:style w:type="character" w:customStyle="1" w:styleId="SCCHearingJudgmentDatesTextChar">
    <w:name w:val="SCC.HearingJudgmentDatesText Char"/>
    <w:basedOn w:val="DefaultParagraphFont"/>
    <w:link w:val="SCCHearingJudgmentDatesText"/>
    <w:rsid w:val="00CA3730"/>
    <w:rPr>
      <w:lang w:val="fr-CA"/>
    </w:rPr>
  </w:style>
  <w:style w:type="paragraph" w:customStyle="1" w:styleId="SCCHearingJudgmentDatesTitle">
    <w:name w:val="SCC.HearingJudgmentDatesTitle"/>
    <w:basedOn w:val="Normal"/>
    <w:next w:val="Normal"/>
    <w:link w:val="SCCHearingJudgmentDatesTitleChar"/>
    <w:rsid w:val="00CA3730"/>
    <w:rPr>
      <w:b/>
      <w:smallCaps/>
    </w:rPr>
  </w:style>
  <w:style w:type="character" w:customStyle="1" w:styleId="SCCHearingJudgmentDatesTitleChar">
    <w:name w:val="SCC.HearingJudgmentDatesTitle Char"/>
    <w:basedOn w:val="DefaultParagraphFont"/>
    <w:link w:val="SCCHearingJudgmentDatesTitle"/>
    <w:rsid w:val="00CA3730"/>
    <w:rPr>
      <w:b/>
      <w:smallCaps/>
      <w:lang w:val="fr-CA"/>
    </w:rPr>
  </w:style>
  <w:style w:type="paragraph" w:customStyle="1" w:styleId="SCCLsocOtherPartySeparator">
    <w:name w:val="SCC.Lsoc.OtherPartySeparator"/>
    <w:basedOn w:val="Normal"/>
    <w:next w:val="Normal"/>
    <w:link w:val="SCCLsocOtherPartySeparatorChar"/>
    <w:rsid w:val="00196882"/>
    <w:pPr>
      <w:jc w:val="center"/>
    </w:pPr>
  </w:style>
  <w:style w:type="character" w:customStyle="1" w:styleId="SCCLsocOtherPartySeparatorChar">
    <w:name w:val="SCC.Lsoc.OtherPartySeparator Char"/>
    <w:basedOn w:val="DefaultParagraphFont"/>
    <w:link w:val="SCCLsocOtherPartySeparator"/>
    <w:rsid w:val="00196882"/>
    <w:rPr>
      <w:lang w:val="fr-CA"/>
    </w:rPr>
  </w:style>
  <w:style w:type="paragraph" w:customStyle="1" w:styleId="SCCCounselName">
    <w:name w:val="SCC.CounselName"/>
    <w:basedOn w:val="Normal"/>
    <w:next w:val="Normal"/>
    <w:link w:val="SCCCounselNameChar"/>
    <w:rsid w:val="003B7306"/>
    <w:rPr>
      <w:i/>
    </w:rPr>
  </w:style>
  <w:style w:type="character" w:customStyle="1" w:styleId="SCCCounselNameChar">
    <w:name w:val="SCC.CounselName Char"/>
    <w:basedOn w:val="DefaultParagraphFont"/>
    <w:link w:val="SCCCounselName"/>
    <w:rsid w:val="003B7306"/>
    <w:rPr>
      <w:rFonts w:eastAsia="Times New Roman" w:cs="Times New Roman"/>
      <w:i/>
      <w:szCs w:val="20"/>
      <w:lang w:val="fr-CA" w:eastAsia="en-CA"/>
    </w:rPr>
  </w:style>
  <w:style w:type="paragraph" w:customStyle="1" w:styleId="SCCCounselSeparator">
    <w:name w:val="SCC.CounselSeparator"/>
    <w:basedOn w:val="Normal"/>
    <w:next w:val="Normal"/>
    <w:link w:val="SCCCounselSeparatorChar"/>
    <w:rsid w:val="003B7306"/>
  </w:style>
  <w:style w:type="character" w:customStyle="1" w:styleId="SCCCounselSeparatorChar">
    <w:name w:val="SCC.CounselSeparator Char"/>
    <w:basedOn w:val="DefaultParagraphFont"/>
    <w:link w:val="SCCCounselSeparator"/>
    <w:rsid w:val="003B7306"/>
    <w:rPr>
      <w:rFonts w:eastAsia="Times New Roman" w:cs="Times New Roman"/>
      <w:szCs w:val="20"/>
      <w:lang w:val="fr-CA" w:eastAsia="en-CA"/>
    </w:rPr>
  </w:style>
  <w:style w:type="paragraph" w:customStyle="1" w:styleId="SCCCounselPartyRole">
    <w:name w:val="SCC.CounselPartyRole"/>
    <w:basedOn w:val="Normal"/>
    <w:next w:val="Normal"/>
    <w:link w:val="SCCCounselPartyRoleChar"/>
    <w:rsid w:val="003B7306"/>
  </w:style>
  <w:style w:type="character" w:customStyle="1" w:styleId="SCCCounselPartyRoleChar">
    <w:name w:val="SCC.CounselPartyRole Char"/>
    <w:basedOn w:val="DefaultParagraphFont"/>
    <w:link w:val="SCCCounselPartyRole"/>
    <w:rsid w:val="003B7306"/>
    <w:rPr>
      <w:rFonts w:eastAsia="Times New Roman" w:cs="Times New Roman"/>
      <w:szCs w:val="20"/>
      <w:lang w:val="fr-CA" w:eastAsia="en-CA"/>
    </w:rPr>
  </w:style>
  <w:style w:type="paragraph" w:customStyle="1" w:styleId="SCCBold">
    <w:name w:val="SCC.Bold"/>
    <w:basedOn w:val="Normal"/>
    <w:next w:val="Normal"/>
    <w:qFormat/>
    <w:rsid w:val="00D07EED"/>
    <w:rPr>
      <w:b/>
    </w:rPr>
  </w:style>
  <w:style w:type="paragraph" w:customStyle="1" w:styleId="SCCReasonsTitle">
    <w:name w:val="SCC.ReasonsTitle"/>
    <w:basedOn w:val="Normal"/>
    <w:next w:val="Normal"/>
    <w:link w:val="SCCReasonsTitleChar"/>
    <w:qFormat/>
    <w:rsid w:val="00D5237B"/>
    <w:rPr>
      <w:b/>
    </w:rPr>
  </w:style>
  <w:style w:type="character" w:customStyle="1" w:styleId="SCCReasonsTitleChar">
    <w:name w:val="SCC.ReasonsTitle Char"/>
    <w:basedOn w:val="DefaultParagraphFont"/>
    <w:link w:val="SCCReasonsTitle"/>
    <w:rsid w:val="00100074"/>
    <w:rPr>
      <w:b/>
      <w:lang w:val="fr-CA"/>
    </w:rPr>
  </w:style>
  <w:style w:type="paragraph" w:customStyle="1" w:styleId="SCCNormalDoubleSpacing">
    <w:name w:val="SCC.Normal.DoubleSpacing"/>
    <w:basedOn w:val="Normal"/>
    <w:link w:val="SCCNormalDoubleSpacingChar"/>
    <w:rsid w:val="00AC064D"/>
    <w:pPr>
      <w:tabs>
        <w:tab w:val="left" w:pos="1168"/>
      </w:tabs>
      <w:spacing w:line="480" w:lineRule="auto"/>
      <w:jc w:val="both"/>
    </w:pPr>
    <w:rPr>
      <w:rFonts w:eastAsia="Times New Roman" w:cs="Times New Roman"/>
      <w:szCs w:val="20"/>
      <w:lang w:val="en-CA" w:eastAsia="en-CA"/>
    </w:rPr>
  </w:style>
  <w:style w:type="character" w:customStyle="1" w:styleId="SCCNormalDoubleSpacingChar">
    <w:name w:val="SCC.Normal.DoubleSpacing Char"/>
    <w:basedOn w:val="DefaultParagraphFont"/>
    <w:link w:val="SCCNormalDoubleSpacing"/>
    <w:rsid w:val="00AC064D"/>
    <w:rPr>
      <w:rFonts w:eastAsia="Times New Roman" w:cs="Times New Roman"/>
      <w:szCs w:val="20"/>
      <w:lang w:val="en-CA" w:eastAsia="en-CA"/>
    </w:rPr>
  </w:style>
  <w:style w:type="paragraph" w:customStyle="1" w:styleId="SCCSystemYear">
    <w:name w:val="SCC.SystemYear"/>
    <w:basedOn w:val="Normal"/>
    <w:next w:val="Normal"/>
    <w:link w:val="SCCSystemYearChar"/>
    <w:rsid w:val="00AC064D"/>
    <w:rPr>
      <w:rFonts w:eastAsia="Times New Roman" w:cs="Times New Roman"/>
      <w:b/>
      <w:szCs w:val="20"/>
      <w:lang w:val="en-CA" w:eastAsia="en-CA"/>
    </w:rPr>
  </w:style>
  <w:style w:type="character" w:customStyle="1" w:styleId="SCCSystemYearChar">
    <w:name w:val="SCC.SystemYear Char"/>
    <w:basedOn w:val="DefaultParagraphFont"/>
    <w:link w:val="SCCSystemYear"/>
    <w:rsid w:val="00AC064D"/>
    <w:rPr>
      <w:rFonts w:eastAsia="Times New Roman" w:cs="Times New Roman"/>
      <w:b/>
      <w:szCs w:val="20"/>
      <w:lang w:val="en-CA" w:eastAsia="en-CA"/>
    </w:rPr>
  </w:style>
  <w:style w:type="paragraph" w:customStyle="1" w:styleId="SCCLsocLastPartyInRole">
    <w:name w:val="SCC.Lsoc.LastPartyInRole"/>
    <w:basedOn w:val="Normal"/>
    <w:next w:val="Normal"/>
    <w:link w:val="SCCLsocLastPartyInRoleChar"/>
    <w:qFormat/>
    <w:rsid w:val="00AC064D"/>
    <w:pPr>
      <w:tabs>
        <w:tab w:val="right" w:pos="8222"/>
      </w:tabs>
      <w:spacing w:after="720"/>
    </w:pPr>
    <w:rPr>
      <w:rFonts w:eastAsia="Times New Roman" w:cs="Times New Roman"/>
      <w:b/>
      <w:szCs w:val="20"/>
      <w:lang w:val="en-CA" w:eastAsia="en-CA"/>
    </w:rPr>
  </w:style>
  <w:style w:type="character" w:customStyle="1" w:styleId="SCCLsocLastPartyInRoleChar">
    <w:name w:val="SCC.Lsoc.LastPartyInRole Char"/>
    <w:basedOn w:val="SCCLsocPartyChar"/>
    <w:link w:val="SCCLsocLastPartyInRole"/>
    <w:rsid w:val="00AC064D"/>
    <w:rPr>
      <w:rFonts w:eastAsia="Times New Roman" w:cs="Times New Roman"/>
      <w:b/>
      <w:szCs w:val="20"/>
      <w:lang w:val="en-CA" w:eastAsia="en-CA"/>
    </w:rPr>
  </w:style>
  <w:style w:type="character" w:styleId="Hyperlink">
    <w:name w:val="Hyperlink"/>
    <w:basedOn w:val="DefaultParagraphFont"/>
    <w:uiPriority w:val="99"/>
    <w:unhideWhenUsed/>
    <w:rsid w:val="00AC064D"/>
    <w:rPr>
      <w:color w:val="660000"/>
      <w:u w:val="none"/>
    </w:rPr>
  </w:style>
  <w:style w:type="paragraph" w:customStyle="1" w:styleId="ParaNoNdepar-AltN">
    <w:name w:val="Para. No. / Nº de par. - Alt N"/>
    <w:qFormat/>
    <w:rsid w:val="00AC064D"/>
    <w:pPr>
      <w:numPr>
        <w:numId w:val="1"/>
      </w:numPr>
      <w:tabs>
        <w:tab w:val="num" w:pos="1152"/>
      </w:tabs>
      <w:spacing w:before="480" w:after="480" w:line="480" w:lineRule="auto"/>
      <w:jc w:val="both"/>
    </w:pPr>
    <w:rPr>
      <w:rFonts w:eastAsiaTheme="minorEastAsia"/>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nlii.ca/t/jc2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2022-12-21T19:34:00Z</dcterms:created>
  <dcterms:modified xsi:type="dcterms:W3CDTF">2022-12-21T20:20:00Z</dcterms:modified>
</cp:coreProperties>
</file>