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0"/>
        <w:gridCol w:w="1433"/>
        <w:gridCol w:w="3205"/>
      </w:tblGrid>
      <w:tr w:rsidR="009D2D7F" w:rsidRPr="009D2D7F" w:rsidTr="00DC3E89">
        <w:trPr>
          <w:trHeight w:val="1786"/>
        </w:trPr>
        <w:tc>
          <w:tcPr>
            <w:tcW w:w="5000" w:type="pct"/>
            <w:gridSpan w:val="4"/>
          </w:tcPr>
          <w:p w:rsidR="009D2D7F" w:rsidRPr="009D2D7F" w:rsidRDefault="009D2D7F" w:rsidP="009D2D7F">
            <w:pPr>
              <w:jc w:val="center"/>
              <w:rPr>
                <w:b/>
                <w:lang w:val="fr-CA"/>
              </w:rPr>
            </w:pPr>
            <w:r w:rsidRPr="009D2D7F">
              <w:rPr>
                <w:b/>
                <w:noProof/>
              </w:rPr>
              <w:drawing>
                <wp:inline distT="0" distB="0" distL="0" distR="0" wp14:anchorId="3A03C08B" wp14:editId="3CFE5B74">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9D2D7F" w:rsidRPr="009D2D7F" w:rsidRDefault="009D2D7F" w:rsidP="009D2D7F">
            <w:pPr>
              <w:spacing w:before="120" w:after="100" w:afterAutospacing="1"/>
              <w:jc w:val="center"/>
              <w:rPr>
                <w:lang w:val="fr-CA"/>
              </w:rPr>
            </w:pPr>
            <w:r w:rsidRPr="009D2D7F">
              <w:rPr>
                <w:b/>
                <w:lang w:val="fr-CA"/>
              </w:rPr>
              <w:t>COUR SUPRÊME DU CANADA</w:t>
            </w:r>
          </w:p>
        </w:tc>
      </w:tr>
      <w:tr w:rsidR="009D2D7F" w:rsidRPr="009D2D7F" w:rsidTr="009D2D7F">
        <w:tblPrEx>
          <w:tblCellMar>
            <w:top w:w="58" w:type="dxa"/>
            <w:left w:w="58" w:type="dxa"/>
            <w:bottom w:w="58" w:type="dxa"/>
            <w:right w:w="58" w:type="dxa"/>
          </w:tblCellMar>
        </w:tblPrEx>
        <w:trPr>
          <w:cantSplit/>
        </w:trPr>
        <w:tc>
          <w:tcPr>
            <w:tcW w:w="2110" w:type="pct"/>
            <w:gridSpan w:val="2"/>
          </w:tcPr>
          <w:p w:rsidR="009D2D7F" w:rsidRPr="009D2D7F" w:rsidRDefault="009D2D7F" w:rsidP="009D2D7F">
            <w:pPr>
              <w:rPr>
                <w:b/>
                <w:smallCaps/>
                <w:lang w:val="fr-CA"/>
              </w:rPr>
            </w:pPr>
          </w:p>
          <w:p w:rsidR="009D2D7F" w:rsidRPr="009D2D7F" w:rsidRDefault="009D2D7F" w:rsidP="009D2D7F">
            <w:pPr>
              <w:rPr>
                <w:b/>
                <w:smallCaps/>
                <w:lang w:val="fr-CA"/>
              </w:rPr>
            </w:pPr>
            <w:r w:rsidRPr="009D2D7F">
              <w:rPr>
                <w:b/>
                <w:smallCaps/>
                <w:lang w:val="fr-CA"/>
              </w:rPr>
              <w:t>Référence :</w:t>
            </w:r>
            <w:r w:rsidRPr="009D2D7F">
              <w:rPr>
                <w:lang w:val="fr-CA"/>
              </w:rPr>
              <w:t xml:space="preserve"> H.M.B. Holdings Ltd. </w:t>
            </w:r>
            <w:r w:rsidRPr="009D2D7F">
              <w:rPr>
                <w:i/>
                <w:lang w:val="fr-CA"/>
              </w:rPr>
              <w:t>c.</w:t>
            </w:r>
            <w:r w:rsidRPr="009D2D7F">
              <w:rPr>
                <w:lang w:val="fr-CA"/>
              </w:rPr>
              <w:t xml:space="preserve"> Antigua-et-Barbuda, 2021 CSC 44</w:t>
            </w:r>
          </w:p>
        </w:tc>
        <w:tc>
          <w:tcPr>
            <w:tcW w:w="893" w:type="pct"/>
          </w:tcPr>
          <w:p w:rsidR="009D2D7F" w:rsidRPr="009D2D7F" w:rsidRDefault="009D2D7F" w:rsidP="009D2D7F">
            <w:pPr>
              <w:rPr>
                <w:lang w:val="fr-CA"/>
              </w:rPr>
            </w:pPr>
          </w:p>
        </w:tc>
        <w:tc>
          <w:tcPr>
            <w:tcW w:w="1997" w:type="pct"/>
          </w:tcPr>
          <w:p w:rsidR="009D2D7F" w:rsidRPr="009D2D7F" w:rsidRDefault="009D2D7F" w:rsidP="009D2D7F">
            <w:pPr>
              <w:jc w:val="both"/>
              <w:rPr>
                <w:b/>
                <w:smallCaps/>
                <w:lang w:val="fr-CA"/>
              </w:rPr>
            </w:pPr>
          </w:p>
          <w:p w:rsidR="009D2D7F" w:rsidRPr="009D2D7F" w:rsidRDefault="009D2D7F" w:rsidP="009D2D7F">
            <w:pPr>
              <w:jc w:val="both"/>
              <w:rPr>
                <w:lang w:val="fr-CA"/>
              </w:rPr>
            </w:pPr>
            <w:r w:rsidRPr="009D2D7F">
              <w:rPr>
                <w:b/>
                <w:smallCaps/>
                <w:lang w:val="fr-CA"/>
              </w:rPr>
              <w:t>Appel entendu :</w:t>
            </w:r>
            <w:r w:rsidRPr="009D2D7F">
              <w:rPr>
                <w:lang w:val="fr-CA"/>
              </w:rPr>
              <w:t xml:space="preserve"> 20 avril 2021</w:t>
            </w:r>
          </w:p>
          <w:p w:rsidR="009D2D7F" w:rsidRPr="009D2D7F" w:rsidRDefault="009D2D7F" w:rsidP="009D2D7F">
            <w:pPr>
              <w:rPr>
                <w:lang w:val="fr-CA"/>
              </w:rPr>
            </w:pPr>
            <w:r w:rsidRPr="009D2D7F">
              <w:rPr>
                <w:b/>
                <w:smallCaps/>
                <w:lang w:val="fr-CA"/>
              </w:rPr>
              <w:t>Jugement rendu :</w:t>
            </w:r>
            <w:r w:rsidRPr="009D2D7F">
              <w:rPr>
                <w:lang w:val="fr-CA"/>
              </w:rPr>
              <w:t xml:space="preserve"> 4 novembre 2021</w:t>
            </w:r>
          </w:p>
          <w:p w:rsidR="009D2D7F" w:rsidRPr="009D2D7F" w:rsidRDefault="009D2D7F" w:rsidP="009D2D7F">
            <w:pPr>
              <w:rPr>
                <w:lang w:val="fr-CA"/>
              </w:rPr>
            </w:pPr>
            <w:r w:rsidRPr="009D2D7F">
              <w:rPr>
                <w:b/>
                <w:smallCaps/>
                <w:lang w:val="fr-CA"/>
              </w:rPr>
              <w:t>Dossier :</w:t>
            </w:r>
            <w:r w:rsidRPr="009D2D7F">
              <w:rPr>
                <w:lang w:val="fr-CA"/>
              </w:rPr>
              <w:t xml:space="preserve"> 39130</w:t>
            </w:r>
          </w:p>
        </w:tc>
      </w:tr>
      <w:tr w:rsidR="009D2D7F" w:rsidRPr="009D2D7F" w:rsidTr="00DC3E89">
        <w:tblPrEx>
          <w:tblCellMar>
            <w:top w:w="58" w:type="dxa"/>
            <w:left w:w="58" w:type="dxa"/>
            <w:bottom w:w="58" w:type="dxa"/>
            <w:right w:w="58" w:type="dxa"/>
          </w:tblCellMar>
        </w:tblPrEx>
        <w:trPr>
          <w:cantSplit/>
        </w:trPr>
        <w:tc>
          <w:tcPr>
            <w:tcW w:w="5000" w:type="pct"/>
            <w:gridSpan w:val="4"/>
          </w:tcPr>
          <w:p w:rsidR="009D2D7F" w:rsidRPr="009D2D7F" w:rsidRDefault="009D2D7F" w:rsidP="009D2D7F"/>
          <w:p w:rsidR="009D2D7F" w:rsidRPr="009D2D7F" w:rsidRDefault="009D2D7F" w:rsidP="009D2D7F">
            <w:pPr>
              <w:rPr>
                <w:b/>
                <w:smallCaps/>
              </w:rPr>
            </w:pPr>
            <w:r w:rsidRPr="009D2D7F">
              <w:rPr>
                <w:b/>
                <w:smallCaps/>
              </w:rPr>
              <w:t>Entre :</w:t>
            </w:r>
          </w:p>
          <w:p w:rsidR="009D2D7F" w:rsidRPr="009D2D7F" w:rsidRDefault="009D2D7F" w:rsidP="009D2D7F">
            <w:pPr>
              <w:jc w:val="center"/>
              <w:rPr>
                <w:b/>
              </w:rPr>
            </w:pPr>
            <w:r w:rsidRPr="009D2D7F">
              <w:rPr>
                <w:b/>
              </w:rPr>
              <w:t>H.M.B. Holdings Limited</w:t>
            </w:r>
          </w:p>
          <w:p w:rsidR="009D2D7F" w:rsidRPr="009D2D7F" w:rsidRDefault="009D2D7F" w:rsidP="009D2D7F">
            <w:pPr>
              <w:jc w:val="center"/>
            </w:pPr>
            <w:r w:rsidRPr="009D2D7F">
              <w:t>Appelante</w:t>
            </w:r>
          </w:p>
          <w:p w:rsidR="009D2D7F" w:rsidRPr="009D2D7F" w:rsidRDefault="009D2D7F" w:rsidP="009D2D7F"/>
          <w:p w:rsidR="009D2D7F" w:rsidRPr="009D2D7F" w:rsidRDefault="009D2D7F" w:rsidP="009D2D7F">
            <w:pPr>
              <w:jc w:val="center"/>
            </w:pPr>
            <w:r w:rsidRPr="009D2D7F">
              <w:t>et</w:t>
            </w:r>
          </w:p>
          <w:p w:rsidR="009D2D7F" w:rsidRPr="009D2D7F" w:rsidRDefault="009D2D7F" w:rsidP="009D2D7F"/>
          <w:p w:rsidR="009D2D7F" w:rsidRPr="009D2D7F" w:rsidRDefault="009D2D7F" w:rsidP="009D2D7F">
            <w:pPr>
              <w:jc w:val="center"/>
              <w:rPr>
                <w:b/>
              </w:rPr>
            </w:pPr>
            <w:r w:rsidRPr="009D2D7F">
              <w:rPr>
                <w:b/>
              </w:rPr>
              <w:t>Attorney General of Antigua and Barbuda</w:t>
            </w:r>
          </w:p>
          <w:p w:rsidR="009D2D7F" w:rsidRPr="009D2D7F" w:rsidRDefault="009D2D7F" w:rsidP="009D2D7F">
            <w:pPr>
              <w:jc w:val="center"/>
              <w:rPr>
                <w:lang w:val="fr-CA"/>
              </w:rPr>
            </w:pPr>
            <w:r w:rsidRPr="009D2D7F">
              <w:rPr>
                <w:lang w:val="fr-CA"/>
              </w:rPr>
              <w:t>Intimé</w:t>
            </w:r>
          </w:p>
          <w:p w:rsidR="009D2D7F" w:rsidRPr="009D2D7F" w:rsidRDefault="009D2D7F" w:rsidP="009D2D7F">
            <w:pPr>
              <w:rPr>
                <w:lang w:val="fr-CA"/>
              </w:rPr>
            </w:pPr>
          </w:p>
          <w:p w:rsidR="009D2D7F" w:rsidRPr="009D2D7F" w:rsidRDefault="009D2D7F" w:rsidP="009D2D7F">
            <w:pPr>
              <w:jc w:val="center"/>
              <w:rPr>
                <w:b/>
                <w:smallCaps/>
                <w:lang w:val="fr-CA"/>
              </w:rPr>
            </w:pPr>
            <w:r w:rsidRPr="009D2D7F">
              <w:rPr>
                <w:b/>
                <w:smallCaps/>
                <w:lang w:val="fr-CA"/>
              </w:rPr>
              <w:t>Traduction française officielle</w:t>
            </w:r>
          </w:p>
          <w:p w:rsidR="009D2D7F" w:rsidRPr="009D2D7F" w:rsidRDefault="009D2D7F" w:rsidP="009D2D7F">
            <w:pPr>
              <w:rPr>
                <w:lang w:val="fr-CA"/>
              </w:rPr>
            </w:pPr>
          </w:p>
          <w:p w:rsidR="009D2D7F" w:rsidRPr="009D2D7F" w:rsidRDefault="009D2D7F" w:rsidP="009D2D7F">
            <w:pPr>
              <w:rPr>
                <w:lang w:val="fr-CA"/>
              </w:rPr>
            </w:pPr>
            <w:r w:rsidRPr="009D2D7F">
              <w:rPr>
                <w:b/>
                <w:smallCaps/>
                <w:lang w:val="fr-CA"/>
              </w:rPr>
              <w:t>Coram :</w:t>
            </w:r>
            <w:r w:rsidRPr="009D2D7F">
              <w:rPr>
                <w:lang w:val="fr-CA"/>
              </w:rPr>
              <w:t xml:space="preserve"> Le juge en chef Wagner et les juges Karakatsanis, Côté, Rowe et Kasirer</w:t>
            </w:r>
          </w:p>
          <w:p w:rsidR="009D2D7F" w:rsidRPr="009D2D7F" w:rsidRDefault="009D2D7F" w:rsidP="009D2D7F">
            <w:pPr>
              <w:jc w:val="both"/>
              <w:rPr>
                <w:b/>
                <w:smallCaps/>
                <w:lang w:val="fr-CA"/>
              </w:rPr>
            </w:pPr>
          </w:p>
        </w:tc>
      </w:tr>
      <w:tr w:rsidR="009D2D7F" w:rsidRPr="009D2D7F" w:rsidTr="009D2D7F">
        <w:tblPrEx>
          <w:tblCellMar>
            <w:top w:w="58" w:type="dxa"/>
            <w:left w:w="58" w:type="dxa"/>
            <w:bottom w:w="58" w:type="dxa"/>
            <w:right w:w="58" w:type="dxa"/>
          </w:tblCellMar>
        </w:tblPrEx>
        <w:trPr>
          <w:cantSplit/>
        </w:trPr>
        <w:tc>
          <w:tcPr>
            <w:tcW w:w="1250" w:type="pct"/>
          </w:tcPr>
          <w:p w:rsidR="009D2D7F" w:rsidRPr="009D2D7F" w:rsidRDefault="009D2D7F" w:rsidP="009D2D7F">
            <w:pPr>
              <w:rPr>
                <w:b/>
                <w:lang w:val="fr-CA"/>
              </w:rPr>
            </w:pPr>
            <w:r w:rsidRPr="009D2D7F">
              <w:rPr>
                <w:b/>
                <w:smallCaps/>
                <w:lang w:val="fr-CA"/>
              </w:rPr>
              <w:t>Motifs de jugement :</w:t>
            </w:r>
          </w:p>
          <w:p w:rsidR="009D2D7F" w:rsidRPr="009D2D7F" w:rsidRDefault="009D2D7F" w:rsidP="009D2D7F">
            <w:pPr>
              <w:rPr>
                <w:lang w:val="fr-CA"/>
              </w:rPr>
            </w:pPr>
            <w:r w:rsidRPr="009D2D7F">
              <w:rPr>
                <w:lang w:val="fr-CA"/>
              </w:rPr>
              <w:t>(par. 1 à 51)</w:t>
            </w:r>
          </w:p>
          <w:p w:rsidR="009D2D7F" w:rsidRPr="009D2D7F" w:rsidRDefault="009D2D7F" w:rsidP="009D2D7F">
            <w:pPr>
              <w:rPr>
                <w:lang w:val="fr-CA"/>
              </w:rPr>
            </w:pPr>
          </w:p>
        </w:tc>
        <w:tc>
          <w:tcPr>
            <w:tcW w:w="3750" w:type="pct"/>
            <w:gridSpan w:val="3"/>
          </w:tcPr>
          <w:p w:rsidR="009D2D7F" w:rsidRPr="009D2D7F" w:rsidRDefault="009D2D7F" w:rsidP="009D2D7F">
            <w:pPr>
              <w:rPr>
                <w:lang w:val="fr-CA"/>
              </w:rPr>
            </w:pPr>
            <w:r w:rsidRPr="009D2D7F">
              <w:rPr>
                <w:lang w:val="fr-CA"/>
              </w:rPr>
              <w:t>Le juge en chef Wagner (avec l’accord des juges Karakatsanis, Rowe et Kasirer)</w:t>
            </w:r>
          </w:p>
        </w:tc>
      </w:tr>
      <w:tr w:rsidR="009D2D7F" w:rsidRPr="009D2D7F" w:rsidTr="009D2D7F">
        <w:tblPrEx>
          <w:tblCellMar>
            <w:top w:w="58" w:type="dxa"/>
            <w:left w:w="58" w:type="dxa"/>
            <w:bottom w:w="58" w:type="dxa"/>
            <w:right w:w="58" w:type="dxa"/>
          </w:tblCellMar>
        </w:tblPrEx>
        <w:trPr>
          <w:cantSplit/>
        </w:trPr>
        <w:tc>
          <w:tcPr>
            <w:tcW w:w="1250" w:type="pct"/>
          </w:tcPr>
          <w:p w:rsidR="009D2D7F" w:rsidRPr="009D2D7F" w:rsidRDefault="009D2D7F" w:rsidP="009D2D7F">
            <w:pPr>
              <w:rPr>
                <w:b/>
                <w:smallCaps/>
                <w:lang w:val="fr-CA"/>
              </w:rPr>
            </w:pPr>
            <w:r w:rsidRPr="009D2D7F">
              <w:rPr>
                <w:b/>
                <w:smallCaps/>
                <w:lang w:val="fr-CA"/>
              </w:rPr>
              <w:t>Motifs concordants :</w:t>
            </w:r>
          </w:p>
          <w:p w:rsidR="009D2D7F" w:rsidRPr="009D2D7F" w:rsidRDefault="009D2D7F" w:rsidP="009D2D7F">
            <w:pPr>
              <w:rPr>
                <w:lang w:val="fr-CA"/>
              </w:rPr>
            </w:pPr>
            <w:r w:rsidRPr="009D2D7F">
              <w:rPr>
                <w:lang w:val="fr-CA"/>
              </w:rPr>
              <w:t>(par. 52 à 70)</w:t>
            </w:r>
          </w:p>
        </w:tc>
        <w:tc>
          <w:tcPr>
            <w:tcW w:w="3750" w:type="pct"/>
            <w:gridSpan w:val="3"/>
          </w:tcPr>
          <w:p w:rsidR="009D2D7F" w:rsidRPr="009D2D7F" w:rsidRDefault="009D2D7F" w:rsidP="009D2D7F">
            <w:pPr>
              <w:rPr>
                <w:lang w:val="fr-CA"/>
              </w:rPr>
            </w:pPr>
            <w:r w:rsidRPr="009D2D7F">
              <w:rPr>
                <w:lang w:val="fr-CA"/>
              </w:rPr>
              <w:t>La juge Côté</w:t>
            </w:r>
          </w:p>
        </w:tc>
      </w:tr>
    </w:tbl>
    <w:p w:rsidR="009D2D7F" w:rsidRPr="009D2D7F" w:rsidRDefault="009D2D7F" w:rsidP="009D2D7F">
      <w:pPr>
        <w:rPr>
          <w:rFonts w:eastAsiaTheme="minorHAnsi" w:cstheme="minorBidi"/>
          <w:szCs w:val="24"/>
          <w:lang w:val="fr-CA" w:eastAsia="en-US"/>
        </w:rPr>
      </w:pPr>
    </w:p>
    <w:p w:rsidR="009D2D7F" w:rsidRPr="009D2D7F" w:rsidRDefault="009D2D7F" w:rsidP="009D2D7F">
      <w:pPr>
        <w:rPr>
          <w:rFonts w:eastAsiaTheme="minorHAnsi" w:cstheme="minorBidi"/>
          <w:szCs w:val="24"/>
          <w:lang w:val="fr-CA" w:eastAsia="en-US"/>
        </w:rPr>
      </w:pPr>
    </w:p>
    <w:p w:rsidR="009D2D7F" w:rsidRPr="009D2D7F" w:rsidRDefault="009D2D7F" w:rsidP="009D2D7F">
      <w:pPr>
        <w:rPr>
          <w:rFonts w:eastAsiaTheme="minorHAnsi" w:cstheme="minorBidi"/>
          <w:szCs w:val="24"/>
          <w:lang w:val="fr-CA" w:eastAsia="en-US"/>
        </w:rPr>
      </w:pPr>
    </w:p>
    <w:p w:rsidR="009D2D7F" w:rsidRPr="009D2D7F" w:rsidRDefault="009D2D7F" w:rsidP="009D2D7F">
      <w:pPr>
        <w:rPr>
          <w:rFonts w:eastAsiaTheme="minorHAnsi" w:cstheme="minorBidi"/>
          <w:szCs w:val="24"/>
          <w:lang w:val="fr-CA" w:eastAsia="en-US"/>
        </w:rPr>
      </w:pPr>
    </w:p>
    <w:p w:rsidR="009D2D7F" w:rsidRPr="009D2D7F" w:rsidRDefault="009D2D7F" w:rsidP="009D2D7F">
      <w:pPr>
        <w:rPr>
          <w:rFonts w:eastAsiaTheme="minorHAnsi" w:cstheme="minorBidi"/>
          <w:szCs w:val="24"/>
          <w:lang w:val="fr-CA" w:eastAsia="en-US"/>
        </w:rPr>
      </w:pPr>
      <w:r w:rsidRPr="009D2D7F">
        <w:rPr>
          <w:rFonts w:eastAsiaTheme="minorHAnsi" w:cstheme="minorBidi"/>
          <w:b/>
          <w:smallCaps/>
          <w:szCs w:val="24"/>
          <w:lang w:val="fr-CA" w:eastAsia="en-US"/>
        </w:rPr>
        <w:t>Note :</w:t>
      </w:r>
      <w:r w:rsidRPr="009D2D7F">
        <w:rPr>
          <w:rFonts w:eastAsiaTheme="minorHAnsi" w:cstheme="minorBidi"/>
          <w:b/>
          <w:szCs w:val="24"/>
          <w:lang w:val="fr-CA" w:eastAsia="en-US"/>
        </w:rPr>
        <w:t xml:space="preserve"> </w:t>
      </w:r>
      <w:r w:rsidRPr="009D2D7F">
        <w:rPr>
          <w:rFonts w:eastAsiaTheme="minorHAnsi" w:cstheme="minorBidi"/>
          <w:szCs w:val="24"/>
          <w:lang w:val="fr-CA" w:eastAsia="en-US"/>
        </w:rPr>
        <w:t xml:space="preserve">Ce document fera l’objet de retouches de forme avant la parution de sa version définitive dans le </w:t>
      </w:r>
      <w:r w:rsidRPr="009D2D7F">
        <w:rPr>
          <w:rFonts w:eastAsiaTheme="minorHAnsi" w:cstheme="minorBidi"/>
          <w:i/>
          <w:szCs w:val="24"/>
          <w:lang w:val="fr-CA" w:eastAsia="en-US"/>
        </w:rPr>
        <w:t>Recueil des arrêts de la Cour suprême du Canada</w:t>
      </w:r>
      <w:r w:rsidRPr="009D2D7F">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D2D7F" w:rsidRPr="009D2D7F" w:rsidTr="00DC3E89">
        <w:tc>
          <w:tcPr>
            <w:tcW w:w="1500" w:type="pct"/>
            <w:tcMar>
              <w:top w:w="284" w:type="dxa"/>
            </w:tcMar>
          </w:tcPr>
          <w:p w:rsidR="009D2D7F" w:rsidRPr="009D2D7F" w:rsidRDefault="009D2D7F" w:rsidP="009D2D7F">
            <w:pPr>
              <w:rPr>
                <w:lang w:val="fr-CA"/>
              </w:rPr>
            </w:pPr>
          </w:p>
        </w:tc>
        <w:tc>
          <w:tcPr>
            <w:tcW w:w="2000" w:type="pct"/>
            <w:tcBorders>
              <w:bottom w:val="single" w:sz="4" w:space="0" w:color="auto"/>
            </w:tcBorders>
            <w:tcMar>
              <w:top w:w="284" w:type="dxa"/>
            </w:tcMar>
          </w:tcPr>
          <w:p w:rsidR="009D2D7F" w:rsidRPr="009D2D7F" w:rsidRDefault="009D2D7F" w:rsidP="009D2D7F">
            <w:pPr>
              <w:rPr>
                <w:lang w:val="fr-CA"/>
              </w:rPr>
            </w:pPr>
          </w:p>
        </w:tc>
        <w:tc>
          <w:tcPr>
            <w:tcW w:w="1500" w:type="pct"/>
            <w:tcMar>
              <w:top w:w="284" w:type="dxa"/>
            </w:tcMar>
          </w:tcPr>
          <w:p w:rsidR="009D2D7F" w:rsidRPr="009D2D7F" w:rsidRDefault="009D2D7F" w:rsidP="009D2D7F">
            <w:pPr>
              <w:rPr>
                <w:lang w:val="fr-CA"/>
              </w:rPr>
            </w:pPr>
          </w:p>
        </w:tc>
      </w:tr>
    </w:tbl>
    <w:p w:rsidR="009D2D7F" w:rsidRPr="009D2D7F" w:rsidRDefault="009D2D7F" w:rsidP="009D2D7F">
      <w:pPr>
        <w:rPr>
          <w:rFonts w:eastAsiaTheme="minorHAnsi" w:cstheme="minorBidi"/>
          <w:szCs w:val="24"/>
          <w:lang w:val="fr-CA" w:eastAsia="en-US"/>
        </w:rPr>
      </w:pPr>
    </w:p>
    <w:p w:rsidR="009D2D7F" w:rsidRPr="009D2D7F" w:rsidRDefault="009D2D7F">
      <w:pPr>
        <w:rPr>
          <w:b/>
          <w:lang w:val="fr-CA"/>
        </w:rPr>
      </w:pPr>
      <w:r w:rsidRPr="009D2D7F">
        <w:rPr>
          <w:lang w:val="fr-CA"/>
        </w:rPr>
        <w:br w:type="page"/>
      </w:r>
    </w:p>
    <w:p w:rsidR="001C1A25" w:rsidRPr="00B21FF6" w:rsidRDefault="003D7F3C" w:rsidP="00843D5F">
      <w:pPr>
        <w:pStyle w:val="SCCLsocLastPartyInRole"/>
      </w:pPr>
      <w:r w:rsidRPr="00B21FF6">
        <w:t>H.M.B. Holdings Limited</w:t>
      </w:r>
      <w:r w:rsidR="005A34FC" w:rsidRPr="00B21FF6">
        <w:rPr>
          <w:rStyle w:val="SCCLsocPartyRole"/>
        </w:rPr>
        <w:tab/>
        <w:t>Appelante</w:t>
      </w:r>
    </w:p>
    <w:p w:rsidR="001C1A25" w:rsidRPr="00B21FF6" w:rsidRDefault="003D7F3C" w:rsidP="00843D5F">
      <w:pPr>
        <w:pStyle w:val="SCCLsocVersus"/>
      </w:pPr>
      <w:proofErr w:type="gramStart"/>
      <w:r w:rsidRPr="00B21FF6">
        <w:t>c</w:t>
      </w:r>
      <w:proofErr w:type="gramEnd"/>
      <w:r w:rsidRPr="00B21FF6">
        <w:t>.</w:t>
      </w:r>
    </w:p>
    <w:p w:rsidR="001C1A25" w:rsidRPr="00B21FF6" w:rsidRDefault="003D7F3C" w:rsidP="00843D5F">
      <w:pPr>
        <w:pStyle w:val="SCCLsocLastPartyInRole"/>
      </w:pPr>
      <w:r w:rsidRPr="00B21FF6">
        <w:t>Attorney General of Antigua and Barbuda</w:t>
      </w:r>
      <w:r w:rsidR="005A34FC" w:rsidRPr="00B21FF6">
        <w:rPr>
          <w:rStyle w:val="SCCLsocPartyRole"/>
        </w:rPr>
        <w:tab/>
        <w:t>Intimé</w:t>
      </w:r>
    </w:p>
    <w:p w:rsidR="004D7D95" w:rsidRPr="00B21FF6" w:rsidRDefault="00CC3B4D" w:rsidP="00843D5F">
      <w:pPr>
        <w:spacing w:after="720"/>
        <w:jc w:val="both"/>
        <w:rPr>
          <w:b/>
          <w:lang w:val="fr-CA"/>
        </w:rPr>
      </w:pPr>
      <w:r w:rsidRPr="00B21FF6">
        <w:rPr>
          <w:b/>
          <w:lang w:val="fr-CA"/>
        </w:rPr>
        <w:t>Répertorié</w:t>
      </w:r>
      <w:r w:rsidR="00B21FF6" w:rsidRPr="00B21FF6">
        <w:rPr>
          <w:b/>
          <w:lang w:val="fr-CA"/>
        </w:rPr>
        <w:t> :</w:t>
      </w:r>
      <w:r w:rsidRPr="00B21FF6">
        <w:rPr>
          <w:b/>
          <w:lang w:val="fr-CA"/>
        </w:rPr>
        <w:t> </w:t>
      </w:r>
      <w:r w:rsidRPr="00B21FF6">
        <w:rPr>
          <w:rStyle w:val="SCCAppellantForIndexChar"/>
          <w:lang w:val="fr-CA"/>
        </w:rPr>
        <w:t>H.M.B. Holdings Lt</w:t>
      </w:r>
      <w:r w:rsidR="004D7D95" w:rsidRPr="00B21FF6">
        <w:rPr>
          <w:rStyle w:val="SCCAppellantForIndexChar"/>
          <w:lang w:val="fr-CA"/>
        </w:rPr>
        <w:t>d</w:t>
      </w:r>
      <w:r w:rsidRPr="00B21FF6">
        <w:rPr>
          <w:rStyle w:val="SCCAppellantForIndexChar"/>
          <w:lang w:val="fr-CA"/>
        </w:rPr>
        <w:t>.</w:t>
      </w:r>
      <w:r w:rsidR="004D7D95" w:rsidRPr="00B21FF6">
        <w:rPr>
          <w:b/>
          <w:lang w:val="fr-CA"/>
        </w:rPr>
        <w:t xml:space="preserve"> </w:t>
      </w:r>
      <w:r w:rsidR="004D7D95" w:rsidRPr="00B21FF6">
        <w:rPr>
          <w:b/>
          <w:i/>
          <w:lang w:val="fr-CA"/>
        </w:rPr>
        <w:t>c.</w:t>
      </w:r>
      <w:r w:rsidR="004D7D95" w:rsidRPr="00B21FF6">
        <w:rPr>
          <w:b/>
          <w:lang w:val="fr-CA"/>
        </w:rPr>
        <w:t xml:space="preserve"> </w:t>
      </w:r>
      <w:r w:rsidR="00C16DA0" w:rsidRPr="00B21FF6">
        <w:rPr>
          <w:rStyle w:val="SCCRespondentForIndexChar"/>
          <w:lang w:val="fr-CA"/>
        </w:rPr>
        <w:t>Antigua</w:t>
      </w:r>
      <w:r w:rsidR="00B21FF6" w:rsidRPr="00B21FF6">
        <w:rPr>
          <w:rStyle w:val="SCCRespondentForIndexChar"/>
          <w:lang w:val="fr-CA"/>
        </w:rPr>
        <w:noBreakHyphen/>
      </w:r>
      <w:r w:rsidR="00C16DA0" w:rsidRPr="00B21FF6">
        <w:rPr>
          <w:rStyle w:val="SCCRespondentForIndexChar"/>
          <w:lang w:val="fr-CA"/>
        </w:rPr>
        <w:t>et</w:t>
      </w:r>
      <w:r w:rsidR="00B21FF6" w:rsidRPr="00B21FF6">
        <w:rPr>
          <w:rStyle w:val="SCCRespondentForIndexChar"/>
          <w:lang w:val="fr-CA"/>
        </w:rPr>
        <w:noBreakHyphen/>
      </w:r>
      <w:r w:rsidR="00C16DA0" w:rsidRPr="00B21FF6">
        <w:rPr>
          <w:rStyle w:val="SCCRespondentForIndexChar"/>
          <w:lang w:val="fr-CA"/>
        </w:rPr>
        <w:t>Barbuda</w:t>
      </w:r>
    </w:p>
    <w:p w:rsidR="004D7D95" w:rsidRPr="00B21FF6" w:rsidRDefault="00D17B0E" w:rsidP="00843D5F">
      <w:pPr>
        <w:pStyle w:val="SCCSystemYear"/>
        <w:spacing w:after="720"/>
        <w:jc w:val="both"/>
        <w:rPr>
          <w:lang w:val="fr-CA"/>
        </w:rPr>
      </w:pPr>
      <w:r w:rsidRPr="00B21FF6">
        <w:rPr>
          <w:lang w:val="fr-CA"/>
        </w:rPr>
        <w:t>2021</w:t>
      </w:r>
      <w:r w:rsidR="004D7D95" w:rsidRPr="00B21FF6">
        <w:rPr>
          <w:lang w:val="fr-CA"/>
        </w:rPr>
        <w:t xml:space="preserve"> CSC </w:t>
      </w:r>
      <w:r w:rsidR="000626FC">
        <w:rPr>
          <w:lang w:val="fr-CA"/>
        </w:rPr>
        <w:t>44</w:t>
      </w:r>
    </w:p>
    <w:p w:rsidR="004D7D95" w:rsidRPr="00B21FF6" w:rsidRDefault="004D7D95" w:rsidP="00843D5F">
      <w:pPr>
        <w:spacing w:after="720"/>
        <w:jc w:val="both"/>
        <w:rPr>
          <w:lang w:val="fr-CA"/>
        </w:rPr>
      </w:pPr>
      <w:r w:rsidRPr="00B21FF6">
        <w:rPr>
          <w:lang w:val="fr-CA"/>
        </w:rPr>
        <w:t>N</w:t>
      </w:r>
      <w:r w:rsidRPr="00B21FF6">
        <w:rPr>
          <w:vertAlign w:val="superscript"/>
          <w:lang w:val="fr-CA"/>
        </w:rPr>
        <w:t>o</w:t>
      </w:r>
      <w:r w:rsidRPr="00B21FF6">
        <w:rPr>
          <w:lang w:val="fr-CA"/>
        </w:rPr>
        <w:t xml:space="preserve"> du greffe</w:t>
      </w:r>
      <w:r w:rsidR="00B21FF6" w:rsidRPr="00B21FF6">
        <w:rPr>
          <w:lang w:val="fr-CA"/>
        </w:rPr>
        <w:t> :</w:t>
      </w:r>
      <w:r w:rsidRPr="00B21FF6">
        <w:rPr>
          <w:lang w:val="fr-CA"/>
        </w:rPr>
        <w:t> 39130.</w:t>
      </w:r>
    </w:p>
    <w:p w:rsidR="004D7D95" w:rsidRPr="00B21FF6" w:rsidRDefault="00567D57" w:rsidP="00843D5F">
      <w:pPr>
        <w:spacing w:after="720"/>
        <w:jc w:val="both"/>
        <w:rPr>
          <w:lang w:val="fr-CA"/>
        </w:rPr>
      </w:pPr>
      <w:r w:rsidRPr="00B21FF6">
        <w:rPr>
          <w:lang w:val="fr-CA"/>
        </w:rPr>
        <w:t>2021</w:t>
      </w:r>
      <w:r w:rsidR="00B21FF6" w:rsidRPr="00B21FF6">
        <w:rPr>
          <w:lang w:val="fr-CA"/>
        </w:rPr>
        <w:t> :</w:t>
      </w:r>
      <w:r w:rsidR="00843D5F" w:rsidRPr="00B21FF6">
        <w:rPr>
          <w:lang w:val="fr-CA"/>
        </w:rPr>
        <w:t> 20 </w:t>
      </w:r>
      <w:r w:rsidR="00D17B0E" w:rsidRPr="00B21FF6">
        <w:rPr>
          <w:lang w:val="fr-CA"/>
        </w:rPr>
        <w:t>avril</w:t>
      </w:r>
      <w:r w:rsidR="004D7D95" w:rsidRPr="00B21FF6">
        <w:rPr>
          <w:lang w:val="fr-CA"/>
        </w:rPr>
        <w:t xml:space="preserve">; </w:t>
      </w:r>
      <w:r w:rsidR="00AB4A02" w:rsidRPr="00B21FF6">
        <w:rPr>
          <w:lang w:val="fr-CA"/>
        </w:rPr>
        <w:t>2021</w:t>
      </w:r>
      <w:r w:rsidR="00B21FF6" w:rsidRPr="00B21FF6">
        <w:rPr>
          <w:lang w:val="fr-CA"/>
        </w:rPr>
        <w:t> :</w:t>
      </w:r>
      <w:r w:rsidR="00843D5F" w:rsidRPr="00B21FF6">
        <w:rPr>
          <w:lang w:val="fr-CA"/>
        </w:rPr>
        <w:t> 4 </w:t>
      </w:r>
      <w:r w:rsidR="00AB4A02" w:rsidRPr="00B21FF6">
        <w:rPr>
          <w:lang w:val="fr-CA"/>
        </w:rPr>
        <w:t>novembre</w:t>
      </w:r>
      <w:r w:rsidR="004D7D95" w:rsidRPr="00B21FF6">
        <w:rPr>
          <w:lang w:val="fr-CA"/>
        </w:rPr>
        <w:t>.</w:t>
      </w:r>
    </w:p>
    <w:p w:rsidR="004D7D95" w:rsidRPr="00B21FF6" w:rsidRDefault="004D7D95" w:rsidP="00843D5F">
      <w:pPr>
        <w:spacing w:after="720"/>
        <w:jc w:val="both"/>
        <w:rPr>
          <w:lang w:val="fr-CA"/>
        </w:rPr>
      </w:pPr>
      <w:r w:rsidRPr="00B21FF6">
        <w:rPr>
          <w:lang w:val="fr-CA"/>
        </w:rPr>
        <w:t>Présents</w:t>
      </w:r>
      <w:r w:rsidR="00B21FF6" w:rsidRPr="00B21FF6">
        <w:rPr>
          <w:lang w:val="fr-CA"/>
        </w:rPr>
        <w:t> :</w:t>
      </w:r>
      <w:r w:rsidRPr="00B21FF6">
        <w:rPr>
          <w:lang w:val="fr-CA"/>
        </w:rPr>
        <w:t> Le juge en chef Wagner et les juges Karakatsanis, Côté, Rowe et Kasirer.</w:t>
      </w:r>
    </w:p>
    <w:p w:rsidR="004D7D95" w:rsidRPr="00B21FF6" w:rsidRDefault="004D7D95" w:rsidP="00843D5F">
      <w:pPr>
        <w:spacing w:after="720"/>
        <w:jc w:val="both"/>
        <w:rPr>
          <w:smallCaps/>
          <w:lang w:val="fr-CA"/>
        </w:rPr>
      </w:pPr>
      <w:r w:rsidRPr="00B21FF6">
        <w:rPr>
          <w:smallCaps/>
          <w:lang w:val="fr-CA"/>
        </w:rPr>
        <w:t>en appel de la cour d</w:t>
      </w:r>
      <w:r w:rsidR="005A34FC" w:rsidRPr="00B21FF6">
        <w:rPr>
          <w:smallCaps/>
          <w:lang w:val="fr-CA"/>
        </w:rPr>
        <w:t>’</w:t>
      </w:r>
      <w:r w:rsidRPr="00B21FF6">
        <w:rPr>
          <w:smallCaps/>
          <w:lang w:val="fr-CA"/>
        </w:rPr>
        <w:t xml:space="preserve">appel de </w:t>
      </w:r>
      <w:proofErr w:type="spellStart"/>
      <w:r w:rsidRPr="00B21FF6">
        <w:rPr>
          <w:smallCaps/>
          <w:lang w:val="fr-CA"/>
        </w:rPr>
        <w:t>l</w:t>
      </w:r>
      <w:r w:rsidR="005A34FC" w:rsidRPr="00B21FF6">
        <w:rPr>
          <w:smallCaps/>
          <w:lang w:val="fr-CA"/>
        </w:rPr>
        <w:t>’</w:t>
      </w:r>
      <w:r w:rsidRPr="00B21FF6">
        <w:rPr>
          <w:smallCaps/>
          <w:lang w:val="fr-CA"/>
        </w:rPr>
        <w:t>ontario</w:t>
      </w:r>
      <w:proofErr w:type="spellEnd"/>
    </w:p>
    <w:p w:rsidR="00E531C5" w:rsidRPr="00B21FF6" w:rsidRDefault="004D7D95" w:rsidP="000679E7">
      <w:pPr>
        <w:pStyle w:val="SCCNormalDoubleSpacing"/>
        <w:spacing w:after="480"/>
        <w:rPr>
          <w:i/>
          <w:lang w:val="fr-CA"/>
        </w:rPr>
      </w:pPr>
      <w:r w:rsidRPr="00B21FF6">
        <w:rPr>
          <w:lang w:val="fr-CA"/>
        </w:rPr>
        <w:tab/>
      </w:r>
      <w:r w:rsidR="00E531C5" w:rsidRPr="00B21FF6">
        <w:rPr>
          <w:i/>
          <w:lang w:val="fr-CA"/>
        </w:rPr>
        <w:t xml:space="preserve">Droit international privé </w:t>
      </w:r>
      <w:r w:rsidR="00E531C5" w:rsidRPr="00B21FF6">
        <w:rPr>
          <w:i/>
          <w:iCs/>
          <w:lang w:val="fr-CA"/>
        </w:rPr>
        <w:t>— Jugements étrangers — Exécution réciproque — Enregistrement — Exercice d’activités — Jugement étranger portant indemnisation du créancier en vertu du jugement pour l’expropriation d’un terrain par le débiteur en vertu du jugement — Obtention, par le créancier en vertu du jugement, d’un jugement par défaut en Colombie</w:t>
      </w:r>
      <w:r w:rsidR="00B21FF6" w:rsidRPr="00B21FF6">
        <w:rPr>
          <w:i/>
          <w:iCs/>
          <w:lang w:val="fr-CA"/>
        </w:rPr>
        <w:noBreakHyphen/>
      </w:r>
      <w:r w:rsidR="00E531C5" w:rsidRPr="00B21FF6">
        <w:rPr>
          <w:i/>
          <w:iCs/>
          <w:lang w:val="fr-CA"/>
        </w:rPr>
        <w:t>Britannique pour faire exécuter le jugement étranger — Requête présentée ensuite par le créancier en vertu du jugement pour faire enregistrer le jugement par défaut dans le ressort accordant la réciprocité qu’est l’Ontario — Requête rejetée au motif que le débiteur en vertu du jugement n’exerçait pas ses activités en Colombie</w:t>
      </w:r>
      <w:r w:rsidR="00B21FF6" w:rsidRPr="00B21FF6">
        <w:rPr>
          <w:i/>
          <w:iCs/>
          <w:lang w:val="fr-CA"/>
        </w:rPr>
        <w:noBreakHyphen/>
      </w:r>
      <w:r w:rsidR="00E531C5" w:rsidRPr="00B21FF6">
        <w:rPr>
          <w:i/>
          <w:iCs/>
          <w:lang w:val="fr-CA"/>
        </w:rPr>
        <w:t>Britannique — Le créancier en vertu du jugement est</w:t>
      </w:r>
      <w:r w:rsidR="00B21FF6" w:rsidRPr="00B21FF6">
        <w:rPr>
          <w:i/>
          <w:iCs/>
          <w:lang w:val="fr-CA"/>
        </w:rPr>
        <w:noBreakHyphen/>
      </w:r>
      <w:r w:rsidR="00E531C5" w:rsidRPr="00B21FF6">
        <w:rPr>
          <w:i/>
          <w:iCs/>
          <w:lang w:val="fr-CA"/>
        </w:rPr>
        <w:t xml:space="preserve">il empêché </w:t>
      </w:r>
      <w:r w:rsidR="00E531C5" w:rsidRPr="00B21FF6">
        <w:rPr>
          <w:i/>
          <w:iCs/>
          <w:lang w:val="fr-CA"/>
        </w:rPr>
        <w:lastRenderedPageBreak/>
        <w:t xml:space="preserve">d’obtenir l’enregistrement du jugement par défaut en Ontario? — Loi sur l’exécution réciproque des jugements, L.R.O. 1990, c. R.5, </w:t>
      </w:r>
      <w:r w:rsidR="00B21FF6" w:rsidRPr="00B21FF6">
        <w:rPr>
          <w:i/>
          <w:iCs/>
          <w:lang w:val="fr-CA"/>
        </w:rPr>
        <w:t>al. </w:t>
      </w:r>
      <w:r w:rsidR="00E531C5" w:rsidRPr="00B21FF6">
        <w:rPr>
          <w:i/>
          <w:iCs/>
          <w:lang w:val="fr-CA"/>
        </w:rPr>
        <w:t xml:space="preserve">3b). </w:t>
      </w:r>
    </w:p>
    <w:p w:rsidR="00E531C5" w:rsidRPr="00B21FF6" w:rsidRDefault="00E531C5" w:rsidP="000679E7">
      <w:pPr>
        <w:pStyle w:val="SCCNormalDoubleSpacing"/>
        <w:spacing w:after="480"/>
        <w:rPr>
          <w:rStyle w:val="normaltextrun"/>
          <w:i/>
          <w:lang w:val="fr-CA"/>
        </w:rPr>
      </w:pPr>
      <w:r w:rsidRPr="00B21FF6">
        <w:rPr>
          <w:lang w:val="fr-CA"/>
        </w:rPr>
        <w:tab/>
      </w:r>
      <w:r w:rsidRPr="00B21FF6">
        <w:rPr>
          <w:noProof/>
          <w:lang w:val="fr-CA"/>
        </w:rPr>
        <w:t>Antigua</w:t>
      </w:r>
      <w:r w:rsidR="00B21FF6" w:rsidRPr="00B21FF6">
        <w:rPr>
          <w:noProof/>
          <w:lang w:val="fr-CA"/>
        </w:rPr>
        <w:noBreakHyphen/>
      </w:r>
      <w:r w:rsidRPr="00B21FF6">
        <w:rPr>
          <w:noProof/>
          <w:lang w:val="fr-CA"/>
        </w:rPr>
        <w:t>et</w:t>
      </w:r>
      <w:r w:rsidR="00B21FF6" w:rsidRPr="00B21FF6">
        <w:rPr>
          <w:noProof/>
          <w:lang w:val="fr-CA"/>
        </w:rPr>
        <w:noBreakHyphen/>
      </w:r>
      <w:r w:rsidRPr="00B21FF6">
        <w:rPr>
          <w:noProof/>
          <w:lang w:val="fr-CA"/>
        </w:rPr>
        <w:t>Barbuda (« Antigua »)</w:t>
      </w:r>
      <w:r w:rsidRPr="00B21FF6">
        <w:rPr>
          <w:lang w:val="fr-CA"/>
        </w:rPr>
        <w:t xml:space="preserve">, </w:t>
      </w:r>
      <w:r w:rsidRPr="00B21FF6">
        <w:rPr>
          <w:noProof/>
          <w:lang w:val="fr-CA"/>
        </w:rPr>
        <w:t xml:space="preserve">un pays constitué de plusieurs îles des Caraïbes, a exproprié une propriété appartenant à H.M.B. Holdings Limited (« HMB »), une société privée constituée en personne morale à Antigua. </w:t>
      </w:r>
      <w:r w:rsidR="00BA09E0">
        <w:rPr>
          <w:noProof/>
          <w:lang w:val="fr-CA"/>
        </w:rPr>
        <w:t xml:space="preserve">Des procédures judiciaires ont été engagées </w:t>
      </w:r>
      <w:r w:rsidRPr="00B21FF6">
        <w:rPr>
          <w:noProof/>
          <w:lang w:val="fr-CA"/>
        </w:rPr>
        <w:t xml:space="preserve">devant le Comité judiciaire du Conseil privé, et </w:t>
      </w:r>
      <w:r w:rsidRPr="00B21FF6">
        <w:rPr>
          <w:lang w:val="fr-CA"/>
        </w:rPr>
        <w:t xml:space="preserve">Antigua a été condamnée à dédommager HMB pour l’expropriation. Des années plus tard, HMB </w:t>
      </w:r>
      <w:r w:rsidRPr="00B21FF6">
        <w:rPr>
          <w:noProof/>
          <w:lang w:val="fr-CA"/>
        </w:rPr>
        <w:t>a intenté une action en common law en Colombie</w:t>
      </w:r>
      <w:r w:rsidR="00B21FF6" w:rsidRPr="00B21FF6">
        <w:rPr>
          <w:noProof/>
          <w:lang w:val="fr-CA"/>
        </w:rPr>
        <w:noBreakHyphen/>
      </w:r>
      <w:r w:rsidRPr="00B21FF6">
        <w:rPr>
          <w:noProof/>
          <w:lang w:val="fr-CA"/>
        </w:rPr>
        <w:t>Britannique pour faire exécuter le jugement étranger dans cette province</w:t>
      </w:r>
      <w:r w:rsidRPr="00B21FF6">
        <w:rPr>
          <w:lang w:val="fr-CA"/>
        </w:rPr>
        <w:t xml:space="preserve">. Antigua </w:t>
      </w:r>
      <w:r w:rsidRPr="00B21FF6">
        <w:rPr>
          <w:noProof/>
          <w:lang w:val="fr-CA"/>
        </w:rPr>
        <w:t xml:space="preserve">n’a pas contesté l’action et, en conséquence, HMB a obtenu un jugement par défaut. </w:t>
      </w:r>
      <w:r w:rsidRPr="00B21FF6">
        <w:rPr>
          <w:lang w:val="fr-CA"/>
        </w:rPr>
        <w:t xml:space="preserve">HMB a par la suite </w:t>
      </w:r>
      <w:r w:rsidRPr="00B21FF6">
        <w:rPr>
          <w:noProof/>
          <w:lang w:val="fr-CA"/>
        </w:rPr>
        <w:t>introduit une requête en Ontario en vue de faire exécuter le jugement de la Colombie</w:t>
      </w:r>
      <w:r w:rsidR="00B21FF6" w:rsidRPr="00B21FF6">
        <w:rPr>
          <w:noProof/>
          <w:lang w:val="fr-CA"/>
        </w:rPr>
        <w:noBreakHyphen/>
      </w:r>
      <w:r w:rsidRPr="00B21FF6">
        <w:rPr>
          <w:noProof/>
          <w:lang w:val="fr-CA"/>
        </w:rPr>
        <w:t xml:space="preserve">Britannique en demandant qu’il soit enregistré en vertu de la </w:t>
      </w:r>
      <w:r w:rsidRPr="00B21FF6">
        <w:rPr>
          <w:i/>
          <w:noProof/>
          <w:lang w:val="fr-CA"/>
        </w:rPr>
        <w:t xml:space="preserve">Loi </w:t>
      </w:r>
      <w:r w:rsidRPr="000679E7">
        <w:rPr>
          <w:i/>
          <w:iCs/>
          <w:lang w:val="fr-CA"/>
        </w:rPr>
        <w:t>sur</w:t>
      </w:r>
      <w:r w:rsidRPr="00B21FF6">
        <w:rPr>
          <w:i/>
          <w:noProof/>
          <w:lang w:val="fr-CA"/>
        </w:rPr>
        <w:t xml:space="preserve"> l’exécution réciproque des jugements</w:t>
      </w:r>
      <w:r w:rsidRPr="00B21FF6">
        <w:rPr>
          <w:i/>
          <w:iCs/>
          <w:lang w:val="fr-CA"/>
        </w:rPr>
        <w:t xml:space="preserve"> </w:t>
      </w:r>
      <w:r w:rsidRPr="00B21FF6">
        <w:rPr>
          <w:iCs/>
          <w:lang w:val="fr-CA"/>
        </w:rPr>
        <w:t>(« </w:t>
      </w:r>
      <w:r w:rsidRPr="00B21FF6">
        <w:rPr>
          <w:i/>
          <w:iCs/>
          <w:lang w:val="fr-CA"/>
        </w:rPr>
        <w:t>LERJ</w:t>
      </w:r>
      <w:r w:rsidR="000679E7">
        <w:rPr>
          <w:iCs/>
          <w:lang w:val="fr-CA"/>
        </w:rPr>
        <w:t> </w:t>
      </w:r>
      <w:r w:rsidRPr="00B21FF6">
        <w:rPr>
          <w:iCs/>
          <w:lang w:val="fr-CA"/>
        </w:rPr>
        <w:t>»)</w:t>
      </w:r>
      <w:r w:rsidRPr="00B21FF6">
        <w:rPr>
          <w:lang w:val="fr-CA"/>
        </w:rPr>
        <w:t xml:space="preserve">. Le juge </w:t>
      </w:r>
      <w:r w:rsidRPr="00B21FF6">
        <w:rPr>
          <w:rStyle w:val="normaltextrun"/>
          <w:noProof/>
          <w:lang w:val="fr-CA"/>
        </w:rPr>
        <w:t xml:space="preserve">de première instance a conclu que les </w:t>
      </w:r>
      <w:r w:rsidR="00B21FF6" w:rsidRPr="00B21FF6">
        <w:rPr>
          <w:rStyle w:val="normaltextrun"/>
          <w:noProof/>
          <w:lang w:val="fr-CA"/>
        </w:rPr>
        <w:t>al. </w:t>
      </w:r>
      <w:r w:rsidRPr="00B21FF6">
        <w:rPr>
          <w:rStyle w:val="normaltextrun"/>
          <w:lang w:val="fr-CA"/>
        </w:rPr>
        <w:t xml:space="preserve">3b) et 3g) de la </w:t>
      </w:r>
      <w:r w:rsidRPr="00B21FF6">
        <w:rPr>
          <w:rStyle w:val="normaltextrun"/>
          <w:i/>
          <w:lang w:val="fr-CA"/>
        </w:rPr>
        <w:t xml:space="preserve">LERJ </w:t>
      </w:r>
      <w:r w:rsidRPr="00B21FF6">
        <w:rPr>
          <w:i/>
          <w:iCs/>
          <w:lang w:val="fr-CA"/>
        </w:rPr>
        <w:t xml:space="preserve">— </w:t>
      </w:r>
      <w:r w:rsidRPr="00B21FF6">
        <w:rPr>
          <w:iCs/>
          <w:lang w:val="fr-CA"/>
        </w:rPr>
        <w:t xml:space="preserve">lesquels disposent, à titre de conditions d’enregistrement, que le débiteur en vertu du jugement exerce ses activités dans le ressort du tribunal d’origine et que le débiteur en vertu du jugement ne dispose pas d’un moyen de défense valable contre le jugement initial </w:t>
      </w:r>
      <w:r w:rsidRPr="00B21FF6">
        <w:rPr>
          <w:i/>
          <w:iCs/>
          <w:lang w:val="fr-CA"/>
        </w:rPr>
        <w:t>—</w:t>
      </w:r>
      <w:r w:rsidRPr="00B21FF6">
        <w:rPr>
          <w:rStyle w:val="normaltextrun"/>
          <w:lang w:val="fr-CA"/>
        </w:rPr>
        <w:t xml:space="preserve"> interdisaient l’enregistrement. </w:t>
      </w:r>
      <w:r w:rsidRPr="00B21FF6">
        <w:rPr>
          <w:rStyle w:val="normaltextrun"/>
          <w:noProof/>
          <w:lang w:val="fr-CA"/>
        </w:rPr>
        <w:t>La Cour d’appel de l’Ontario a confirmé à la majorité la conclusion du juge de première instance sur le seul fondement de l’</w:t>
      </w:r>
      <w:r w:rsidR="00B21FF6" w:rsidRPr="00B21FF6">
        <w:rPr>
          <w:rStyle w:val="normaltextrun"/>
          <w:noProof/>
          <w:lang w:val="fr-CA"/>
        </w:rPr>
        <w:t>al. </w:t>
      </w:r>
      <w:r w:rsidRPr="00B21FF6">
        <w:rPr>
          <w:rStyle w:val="normaltextrun"/>
          <w:noProof/>
          <w:lang w:val="fr-CA"/>
        </w:rPr>
        <w:t>3b)</w:t>
      </w:r>
      <w:r w:rsidRPr="00B21FF6">
        <w:rPr>
          <w:rStyle w:val="normaltextrun"/>
          <w:lang w:val="fr-CA"/>
        </w:rPr>
        <w:t>.</w:t>
      </w:r>
    </w:p>
    <w:p w:rsidR="00E531C5" w:rsidRPr="00B21FF6" w:rsidRDefault="00E531C5" w:rsidP="000679E7">
      <w:pPr>
        <w:pStyle w:val="SCCNormalDoubleSpacing"/>
        <w:spacing w:after="480"/>
        <w:rPr>
          <w:lang w:val="fr-CA"/>
        </w:rPr>
      </w:pPr>
      <w:r w:rsidRPr="00B21FF6">
        <w:rPr>
          <w:lang w:val="fr-CA"/>
        </w:rPr>
        <w:tab/>
      </w:r>
      <w:r w:rsidRPr="00B21FF6">
        <w:rPr>
          <w:i/>
          <w:lang w:val="fr-CA"/>
        </w:rPr>
        <w:t>Arrêt</w:t>
      </w:r>
      <w:r w:rsidR="00B21FF6" w:rsidRPr="00B21FF6">
        <w:rPr>
          <w:i/>
          <w:lang w:val="fr-CA"/>
        </w:rPr>
        <w:t> </w:t>
      </w:r>
      <w:r w:rsidR="00B21FF6" w:rsidRPr="00BA09E0">
        <w:rPr>
          <w:lang w:val="fr-CA"/>
        </w:rPr>
        <w:t>:</w:t>
      </w:r>
      <w:r w:rsidRPr="00BA09E0">
        <w:rPr>
          <w:rStyle w:val="QuoteChar"/>
          <w:color w:val="auto"/>
          <w:lang w:val="fr-CA"/>
        </w:rPr>
        <w:t xml:space="preserve"> </w:t>
      </w:r>
      <w:r w:rsidRPr="00B21FF6">
        <w:rPr>
          <w:rStyle w:val="QuoteChar"/>
          <w:i w:val="0"/>
          <w:color w:val="auto"/>
          <w:lang w:val="fr-CA"/>
        </w:rPr>
        <w:t xml:space="preserve">Le pourvoi est </w:t>
      </w:r>
      <w:r w:rsidRPr="000626FC">
        <w:rPr>
          <w:iCs/>
          <w:noProof/>
          <w:lang w:val="fr-CA"/>
        </w:rPr>
        <w:t>rejeté</w:t>
      </w:r>
      <w:r w:rsidRPr="00B21FF6">
        <w:rPr>
          <w:lang w:val="fr-CA"/>
        </w:rPr>
        <w:t>.</w:t>
      </w:r>
    </w:p>
    <w:p w:rsidR="00E531C5" w:rsidRPr="00B21FF6" w:rsidRDefault="00E531C5" w:rsidP="000679E7">
      <w:pPr>
        <w:pStyle w:val="SCCNormalDoubleSpacing"/>
        <w:spacing w:after="480"/>
        <w:rPr>
          <w:lang w:val="fr-CA"/>
        </w:rPr>
      </w:pPr>
      <w:r w:rsidRPr="00B21FF6">
        <w:rPr>
          <w:lang w:val="fr-CA"/>
        </w:rPr>
        <w:lastRenderedPageBreak/>
        <w:tab/>
      </w:r>
      <w:r w:rsidRPr="00B21FF6">
        <w:rPr>
          <w:i/>
          <w:lang w:val="fr-CA"/>
        </w:rPr>
        <w:t>Le</w:t>
      </w:r>
      <w:r w:rsidRPr="00B21FF6">
        <w:rPr>
          <w:lang w:val="fr-CA"/>
        </w:rPr>
        <w:t xml:space="preserve"> juge en chef </w:t>
      </w:r>
      <w:r w:rsidRPr="00B21FF6">
        <w:rPr>
          <w:b/>
          <w:lang w:val="fr-CA"/>
        </w:rPr>
        <w:t>Wagner</w:t>
      </w:r>
      <w:r w:rsidRPr="00B21FF6">
        <w:rPr>
          <w:lang w:val="fr-CA"/>
        </w:rPr>
        <w:t xml:space="preserve"> et les juges </w:t>
      </w:r>
      <w:r w:rsidRPr="00B21FF6">
        <w:rPr>
          <w:rStyle w:val="SCCCoramChar"/>
          <w:rFonts w:cs="Times New Roman"/>
          <w:lang w:val="fr-CA"/>
        </w:rPr>
        <w:t>Karakatsanis, Rowe et Kasirer</w:t>
      </w:r>
      <w:r w:rsidR="00B21FF6" w:rsidRPr="00B21FF6">
        <w:rPr>
          <w:rStyle w:val="SCCCoramChar"/>
          <w:rFonts w:cs="Times New Roman"/>
          <w:lang w:val="fr-CA"/>
        </w:rPr>
        <w:t> :</w:t>
      </w:r>
      <w:r w:rsidRPr="00B21FF6">
        <w:rPr>
          <w:lang w:val="fr-CA"/>
        </w:rPr>
        <w:t xml:space="preserve"> L’alinéa 3b) de la </w:t>
      </w:r>
      <w:r w:rsidRPr="00B21FF6">
        <w:rPr>
          <w:i/>
          <w:lang w:val="fr-CA"/>
        </w:rPr>
        <w:t>LERJ</w:t>
      </w:r>
      <w:r w:rsidRPr="00B21FF6">
        <w:rPr>
          <w:lang w:val="fr-CA"/>
        </w:rPr>
        <w:t xml:space="preserve"> </w:t>
      </w:r>
      <w:r w:rsidRPr="00B21FF6">
        <w:rPr>
          <w:noProof/>
          <w:lang w:val="fr-CA"/>
        </w:rPr>
        <w:t>empêche effectivement HMB de faire enregistrer le jugement de la Colombie</w:t>
      </w:r>
      <w:r w:rsidR="00B21FF6" w:rsidRPr="00B21FF6">
        <w:rPr>
          <w:noProof/>
          <w:lang w:val="fr-CA"/>
        </w:rPr>
        <w:noBreakHyphen/>
      </w:r>
      <w:r w:rsidRPr="00B21FF6">
        <w:rPr>
          <w:noProof/>
          <w:lang w:val="fr-CA"/>
        </w:rPr>
        <w:t>Britannique en Ontario</w:t>
      </w:r>
      <w:r w:rsidRPr="00B21FF6">
        <w:rPr>
          <w:lang w:val="fr-CA"/>
        </w:rPr>
        <w:t xml:space="preserve">. </w:t>
      </w:r>
      <w:r w:rsidRPr="00B21FF6">
        <w:rPr>
          <w:noProof/>
          <w:szCs w:val="24"/>
          <w:lang w:val="fr-CA"/>
        </w:rPr>
        <w:t xml:space="preserve">Les juridictions inférieures ont interprété </w:t>
      </w:r>
      <w:r w:rsidR="00BA09E0">
        <w:rPr>
          <w:noProof/>
          <w:szCs w:val="24"/>
          <w:lang w:val="fr-CA"/>
        </w:rPr>
        <w:t>la notion d’</w:t>
      </w:r>
      <w:r w:rsidRPr="00B21FF6">
        <w:rPr>
          <w:noProof/>
          <w:szCs w:val="24"/>
          <w:lang w:val="fr-CA"/>
        </w:rPr>
        <w:t>«</w:t>
      </w:r>
      <w:r w:rsidR="000679E7">
        <w:rPr>
          <w:noProof/>
          <w:szCs w:val="24"/>
          <w:lang w:val="fr-CA"/>
        </w:rPr>
        <w:t> </w:t>
      </w:r>
      <w:r w:rsidRPr="00B21FF6">
        <w:rPr>
          <w:noProof/>
          <w:szCs w:val="24"/>
          <w:lang w:val="fr-CA"/>
        </w:rPr>
        <w:t>ex</w:t>
      </w:r>
      <w:r w:rsidR="000679E7">
        <w:rPr>
          <w:noProof/>
          <w:szCs w:val="24"/>
          <w:lang w:val="fr-CA"/>
        </w:rPr>
        <w:t>ercice d’activités </w:t>
      </w:r>
      <w:r w:rsidRPr="00B21FF6">
        <w:rPr>
          <w:noProof/>
          <w:szCs w:val="24"/>
          <w:lang w:val="fr-CA"/>
        </w:rPr>
        <w:t>» que l’on retrouve à l’</w:t>
      </w:r>
      <w:r w:rsidR="00B21FF6" w:rsidRPr="00B21FF6">
        <w:rPr>
          <w:noProof/>
          <w:szCs w:val="24"/>
          <w:lang w:val="fr-CA"/>
        </w:rPr>
        <w:t>al. </w:t>
      </w:r>
      <w:r w:rsidRPr="00B21FF6">
        <w:rPr>
          <w:noProof/>
          <w:szCs w:val="24"/>
          <w:lang w:val="fr-CA"/>
        </w:rPr>
        <w:t xml:space="preserve">3b) d’une façon </w:t>
      </w:r>
      <w:r w:rsidRPr="00B21FF6">
        <w:rPr>
          <w:lang w:val="fr-CA"/>
        </w:rPr>
        <w:t>souple et libérale </w:t>
      </w:r>
      <w:r w:rsidRPr="00B21FF6">
        <w:rPr>
          <w:noProof/>
          <w:lang w:val="fr-CA"/>
        </w:rPr>
        <w:t>conformément</w:t>
      </w:r>
      <w:r w:rsidRPr="00B21FF6">
        <w:rPr>
          <w:lang w:val="fr-CA"/>
        </w:rPr>
        <w:t xml:space="preserve"> </w:t>
      </w:r>
      <w:r w:rsidRPr="00B21FF6">
        <w:rPr>
          <w:noProof/>
          <w:szCs w:val="24"/>
          <w:lang w:val="fr-CA"/>
        </w:rPr>
        <w:t>à la jurisprudence de la Cour</w:t>
      </w:r>
      <w:r w:rsidRPr="00B21FF6">
        <w:rPr>
          <w:szCs w:val="24"/>
          <w:lang w:val="fr-CA"/>
        </w:rPr>
        <w:t xml:space="preserve">. </w:t>
      </w:r>
      <w:r w:rsidRPr="00B21FF6">
        <w:rPr>
          <w:lang w:val="fr-CA"/>
        </w:rPr>
        <w:t xml:space="preserve">L’interprétation </w:t>
      </w:r>
      <w:r w:rsidRPr="00B21FF6">
        <w:rPr>
          <w:noProof/>
          <w:lang w:val="fr-CA"/>
        </w:rPr>
        <w:t>qu’elles ont faite de l’</w:t>
      </w:r>
      <w:r w:rsidR="00B21FF6" w:rsidRPr="00B21FF6">
        <w:rPr>
          <w:noProof/>
          <w:lang w:val="fr-CA"/>
        </w:rPr>
        <w:t>al. </w:t>
      </w:r>
      <w:r w:rsidRPr="00B21FF6">
        <w:rPr>
          <w:noProof/>
          <w:lang w:val="fr-CA"/>
        </w:rPr>
        <w:t xml:space="preserve">3b) </w:t>
      </w:r>
      <w:r w:rsidRPr="00B21FF6">
        <w:rPr>
          <w:iCs/>
          <w:noProof/>
          <w:lang w:val="fr-CA"/>
        </w:rPr>
        <w:t xml:space="preserve">n’est entachée d’aucune erreur de droit, </w:t>
      </w:r>
      <w:r w:rsidRPr="00B21FF6">
        <w:rPr>
          <w:noProof/>
          <w:lang w:val="fr-CA"/>
        </w:rPr>
        <w:t>et la conclusion selon laquelle Antigua n’exerçait pas ses activités en Colombie</w:t>
      </w:r>
      <w:r w:rsidR="00B21FF6" w:rsidRPr="00B21FF6">
        <w:rPr>
          <w:noProof/>
          <w:lang w:val="fr-CA"/>
        </w:rPr>
        <w:noBreakHyphen/>
      </w:r>
      <w:r w:rsidRPr="00B21FF6">
        <w:rPr>
          <w:noProof/>
          <w:lang w:val="fr-CA"/>
        </w:rPr>
        <w:t>Britannique ne comporte pas non plus d’erreur manifeste et déterminante</w:t>
      </w:r>
      <w:r w:rsidRPr="00B21FF6">
        <w:rPr>
          <w:lang w:val="fr-CA"/>
        </w:rPr>
        <w:t xml:space="preserve">. </w:t>
      </w:r>
      <w:r w:rsidRPr="00B21FF6">
        <w:rPr>
          <w:noProof/>
          <w:lang w:val="fr-CA"/>
        </w:rPr>
        <w:t>Vu cette conclusion, il n’est pas nécessaire de se demander si l’</w:t>
      </w:r>
      <w:r w:rsidR="00B21FF6" w:rsidRPr="00B21FF6">
        <w:rPr>
          <w:noProof/>
          <w:lang w:val="fr-CA"/>
        </w:rPr>
        <w:t>al. </w:t>
      </w:r>
      <w:r w:rsidR="00BA09E0">
        <w:rPr>
          <w:noProof/>
          <w:lang w:val="fr-CA"/>
        </w:rPr>
        <w:t>3g) empêche lui aussi H</w:t>
      </w:r>
      <w:r w:rsidRPr="00B21FF6">
        <w:rPr>
          <w:noProof/>
          <w:lang w:val="fr-CA"/>
        </w:rPr>
        <w:t>MB de faire enregistrer le jugement de la Colombie</w:t>
      </w:r>
      <w:r w:rsidR="00B21FF6" w:rsidRPr="00B21FF6">
        <w:rPr>
          <w:noProof/>
          <w:lang w:val="fr-CA"/>
        </w:rPr>
        <w:noBreakHyphen/>
      </w:r>
      <w:r w:rsidRPr="00B21FF6">
        <w:rPr>
          <w:noProof/>
          <w:lang w:val="fr-CA"/>
        </w:rPr>
        <w:t xml:space="preserve">Britannique en vertu de la </w:t>
      </w:r>
      <w:r w:rsidRPr="00B21FF6">
        <w:rPr>
          <w:i/>
          <w:noProof/>
          <w:lang w:val="fr-CA"/>
        </w:rPr>
        <w:t>LERJ</w:t>
      </w:r>
      <w:r w:rsidRPr="00B21FF6">
        <w:rPr>
          <w:lang w:val="fr-CA"/>
        </w:rPr>
        <w:t>.</w:t>
      </w:r>
    </w:p>
    <w:p w:rsidR="00E531C5" w:rsidRPr="00B21FF6" w:rsidRDefault="00E531C5" w:rsidP="000679E7">
      <w:pPr>
        <w:pStyle w:val="SCCNormalDoubleSpacing"/>
        <w:spacing w:after="480"/>
        <w:rPr>
          <w:lang w:val="fr-CA"/>
        </w:rPr>
      </w:pPr>
      <w:r w:rsidRPr="00B21FF6">
        <w:rPr>
          <w:lang w:val="fr-CA"/>
        </w:rPr>
        <w:tab/>
        <w:t xml:space="preserve">La </w:t>
      </w:r>
      <w:r w:rsidRPr="00B21FF6">
        <w:rPr>
          <w:i/>
          <w:lang w:val="fr-CA"/>
        </w:rPr>
        <w:t>LERJ</w:t>
      </w:r>
      <w:r w:rsidRPr="00B21FF6">
        <w:rPr>
          <w:lang w:val="fr-CA"/>
        </w:rPr>
        <w:t xml:space="preserve"> </w:t>
      </w:r>
      <w:r w:rsidRPr="00B21FF6">
        <w:rPr>
          <w:noProof/>
          <w:lang w:val="fr-CA"/>
        </w:rPr>
        <w:t xml:space="preserve">permet à une personne qui a obtenu un </w:t>
      </w:r>
      <w:r w:rsidRPr="00B21FF6">
        <w:rPr>
          <w:rStyle w:val="normaltextrun"/>
          <w:noProof/>
          <w:lang w:val="fr-CA"/>
        </w:rPr>
        <w:t>jugement dans un autre ressort (le «</w:t>
      </w:r>
      <w:r w:rsidR="000679E7">
        <w:rPr>
          <w:rStyle w:val="normaltextrun"/>
          <w:noProof/>
          <w:lang w:val="fr-CA"/>
        </w:rPr>
        <w:t> </w:t>
      </w:r>
      <w:r w:rsidRPr="00B21FF6">
        <w:rPr>
          <w:rStyle w:val="normaltextrun"/>
          <w:noProof/>
          <w:lang w:val="fr-CA"/>
        </w:rPr>
        <w:t>créancier en vertu du jugement</w:t>
      </w:r>
      <w:r w:rsidR="000679E7">
        <w:rPr>
          <w:rStyle w:val="normaltextrun"/>
          <w:noProof/>
          <w:lang w:val="fr-CA"/>
        </w:rPr>
        <w:t> </w:t>
      </w:r>
      <w:r w:rsidRPr="00B21FF6">
        <w:rPr>
          <w:rStyle w:val="normaltextrun"/>
          <w:noProof/>
          <w:lang w:val="fr-CA"/>
        </w:rPr>
        <w:t xml:space="preserve">») de demander l’enregistrement du jugement en Ontario, et </w:t>
      </w:r>
      <w:r w:rsidRPr="000679E7">
        <w:rPr>
          <w:lang w:val="fr-CA"/>
        </w:rPr>
        <w:t>instaure</w:t>
      </w:r>
      <w:r w:rsidRPr="00B21FF6">
        <w:rPr>
          <w:rStyle w:val="normaltextrun"/>
          <w:noProof/>
          <w:lang w:val="fr-CA"/>
        </w:rPr>
        <w:t xml:space="preserve"> une procédure permettant à la personne contre qui le jugement a été rendu (le «</w:t>
      </w:r>
      <w:r w:rsidR="000679E7">
        <w:rPr>
          <w:rStyle w:val="normaltextrun"/>
          <w:noProof/>
          <w:lang w:val="fr-CA"/>
        </w:rPr>
        <w:t> </w:t>
      </w:r>
      <w:r w:rsidRPr="00B21FF6">
        <w:rPr>
          <w:rStyle w:val="normaltextrun"/>
          <w:noProof/>
          <w:lang w:val="fr-CA"/>
        </w:rPr>
        <w:t>débiteur en vertu du jugement</w:t>
      </w:r>
      <w:r w:rsidR="000679E7">
        <w:rPr>
          <w:rStyle w:val="normaltextrun"/>
          <w:noProof/>
          <w:lang w:val="fr-CA"/>
        </w:rPr>
        <w:t> </w:t>
      </w:r>
      <w:r w:rsidRPr="00B21FF6">
        <w:rPr>
          <w:rStyle w:val="normaltextrun"/>
          <w:noProof/>
          <w:lang w:val="fr-CA"/>
        </w:rPr>
        <w:t>»)</w:t>
      </w:r>
      <w:r w:rsidRPr="00B21FF6">
        <w:rPr>
          <w:rStyle w:val="normaltextrun"/>
          <w:noProof/>
          <w:shd w:val="clear" w:color="auto" w:fill="FFFFFF"/>
          <w:lang w:val="fr-CA"/>
        </w:rPr>
        <w:t xml:space="preserve"> de s’opposer à son enregistrement. Le jugement enregistré en vertu de </w:t>
      </w:r>
      <w:r w:rsidRPr="00B21FF6">
        <w:rPr>
          <w:rStyle w:val="normaltextrun"/>
          <w:iCs/>
          <w:noProof/>
          <w:shd w:val="clear" w:color="auto" w:fill="FFFFFF"/>
          <w:lang w:val="fr-CA"/>
        </w:rPr>
        <w:t xml:space="preserve">la </w:t>
      </w:r>
      <w:r w:rsidRPr="00B21FF6">
        <w:rPr>
          <w:i/>
          <w:lang w:val="fr-CA"/>
        </w:rPr>
        <w:t xml:space="preserve">LERJ </w:t>
      </w:r>
      <w:r w:rsidRPr="00B21FF6">
        <w:rPr>
          <w:lang w:val="fr-CA"/>
        </w:rPr>
        <w:t>a la même valeur qu’un jugement rendu par un tribunal ontarien</w:t>
      </w:r>
      <w:r w:rsidRPr="00B21FF6">
        <w:rPr>
          <w:rStyle w:val="normaltextrun"/>
          <w:shd w:val="clear" w:color="auto" w:fill="FFFFFF"/>
          <w:lang w:val="fr-CA"/>
        </w:rPr>
        <w:t xml:space="preserve">. </w:t>
      </w:r>
      <w:r w:rsidRPr="00B21FF6">
        <w:rPr>
          <w:lang w:val="fr-CA"/>
        </w:rPr>
        <w:t xml:space="preserve">Bien qu’elle ne soit pas </w:t>
      </w:r>
      <w:r w:rsidRPr="00B21FF6">
        <w:rPr>
          <w:noProof/>
          <w:lang w:val="fr-CA"/>
        </w:rPr>
        <w:t xml:space="preserve">la seule voie de recours ouverte aux demandeurs, </w:t>
      </w:r>
      <w:r w:rsidRPr="00B21FF6">
        <w:rPr>
          <w:lang w:val="fr-CA"/>
        </w:rPr>
        <w:t xml:space="preserve">la </w:t>
      </w:r>
      <w:r w:rsidRPr="00B21FF6">
        <w:rPr>
          <w:i/>
          <w:lang w:val="fr-CA"/>
        </w:rPr>
        <w:t xml:space="preserve">LERJ </w:t>
      </w:r>
      <w:r w:rsidRPr="00B21FF6">
        <w:rPr>
          <w:lang w:val="fr-CA"/>
        </w:rPr>
        <w:t xml:space="preserve">constitue </w:t>
      </w:r>
      <w:r w:rsidRPr="00B21FF6">
        <w:rPr>
          <w:noProof/>
          <w:lang w:val="fr-CA"/>
        </w:rPr>
        <w:t>un moyen facile, économique et rapide de faire exécuter les jugements étr</w:t>
      </w:r>
      <w:proofErr w:type="spellStart"/>
      <w:r w:rsidRPr="00B21FF6">
        <w:rPr>
          <w:lang w:val="fr-CA"/>
        </w:rPr>
        <w:t>angers</w:t>
      </w:r>
      <w:proofErr w:type="spellEnd"/>
      <w:r w:rsidRPr="00B21FF6">
        <w:rPr>
          <w:lang w:val="fr-CA"/>
        </w:rPr>
        <w:t xml:space="preserve">. Elle </w:t>
      </w:r>
      <w:r w:rsidRPr="00B21FF6">
        <w:rPr>
          <w:noProof/>
          <w:lang w:val="fr-CA"/>
        </w:rPr>
        <w:t xml:space="preserve">présente plusieurs avantages, comme l’enregistrement sans préavis au débiteur en vertu du jugement, et un court délai après la signification de l’avis d’enregistrement </w:t>
      </w:r>
      <w:r w:rsidRPr="00B21FF6">
        <w:rPr>
          <w:lang w:val="fr-CA"/>
        </w:rPr>
        <w:t>dans lequel</w:t>
      </w:r>
      <w:r w:rsidRPr="00B21FF6">
        <w:rPr>
          <w:noProof/>
          <w:lang w:val="fr-CA"/>
        </w:rPr>
        <w:t xml:space="preserve"> le débiteur en vertu du jugement</w:t>
      </w:r>
      <w:r w:rsidRPr="00B21FF6">
        <w:rPr>
          <w:lang w:val="fr-CA"/>
        </w:rPr>
        <w:t xml:space="preserve"> peut faire annuler l’enregistrement. Mais ce processus n’est pas sans conséquence</w:t>
      </w:r>
      <w:r w:rsidR="00B21FF6" w:rsidRPr="00B21FF6">
        <w:rPr>
          <w:lang w:val="fr-CA"/>
        </w:rPr>
        <w:t> :</w:t>
      </w:r>
      <w:r w:rsidRPr="00B21FF6">
        <w:rPr>
          <w:lang w:val="fr-CA"/>
        </w:rPr>
        <w:t xml:space="preserve"> s</w:t>
      </w:r>
      <w:r w:rsidRPr="00B21FF6">
        <w:rPr>
          <w:noProof/>
          <w:lang w:val="fr-CA"/>
        </w:rPr>
        <w:t xml:space="preserve">euls les jugements provenant de ressorts accordant la réciprocité peuvent être enregistrés en vertu de la </w:t>
      </w:r>
      <w:r w:rsidRPr="00B21FF6">
        <w:rPr>
          <w:i/>
          <w:noProof/>
          <w:lang w:val="fr-CA"/>
        </w:rPr>
        <w:t>LERJ</w:t>
      </w:r>
      <w:r w:rsidRPr="00B21FF6">
        <w:rPr>
          <w:lang w:val="fr-CA"/>
        </w:rPr>
        <w:t xml:space="preserve">. </w:t>
      </w:r>
      <w:r w:rsidRPr="00B21FF6">
        <w:rPr>
          <w:noProof/>
          <w:lang w:val="fr-CA"/>
        </w:rPr>
        <w:t xml:space="preserve">De plus, la reconnaissance des jugements en vertu de la </w:t>
      </w:r>
      <w:r w:rsidRPr="00B21FF6">
        <w:rPr>
          <w:i/>
          <w:noProof/>
          <w:lang w:val="fr-CA"/>
        </w:rPr>
        <w:t>LERJ</w:t>
      </w:r>
      <w:r w:rsidRPr="00B21FF6">
        <w:rPr>
          <w:noProof/>
          <w:lang w:val="fr-CA"/>
        </w:rPr>
        <w:t xml:space="preserve"> est assujettie à sept moyens de défense, qui sont énumérés à l’</w:t>
      </w:r>
      <w:r w:rsidR="00B21FF6" w:rsidRPr="00B21FF6">
        <w:rPr>
          <w:noProof/>
          <w:lang w:val="fr-CA"/>
        </w:rPr>
        <w:t>art. </w:t>
      </w:r>
      <w:r w:rsidRPr="00B21FF6">
        <w:rPr>
          <w:noProof/>
          <w:lang w:val="fr-CA"/>
        </w:rPr>
        <w:t>3</w:t>
      </w:r>
      <w:r w:rsidRPr="00B21FF6">
        <w:rPr>
          <w:lang w:val="fr-CA"/>
        </w:rPr>
        <w:t xml:space="preserve">. </w:t>
      </w:r>
      <w:r w:rsidRPr="00B21FF6">
        <w:rPr>
          <w:noProof/>
          <w:lang w:val="fr-CA"/>
        </w:rPr>
        <w:t>Si l’un de ces moyens est établi, le jugement ne peut être enregistré</w:t>
      </w:r>
      <w:r w:rsidRPr="00B21FF6">
        <w:rPr>
          <w:lang w:val="fr-CA"/>
        </w:rPr>
        <w:t xml:space="preserve">. </w:t>
      </w:r>
    </w:p>
    <w:p w:rsidR="00E531C5" w:rsidRPr="00B21FF6" w:rsidRDefault="00E531C5" w:rsidP="000679E7">
      <w:pPr>
        <w:pStyle w:val="SCCNormalDoubleSpacing"/>
        <w:spacing w:after="480"/>
        <w:rPr>
          <w:lang w:val="fr-CA"/>
        </w:rPr>
      </w:pPr>
      <w:r w:rsidRPr="00B21FF6">
        <w:rPr>
          <w:lang w:val="fr-CA"/>
        </w:rPr>
        <w:tab/>
        <w:t>Le moyen d’opposition à l’enregistrement prévu par l’</w:t>
      </w:r>
      <w:r w:rsidR="00B21FF6" w:rsidRPr="00B21FF6">
        <w:rPr>
          <w:lang w:val="fr-CA"/>
        </w:rPr>
        <w:t>al. </w:t>
      </w:r>
      <w:r w:rsidRPr="00B21FF6">
        <w:rPr>
          <w:lang w:val="fr-CA"/>
        </w:rPr>
        <w:t xml:space="preserve">3b) oblige le débiteur en vertu du jugement à s’acquitter de deux fardeaux. </w:t>
      </w:r>
      <w:r w:rsidRPr="00B21FF6">
        <w:rPr>
          <w:noProof/>
          <w:lang w:val="fr-CA"/>
        </w:rPr>
        <w:t>Premièrement, le débiteur en vertu du jugement doit démontrer qu’il n’exerçait pas ses activités ni ne résidait ordinairement dans le ressort du tribunal d’origine</w:t>
      </w:r>
      <w:r w:rsidRPr="00B21FF6">
        <w:rPr>
          <w:lang w:val="fr-CA"/>
        </w:rPr>
        <w:t xml:space="preserve">. </w:t>
      </w:r>
      <w:r w:rsidRPr="00B21FF6">
        <w:rPr>
          <w:noProof/>
          <w:lang w:val="fr-CA"/>
        </w:rPr>
        <w:t xml:space="preserve">Deuxièmement, le débiteur en vertu du jugement doit également établir qu’il n’a pas comparu volontairement ni autrement reconnu la compétence </w:t>
      </w:r>
      <w:r w:rsidR="00BA09E0">
        <w:rPr>
          <w:noProof/>
          <w:lang w:val="fr-CA"/>
        </w:rPr>
        <w:t>du</w:t>
      </w:r>
      <w:r w:rsidRPr="00B21FF6">
        <w:rPr>
          <w:noProof/>
          <w:lang w:val="fr-CA"/>
        </w:rPr>
        <w:t xml:space="preserve"> tribunal </w:t>
      </w:r>
      <w:r w:rsidR="00BA09E0">
        <w:rPr>
          <w:noProof/>
          <w:lang w:val="fr-CA"/>
        </w:rPr>
        <w:t xml:space="preserve">d’origine </w:t>
      </w:r>
      <w:r w:rsidRPr="00B21FF6">
        <w:rPr>
          <w:noProof/>
          <w:lang w:val="fr-CA"/>
        </w:rPr>
        <w:t>durant l’instance introduite par le créancier en vertu du jugement devant ce tribun</w:t>
      </w:r>
      <w:r w:rsidR="00B21FF6" w:rsidRPr="00B21FF6">
        <w:rPr>
          <w:noProof/>
          <w:lang w:val="fr-CA"/>
        </w:rPr>
        <w:t>al. </w:t>
      </w:r>
      <w:r w:rsidRPr="00B21FF6">
        <w:rPr>
          <w:noProof/>
          <w:lang w:val="fr-CA"/>
        </w:rPr>
        <w:t>Si le débiteur en vertu du jugement démontre au tribunal ontarien que ces deux conditions sont satisfaites, l’</w:t>
      </w:r>
      <w:r w:rsidR="00B21FF6" w:rsidRPr="00B21FF6">
        <w:rPr>
          <w:noProof/>
          <w:lang w:val="fr-CA"/>
        </w:rPr>
        <w:t>al. </w:t>
      </w:r>
      <w:r w:rsidRPr="00B21FF6">
        <w:rPr>
          <w:noProof/>
          <w:lang w:val="fr-CA"/>
        </w:rPr>
        <w:t xml:space="preserve">3b) empêche alors l’enregistrement du jugement. </w:t>
      </w:r>
    </w:p>
    <w:p w:rsidR="00E531C5" w:rsidRPr="00B21FF6" w:rsidRDefault="00E531C5" w:rsidP="000679E7">
      <w:pPr>
        <w:pStyle w:val="SCCNormalDoubleSpacing"/>
        <w:spacing w:after="480"/>
        <w:rPr>
          <w:lang w:val="fr-CA"/>
        </w:rPr>
      </w:pPr>
      <w:r w:rsidRPr="00B21FF6">
        <w:rPr>
          <w:lang w:val="fr-CA"/>
        </w:rPr>
        <w:tab/>
        <w:t xml:space="preserve">La </w:t>
      </w:r>
      <w:r w:rsidRPr="00B21FF6">
        <w:rPr>
          <w:i/>
          <w:lang w:val="fr-CA"/>
        </w:rPr>
        <w:t xml:space="preserve">LERJ </w:t>
      </w:r>
      <w:r w:rsidRPr="00B21FF6">
        <w:rPr>
          <w:noProof/>
          <w:lang w:val="fr-CA"/>
        </w:rPr>
        <w:t xml:space="preserve">ne définit pas </w:t>
      </w:r>
      <w:r w:rsidR="00BA09E0">
        <w:rPr>
          <w:noProof/>
          <w:lang w:val="fr-CA"/>
        </w:rPr>
        <w:t>la notion d’</w:t>
      </w:r>
      <w:r w:rsidR="000679E7">
        <w:rPr>
          <w:noProof/>
          <w:lang w:val="fr-CA"/>
        </w:rPr>
        <w:t>« exercice d’activités </w:t>
      </w:r>
      <w:r w:rsidRPr="00B21FF6">
        <w:rPr>
          <w:noProof/>
          <w:lang w:val="fr-CA"/>
        </w:rPr>
        <w:t xml:space="preserve">» </w:t>
      </w:r>
      <w:r w:rsidRPr="00B21FF6">
        <w:rPr>
          <w:lang w:val="fr-CA"/>
        </w:rPr>
        <w:t>pour l’application de l’</w:t>
      </w:r>
      <w:r w:rsidR="00B21FF6" w:rsidRPr="00B21FF6">
        <w:rPr>
          <w:lang w:val="fr-CA"/>
        </w:rPr>
        <w:t>al. </w:t>
      </w:r>
      <w:r w:rsidRPr="00B21FF6">
        <w:rPr>
          <w:lang w:val="fr-CA"/>
        </w:rPr>
        <w:t>3b)</w:t>
      </w:r>
      <w:r w:rsidRPr="00B21FF6">
        <w:rPr>
          <w:noProof/>
          <w:lang w:val="fr-CA"/>
        </w:rPr>
        <w:t xml:space="preserve">, mais ce concept existe depuis longtemps en common law. Du point de vue de l’interprétation des lois, </w:t>
      </w:r>
      <w:r w:rsidRPr="00B21FF6">
        <w:rPr>
          <w:lang w:val="fr-CA"/>
        </w:rPr>
        <w:t>lorsqu’ils sont utilisés dans une disposition législative, les termes et concepts </w:t>
      </w:r>
      <w:r w:rsidRPr="00B21FF6">
        <w:rPr>
          <w:rStyle w:val="Hyperlink"/>
          <w:color w:val="auto"/>
          <w:u w:val="none"/>
          <w:lang w:val="fr-CA"/>
        </w:rPr>
        <w:t>empruntés à la common law sont présumés conserver le sens</w:t>
      </w:r>
      <w:r w:rsidR="00BA09E0">
        <w:rPr>
          <w:lang w:val="fr-CA"/>
        </w:rPr>
        <w:t xml:space="preserve"> </w:t>
      </w:r>
      <w:r w:rsidRPr="00B21FF6">
        <w:rPr>
          <w:noProof/>
          <w:lang w:val="fr-CA"/>
        </w:rPr>
        <w:t>qu’ils</w:t>
      </w:r>
      <w:r w:rsidRPr="00B21FF6">
        <w:rPr>
          <w:lang w:val="fr-CA"/>
        </w:rPr>
        <w:t xml:space="preserve"> ont en common law. </w:t>
      </w:r>
      <w:r w:rsidRPr="00B21FF6">
        <w:rPr>
          <w:noProof/>
          <w:lang w:val="fr-CA"/>
        </w:rPr>
        <w:t>En common law, le c</w:t>
      </w:r>
      <w:r w:rsidR="000679E7">
        <w:rPr>
          <w:noProof/>
          <w:lang w:val="fr-CA"/>
        </w:rPr>
        <w:t>oncept d’« </w:t>
      </w:r>
      <w:r w:rsidRPr="00B21FF6">
        <w:rPr>
          <w:noProof/>
          <w:lang w:val="fr-CA"/>
        </w:rPr>
        <w:t>exercice d’activités » fait partie des fondements traditionnels de la compétence des tribunaux</w:t>
      </w:r>
      <w:r w:rsidRPr="00B21FF6">
        <w:rPr>
          <w:lang w:val="fr-CA"/>
        </w:rPr>
        <w:t xml:space="preserve">, qui ne reconnaissent et font exécuter </w:t>
      </w:r>
      <w:r w:rsidRPr="00B21FF6">
        <w:rPr>
          <w:noProof/>
          <w:lang w:val="fr-CA"/>
        </w:rPr>
        <w:t xml:space="preserve">un jugement étranger que si le défendeur dans l’action initiale était </w:t>
      </w:r>
      <w:r w:rsidRPr="00B21FF6">
        <w:rPr>
          <w:iCs/>
          <w:noProof/>
          <w:lang w:val="fr-CA"/>
        </w:rPr>
        <w:t>présent</w:t>
      </w:r>
      <w:r w:rsidRPr="00B21FF6">
        <w:rPr>
          <w:noProof/>
          <w:lang w:val="fr-CA"/>
        </w:rPr>
        <w:t xml:space="preserve"> </w:t>
      </w:r>
      <w:r w:rsidRPr="00B21FF6">
        <w:rPr>
          <w:lang w:val="fr-CA"/>
        </w:rPr>
        <w:t xml:space="preserve">à l’époque où l’action a été intentée dans l’État étranger où le jugement a été rendu ou s’il a </w:t>
      </w:r>
      <w:r w:rsidRPr="00B21FF6">
        <w:rPr>
          <w:iCs/>
          <w:lang w:val="fr-CA"/>
        </w:rPr>
        <w:t>reconnu</w:t>
      </w:r>
      <w:r w:rsidRPr="00B21FF6">
        <w:rPr>
          <w:i/>
          <w:iCs/>
          <w:lang w:val="fr-CA"/>
        </w:rPr>
        <w:t xml:space="preserve"> </w:t>
      </w:r>
      <w:r w:rsidRPr="00B21FF6">
        <w:rPr>
          <w:lang w:val="fr-CA"/>
        </w:rPr>
        <w:t xml:space="preserve">d’une façon ou d’une autre la compétence du tribunal étranger. L’alinéa 3b) </w:t>
      </w:r>
      <w:r w:rsidRPr="00B21FF6">
        <w:rPr>
          <w:noProof/>
          <w:lang w:val="fr-CA"/>
        </w:rPr>
        <w:t>codifie les règles relatives aux fondements traditionnels de la compétence en common law à titre de condition préalable à l’enregistrement</w:t>
      </w:r>
      <w:r w:rsidRPr="00B21FF6">
        <w:rPr>
          <w:lang w:val="fr-CA"/>
        </w:rPr>
        <w:t xml:space="preserve">. </w:t>
      </w:r>
      <w:r w:rsidRPr="00B21FF6">
        <w:rPr>
          <w:noProof/>
          <w:lang w:val="fr-CA"/>
        </w:rPr>
        <w:t>La common law canadienne en matière de reconnaissance et d’exécution de jugements s’est toutefois développée au</w:t>
      </w:r>
      <w:r w:rsidR="00B21FF6" w:rsidRPr="00B21FF6">
        <w:rPr>
          <w:noProof/>
          <w:lang w:val="fr-CA"/>
        </w:rPr>
        <w:noBreakHyphen/>
      </w:r>
      <w:r w:rsidRPr="00B21FF6">
        <w:rPr>
          <w:noProof/>
          <w:lang w:val="fr-CA"/>
        </w:rPr>
        <w:t xml:space="preserve">delà des fondements traditionnels de la compétence pour reconnaître </w:t>
      </w:r>
      <w:r w:rsidRPr="00B21FF6">
        <w:rPr>
          <w:iCs/>
          <w:noProof/>
          <w:lang w:val="fr-CA"/>
        </w:rPr>
        <w:t>le jugement du tribunal d’une province dans une autre provin</w:t>
      </w:r>
      <w:r w:rsidR="000679E7">
        <w:rPr>
          <w:iCs/>
          <w:noProof/>
          <w:lang w:val="fr-CA"/>
        </w:rPr>
        <w:t>ce au motif qu’il existait un « lien réel et substantiel </w:t>
      </w:r>
      <w:r w:rsidRPr="00B21FF6">
        <w:rPr>
          <w:iCs/>
          <w:noProof/>
          <w:lang w:val="fr-CA"/>
        </w:rPr>
        <w:t>» avec la province où le jugement avait été rendu</w:t>
      </w:r>
      <w:r w:rsidRPr="00B21FF6">
        <w:rPr>
          <w:lang w:val="fr-CA"/>
        </w:rPr>
        <w:t xml:space="preserve">. </w:t>
      </w:r>
      <w:r w:rsidRPr="00B21FF6">
        <w:rPr>
          <w:noProof/>
          <w:lang w:val="fr-CA"/>
        </w:rPr>
        <w:t xml:space="preserve">Néanmoins, les fondements traditionnels </w:t>
      </w:r>
      <w:r w:rsidRPr="00B21FF6">
        <w:rPr>
          <w:lang w:val="fr-CA"/>
        </w:rPr>
        <w:t>de la compétence en common law que sont la présence et le consentement demeurent importants et, en l’espèce, ils sont essentiels</w:t>
      </w:r>
      <w:r w:rsidRPr="00B21FF6">
        <w:rPr>
          <w:noProof/>
          <w:lang w:val="fr-CA"/>
        </w:rPr>
        <w:t xml:space="preserve"> pour comprendre l’</w:t>
      </w:r>
      <w:r w:rsidR="00B21FF6" w:rsidRPr="00B21FF6">
        <w:rPr>
          <w:noProof/>
          <w:lang w:val="fr-CA"/>
        </w:rPr>
        <w:t>al. </w:t>
      </w:r>
      <w:r w:rsidRPr="00B21FF6">
        <w:rPr>
          <w:noProof/>
          <w:lang w:val="fr-CA"/>
        </w:rPr>
        <w:t xml:space="preserve">3b) de la </w:t>
      </w:r>
      <w:r w:rsidRPr="00B21FF6">
        <w:rPr>
          <w:i/>
          <w:iCs/>
          <w:noProof/>
          <w:lang w:val="fr-CA"/>
        </w:rPr>
        <w:t>LERJ</w:t>
      </w:r>
      <w:r w:rsidRPr="00B21FF6">
        <w:rPr>
          <w:lang w:val="fr-CA"/>
        </w:rPr>
        <w:t>.</w:t>
      </w:r>
    </w:p>
    <w:p w:rsidR="00E531C5" w:rsidRPr="00B21FF6" w:rsidRDefault="00E531C5" w:rsidP="000679E7">
      <w:pPr>
        <w:pStyle w:val="SCCNormalDoubleSpacing"/>
        <w:spacing w:after="480"/>
        <w:rPr>
          <w:lang w:val="fr-CA"/>
        </w:rPr>
      </w:pPr>
      <w:r w:rsidRPr="00B21FF6">
        <w:rPr>
          <w:lang w:val="fr-CA"/>
        </w:rPr>
        <w:tab/>
        <w:t>P</w:t>
      </w:r>
      <w:r w:rsidRPr="00B21FF6">
        <w:rPr>
          <w:noProof/>
          <w:lang w:val="fr-CA"/>
        </w:rPr>
        <w:t>our déterminer si un défendeur exploite une entreprise</w:t>
      </w:r>
      <w:r w:rsidR="00BA09E0">
        <w:rPr>
          <w:noProof/>
          <w:lang w:val="fr-CA"/>
        </w:rPr>
        <w:t xml:space="preserve"> (exerce ses activités)</w:t>
      </w:r>
      <w:r w:rsidRPr="00B21FF6">
        <w:rPr>
          <w:noProof/>
          <w:lang w:val="fr-CA"/>
        </w:rPr>
        <w:t xml:space="preserve"> dans une province</w:t>
      </w:r>
      <w:r w:rsidRPr="00B21FF6">
        <w:rPr>
          <w:lang w:val="fr-CA"/>
        </w:rPr>
        <w:t xml:space="preserve">, </w:t>
      </w:r>
      <w:r w:rsidRPr="00B21FF6">
        <w:rPr>
          <w:noProof/>
          <w:lang w:val="fr-CA"/>
        </w:rPr>
        <w:t>le tribunal doit vérifier s’il a une présence directe ou indirecte dans cette province et s’il s’y livre à des activités commerciales soutenues pendant un certain temps</w:t>
      </w:r>
      <w:r w:rsidRPr="00B21FF6">
        <w:rPr>
          <w:lang w:val="fr-CA"/>
        </w:rPr>
        <w:t xml:space="preserve">. </w:t>
      </w:r>
      <w:r w:rsidRPr="00B21FF6">
        <w:rPr>
          <w:noProof/>
          <w:lang w:val="fr-CA"/>
        </w:rPr>
        <w:t>La question de savoir si une société exploite une entreprise est une question de fait sur laquelle il faut se prononcer au regard de plusieurs indices. Ce concept exige une forme de présence effective, qu’elle soit directe ou indirecte</w:t>
      </w:r>
      <w:r w:rsidRPr="00B21FF6">
        <w:rPr>
          <w:lang w:val="fr-CA"/>
        </w:rPr>
        <w:t xml:space="preserve">. Une </w:t>
      </w:r>
      <w:r w:rsidRPr="00B21FF6">
        <w:rPr>
          <w:noProof/>
          <w:lang w:val="fr-CA"/>
        </w:rPr>
        <w:t>présence physique sous l</w:t>
      </w:r>
      <w:r w:rsidR="000679E7">
        <w:rPr>
          <w:noProof/>
          <w:lang w:val="fr-CA"/>
        </w:rPr>
        <w:t xml:space="preserve">a forme de la tenue d’un bureau </w:t>
      </w:r>
      <w:r w:rsidRPr="00B21FF6">
        <w:rPr>
          <w:noProof/>
          <w:lang w:val="fr-CA"/>
        </w:rPr>
        <w:t xml:space="preserve">sera un facteur convaincant, mais une présence virtuelle qui ne correspond pas à une présence effective ne suffira pas. </w:t>
      </w:r>
      <w:r w:rsidRPr="00B21FF6">
        <w:rPr>
          <w:lang w:val="fr-CA"/>
        </w:rPr>
        <w:t>L</w:t>
      </w:r>
      <w:r w:rsidRPr="00B21FF6">
        <w:rPr>
          <w:iCs/>
          <w:noProof/>
          <w:lang w:val="fr-CA"/>
        </w:rPr>
        <w:t>’expression «</w:t>
      </w:r>
      <w:r w:rsidR="000679E7">
        <w:rPr>
          <w:iCs/>
          <w:noProof/>
          <w:lang w:val="fr-CA"/>
        </w:rPr>
        <w:t> </w:t>
      </w:r>
      <w:r w:rsidRPr="00B21FF6">
        <w:rPr>
          <w:iCs/>
          <w:noProof/>
          <w:lang w:val="fr-CA"/>
        </w:rPr>
        <w:t>exploitation d’une entreprise</w:t>
      </w:r>
      <w:r w:rsidR="000679E7">
        <w:rPr>
          <w:iCs/>
          <w:noProof/>
          <w:lang w:val="fr-CA"/>
        </w:rPr>
        <w:t> </w:t>
      </w:r>
      <w:r w:rsidRPr="00B21FF6">
        <w:rPr>
          <w:iCs/>
          <w:noProof/>
          <w:lang w:val="fr-CA"/>
        </w:rPr>
        <w:t>» servant à établir la compétence traditionnelle fondée sur la présence est une norme plus exigeante que l’« expl</w:t>
      </w:r>
      <w:r w:rsidR="000679E7">
        <w:rPr>
          <w:iCs/>
          <w:noProof/>
          <w:lang w:val="fr-CA"/>
        </w:rPr>
        <w:t>oitation d’une entreprise </w:t>
      </w:r>
      <w:r w:rsidRPr="00B21FF6">
        <w:rPr>
          <w:iCs/>
          <w:noProof/>
          <w:lang w:val="fr-CA"/>
        </w:rPr>
        <w:t>» à titre de simple facteur de rattachement créant une présomption en ce qui concerne une déclaration de compétence</w:t>
      </w:r>
      <w:r w:rsidRPr="00B21FF6">
        <w:rPr>
          <w:iCs/>
          <w:lang w:val="fr-CA"/>
        </w:rPr>
        <w:t xml:space="preserve">. </w:t>
      </w:r>
      <w:r w:rsidRPr="00B21FF6">
        <w:rPr>
          <w:lang w:val="fr-CA"/>
        </w:rPr>
        <w:t xml:space="preserve">Malgré ces différences, </w:t>
      </w:r>
      <w:r w:rsidRPr="00B21FF6">
        <w:rPr>
          <w:noProof/>
          <w:lang w:val="fr-CA"/>
        </w:rPr>
        <w:t>les exigences relatives à l’</w:t>
      </w:r>
      <w:r w:rsidR="000679E7">
        <w:rPr>
          <w:noProof/>
          <w:lang w:val="fr-CA"/>
        </w:rPr>
        <w:t>« exploitation d’une entreprise </w:t>
      </w:r>
      <w:r w:rsidRPr="00B21FF6">
        <w:rPr>
          <w:noProof/>
          <w:lang w:val="fr-CA"/>
        </w:rPr>
        <w:t>» selon la norme de la déclaration de compétence doivent également s’appliquer pour déterminer la compétence traditionnelle fondée sur la présence</w:t>
      </w:r>
      <w:r w:rsidRPr="00B21FF6">
        <w:rPr>
          <w:lang w:val="fr-CA"/>
        </w:rPr>
        <w:t>. Dans les deux cas, une forme de présence tangible dans le ressort en question est requise, par exemple le fait d’y tenir un bureau.</w:t>
      </w:r>
    </w:p>
    <w:p w:rsidR="00E531C5" w:rsidRPr="00B21FF6" w:rsidRDefault="00E531C5" w:rsidP="000679E7">
      <w:pPr>
        <w:pStyle w:val="SCCNormalDoubleSpacing"/>
        <w:spacing w:after="480"/>
        <w:rPr>
          <w:lang w:val="fr-CA"/>
        </w:rPr>
      </w:pPr>
      <w:r w:rsidRPr="00B21FF6">
        <w:rPr>
          <w:rFonts w:eastAsiaTheme="minorHAnsi"/>
          <w:lang w:val="fr-CA"/>
        </w:rPr>
        <w:tab/>
        <w:t xml:space="preserve">La </w:t>
      </w:r>
      <w:r w:rsidRPr="00B21FF6">
        <w:rPr>
          <w:rFonts w:eastAsiaTheme="minorHAnsi"/>
          <w:i/>
          <w:lang w:val="fr-CA"/>
        </w:rPr>
        <w:t>LERJ</w:t>
      </w:r>
      <w:r w:rsidRPr="00B21FF6">
        <w:rPr>
          <w:rFonts w:eastAsiaTheme="minorHAnsi"/>
          <w:lang w:val="fr-CA"/>
        </w:rPr>
        <w:t xml:space="preserve"> </w:t>
      </w:r>
      <w:r w:rsidRPr="00B21FF6">
        <w:rPr>
          <w:rFonts w:eastAsiaTheme="minorHAnsi"/>
          <w:noProof/>
          <w:lang w:val="fr-CA"/>
        </w:rPr>
        <w:t xml:space="preserve">ne s’applique qu’au </w:t>
      </w:r>
      <w:r w:rsidRPr="00B21FF6">
        <w:rPr>
          <w:lang w:val="fr-CA"/>
        </w:rPr>
        <w:t>jugement ou à l’ordonnance d’un tribunal dans une instance civile portant condamnation au paiement d’une somme d’argent</w:t>
      </w:r>
      <w:r w:rsidRPr="00B21FF6">
        <w:rPr>
          <w:rFonts w:eastAsiaTheme="minorHAnsi"/>
          <w:lang w:val="fr-CA"/>
        </w:rPr>
        <w:t xml:space="preserve">. </w:t>
      </w:r>
      <w:r w:rsidRPr="00B21FF6">
        <w:rPr>
          <w:rFonts w:eastAsiaTheme="minorHAnsi"/>
          <w:noProof/>
          <w:lang w:val="fr-CA"/>
        </w:rPr>
        <w:t>Il reste à voir si un jugement dérivé — lequel exécute lui</w:t>
      </w:r>
      <w:r w:rsidR="00B21FF6" w:rsidRPr="00B21FF6">
        <w:rPr>
          <w:rFonts w:eastAsiaTheme="minorHAnsi"/>
          <w:noProof/>
          <w:lang w:val="fr-CA"/>
        </w:rPr>
        <w:noBreakHyphen/>
      </w:r>
      <w:r w:rsidRPr="00B21FF6">
        <w:rPr>
          <w:rFonts w:eastAsiaTheme="minorHAnsi"/>
          <w:noProof/>
          <w:lang w:val="fr-CA"/>
        </w:rPr>
        <w:t>même un jugement émanant d’un État qui n’accorde pas la réciprocité — répond à la définition du terme «</w:t>
      </w:r>
      <w:r w:rsidR="000679E7">
        <w:rPr>
          <w:rFonts w:eastAsiaTheme="minorHAnsi"/>
          <w:noProof/>
          <w:lang w:val="fr-CA"/>
        </w:rPr>
        <w:t> </w:t>
      </w:r>
      <w:r w:rsidRPr="00B21FF6">
        <w:rPr>
          <w:rFonts w:eastAsiaTheme="minorHAnsi"/>
          <w:noProof/>
          <w:lang w:val="fr-CA"/>
        </w:rPr>
        <w:t>jugement</w:t>
      </w:r>
      <w:r w:rsidR="000679E7">
        <w:rPr>
          <w:rFonts w:eastAsiaTheme="minorHAnsi"/>
          <w:noProof/>
          <w:lang w:val="fr-CA"/>
        </w:rPr>
        <w:t> </w:t>
      </w:r>
      <w:r w:rsidRPr="00B21FF6">
        <w:rPr>
          <w:rFonts w:eastAsiaTheme="minorHAnsi"/>
          <w:noProof/>
          <w:lang w:val="fr-CA"/>
        </w:rPr>
        <w:t xml:space="preserve">» au </w:t>
      </w:r>
      <w:r w:rsidR="00B21FF6" w:rsidRPr="00B21FF6">
        <w:rPr>
          <w:rFonts w:eastAsiaTheme="minorHAnsi"/>
          <w:noProof/>
          <w:lang w:val="fr-CA"/>
        </w:rPr>
        <w:t>par. </w:t>
      </w:r>
      <w:r w:rsidRPr="00B21FF6">
        <w:rPr>
          <w:rFonts w:eastAsiaTheme="minorHAnsi"/>
          <w:noProof/>
          <w:lang w:val="fr-CA"/>
        </w:rPr>
        <w:t xml:space="preserve">1(1) de la </w:t>
      </w:r>
      <w:r w:rsidRPr="00B21FF6">
        <w:rPr>
          <w:rFonts w:eastAsiaTheme="minorHAnsi"/>
          <w:i/>
          <w:noProof/>
          <w:lang w:val="fr-CA"/>
        </w:rPr>
        <w:t xml:space="preserve">LERJ </w:t>
      </w:r>
      <w:r w:rsidRPr="00B21FF6">
        <w:rPr>
          <w:rFonts w:eastAsiaTheme="minorHAnsi"/>
          <w:noProof/>
          <w:lang w:val="fr-CA"/>
        </w:rPr>
        <w:t>et peut donc être enregistré en vertu de cette loi</w:t>
      </w:r>
      <w:r w:rsidRPr="00B21FF6">
        <w:rPr>
          <w:lang w:val="fr-CA"/>
        </w:rPr>
        <w:t>.</w:t>
      </w:r>
    </w:p>
    <w:p w:rsidR="00E531C5" w:rsidRPr="00B21FF6" w:rsidRDefault="00E531C5" w:rsidP="000679E7">
      <w:pPr>
        <w:pStyle w:val="SCCNormalDoubleSpacing"/>
        <w:spacing w:after="480"/>
        <w:rPr>
          <w:lang w:val="fr-CA"/>
        </w:rPr>
      </w:pPr>
      <w:r w:rsidRPr="00B21FF6">
        <w:rPr>
          <w:lang w:val="fr-CA"/>
        </w:rPr>
        <w:tab/>
      </w:r>
      <w:r w:rsidRPr="00B21FF6">
        <w:rPr>
          <w:i/>
          <w:lang w:val="fr-CA"/>
        </w:rPr>
        <w:t>La</w:t>
      </w:r>
      <w:r w:rsidRPr="00B21FF6">
        <w:rPr>
          <w:rFonts w:eastAsiaTheme="minorHAnsi"/>
          <w:lang w:val="fr-CA"/>
        </w:rPr>
        <w:t xml:space="preserve"> juge </w:t>
      </w:r>
      <w:r w:rsidRPr="00B21FF6">
        <w:rPr>
          <w:rFonts w:eastAsiaTheme="minorHAnsi"/>
          <w:b/>
          <w:lang w:val="fr-CA"/>
        </w:rPr>
        <w:t>Côté</w:t>
      </w:r>
      <w:r w:rsidR="00B21FF6" w:rsidRPr="00B21FF6">
        <w:rPr>
          <w:rFonts w:eastAsiaTheme="minorHAnsi"/>
          <w:lang w:val="fr-CA"/>
        </w:rPr>
        <w:t> :</w:t>
      </w:r>
      <w:r w:rsidRPr="00B21FF6">
        <w:rPr>
          <w:rFonts w:eastAsiaTheme="minorHAnsi"/>
          <w:lang w:val="fr-CA"/>
        </w:rPr>
        <w:t xml:space="preserve"> Il y a accord avec </w:t>
      </w:r>
      <w:r w:rsidRPr="00B21FF6">
        <w:rPr>
          <w:noProof/>
          <w:lang w:val="fr-CA"/>
        </w:rPr>
        <w:t>l’analyse des juges majoritaires fondée sur l’</w:t>
      </w:r>
      <w:r w:rsidR="00B21FF6" w:rsidRPr="00B21FF6">
        <w:rPr>
          <w:noProof/>
          <w:lang w:val="fr-CA"/>
        </w:rPr>
        <w:t>al. </w:t>
      </w:r>
      <w:r w:rsidRPr="00B21FF6">
        <w:rPr>
          <w:noProof/>
          <w:lang w:val="fr-CA"/>
        </w:rPr>
        <w:t xml:space="preserve">3b) de la </w:t>
      </w:r>
      <w:r w:rsidRPr="00B21FF6">
        <w:rPr>
          <w:i/>
          <w:noProof/>
          <w:lang w:val="fr-CA"/>
        </w:rPr>
        <w:t>LERJ</w:t>
      </w:r>
      <w:r w:rsidR="000679E7">
        <w:rPr>
          <w:noProof/>
          <w:lang w:val="fr-CA"/>
        </w:rPr>
        <w:t xml:space="preserve"> </w:t>
      </w:r>
      <w:r w:rsidRPr="00B21FF6">
        <w:rPr>
          <w:noProof/>
          <w:lang w:val="fr-CA"/>
        </w:rPr>
        <w:t>et le dispositif du présent arrêt</w:t>
      </w:r>
      <w:r w:rsidRPr="00B21FF6">
        <w:rPr>
          <w:lang w:val="fr-CA"/>
        </w:rPr>
        <w:t xml:space="preserve">. Il y a </w:t>
      </w:r>
      <w:r w:rsidRPr="00B21FF6">
        <w:rPr>
          <w:noProof/>
          <w:lang w:val="fr-CA"/>
        </w:rPr>
        <w:t xml:space="preserve">toutefois divergence d’opinions dans la mesure où les motifs de la majorité laissent entendre que la </w:t>
      </w:r>
      <w:r w:rsidRPr="00B21FF6">
        <w:rPr>
          <w:i/>
          <w:noProof/>
          <w:lang w:val="fr-CA"/>
        </w:rPr>
        <w:t xml:space="preserve">LERJ </w:t>
      </w:r>
      <w:r w:rsidRPr="00B21FF6">
        <w:rPr>
          <w:noProof/>
          <w:lang w:val="fr-CA"/>
        </w:rPr>
        <w:t>pourrait ne pas s’appliquer aux jugements dérivés</w:t>
      </w:r>
      <w:r w:rsidRPr="00B21FF6">
        <w:rPr>
          <w:lang w:val="fr-CA"/>
        </w:rPr>
        <w:t>. L</w:t>
      </w:r>
      <w:r w:rsidRPr="00B21FF6">
        <w:rPr>
          <w:noProof/>
          <w:lang w:val="fr-CA"/>
        </w:rPr>
        <w:t>e jugement qui est rendu à l’issue d’une action en common law et qui reconnaît un jugement étranger, comme celui de la Colombie</w:t>
      </w:r>
      <w:r w:rsidR="00B21FF6" w:rsidRPr="00B21FF6">
        <w:rPr>
          <w:noProof/>
          <w:lang w:val="fr-CA"/>
        </w:rPr>
        <w:noBreakHyphen/>
      </w:r>
      <w:r w:rsidRPr="00B21FF6">
        <w:rPr>
          <w:noProof/>
          <w:lang w:val="fr-CA"/>
        </w:rPr>
        <w:t xml:space="preserve">Britannique en l’espèce, répond parfaitement à la définition large que le </w:t>
      </w:r>
      <w:r w:rsidR="00B21FF6" w:rsidRPr="00B21FF6">
        <w:rPr>
          <w:noProof/>
          <w:lang w:val="fr-CA"/>
        </w:rPr>
        <w:t>par. </w:t>
      </w:r>
      <w:r w:rsidRPr="00B21FF6">
        <w:rPr>
          <w:noProof/>
          <w:lang w:val="fr-CA"/>
        </w:rPr>
        <w:t xml:space="preserve">1(1) de la </w:t>
      </w:r>
      <w:r w:rsidRPr="00B21FF6">
        <w:rPr>
          <w:i/>
          <w:noProof/>
          <w:lang w:val="fr-CA"/>
        </w:rPr>
        <w:t xml:space="preserve">LERJ </w:t>
      </w:r>
      <w:r w:rsidRPr="00B21FF6">
        <w:rPr>
          <w:noProof/>
          <w:lang w:val="fr-CA"/>
        </w:rPr>
        <w:t>donne du mot « jugement », pourvu que le jugement de reconnaissance ait été rendu dans un État accordant la réciprocité</w:t>
      </w:r>
      <w:r w:rsidRPr="00B21FF6">
        <w:rPr>
          <w:lang w:val="fr-CA"/>
        </w:rPr>
        <w:t xml:space="preserve">. </w:t>
      </w:r>
    </w:p>
    <w:p w:rsidR="00E531C5" w:rsidRPr="00B21FF6" w:rsidRDefault="00E531C5" w:rsidP="000679E7">
      <w:pPr>
        <w:pStyle w:val="SCCNormalDoubleSpacing"/>
        <w:spacing w:after="480"/>
        <w:rPr>
          <w:rFonts w:eastAsiaTheme="minorHAnsi"/>
          <w:lang w:val="fr-CA"/>
        </w:rPr>
      </w:pPr>
      <w:r w:rsidRPr="00B21FF6">
        <w:rPr>
          <w:rFonts w:eastAsiaTheme="minorHAnsi"/>
          <w:lang w:val="fr-CA"/>
        </w:rPr>
        <w:tab/>
        <w:t>L</w:t>
      </w:r>
      <w:r w:rsidRPr="00B21FF6">
        <w:rPr>
          <w:lang w:val="fr-CA"/>
        </w:rPr>
        <w:t xml:space="preserve">’interprétation des lois consiste à dégager l’intention du législateur en examinant les termes d’une loi dans leur contexte global en suivant le sens ordinaire et grammatical qui s’harmonise avec l’économie et l’objet de cette loi. </w:t>
      </w:r>
      <w:r w:rsidRPr="00B21FF6">
        <w:rPr>
          <w:rFonts w:eastAsiaTheme="minorHAnsi"/>
          <w:lang w:val="fr-CA"/>
        </w:rPr>
        <w:t xml:space="preserve">La </w:t>
      </w:r>
      <w:r w:rsidRPr="00B21FF6">
        <w:rPr>
          <w:rFonts w:eastAsiaTheme="minorHAnsi"/>
          <w:i/>
          <w:lang w:val="fr-CA"/>
        </w:rPr>
        <w:t>LERJ</w:t>
      </w:r>
      <w:r w:rsidRPr="00B21FF6">
        <w:rPr>
          <w:rFonts w:eastAsiaTheme="minorHAnsi"/>
          <w:lang w:val="fr-CA"/>
        </w:rPr>
        <w:t xml:space="preserve"> </w:t>
      </w:r>
      <w:r w:rsidRPr="00B21FF6">
        <w:rPr>
          <w:noProof/>
          <w:lang w:val="fr-CA"/>
        </w:rPr>
        <w:t>renferme une disposition rédigée en termes clairs et simples qui définit les jugements auxquels elle s’applique</w:t>
      </w:r>
      <w:r w:rsidRPr="00B21FF6">
        <w:rPr>
          <w:rFonts w:eastAsiaTheme="minorHAnsi"/>
          <w:lang w:val="fr-CA"/>
        </w:rPr>
        <w:t xml:space="preserve">. Aux termes du </w:t>
      </w:r>
      <w:r w:rsidR="00B21FF6" w:rsidRPr="00B21FF6">
        <w:rPr>
          <w:rFonts w:eastAsiaTheme="minorHAnsi"/>
          <w:lang w:val="fr-CA"/>
        </w:rPr>
        <w:t>par. </w:t>
      </w:r>
      <w:r w:rsidRPr="00B21FF6">
        <w:rPr>
          <w:rFonts w:eastAsiaTheme="minorHAnsi"/>
          <w:lang w:val="fr-CA"/>
        </w:rPr>
        <w:t xml:space="preserve">1(1) de la </w:t>
      </w:r>
      <w:r w:rsidRPr="00B21FF6">
        <w:rPr>
          <w:rFonts w:eastAsiaTheme="minorHAnsi"/>
          <w:i/>
          <w:lang w:val="fr-CA"/>
        </w:rPr>
        <w:t>LERJ</w:t>
      </w:r>
      <w:r w:rsidRPr="00B21FF6">
        <w:rPr>
          <w:rFonts w:eastAsiaTheme="minorHAnsi"/>
          <w:lang w:val="fr-CA"/>
        </w:rPr>
        <w:t xml:space="preserve">, le mot « jugement » s’entend d’un jugement ou d’une ordonnance </w:t>
      </w:r>
      <w:r w:rsidRPr="00B21FF6">
        <w:rPr>
          <w:noProof/>
          <w:lang w:val="fr-CA"/>
        </w:rPr>
        <w:t>d’un tribunal dans une instance civile, portant condamnation au paiement d’une somme d’argent</w:t>
      </w:r>
      <w:r w:rsidRPr="00B21FF6">
        <w:rPr>
          <w:lang w:val="fr-CA"/>
        </w:rPr>
        <w:t>.</w:t>
      </w:r>
      <w:r w:rsidRPr="00B21FF6">
        <w:rPr>
          <w:rFonts w:eastAsiaTheme="minorHAnsi"/>
          <w:lang w:val="fr-CA"/>
        </w:rPr>
        <w:t xml:space="preserve"> </w:t>
      </w:r>
      <w:r w:rsidRPr="00B21FF6">
        <w:rPr>
          <w:noProof/>
          <w:lang w:val="fr-CA"/>
        </w:rPr>
        <w:t xml:space="preserve">Interprétée selon son </w:t>
      </w:r>
      <w:r w:rsidRPr="00B21FF6">
        <w:rPr>
          <w:lang w:val="fr-CA"/>
        </w:rPr>
        <w:t>sens ordinaire et grammatical</w:t>
      </w:r>
      <w:r w:rsidRPr="00B21FF6">
        <w:rPr>
          <w:noProof/>
          <w:lang w:val="fr-CA"/>
        </w:rPr>
        <w:t>,</w:t>
      </w:r>
      <w:r w:rsidRPr="00B21FF6" w:rsidDel="00160FFB">
        <w:rPr>
          <w:noProof/>
          <w:lang w:val="fr-CA"/>
        </w:rPr>
        <w:t xml:space="preserve"> </w:t>
      </w:r>
      <w:r w:rsidRPr="00B21FF6">
        <w:rPr>
          <w:noProof/>
          <w:lang w:val="fr-CA"/>
        </w:rPr>
        <w:t>la définition du mot « jugement » englobe sans aucun doute les jugements de reconnaissance tels que celui de la Colombie</w:t>
      </w:r>
      <w:r w:rsidR="00B21FF6" w:rsidRPr="00B21FF6">
        <w:rPr>
          <w:noProof/>
          <w:lang w:val="fr-CA"/>
        </w:rPr>
        <w:noBreakHyphen/>
      </w:r>
      <w:r w:rsidRPr="00B21FF6">
        <w:rPr>
          <w:noProof/>
          <w:lang w:val="fr-CA"/>
        </w:rPr>
        <w:t xml:space="preserve">Britannique. L’ajout par interprétation d’une exception au </w:t>
      </w:r>
      <w:r w:rsidR="00B21FF6" w:rsidRPr="00B21FF6">
        <w:rPr>
          <w:noProof/>
          <w:lang w:val="fr-CA"/>
        </w:rPr>
        <w:t>par. </w:t>
      </w:r>
      <w:r w:rsidRPr="00B21FF6">
        <w:rPr>
          <w:noProof/>
          <w:lang w:val="fr-CA"/>
        </w:rPr>
        <w:t>1(1) s’appliquant aux jugements dérivés est contre</w:t>
      </w:r>
      <w:r w:rsidR="00B21FF6" w:rsidRPr="00B21FF6">
        <w:rPr>
          <w:noProof/>
          <w:lang w:val="fr-CA"/>
        </w:rPr>
        <w:noBreakHyphen/>
      </w:r>
      <w:r w:rsidRPr="00B21FF6">
        <w:rPr>
          <w:noProof/>
          <w:lang w:val="fr-CA"/>
        </w:rPr>
        <w:t>intuitif, en plus de n’être justifié ni par le texte ni par les règles ordinaires d’interprétation des lois.</w:t>
      </w:r>
      <w:r w:rsidRPr="00B21FF6">
        <w:rPr>
          <w:rFonts w:eastAsiaTheme="minorHAnsi"/>
          <w:lang w:val="fr-CA"/>
        </w:rPr>
        <w:t xml:space="preserve"> </w:t>
      </w:r>
    </w:p>
    <w:p w:rsidR="00E531C5" w:rsidRPr="00B21FF6" w:rsidRDefault="00E531C5" w:rsidP="000679E7">
      <w:pPr>
        <w:pStyle w:val="SCCNormalDoubleSpacing"/>
        <w:spacing w:after="480"/>
        <w:rPr>
          <w:rFonts w:eastAsiaTheme="minorHAnsi"/>
          <w:lang w:val="fr-CA"/>
        </w:rPr>
      </w:pPr>
      <w:r w:rsidRPr="00B21FF6">
        <w:rPr>
          <w:rFonts w:eastAsiaTheme="minorHAnsi"/>
          <w:lang w:val="fr-CA"/>
        </w:rPr>
        <w:tab/>
      </w:r>
      <w:r w:rsidRPr="00B21FF6">
        <w:rPr>
          <w:noProof/>
          <w:lang w:val="fr-CA"/>
        </w:rPr>
        <w:t xml:space="preserve">La </w:t>
      </w:r>
      <w:r w:rsidRPr="00B21FF6">
        <w:rPr>
          <w:i/>
          <w:noProof/>
          <w:lang w:val="fr-CA"/>
        </w:rPr>
        <w:t xml:space="preserve">LERJ </w:t>
      </w:r>
      <w:r w:rsidRPr="00B21FF6">
        <w:rPr>
          <w:noProof/>
          <w:lang w:val="fr-CA"/>
        </w:rPr>
        <w:t xml:space="preserve">a pour objectif fondamental de prévoir un mécanisme pratique et peu coûteux pour l’enregistrement des jugements étrangers qui permet aux créanciers et aux tribunaux d’économiser du temps et des ressources. Ces avantages favorisent l’accès à la justice et sont particulièrement précieux pour les créanciers en vertu du jugement, qui connaissent moins le contexte juridique ontarien. Le principal avantage du mécanisme d’enregistrement instauré par la </w:t>
      </w:r>
      <w:r w:rsidRPr="00B21FF6">
        <w:rPr>
          <w:i/>
          <w:noProof/>
          <w:lang w:val="fr-CA"/>
        </w:rPr>
        <w:t>LERJ</w:t>
      </w:r>
      <w:r w:rsidRPr="00B21FF6">
        <w:rPr>
          <w:noProof/>
          <w:lang w:val="fr-CA"/>
        </w:rPr>
        <w:t xml:space="preserve"> est qu’il inverse le fardeau du procès en permettant l’enregistrement, à moins que le débiteur n’obtienne gain de cause dans une action visant à l’annuler</w:t>
      </w:r>
      <w:r w:rsidRPr="00B21FF6">
        <w:rPr>
          <w:lang w:val="fr-CA"/>
        </w:rPr>
        <w:t>.</w:t>
      </w:r>
      <w:r w:rsidRPr="00B21FF6">
        <w:rPr>
          <w:rFonts w:eastAsiaTheme="minorHAnsi"/>
          <w:lang w:val="fr-CA"/>
        </w:rPr>
        <w:t xml:space="preserve"> </w:t>
      </w:r>
      <w:r w:rsidRPr="00B21FF6">
        <w:rPr>
          <w:noProof/>
          <w:lang w:val="fr-CA"/>
        </w:rPr>
        <w:t>La courtoisie entre les ressorts accordant la réciprocité est essentielle pour atteindre cet objectif</w:t>
      </w:r>
      <w:r w:rsidRPr="00B21FF6">
        <w:rPr>
          <w:lang w:val="fr-CA"/>
        </w:rPr>
        <w:t>. L</w:t>
      </w:r>
      <w:r w:rsidRPr="00B21FF6">
        <w:rPr>
          <w:noProof/>
          <w:lang w:val="fr-CA"/>
        </w:rPr>
        <w:t xml:space="preserve">e fait de s’appuyer sur la notion juridiquement inexistante de jugements dérivés n’aiderait guère les créanciers en vertu du jugement à se prévaloir du mécanisme accessible et pratique de la </w:t>
      </w:r>
      <w:r w:rsidRPr="00B21FF6">
        <w:rPr>
          <w:i/>
          <w:noProof/>
          <w:lang w:val="fr-CA"/>
        </w:rPr>
        <w:t>LERJ</w:t>
      </w:r>
      <w:r w:rsidRPr="00B21FF6">
        <w:rPr>
          <w:rFonts w:eastAsiaTheme="minorHAnsi"/>
          <w:lang w:val="fr-CA"/>
        </w:rPr>
        <w:t xml:space="preserve">. </w:t>
      </w:r>
    </w:p>
    <w:p w:rsidR="00E531C5" w:rsidRPr="00B21FF6" w:rsidRDefault="00E531C5" w:rsidP="000679E7">
      <w:pPr>
        <w:pStyle w:val="SCCNormalDoubleSpacing"/>
        <w:spacing w:after="480"/>
        <w:rPr>
          <w:noProof/>
          <w:lang w:val="fr-CA"/>
        </w:rPr>
      </w:pPr>
      <w:r w:rsidRPr="00B21FF6">
        <w:rPr>
          <w:rFonts w:eastAsiaTheme="minorHAnsi"/>
          <w:lang w:val="fr-CA"/>
        </w:rPr>
        <w:tab/>
        <w:t xml:space="preserve">Cette </w:t>
      </w:r>
      <w:r w:rsidRPr="00B21FF6">
        <w:rPr>
          <w:lang w:val="fr-CA"/>
        </w:rPr>
        <w:t xml:space="preserve">interprétation </w:t>
      </w:r>
      <w:r w:rsidRPr="00B21FF6">
        <w:rPr>
          <w:noProof/>
          <w:lang w:val="fr-CA"/>
        </w:rPr>
        <w:t>satisfait à la norme de la certitude commerciale</w:t>
      </w:r>
      <w:r w:rsidRPr="00B21FF6">
        <w:rPr>
          <w:lang w:val="fr-CA"/>
        </w:rPr>
        <w:t xml:space="preserve">, et elle </w:t>
      </w:r>
      <w:r w:rsidRPr="00B21FF6">
        <w:rPr>
          <w:noProof/>
          <w:lang w:val="fr-CA"/>
        </w:rPr>
        <w:t xml:space="preserve">s’accorde avec la jurisprudence où la Cour reconnaît que les </w:t>
      </w:r>
      <w:r w:rsidRPr="00B21FF6">
        <w:rPr>
          <w:lang w:val="fr-CA"/>
        </w:rPr>
        <w:t>jugements de reconnaissance peuvent être enregistrés dans une autre province.</w:t>
      </w:r>
      <w:r w:rsidRPr="00B21FF6">
        <w:rPr>
          <w:rFonts w:eastAsiaTheme="minorHAnsi"/>
          <w:lang w:val="fr-CA"/>
        </w:rPr>
        <w:t xml:space="preserve"> </w:t>
      </w:r>
      <w:r w:rsidRPr="00B21FF6">
        <w:rPr>
          <w:noProof/>
          <w:lang w:val="fr-CA"/>
        </w:rPr>
        <w:t>Une mise en garde importante s’impose toutefois</w:t>
      </w:r>
      <w:r w:rsidRPr="00B21FF6">
        <w:rPr>
          <w:lang w:val="fr-CA"/>
        </w:rPr>
        <w:t xml:space="preserve">. </w:t>
      </w:r>
      <w:r w:rsidRPr="00B21FF6">
        <w:rPr>
          <w:noProof/>
          <w:lang w:val="fr-CA"/>
        </w:rPr>
        <w:t xml:space="preserve">Si la </w:t>
      </w:r>
      <w:r w:rsidRPr="00B21FF6">
        <w:rPr>
          <w:i/>
          <w:noProof/>
          <w:lang w:val="fr-CA"/>
        </w:rPr>
        <w:t xml:space="preserve">LERJ </w:t>
      </w:r>
      <w:r w:rsidRPr="00B21FF6">
        <w:rPr>
          <w:noProof/>
          <w:lang w:val="fr-CA"/>
        </w:rPr>
        <w:t>autorise l’enregistrement d’un jugement de reconnaissance, elle interdit l’enregistrement d’un jugement qui a lui</w:t>
      </w:r>
      <w:r w:rsidR="00B21FF6" w:rsidRPr="00B21FF6">
        <w:rPr>
          <w:noProof/>
          <w:lang w:val="fr-CA"/>
        </w:rPr>
        <w:noBreakHyphen/>
      </w:r>
      <w:r w:rsidRPr="00B21FF6">
        <w:rPr>
          <w:noProof/>
          <w:lang w:val="fr-CA"/>
        </w:rPr>
        <w:t>même été enregistré, car celui</w:t>
      </w:r>
      <w:r w:rsidR="00B21FF6" w:rsidRPr="00B21FF6">
        <w:rPr>
          <w:noProof/>
          <w:lang w:val="fr-CA"/>
        </w:rPr>
        <w:noBreakHyphen/>
      </w:r>
      <w:r w:rsidRPr="00B21FF6">
        <w:rPr>
          <w:noProof/>
          <w:lang w:val="fr-CA"/>
        </w:rPr>
        <w:t>ci ne porte pas condamnation au paiement d’une somme d’argent. Permettre l’enregistrement de jugements qui ont eux</w:t>
      </w:r>
      <w:r w:rsidR="00B21FF6" w:rsidRPr="00B21FF6">
        <w:rPr>
          <w:noProof/>
          <w:lang w:val="fr-CA"/>
        </w:rPr>
        <w:noBreakHyphen/>
      </w:r>
      <w:r w:rsidRPr="00B21FF6">
        <w:rPr>
          <w:noProof/>
          <w:lang w:val="fr-CA"/>
        </w:rPr>
        <w:t>mêmes déjà été enregistrés</w:t>
      </w:r>
      <w:r w:rsidRPr="00B21FF6">
        <w:rPr>
          <w:lang w:val="fr-CA"/>
        </w:rPr>
        <w:t xml:space="preserve"> </w:t>
      </w:r>
      <w:r w:rsidRPr="00B21FF6">
        <w:rPr>
          <w:noProof/>
          <w:lang w:val="fr-CA"/>
        </w:rPr>
        <w:t xml:space="preserve">allongerait indûment la liste des ressorts auxquels s’applique la </w:t>
      </w:r>
      <w:r w:rsidRPr="00B21FF6">
        <w:rPr>
          <w:i/>
          <w:noProof/>
          <w:lang w:val="fr-CA"/>
        </w:rPr>
        <w:t>LERJ</w:t>
      </w:r>
      <w:r w:rsidRPr="00B21FF6">
        <w:rPr>
          <w:noProof/>
          <w:lang w:val="fr-CA"/>
        </w:rPr>
        <w:t xml:space="preserve"> en incluant tous les ressorts accordant la réciprocité aux ressorts désignés conformément à la loi</w:t>
      </w:r>
      <w:r w:rsidRPr="00B21FF6">
        <w:rPr>
          <w:lang w:val="fr-CA"/>
        </w:rPr>
        <w:t>.</w:t>
      </w:r>
    </w:p>
    <w:p w:rsidR="004D7D95" w:rsidRPr="00B21FF6" w:rsidRDefault="004D7D95" w:rsidP="00843D5F">
      <w:pPr>
        <w:pStyle w:val="SCCNormalDoubleSpacing"/>
        <w:spacing w:after="720" w:line="240" w:lineRule="auto"/>
        <w:rPr>
          <w:b/>
          <w:lang w:val="fr-CA"/>
        </w:rPr>
      </w:pPr>
      <w:r w:rsidRPr="00B21FF6">
        <w:rPr>
          <w:b/>
          <w:lang w:val="fr-CA"/>
        </w:rPr>
        <w:t>Jurisprudence</w:t>
      </w:r>
    </w:p>
    <w:p w:rsidR="004D7D95" w:rsidRPr="00B21FF6" w:rsidRDefault="00EF0C47" w:rsidP="00843D5F">
      <w:pPr>
        <w:pStyle w:val="SCCNormalDoubleSpacing"/>
        <w:spacing w:after="720" w:line="240" w:lineRule="auto"/>
        <w:rPr>
          <w:lang w:val="fr-CA"/>
        </w:rPr>
      </w:pPr>
      <w:r w:rsidRPr="00B21FF6">
        <w:rPr>
          <w:lang w:val="fr-CA"/>
        </w:rPr>
        <w:t>Citée par le juge en chef Wagner</w:t>
      </w:r>
    </w:p>
    <w:p w:rsidR="00ED46DE" w:rsidRPr="00B21FF6" w:rsidRDefault="00EF0C47" w:rsidP="00843D5F">
      <w:pPr>
        <w:pStyle w:val="SCCNormalDoubleSpacing"/>
        <w:spacing w:after="480"/>
        <w:rPr>
          <w:lang w:val="en-US"/>
        </w:rPr>
      </w:pPr>
      <w:r w:rsidRPr="00B21FF6">
        <w:rPr>
          <w:lang w:val="fr-CA"/>
        </w:rPr>
        <w:tab/>
      </w:r>
      <w:r w:rsidR="00BA09E0" w:rsidRPr="00BA09E0">
        <w:rPr>
          <w:b/>
          <w:lang w:val="fr-CA"/>
        </w:rPr>
        <w:t>Arrêts examinés :</w:t>
      </w:r>
      <w:r w:rsidR="00BA09E0">
        <w:rPr>
          <w:lang w:val="fr-CA"/>
        </w:rPr>
        <w:t xml:space="preserve"> </w:t>
      </w:r>
      <w:r w:rsidR="00BA09E0" w:rsidRPr="00B21FF6">
        <w:rPr>
          <w:i/>
          <w:iCs/>
          <w:lang w:val="fr-CA"/>
        </w:rPr>
        <w:t>Club Resorts Ltd. c. Van Breda</w:t>
      </w:r>
      <w:r w:rsidR="00BA09E0" w:rsidRPr="00B21FF6">
        <w:rPr>
          <w:lang w:val="fr-CA"/>
        </w:rPr>
        <w:t xml:space="preserve">, 2012 CSC 17, [2012] 1 R.C.S. 572; </w:t>
      </w:r>
      <w:r w:rsidR="00BA09E0" w:rsidRPr="00B21FF6">
        <w:rPr>
          <w:i/>
          <w:iCs/>
          <w:lang w:val="fr-CA"/>
        </w:rPr>
        <w:t>Chevron Corp. c. Yaiguaje</w:t>
      </w:r>
      <w:r w:rsidR="00BA09E0" w:rsidRPr="00B21FF6">
        <w:rPr>
          <w:lang w:val="fr-CA"/>
        </w:rPr>
        <w:t xml:space="preserve">, 2015 CSC 42, [2015] 3 R.C.S. 69; </w:t>
      </w:r>
      <w:proofErr w:type="spellStart"/>
      <w:r w:rsidR="00BA09E0" w:rsidRPr="00BA09E0">
        <w:rPr>
          <w:i/>
          <w:iCs/>
          <w:lang w:val="fr-CA"/>
        </w:rPr>
        <w:t>Morguard</w:t>
      </w:r>
      <w:proofErr w:type="spellEnd"/>
      <w:r w:rsidR="00BA09E0" w:rsidRPr="00BA09E0">
        <w:rPr>
          <w:i/>
          <w:iCs/>
          <w:lang w:val="fr-CA"/>
        </w:rPr>
        <w:t xml:space="preserve"> Investments Ltd. c. De Savoye</w:t>
      </w:r>
      <w:r w:rsidR="00BA09E0" w:rsidRPr="00BA09E0">
        <w:rPr>
          <w:lang w:val="fr-CA"/>
        </w:rPr>
        <w:t xml:space="preserve">, [1990] 3 R.C.S. 1077; </w:t>
      </w:r>
      <w:r w:rsidR="00BA09E0" w:rsidRPr="00BA09E0">
        <w:rPr>
          <w:i/>
          <w:iCs/>
          <w:lang w:val="fr-CA"/>
        </w:rPr>
        <w:t>Adams c. Cape Industries Plc.</w:t>
      </w:r>
      <w:r w:rsidR="00BA09E0" w:rsidRPr="00BA09E0">
        <w:rPr>
          <w:lang w:val="fr-CA"/>
        </w:rPr>
        <w:t>, [1990] 1 Ch. 433</w:t>
      </w:r>
      <w:r w:rsidR="00BA09E0">
        <w:rPr>
          <w:lang w:val="fr-CA"/>
        </w:rPr>
        <w:t xml:space="preserve">; </w:t>
      </w:r>
      <w:r w:rsidR="00BA09E0" w:rsidRPr="00BA09E0">
        <w:rPr>
          <w:b/>
          <w:lang w:val="fr-CA"/>
        </w:rPr>
        <w:t>a</w:t>
      </w:r>
      <w:r w:rsidRPr="00BA09E0">
        <w:rPr>
          <w:b/>
          <w:bCs/>
          <w:lang w:val="fr-CA"/>
        </w:rPr>
        <w:t>r</w:t>
      </w:r>
      <w:r w:rsidRPr="00B21FF6">
        <w:rPr>
          <w:b/>
          <w:bCs/>
          <w:lang w:val="fr-CA"/>
        </w:rPr>
        <w:t>rêts mentionnés</w:t>
      </w:r>
      <w:r w:rsidR="00B21FF6" w:rsidRPr="00B21FF6">
        <w:rPr>
          <w:b/>
          <w:bCs/>
          <w:lang w:val="fr-CA"/>
        </w:rPr>
        <w:t> :</w:t>
      </w:r>
      <w:r w:rsidRPr="00B21FF6">
        <w:rPr>
          <w:bCs/>
          <w:lang w:val="fr-CA"/>
        </w:rPr>
        <w:t xml:space="preserve"> </w:t>
      </w:r>
      <w:r w:rsidR="00477C1C" w:rsidRPr="00B21FF6">
        <w:rPr>
          <w:i/>
          <w:lang w:val="fr-CA"/>
        </w:rPr>
        <w:t>Wilson c. Hull</w:t>
      </w:r>
      <w:r w:rsidR="00477C1C" w:rsidRPr="00B21FF6">
        <w:rPr>
          <w:lang w:val="fr-CA"/>
        </w:rPr>
        <w:t xml:space="preserve"> (1995), 128 D.L.R. (4th) 403; </w:t>
      </w:r>
      <w:r w:rsidR="002B068D" w:rsidRPr="00B21FF6">
        <w:rPr>
          <w:i/>
          <w:lang w:val="fr-CA"/>
        </w:rPr>
        <w:t xml:space="preserve">T.D.I. Hospitality Management Consultants Inc. c. </w:t>
      </w:r>
      <w:proofErr w:type="spellStart"/>
      <w:r w:rsidR="002B068D" w:rsidRPr="00B21FF6">
        <w:rPr>
          <w:i/>
          <w:lang w:val="fr-CA"/>
        </w:rPr>
        <w:t>Browne</w:t>
      </w:r>
      <w:proofErr w:type="spellEnd"/>
      <w:r w:rsidR="002B068D" w:rsidRPr="00B21FF6">
        <w:rPr>
          <w:lang w:val="fr-CA"/>
        </w:rPr>
        <w:t xml:space="preserve"> (1994), 117 D.L.R. (4th) 289; </w:t>
      </w:r>
      <w:proofErr w:type="spellStart"/>
      <w:r w:rsidR="00615C10" w:rsidRPr="00B21FF6">
        <w:rPr>
          <w:i/>
          <w:lang w:val="fr-CA"/>
        </w:rPr>
        <w:t>Impagination</w:t>
      </w:r>
      <w:proofErr w:type="spellEnd"/>
      <w:r w:rsidR="00615C10" w:rsidRPr="00B21FF6">
        <w:rPr>
          <w:i/>
          <w:lang w:val="fr-CA"/>
        </w:rPr>
        <w:t xml:space="preserve"> Inc. c. Baird</w:t>
      </w:r>
      <w:r w:rsidR="00615C10" w:rsidRPr="00B21FF6">
        <w:rPr>
          <w:lang w:val="fr-CA"/>
        </w:rPr>
        <w:t xml:space="preserve"> (2001), 202 </w:t>
      </w:r>
      <w:proofErr w:type="spellStart"/>
      <w:r w:rsidR="00615C10" w:rsidRPr="00B21FF6">
        <w:rPr>
          <w:lang w:val="fr-CA"/>
        </w:rPr>
        <w:t>Nfld</w:t>
      </w:r>
      <w:proofErr w:type="spellEnd"/>
      <w:r w:rsidR="00615C10" w:rsidRPr="00B21FF6">
        <w:rPr>
          <w:lang w:val="fr-CA"/>
        </w:rPr>
        <w:t xml:space="preserve">. </w:t>
      </w:r>
      <w:r w:rsidR="00615C10" w:rsidRPr="00B21FF6">
        <w:rPr>
          <w:lang w:val="en-US"/>
        </w:rPr>
        <w:t xml:space="preserve">&amp; P.E.I.R. 300; </w:t>
      </w:r>
      <w:r w:rsidR="00856C14" w:rsidRPr="00B21FF6">
        <w:rPr>
          <w:rFonts w:eastAsiaTheme="minorHAnsi"/>
          <w:i/>
        </w:rPr>
        <w:t>Owen c</w:t>
      </w:r>
      <w:r w:rsidR="00120F47" w:rsidRPr="00B21FF6">
        <w:rPr>
          <w:rFonts w:eastAsiaTheme="minorHAnsi"/>
          <w:i/>
        </w:rPr>
        <w:t xml:space="preserve">. </w:t>
      </w:r>
      <w:proofErr w:type="spellStart"/>
      <w:r w:rsidR="00120F47" w:rsidRPr="00B21FF6">
        <w:rPr>
          <w:rFonts w:eastAsiaTheme="minorHAnsi"/>
          <w:i/>
        </w:rPr>
        <w:t>Rocketinfo</w:t>
      </w:r>
      <w:proofErr w:type="spellEnd"/>
      <w:r w:rsidR="00120F47" w:rsidRPr="00B21FF6">
        <w:rPr>
          <w:rFonts w:eastAsiaTheme="minorHAnsi"/>
          <w:i/>
        </w:rPr>
        <w:t xml:space="preserve"> Inc.</w:t>
      </w:r>
      <w:r w:rsidR="00120F47" w:rsidRPr="00B21FF6">
        <w:rPr>
          <w:rFonts w:eastAsiaTheme="minorHAnsi"/>
        </w:rPr>
        <w:t xml:space="preserve">, 2008 BCCA 502, 86 B.C.L.R. (4th) 64; </w:t>
      </w:r>
      <w:r w:rsidR="005A3DBE" w:rsidRPr="00B21FF6">
        <w:rPr>
          <w:rFonts w:eastAsiaTheme="minorHAnsi"/>
          <w:i/>
        </w:rPr>
        <w:t>Strategic Technologies Pte Ltd. c. Procurement Bureau of the Republic of China Ministry of National Defence</w:t>
      </w:r>
      <w:r w:rsidR="005A3DBE" w:rsidRPr="00B21FF6">
        <w:rPr>
          <w:rFonts w:eastAsiaTheme="minorHAnsi"/>
        </w:rPr>
        <w:t xml:space="preserve">, [2020] EWCA </w:t>
      </w:r>
      <w:proofErr w:type="spellStart"/>
      <w:r w:rsidR="005A3DBE" w:rsidRPr="00B21FF6">
        <w:rPr>
          <w:rFonts w:eastAsiaTheme="minorHAnsi"/>
        </w:rPr>
        <w:t>Civ</w:t>
      </w:r>
      <w:proofErr w:type="spellEnd"/>
      <w:r w:rsidR="005A3DBE" w:rsidRPr="00B21FF6">
        <w:rPr>
          <w:rFonts w:eastAsiaTheme="minorHAnsi"/>
        </w:rPr>
        <w:t xml:space="preserve"> 1604, [2021] 2 W.L.R. 448; </w:t>
      </w:r>
      <w:r w:rsidR="00E91DEA" w:rsidRPr="00B21FF6">
        <w:rPr>
          <w:i/>
          <w:iCs/>
          <w:lang w:val="en-US"/>
        </w:rPr>
        <w:t>Vizcaya Partners Ltd. c. Picard</w:t>
      </w:r>
      <w:r w:rsidR="00E91DEA" w:rsidRPr="00B21FF6">
        <w:rPr>
          <w:lang w:val="en-US"/>
        </w:rPr>
        <w:t>, [2016</w:t>
      </w:r>
      <w:r w:rsidR="00BA09E0">
        <w:rPr>
          <w:lang w:val="en-US"/>
        </w:rPr>
        <w:t>] UKPC 5, [2016] 3 All E.R. 181</w:t>
      </w:r>
      <w:r w:rsidR="00347D65" w:rsidRPr="00B21FF6">
        <w:rPr>
          <w:lang w:val="en-US"/>
        </w:rPr>
        <w:t>.</w:t>
      </w:r>
    </w:p>
    <w:p w:rsidR="00411D7E" w:rsidRPr="00B21FF6" w:rsidRDefault="00411D7E" w:rsidP="00843D5F">
      <w:pPr>
        <w:pStyle w:val="SCCNormalDoubleSpacing"/>
        <w:spacing w:after="720" w:line="240" w:lineRule="auto"/>
        <w:rPr>
          <w:lang w:val="en-US"/>
        </w:rPr>
      </w:pPr>
      <w:proofErr w:type="spellStart"/>
      <w:r w:rsidRPr="00B21FF6">
        <w:rPr>
          <w:lang w:val="en-US"/>
        </w:rPr>
        <w:t>Citée</w:t>
      </w:r>
      <w:proofErr w:type="spellEnd"/>
      <w:r w:rsidRPr="00B21FF6">
        <w:rPr>
          <w:lang w:val="en-US"/>
        </w:rPr>
        <w:t xml:space="preserve"> </w:t>
      </w:r>
      <w:proofErr w:type="spellStart"/>
      <w:r w:rsidRPr="00B21FF6">
        <w:rPr>
          <w:lang w:val="en-US"/>
        </w:rPr>
        <w:t>par</w:t>
      </w:r>
      <w:proofErr w:type="spellEnd"/>
      <w:r w:rsidRPr="00B21FF6">
        <w:rPr>
          <w:lang w:val="en-US"/>
        </w:rPr>
        <w:t xml:space="preserve"> la juge Côté</w:t>
      </w:r>
    </w:p>
    <w:p w:rsidR="004D7D95" w:rsidRPr="00B21FF6" w:rsidRDefault="004D7D95" w:rsidP="00843D5F">
      <w:pPr>
        <w:pStyle w:val="SCCNormalDoubleSpacing"/>
        <w:spacing w:after="480"/>
        <w:rPr>
          <w:b/>
          <w:lang w:val="en-US"/>
        </w:rPr>
      </w:pPr>
      <w:r w:rsidRPr="00B21FF6">
        <w:rPr>
          <w:lang w:val="en-US"/>
        </w:rPr>
        <w:tab/>
      </w:r>
      <w:proofErr w:type="spellStart"/>
      <w:r w:rsidR="00BA09E0" w:rsidRPr="00AB509C">
        <w:rPr>
          <w:b/>
          <w:lang w:val="en-US"/>
        </w:rPr>
        <w:t>Arrêt</w:t>
      </w:r>
      <w:proofErr w:type="spellEnd"/>
      <w:r w:rsidR="00BA09E0" w:rsidRPr="00AB509C">
        <w:rPr>
          <w:b/>
          <w:lang w:val="en-US"/>
        </w:rPr>
        <w:t xml:space="preserve"> appliqué</w:t>
      </w:r>
      <w:r w:rsidR="00AB509C" w:rsidRPr="00AB509C">
        <w:rPr>
          <w:b/>
          <w:lang w:val="en-US"/>
        </w:rPr>
        <w:t xml:space="preserve"> </w:t>
      </w:r>
      <w:r w:rsidR="00BA09E0" w:rsidRPr="00AB509C">
        <w:rPr>
          <w:b/>
          <w:lang w:val="en-US"/>
        </w:rPr>
        <w:t>:</w:t>
      </w:r>
      <w:r w:rsidR="00BA09E0">
        <w:rPr>
          <w:lang w:val="en-US"/>
        </w:rPr>
        <w:t xml:space="preserve"> </w:t>
      </w:r>
      <w:r w:rsidR="00AB509C" w:rsidRPr="00B21FF6">
        <w:rPr>
          <w:i/>
          <w:lang w:val="en-US"/>
        </w:rPr>
        <w:t>Chevron Corp. c. Yaiguaje</w:t>
      </w:r>
      <w:r w:rsidR="00AB509C" w:rsidRPr="00B21FF6">
        <w:rPr>
          <w:lang w:val="en-US"/>
        </w:rPr>
        <w:t xml:space="preserve">, 2015 CSC 42, [2015] 3 R.C.S. 69; </w:t>
      </w:r>
      <w:r w:rsidR="00BA09E0" w:rsidRPr="00AB509C">
        <w:rPr>
          <w:b/>
          <w:lang w:val="en-US"/>
        </w:rPr>
        <w:t xml:space="preserve">distinction </w:t>
      </w:r>
      <w:proofErr w:type="spellStart"/>
      <w:r w:rsidR="00BA09E0" w:rsidRPr="00AB509C">
        <w:rPr>
          <w:b/>
          <w:lang w:val="en-US"/>
        </w:rPr>
        <w:t>d’avec</w:t>
      </w:r>
      <w:proofErr w:type="spellEnd"/>
      <w:r w:rsidR="00BA09E0" w:rsidRPr="00AB509C">
        <w:rPr>
          <w:b/>
          <w:lang w:val="en-US"/>
        </w:rPr>
        <w:t xml:space="preserve"> l’arrêt</w:t>
      </w:r>
      <w:r w:rsidR="00AB509C">
        <w:rPr>
          <w:b/>
          <w:lang w:val="en-US"/>
        </w:rPr>
        <w:t xml:space="preserve"> </w:t>
      </w:r>
      <w:r w:rsidR="00BA09E0" w:rsidRPr="00AB509C">
        <w:rPr>
          <w:b/>
          <w:lang w:val="en-US"/>
        </w:rPr>
        <w:t>:</w:t>
      </w:r>
      <w:r w:rsidR="00BA09E0">
        <w:rPr>
          <w:lang w:val="en-US"/>
        </w:rPr>
        <w:t xml:space="preserve"> </w:t>
      </w:r>
      <w:r w:rsidR="00AB509C" w:rsidRPr="00B21FF6">
        <w:rPr>
          <w:i/>
          <w:szCs w:val="24"/>
          <w:lang w:val="en-US"/>
        </w:rPr>
        <w:t xml:space="preserve">Owen c. </w:t>
      </w:r>
      <w:proofErr w:type="spellStart"/>
      <w:r w:rsidR="00AB509C" w:rsidRPr="00B21FF6">
        <w:rPr>
          <w:i/>
          <w:szCs w:val="24"/>
          <w:lang w:val="en-US"/>
        </w:rPr>
        <w:t>Rocketinfo</w:t>
      </w:r>
      <w:proofErr w:type="spellEnd"/>
      <w:r w:rsidR="00AB509C" w:rsidRPr="00B21FF6">
        <w:rPr>
          <w:szCs w:val="24"/>
          <w:lang w:val="en-US"/>
        </w:rPr>
        <w:t xml:space="preserve"> </w:t>
      </w:r>
      <w:r w:rsidR="00AB509C" w:rsidRPr="00B21FF6">
        <w:rPr>
          <w:i/>
          <w:szCs w:val="24"/>
          <w:lang w:val="en-US"/>
        </w:rPr>
        <w:t>Inc.</w:t>
      </w:r>
      <w:r w:rsidR="00AB509C" w:rsidRPr="00B21FF6">
        <w:rPr>
          <w:szCs w:val="24"/>
          <w:lang w:val="en-US"/>
        </w:rPr>
        <w:t xml:space="preserve">, 2008 BCCA 502, 86 B.C.L.R. (4th) 64; </w:t>
      </w:r>
      <w:proofErr w:type="spellStart"/>
      <w:r w:rsidR="00AB509C" w:rsidRPr="00AB509C">
        <w:rPr>
          <w:b/>
          <w:szCs w:val="24"/>
          <w:lang w:val="en-US"/>
        </w:rPr>
        <w:t>arrêt</w:t>
      </w:r>
      <w:proofErr w:type="spellEnd"/>
      <w:r w:rsidR="00AB509C" w:rsidRPr="00AB509C">
        <w:rPr>
          <w:b/>
          <w:szCs w:val="24"/>
          <w:lang w:val="en-US"/>
        </w:rPr>
        <w:t xml:space="preserve"> </w:t>
      </w:r>
      <w:proofErr w:type="spellStart"/>
      <w:r w:rsidR="00AB509C" w:rsidRPr="00AB509C">
        <w:rPr>
          <w:b/>
          <w:szCs w:val="24"/>
          <w:lang w:val="en-US"/>
        </w:rPr>
        <w:t>désapprouvé</w:t>
      </w:r>
      <w:proofErr w:type="spellEnd"/>
      <w:r w:rsidR="00AB509C" w:rsidRPr="00AB509C">
        <w:rPr>
          <w:b/>
          <w:szCs w:val="24"/>
          <w:lang w:val="en-US"/>
        </w:rPr>
        <w:t>:</w:t>
      </w:r>
      <w:r w:rsidR="00AB509C">
        <w:rPr>
          <w:szCs w:val="24"/>
          <w:lang w:val="en-US"/>
        </w:rPr>
        <w:t xml:space="preserve"> </w:t>
      </w:r>
      <w:r w:rsidR="00AB509C" w:rsidRPr="00B21FF6">
        <w:rPr>
          <w:i/>
          <w:iCs/>
          <w:lang w:val="en-US"/>
        </w:rPr>
        <w:t xml:space="preserve">Strategic Technologies </w:t>
      </w:r>
      <w:proofErr w:type="spellStart"/>
      <w:r w:rsidR="00AB509C" w:rsidRPr="00B21FF6">
        <w:rPr>
          <w:i/>
          <w:iCs/>
          <w:lang w:val="en-US"/>
        </w:rPr>
        <w:t>Pte</w:t>
      </w:r>
      <w:proofErr w:type="spellEnd"/>
      <w:r w:rsidR="00AB509C" w:rsidRPr="00B21FF6">
        <w:rPr>
          <w:i/>
          <w:iCs/>
          <w:lang w:val="en-US"/>
        </w:rPr>
        <w:t xml:space="preserve"> Ltd. c. Procurement Bureau of the Republic of China Ministry of National Defence</w:t>
      </w:r>
      <w:r w:rsidR="00AB509C" w:rsidRPr="00B21FF6">
        <w:rPr>
          <w:lang w:val="en-US"/>
        </w:rPr>
        <w:t xml:space="preserve">, [2020] EWCA </w:t>
      </w:r>
      <w:proofErr w:type="spellStart"/>
      <w:r w:rsidR="00AB509C" w:rsidRPr="00B21FF6">
        <w:rPr>
          <w:lang w:val="en-US"/>
        </w:rPr>
        <w:t>Civ</w:t>
      </w:r>
      <w:proofErr w:type="spellEnd"/>
      <w:r w:rsidR="00AB509C" w:rsidRPr="00B21FF6">
        <w:rPr>
          <w:lang w:val="en-US"/>
        </w:rPr>
        <w:t xml:space="preserve"> 1604, [2021] 2 W.L.R. 448; </w:t>
      </w:r>
      <w:proofErr w:type="spellStart"/>
      <w:r w:rsidR="00AB509C">
        <w:rPr>
          <w:b/>
          <w:lang w:val="en-US"/>
        </w:rPr>
        <w:t>a</w:t>
      </w:r>
      <w:r w:rsidRPr="00B21FF6">
        <w:rPr>
          <w:b/>
          <w:lang w:val="en-US"/>
        </w:rPr>
        <w:t>rrêts</w:t>
      </w:r>
      <w:proofErr w:type="spellEnd"/>
      <w:r w:rsidRPr="00B21FF6">
        <w:rPr>
          <w:b/>
          <w:lang w:val="en-US"/>
        </w:rPr>
        <w:t xml:space="preserve"> </w:t>
      </w:r>
      <w:proofErr w:type="spellStart"/>
      <w:r w:rsidRPr="00B21FF6">
        <w:rPr>
          <w:b/>
          <w:lang w:val="en-US"/>
        </w:rPr>
        <w:t>mentionnés</w:t>
      </w:r>
      <w:proofErr w:type="spellEnd"/>
      <w:r w:rsidR="00B21FF6" w:rsidRPr="00B21FF6">
        <w:rPr>
          <w:b/>
          <w:lang w:val="en-US"/>
        </w:rPr>
        <w:t> :</w:t>
      </w:r>
      <w:r w:rsidRPr="00B21FF6">
        <w:rPr>
          <w:lang w:val="en-US"/>
        </w:rPr>
        <w:t xml:space="preserve"> </w:t>
      </w:r>
      <w:r w:rsidR="005D40A0" w:rsidRPr="00B21FF6">
        <w:rPr>
          <w:i/>
          <w:lang w:val="en-US"/>
        </w:rPr>
        <w:t>Hryniak c. Mauldin</w:t>
      </w:r>
      <w:r w:rsidR="005D40A0" w:rsidRPr="00B21FF6">
        <w:rPr>
          <w:lang w:val="en-US"/>
        </w:rPr>
        <w:t xml:space="preserve">, 2014 CSC 7, [2014] 1 R.C.S. 87; </w:t>
      </w:r>
      <w:r w:rsidR="005D40A0" w:rsidRPr="00B21FF6">
        <w:rPr>
          <w:i/>
          <w:lang w:val="en-US"/>
        </w:rPr>
        <w:t>C.M. Callow Inc. c. Zollinger</w:t>
      </w:r>
      <w:r w:rsidR="005D40A0" w:rsidRPr="00B21FF6">
        <w:rPr>
          <w:lang w:val="en-US"/>
        </w:rPr>
        <w:t xml:space="preserve">, 2020 CSC 45; </w:t>
      </w:r>
      <w:r w:rsidR="005B2194" w:rsidRPr="00B21FF6">
        <w:rPr>
          <w:i/>
          <w:lang w:val="en-US"/>
        </w:rPr>
        <w:t xml:space="preserve">Renvoi relatif au Code de procédure civile (Qc), </w:t>
      </w:r>
      <w:r w:rsidR="00B21FF6" w:rsidRPr="00B21FF6">
        <w:rPr>
          <w:i/>
          <w:lang w:val="en-US"/>
        </w:rPr>
        <w:t>art. </w:t>
      </w:r>
      <w:r w:rsidR="005B2194" w:rsidRPr="00B21FF6">
        <w:rPr>
          <w:i/>
          <w:lang w:val="en-US"/>
        </w:rPr>
        <w:t>35</w:t>
      </w:r>
      <w:r w:rsidR="005B2194" w:rsidRPr="00B21FF6">
        <w:rPr>
          <w:lang w:val="en-US"/>
        </w:rPr>
        <w:t xml:space="preserve">, 2021 CSC 27; </w:t>
      </w:r>
      <w:r w:rsidR="00BF75A9" w:rsidRPr="00B21FF6">
        <w:rPr>
          <w:i/>
          <w:lang w:val="en-US"/>
        </w:rPr>
        <w:t>M</w:t>
      </w:r>
      <w:r w:rsidR="00EA7EB7" w:rsidRPr="00B21FF6">
        <w:rPr>
          <w:i/>
          <w:lang w:val="en-US"/>
        </w:rPr>
        <w:t>é</w:t>
      </w:r>
      <w:r w:rsidR="00BF75A9" w:rsidRPr="00B21FF6">
        <w:rPr>
          <w:i/>
          <w:lang w:val="en-US"/>
        </w:rPr>
        <w:t>diaQMI inc. c. Kamel</w:t>
      </w:r>
      <w:r w:rsidR="00BF75A9" w:rsidRPr="00B21FF6">
        <w:rPr>
          <w:lang w:val="en-US"/>
        </w:rPr>
        <w:t xml:space="preserve">, 2021 CSC 23; </w:t>
      </w:r>
      <w:r w:rsidR="00BF75A9" w:rsidRPr="00B21FF6">
        <w:rPr>
          <w:i/>
          <w:lang w:val="en-US"/>
        </w:rPr>
        <w:t>Michel c. Graydon</w:t>
      </w:r>
      <w:r w:rsidR="00BF75A9" w:rsidRPr="00B21FF6">
        <w:rPr>
          <w:lang w:val="en-US"/>
        </w:rPr>
        <w:t xml:space="preserve">, 2020 </w:t>
      </w:r>
      <w:r w:rsidR="008A50FC" w:rsidRPr="00B21FF6">
        <w:rPr>
          <w:lang w:val="en-US"/>
        </w:rPr>
        <w:t>CSC</w:t>
      </w:r>
      <w:r w:rsidR="00BF75A9" w:rsidRPr="00B21FF6">
        <w:rPr>
          <w:lang w:val="en-US"/>
        </w:rPr>
        <w:t xml:space="preserve"> 24; </w:t>
      </w:r>
      <w:proofErr w:type="spellStart"/>
      <w:r w:rsidR="008A50FC" w:rsidRPr="00B21FF6">
        <w:rPr>
          <w:i/>
          <w:lang w:val="en-US"/>
        </w:rPr>
        <w:t>Solehdin</w:t>
      </w:r>
      <w:proofErr w:type="spellEnd"/>
      <w:r w:rsidR="008A50FC" w:rsidRPr="00B21FF6">
        <w:rPr>
          <w:i/>
          <w:lang w:val="en-US"/>
        </w:rPr>
        <w:t xml:space="preserve"> c. Stern Estate</w:t>
      </w:r>
      <w:r w:rsidR="008A50FC" w:rsidRPr="00B21FF6">
        <w:rPr>
          <w:lang w:val="en-US"/>
        </w:rPr>
        <w:t>, 2014 BCCA 482, 364 B.C.A.C. 128</w:t>
      </w:r>
      <w:r w:rsidR="00281496" w:rsidRPr="00B21FF6">
        <w:rPr>
          <w:lang w:val="en-US"/>
        </w:rPr>
        <w:t xml:space="preserve">; </w:t>
      </w:r>
      <w:proofErr w:type="spellStart"/>
      <w:r w:rsidR="00281496" w:rsidRPr="00B21FF6">
        <w:rPr>
          <w:i/>
          <w:lang w:val="en-US"/>
        </w:rPr>
        <w:t>Agraira</w:t>
      </w:r>
      <w:proofErr w:type="spellEnd"/>
      <w:r w:rsidR="00281496" w:rsidRPr="00B21FF6">
        <w:rPr>
          <w:i/>
          <w:lang w:val="en-US"/>
        </w:rPr>
        <w:t xml:space="preserve"> c. Canada (Sécurité publique et Protection civile)</w:t>
      </w:r>
      <w:r w:rsidR="00281496" w:rsidRPr="00B21FF6">
        <w:rPr>
          <w:lang w:val="en-US"/>
        </w:rPr>
        <w:t xml:space="preserve">, 2013 CSC 36, [2013] 2 R.C.S. 559; </w:t>
      </w:r>
      <w:r w:rsidR="00281496" w:rsidRPr="00B21FF6">
        <w:rPr>
          <w:i/>
          <w:lang w:val="en-US"/>
        </w:rPr>
        <w:t xml:space="preserve">Pro Swing Inc. c. </w:t>
      </w:r>
      <w:proofErr w:type="spellStart"/>
      <w:r w:rsidR="00281496" w:rsidRPr="00B21FF6">
        <w:rPr>
          <w:i/>
          <w:lang w:val="en-US"/>
        </w:rPr>
        <w:t>Elta</w:t>
      </w:r>
      <w:proofErr w:type="spellEnd"/>
      <w:r w:rsidR="00281496" w:rsidRPr="00B21FF6">
        <w:rPr>
          <w:i/>
          <w:lang w:val="en-US"/>
        </w:rPr>
        <w:t xml:space="preserve"> Golf Inc.</w:t>
      </w:r>
      <w:r w:rsidR="00281496" w:rsidRPr="00B21FF6">
        <w:rPr>
          <w:lang w:val="en-US"/>
        </w:rPr>
        <w:t xml:space="preserve">, 2006 CSC 52, [2006] 2 R.C.S. 612; </w:t>
      </w:r>
      <w:proofErr w:type="spellStart"/>
      <w:r w:rsidR="00E274F7" w:rsidRPr="00B21FF6">
        <w:rPr>
          <w:i/>
          <w:lang w:val="en-US"/>
        </w:rPr>
        <w:t>Morguard</w:t>
      </w:r>
      <w:proofErr w:type="spellEnd"/>
      <w:r w:rsidR="00E274F7" w:rsidRPr="00B21FF6">
        <w:rPr>
          <w:i/>
          <w:lang w:val="en-US"/>
        </w:rPr>
        <w:t xml:space="preserve"> Investments Ltd</w:t>
      </w:r>
      <w:r w:rsidR="00367D36" w:rsidRPr="00B21FF6">
        <w:rPr>
          <w:i/>
          <w:lang w:val="en-US"/>
        </w:rPr>
        <w:t>.</w:t>
      </w:r>
      <w:r w:rsidR="00E274F7" w:rsidRPr="00B21FF6">
        <w:rPr>
          <w:i/>
          <w:lang w:val="en-US"/>
        </w:rPr>
        <w:t xml:space="preserve"> c. De </w:t>
      </w:r>
      <w:proofErr w:type="spellStart"/>
      <w:r w:rsidR="00E274F7" w:rsidRPr="00B21FF6">
        <w:rPr>
          <w:i/>
          <w:lang w:val="en-US"/>
        </w:rPr>
        <w:t>Savoye</w:t>
      </w:r>
      <w:proofErr w:type="spellEnd"/>
      <w:r w:rsidR="00E274F7" w:rsidRPr="00B21FF6">
        <w:rPr>
          <w:lang w:val="en-US"/>
        </w:rPr>
        <w:t xml:space="preserve">, [1990] 3 R.C.S. 1077; </w:t>
      </w:r>
      <w:proofErr w:type="spellStart"/>
      <w:r w:rsidR="00D5517F" w:rsidRPr="00B21FF6">
        <w:rPr>
          <w:i/>
          <w:lang w:val="en-US"/>
        </w:rPr>
        <w:t>Beals</w:t>
      </w:r>
      <w:proofErr w:type="spellEnd"/>
      <w:r w:rsidR="00D5517F" w:rsidRPr="00B21FF6">
        <w:rPr>
          <w:i/>
          <w:lang w:val="en-US"/>
        </w:rPr>
        <w:t xml:space="preserve"> c. </w:t>
      </w:r>
      <w:proofErr w:type="spellStart"/>
      <w:r w:rsidR="00D5517F" w:rsidRPr="00B21FF6">
        <w:rPr>
          <w:i/>
          <w:lang w:val="en-US"/>
        </w:rPr>
        <w:t>Saldanha</w:t>
      </w:r>
      <w:proofErr w:type="spellEnd"/>
      <w:r w:rsidR="00D5517F" w:rsidRPr="00B21FF6">
        <w:rPr>
          <w:lang w:val="en-US"/>
        </w:rPr>
        <w:t>, 2003 CSC 72, [2003] 3 R.C.S. 416</w:t>
      </w:r>
      <w:r w:rsidR="00E1561C" w:rsidRPr="00B21FF6">
        <w:rPr>
          <w:lang w:val="en-US"/>
        </w:rPr>
        <w:t xml:space="preserve">; </w:t>
      </w:r>
      <w:proofErr w:type="spellStart"/>
      <w:r w:rsidR="005023C8" w:rsidRPr="00B21FF6">
        <w:rPr>
          <w:i/>
          <w:lang w:val="en-US"/>
        </w:rPr>
        <w:t>Girsberger</w:t>
      </w:r>
      <w:proofErr w:type="spellEnd"/>
      <w:r w:rsidR="005023C8" w:rsidRPr="00B21FF6">
        <w:rPr>
          <w:i/>
          <w:lang w:val="en-US"/>
        </w:rPr>
        <w:t xml:space="preserve"> c. </w:t>
      </w:r>
      <w:proofErr w:type="spellStart"/>
      <w:r w:rsidR="005023C8" w:rsidRPr="00B21FF6">
        <w:rPr>
          <w:i/>
          <w:lang w:val="en-US"/>
        </w:rPr>
        <w:t>Kresz</w:t>
      </w:r>
      <w:proofErr w:type="spellEnd"/>
      <w:r w:rsidR="005023C8" w:rsidRPr="00B21FF6">
        <w:rPr>
          <w:lang w:val="en-US"/>
        </w:rPr>
        <w:t xml:space="preserve">, </w:t>
      </w:r>
      <w:r w:rsidR="00C0618D" w:rsidRPr="00B21FF6">
        <w:t>[1999] 7 W.W.R. 761</w:t>
      </w:r>
      <w:r w:rsidR="005023C8" w:rsidRPr="00B21FF6">
        <w:rPr>
          <w:lang w:val="en-US"/>
        </w:rPr>
        <w:t xml:space="preserve">, conf. par </w:t>
      </w:r>
      <w:r w:rsidR="00C0618D" w:rsidRPr="00B21FF6">
        <w:rPr>
          <w:rStyle w:val="ssleftalign"/>
        </w:rPr>
        <w:t>[2000] 1 W.W.R. 101</w:t>
      </w:r>
      <w:r w:rsidR="00E814E6" w:rsidRPr="00B21FF6">
        <w:rPr>
          <w:rStyle w:val="ssleftalign"/>
          <w:lang w:val="en-US"/>
        </w:rPr>
        <w:t xml:space="preserve">; </w:t>
      </w:r>
      <w:r w:rsidR="00E814E6" w:rsidRPr="00B21FF6">
        <w:rPr>
          <w:rStyle w:val="ssleftalign"/>
          <w:i/>
          <w:lang w:val="en-US"/>
        </w:rPr>
        <w:t>Tracy (Litigation guardian of) c. Iranian Ministry of Information and Security</w:t>
      </w:r>
      <w:r w:rsidR="00E814E6" w:rsidRPr="00B21FF6">
        <w:rPr>
          <w:rStyle w:val="ssleftalign"/>
          <w:lang w:val="en-US"/>
        </w:rPr>
        <w:t>, 2016 ONSC 3759, 400 D.L.R. (4th) 670, conf. par 2017 ONCA 549, 415 D.L.R. (4th) 314</w:t>
      </w:r>
      <w:r w:rsidR="00787899" w:rsidRPr="00B21FF6">
        <w:rPr>
          <w:rStyle w:val="ssleftalign"/>
          <w:lang w:val="en-US"/>
        </w:rPr>
        <w:t>.</w:t>
      </w:r>
    </w:p>
    <w:p w:rsidR="004D7D95" w:rsidRPr="00B21FF6" w:rsidRDefault="004D7D95" w:rsidP="00843D5F">
      <w:pPr>
        <w:pStyle w:val="SCCNormalDoubleSpacing"/>
        <w:spacing w:after="720" w:line="240" w:lineRule="auto"/>
        <w:rPr>
          <w:b/>
          <w:lang w:val="en-US"/>
        </w:rPr>
      </w:pPr>
      <w:r w:rsidRPr="00B21FF6">
        <w:rPr>
          <w:b/>
          <w:lang w:val="en-US"/>
        </w:rPr>
        <w:t xml:space="preserve">Lois </w:t>
      </w:r>
      <w:proofErr w:type="gramStart"/>
      <w:r w:rsidRPr="00B21FF6">
        <w:rPr>
          <w:b/>
          <w:lang w:val="en-US"/>
        </w:rPr>
        <w:t>et</w:t>
      </w:r>
      <w:proofErr w:type="gramEnd"/>
      <w:r w:rsidRPr="00B21FF6">
        <w:rPr>
          <w:b/>
          <w:lang w:val="en-US"/>
        </w:rPr>
        <w:t xml:space="preserve"> </w:t>
      </w:r>
      <w:proofErr w:type="spellStart"/>
      <w:r w:rsidRPr="00B21FF6">
        <w:rPr>
          <w:b/>
          <w:lang w:val="en-US"/>
        </w:rPr>
        <w:t>règlements</w:t>
      </w:r>
      <w:proofErr w:type="spellEnd"/>
      <w:r w:rsidRPr="00B21FF6">
        <w:rPr>
          <w:b/>
          <w:lang w:val="en-US"/>
        </w:rPr>
        <w:t xml:space="preserve"> </w:t>
      </w:r>
      <w:proofErr w:type="spellStart"/>
      <w:r w:rsidRPr="00B21FF6">
        <w:rPr>
          <w:b/>
          <w:lang w:val="en-US"/>
        </w:rPr>
        <w:t>cités</w:t>
      </w:r>
      <w:proofErr w:type="spellEnd"/>
    </w:p>
    <w:p w:rsidR="00090BA1" w:rsidRPr="00B21FF6" w:rsidRDefault="00090BA1" w:rsidP="00843D5F">
      <w:pPr>
        <w:pStyle w:val="SCCNormalDoubleSpacing"/>
        <w:spacing w:after="240" w:line="240" w:lineRule="auto"/>
        <w:ind w:left="539" w:hanging="539"/>
        <w:rPr>
          <w:i/>
        </w:rPr>
      </w:pPr>
      <w:r w:rsidRPr="00B21FF6">
        <w:rPr>
          <w:i/>
          <w:iCs/>
          <w:lang w:val="en-US"/>
        </w:rPr>
        <w:t xml:space="preserve">Administration of Justice Act, 1920 </w:t>
      </w:r>
      <w:r w:rsidRPr="00B21FF6">
        <w:rPr>
          <w:iCs/>
          <w:lang w:val="en-US"/>
        </w:rPr>
        <w:t>(</w:t>
      </w:r>
      <w:r w:rsidR="00D46ECC" w:rsidRPr="00B21FF6">
        <w:rPr>
          <w:iCs/>
          <w:lang w:val="en-US"/>
        </w:rPr>
        <w:t>R.</w:t>
      </w:r>
      <w:r w:rsidR="00B21FF6" w:rsidRPr="00B21FF6">
        <w:rPr>
          <w:iCs/>
          <w:lang w:val="en-US"/>
        </w:rPr>
        <w:noBreakHyphen/>
      </w:r>
      <w:r w:rsidRPr="00B21FF6">
        <w:rPr>
          <w:iCs/>
          <w:lang w:val="en-US"/>
        </w:rPr>
        <w:t xml:space="preserve">U.), 10 &amp; 11 Geo. 5, c. 81, </w:t>
      </w:r>
      <w:r w:rsidR="00B21FF6" w:rsidRPr="00B21FF6">
        <w:rPr>
          <w:iCs/>
          <w:lang w:val="en-US"/>
        </w:rPr>
        <w:t>art. </w:t>
      </w:r>
      <w:r w:rsidRPr="00B21FF6">
        <w:rPr>
          <w:lang w:val="en-US"/>
        </w:rPr>
        <w:t>9(2</w:t>
      </w:r>
      <w:proofErr w:type="gramStart"/>
      <w:r w:rsidRPr="00B21FF6">
        <w:rPr>
          <w:lang w:val="en-US"/>
        </w:rPr>
        <w:t>)(</w:t>
      </w:r>
      <w:proofErr w:type="gramEnd"/>
      <w:r w:rsidRPr="00B21FF6">
        <w:rPr>
          <w:lang w:val="en-US"/>
        </w:rPr>
        <w:t>b)</w:t>
      </w:r>
      <w:r w:rsidRPr="00B21FF6">
        <w:rPr>
          <w:iCs/>
          <w:lang w:val="en-US"/>
        </w:rPr>
        <w:t>.</w:t>
      </w:r>
    </w:p>
    <w:p w:rsidR="00CD54E9" w:rsidRPr="00B21FF6" w:rsidRDefault="00CD54E9" w:rsidP="00843D5F">
      <w:pPr>
        <w:pStyle w:val="SCCNormalDoubleSpacing"/>
        <w:spacing w:after="240" w:line="240" w:lineRule="auto"/>
        <w:ind w:left="539" w:hanging="539"/>
        <w:rPr>
          <w:lang w:val="en-US"/>
        </w:rPr>
      </w:pPr>
      <w:r w:rsidRPr="00B21FF6">
        <w:rPr>
          <w:i/>
          <w:lang w:val="en-US"/>
        </w:rPr>
        <w:t xml:space="preserve">Land Acquisition Act </w:t>
      </w:r>
      <w:r w:rsidR="00036D9D" w:rsidRPr="00B21FF6">
        <w:rPr>
          <w:lang w:val="en-US"/>
        </w:rPr>
        <w:t>(</w:t>
      </w:r>
      <w:proofErr w:type="spellStart"/>
      <w:r w:rsidR="00036D9D" w:rsidRPr="00B21FF6">
        <w:rPr>
          <w:lang w:val="en-US"/>
        </w:rPr>
        <w:t>Atg</w:t>
      </w:r>
      <w:proofErr w:type="spellEnd"/>
      <w:r w:rsidR="00036D9D" w:rsidRPr="00B21FF6">
        <w:rPr>
          <w:lang w:val="en-US"/>
        </w:rPr>
        <w:t>.</w:t>
      </w:r>
      <w:r w:rsidRPr="00B21FF6">
        <w:rPr>
          <w:lang w:val="en-US"/>
        </w:rPr>
        <w:t>), 1958, c. 233.</w:t>
      </w:r>
    </w:p>
    <w:p w:rsidR="00933945" w:rsidRPr="00B21FF6" w:rsidRDefault="00933945" w:rsidP="00843D5F">
      <w:pPr>
        <w:pStyle w:val="SCCNormalDoubleSpacing"/>
        <w:spacing w:after="240" w:line="240" w:lineRule="auto"/>
        <w:ind w:left="539" w:hanging="539"/>
      </w:pPr>
      <w:r w:rsidRPr="00B21FF6">
        <w:rPr>
          <w:i/>
          <w:iCs/>
        </w:rPr>
        <w:t>Limitation Act</w:t>
      </w:r>
      <w:r w:rsidRPr="00B21FF6">
        <w:t xml:space="preserve">, S.B.C. 2012, c. 13, </w:t>
      </w:r>
      <w:r w:rsidR="00B21FF6" w:rsidRPr="00B21FF6">
        <w:t>art. </w:t>
      </w:r>
      <w:r w:rsidRPr="00B21FF6">
        <w:t>7.</w:t>
      </w:r>
    </w:p>
    <w:p w:rsidR="00A8080F" w:rsidRPr="00B21FF6" w:rsidRDefault="00A8080F" w:rsidP="00843D5F">
      <w:pPr>
        <w:pStyle w:val="SCCNormalDoubleSpacing"/>
        <w:spacing w:after="240" w:line="240" w:lineRule="auto"/>
        <w:ind w:left="539" w:hanging="539"/>
        <w:rPr>
          <w:lang w:val="fr-CA"/>
        </w:rPr>
      </w:pPr>
      <w:r w:rsidRPr="00B21FF6">
        <w:rPr>
          <w:i/>
          <w:lang w:val="fr-CA"/>
        </w:rPr>
        <w:t>Loi de 2002 sur la prescription des actions</w:t>
      </w:r>
      <w:r w:rsidRPr="00B21FF6">
        <w:rPr>
          <w:lang w:val="fr-CA"/>
        </w:rPr>
        <w:t>, L.O. 2002, c. 24</w:t>
      </w:r>
      <w:r w:rsidR="009C2930" w:rsidRPr="00B21FF6">
        <w:rPr>
          <w:lang w:val="fr-CA"/>
        </w:rPr>
        <w:t>, ann. B</w:t>
      </w:r>
      <w:r w:rsidRPr="00B21FF6">
        <w:rPr>
          <w:lang w:val="fr-CA"/>
        </w:rPr>
        <w:t xml:space="preserve">, </w:t>
      </w:r>
      <w:r w:rsidR="00B21FF6" w:rsidRPr="00B21FF6">
        <w:rPr>
          <w:lang w:val="fr-CA"/>
        </w:rPr>
        <w:t>art. </w:t>
      </w:r>
      <w:r w:rsidRPr="00B21FF6">
        <w:rPr>
          <w:lang w:val="fr-CA"/>
        </w:rPr>
        <w:t>4.</w:t>
      </w:r>
    </w:p>
    <w:p w:rsidR="004D7D95" w:rsidRPr="00B21FF6" w:rsidRDefault="00411D7E" w:rsidP="00843D5F">
      <w:pPr>
        <w:pStyle w:val="SCCNormalDoubleSpacing"/>
        <w:spacing w:after="720" w:line="240" w:lineRule="auto"/>
        <w:ind w:left="540" w:hanging="540"/>
        <w:rPr>
          <w:lang w:val="fr-CA"/>
        </w:rPr>
      </w:pPr>
      <w:r w:rsidRPr="00B21FF6">
        <w:rPr>
          <w:i/>
          <w:lang w:val="fr-CA"/>
        </w:rPr>
        <w:t>Loi sur l’exécution réciproque de jugements</w:t>
      </w:r>
      <w:r w:rsidRPr="00B21FF6">
        <w:rPr>
          <w:lang w:val="fr-CA"/>
        </w:rPr>
        <w:t>, L.R.O. 1990, c</w:t>
      </w:r>
      <w:r w:rsidR="00C80050" w:rsidRPr="00B21FF6">
        <w:rPr>
          <w:lang w:val="fr-CA"/>
        </w:rPr>
        <w:t>. </w:t>
      </w:r>
      <w:r w:rsidRPr="00B21FF6">
        <w:rPr>
          <w:lang w:val="fr-CA"/>
        </w:rPr>
        <w:t xml:space="preserve">R.5, </w:t>
      </w:r>
      <w:r w:rsidR="00B21FF6" w:rsidRPr="00B21FF6">
        <w:rPr>
          <w:lang w:val="fr-CA"/>
        </w:rPr>
        <w:t>art. </w:t>
      </w:r>
      <w:r w:rsidRPr="00B21FF6">
        <w:rPr>
          <w:lang w:val="fr-CA"/>
        </w:rPr>
        <w:t>1(1)</w:t>
      </w:r>
      <w:r w:rsidR="004818A6" w:rsidRPr="00B21FF6">
        <w:rPr>
          <w:lang w:val="fr-CA"/>
        </w:rPr>
        <w:t xml:space="preserve"> « créancier en vertu du jugement », « débiteur en vertu du jugement », « jugement », « tribunal d’enregistrement », « tribunal d’origine »</w:t>
      </w:r>
      <w:r w:rsidRPr="00B21FF6">
        <w:rPr>
          <w:lang w:val="fr-CA"/>
        </w:rPr>
        <w:t xml:space="preserve">, </w:t>
      </w:r>
      <w:r w:rsidR="00281496" w:rsidRPr="00B21FF6">
        <w:rPr>
          <w:lang w:val="fr-CA"/>
        </w:rPr>
        <w:t xml:space="preserve">2, </w:t>
      </w:r>
      <w:r w:rsidR="00E274F7" w:rsidRPr="00B21FF6">
        <w:rPr>
          <w:lang w:val="fr-CA"/>
        </w:rPr>
        <w:t>3</w:t>
      </w:r>
      <w:r w:rsidR="00281496" w:rsidRPr="00B21FF6">
        <w:rPr>
          <w:lang w:val="fr-CA"/>
        </w:rPr>
        <w:t>, 4,</w:t>
      </w:r>
      <w:r w:rsidR="00C23893" w:rsidRPr="00B21FF6">
        <w:rPr>
          <w:lang w:val="fr-CA"/>
        </w:rPr>
        <w:t xml:space="preserve"> 6,</w:t>
      </w:r>
      <w:r w:rsidR="00281496" w:rsidRPr="00B21FF6">
        <w:rPr>
          <w:lang w:val="fr-CA"/>
        </w:rPr>
        <w:t xml:space="preserve"> </w:t>
      </w:r>
      <w:r w:rsidR="00E274F7" w:rsidRPr="00B21FF6">
        <w:rPr>
          <w:lang w:val="fr-CA"/>
        </w:rPr>
        <w:t xml:space="preserve">7, </w:t>
      </w:r>
      <w:r w:rsidR="00281496" w:rsidRPr="00B21FF6">
        <w:rPr>
          <w:lang w:val="fr-CA"/>
        </w:rPr>
        <w:t>8</w:t>
      </w:r>
      <w:r w:rsidRPr="00B21FF6">
        <w:rPr>
          <w:lang w:val="fr-CA"/>
        </w:rPr>
        <w:t>.</w:t>
      </w:r>
    </w:p>
    <w:p w:rsidR="004D7D95" w:rsidRPr="00B21FF6" w:rsidRDefault="004D7D95" w:rsidP="00843D5F">
      <w:pPr>
        <w:pStyle w:val="SCCNormalDoubleSpacing"/>
        <w:spacing w:after="720" w:line="240" w:lineRule="auto"/>
        <w:rPr>
          <w:b/>
          <w:lang w:val="en-US"/>
        </w:rPr>
      </w:pPr>
      <w:r w:rsidRPr="00B21FF6">
        <w:rPr>
          <w:b/>
          <w:lang w:val="en-US"/>
        </w:rPr>
        <w:t xml:space="preserve">Doctrine </w:t>
      </w:r>
      <w:proofErr w:type="gramStart"/>
      <w:r w:rsidRPr="00B21FF6">
        <w:rPr>
          <w:b/>
          <w:lang w:val="en-US"/>
        </w:rPr>
        <w:t>et</w:t>
      </w:r>
      <w:proofErr w:type="gramEnd"/>
      <w:r w:rsidRPr="00B21FF6">
        <w:rPr>
          <w:b/>
          <w:lang w:val="en-US"/>
        </w:rPr>
        <w:t xml:space="preserve"> </w:t>
      </w:r>
      <w:proofErr w:type="spellStart"/>
      <w:r w:rsidRPr="00B21FF6">
        <w:rPr>
          <w:b/>
          <w:lang w:val="en-US"/>
        </w:rPr>
        <w:t>autres</w:t>
      </w:r>
      <w:proofErr w:type="spellEnd"/>
      <w:r w:rsidRPr="00B21FF6">
        <w:rPr>
          <w:b/>
          <w:lang w:val="en-US"/>
        </w:rPr>
        <w:t xml:space="preserve"> documents </w:t>
      </w:r>
      <w:proofErr w:type="spellStart"/>
      <w:r w:rsidRPr="00B21FF6">
        <w:rPr>
          <w:b/>
          <w:lang w:val="en-US"/>
        </w:rPr>
        <w:t>cités</w:t>
      </w:r>
      <w:proofErr w:type="spellEnd"/>
    </w:p>
    <w:p w:rsidR="00686648" w:rsidRPr="00B21FF6" w:rsidRDefault="00F024D7" w:rsidP="00843D5F">
      <w:pPr>
        <w:pStyle w:val="SCCNormalDoubleSpacing"/>
        <w:spacing w:after="240" w:line="240" w:lineRule="auto"/>
        <w:ind w:left="539" w:hanging="539"/>
        <w:rPr>
          <w:lang w:val="en-US"/>
        </w:rPr>
      </w:pPr>
      <w:r w:rsidRPr="00B21FF6">
        <w:t xml:space="preserve">Conference of Commissioners on Uniformity of Legislation. </w:t>
      </w:r>
      <w:r w:rsidR="00686648" w:rsidRPr="00B21FF6">
        <w:rPr>
          <w:i/>
        </w:rPr>
        <w:t>Proceedings of the Seventh Annual Meeting of the Conference of Commissioners on Uniformity of Legislation in Canada</w:t>
      </w:r>
      <w:r w:rsidR="00686648" w:rsidRPr="00B21FF6">
        <w:t>, A</w:t>
      </w:r>
      <w:r w:rsidR="00B21FF6" w:rsidRPr="00B21FF6">
        <w:t>pp. </w:t>
      </w:r>
      <w:r w:rsidR="00686648" w:rsidRPr="00B21FF6">
        <w:t xml:space="preserve">G, </w:t>
      </w:r>
      <w:r w:rsidR="00686648" w:rsidRPr="00B21FF6">
        <w:rPr>
          <w:i/>
        </w:rPr>
        <w:t>The Reciprocal Enforcement of Judgments Act</w:t>
      </w:r>
      <w:r w:rsidR="00B00675" w:rsidRPr="00B21FF6">
        <w:t>, Ottawa,</w:t>
      </w:r>
      <w:r w:rsidR="00686648" w:rsidRPr="00B21FF6">
        <w:t> 1924</w:t>
      </w:r>
      <w:r w:rsidR="00B00675" w:rsidRPr="00B21FF6">
        <w:t>.</w:t>
      </w:r>
    </w:p>
    <w:p w:rsidR="006F7AE0" w:rsidRPr="00B21FF6" w:rsidRDefault="00C46DA0" w:rsidP="00843D5F">
      <w:pPr>
        <w:pStyle w:val="SCCNormalDoubleSpacing"/>
        <w:spacing w:after="240" w:line="240" w:lineRule="auto"/>
        <w:ind w:left="539" w:hanging="539"/>
      </w:pPr>
      <w:proofErr w:type="spellStart"/>
      <w:r w:rsidRPr="00B21FF6">
        <w:rPr>
          <w:lang w:val="en-US"/>
        </w:rPr>
        <w:t>Pitel</w:t>
      </w:r>
      <w:proofErr w:type="spellEnd"/>
      <w:r w:rsidRPr="00B21FF6">
        <w:rPr>
          <w:lang w:val="en-US"/>
        </w:rPr>
        <w:t>, Stephe</w:t>
      </w:r>
      <w:r w:rsidR="006F7AE0" w:rsidRPr="00B21FF6">
        <w:rPr>
          <w:lang w:val="en-US"/>
        </w:rPr>
        <w:t>n G.</w:t>
      </w:r>
      <w:r w:rsidRPr="00B21FF6">
        <w:rPr>
          <w:lang w:val="en-US"/>
        </w:rPr>
        <w:t> A., and Nicholas S.</w:t>
      </w:r>
      <w:r w:rsidR="006F7AE0" w:rsidRPr="00B21FF6">
        <w:rPr>
          <w:lang w:val="en-US"/>
        </w:rPr>
        <w:t xml:space="preserve"> Rafferty. </w:t>
      </w:r>
      <w:r w:rsidR="006F7AE0" w:rsidRPr="00B21FF6">
        <w:rPr>
          <w:i/>
        </w:rPr>
        <w:t>Conflict of Laws</w:t>
      </w:r>
      <w:r w:rsidR="006F7AE0" w:rsidRPr="00B21FF6">
        <w:t>,</w:t>
      </w:r>
      <w:r w:rsidR="006F7AE0" w:rsidRPr="00B21FF6">
        <w:rPr>
          <w:i/>
        </w:rPr>
        <w:t xml:space="preserve"> </w:t>
      </w:r>
      <w:r w:rsidR="000679E7">
        <w:t xml:space="preserve">2nd </w:t>
      </w:r>
      <w:r w:rsidR="006F7AE0" w:rsidRPr="00B21FF6">
        <w:t>ed., Toronto, Irwin Law, 2016.</w:t>
      </w:r>
    </w:p>
    <w:p w:rsidR="0058168E" w:rsidRPr="00B21FF6" w:rsidRDefault="0058168E" w:rsidP="00843D5F">
      <w:pPr>
        <w:pStyle w:val="SCCNormalDoubleSpacing"/>
        <w:spacing w:after="240" w:line="240" w:lineRule="auto"/>
        <w:ind w:left="539" w:hanging="539"/>
      </w:pPr>
      <w:proofErr w:type="spellStart"/>
      <w:r w:rsidRPr="00B21FF6">
        <w:t>Pitel</w:t>
      </w:r>
      <w:proofErr w:type="spellEnd"/>
      <w:r w:rsidRPr="00B21FF6">
        <w:t xml:space="preserve">, Stephen G. A., et </w:t>
      </w:r>
      <w:r w:rsidR="00B21FF6" w:rsidRPr="00B21FF6">
        <w:t>al. </w:t>
      </w:r>
      <w:r w:rsidRPr="00B21FF6">
        <w:rPr>
          <w:i/>
        </w:rPr>
        <w:t>Private International Law in Common Law Canada</w:t>
      </w:r>
      <w:r w:rsidR="00B21FF6" w:rsidRPr="00B21FF6">
        <w:rPr>
          <w:i/>
        </w:rPr>
        <w:t> :</w:t>
      </w:r>
      <w:r w:rsidRPr="00B21FF6">
        <w:rPr>
          <w:i/>
        </w:rPr>
        <w:t xml:space="preserve"> Cases, Text and Materials</w:t>
      </w:r>
      <w:r w:rsidRPr="00B21FF6">
        <w:t>, 4th ed., Toronto, Emond Montgomery, 2016.</w:t>
      </w:r>
    </w:p>
    <w:p w:rsidR="00787899" w:rsidRPr="00B21FF6" w:rsidRDefault="00787899" w:rsidP="00843D5F">
      <w:pPr>
        <w:pStyle w:val="SCCNormalDoubleSpacing"/>
        <w:spacing w:after="240" w:line="240" w:lineRule="auto"/>
        <w:ind w:left="539" w:hanging="539"/>
      </w:pPr>
      <w:r w:rsidRPr="00B21FF6">
        <w:t>Scalia, Antonin, and Bryan</w:t>
      </w:r>
      <w:r w:rsidR="000679E7">
        <w:t xml:space="preserve"> A. </w:t>
      </w:r>
      <w:r w:rsidRPr="00B21FF6">
        <w:t xml:space="preserve">Garner. </w:t>
      </w:r>
      <w:r w:rsidRPr="00B21FF6">
        <w:rPr>
          <w:i/>
        </w:rPr>
        <w:t xml:space="preserve">Reading </w:t>
      </w:r>
      <w:proofErr w:type="gramStart"/>
      <w:r w:rsidRPr="00B21FF6">
        <w:rPr>
          <w:i/>
        </w:rPr>
        <w:t>Law</w:t>
      </w:r>
      <w:r w:rsidR="00B21FF6" w:rsidRPr="00B21FF6">
        <w:rPr>
          <w:i/>
        </w:rPr>
        <w:t> :</w:t>
      </w:r>
      <w:proofErr w:type="gramEnd"/>
      <w:r w:rsidRPr="00B21FF6">
        <w:rPr>
          <w:i/>
        </w:rPr>
        <w:t xml:space="preserve"> The Interpretation of Legal Texts</w:t>
      </w:r>
      <w:r w:rsidRPr="00B21FF6">
        <w:t>,</w:t>
      </w:r>
      <w:r w:rsidRPr="00B21FF6">
        <w:rPr>
          <w:i/>
        </w:rPr>
        <w:t xml:space="preserve"> </w:t>
      </w:r>
      <w:r w:rsidRPr="00B21FF6">
        <w:t>St. Paul, Thomson/West, 2012.</w:t>
      </w:r>
    </w:p>
    <w:p w:rsidR="00F903B8" w:rsidRPr="00B21FF6" w:rsidRDefault="00F903B8" w:rsidP="00843D5F">
      <w:pPr>
        <w:pStyle w:val="SCCNormalDoubleSpacing"/>
        <w:spacing w:after="240" w:line="240" w:lineRule="auto"/>
        <w:ind w:left="539" w:hanging="539"/>
      </w:pPr>
      <w:r w:rsidRPr="00B21FF6">
        <w:rPr>
          <w:lang w:val="en-US"/>
        </w:rPr>
        <w:t xml:space="preserve">Sullivan, Ruth. </w:t>
      </w:r>
      <w:r w:rsidRPr="00B21FF6">
        <w:rPr>
          <w:i/>
          <w:lang w:val="en-US"/>
        </w:rPr>
        <w:t>Sullivan on the Construction of Statutes</w:t>
      </w:r>
      <w:r w:rsidRPr="00B21FF6">
        <w:rPr>
          <w:lang w:val="en-US"/>
        </w:rPr>
        <w:t xml:space="preserve">, </w:t>
      </w:r>
      <w:r w:rsidRPr="00B21FF6">
        <w:rPr>
          <w:szCs w:val="24"/>
        </w:rPr>
        <w:t>6th ed., Markham (Ont.), LexisNexis, 2014.</w:t>
      </w:r>
    </w:p>
    <w:p w:rsidR="00EE0DAA" w:rsidRPr="00B21FF6" w:rsidRDefault="00EE0DAA" w:rsidP="00843D5F">
      <w:pPr>
        <w:pStyle w:val="SCCNormalDoubleSpacing"/>
        <w:spacing w:after="240" w:line="240" w:lineRule="auto"/>
        <w:ind w:left="539" w:hanging="539"/>
      </w:pPr>
      <w:r w:rsidRPr="00B21FF6">
        <w:t>Walker, Janet</w:t>
      </w:r>
      <w:r w:rsidR="00EA2C76" w:rsidRPr="00B21FF6">
        <w:t xml:space="preserve">. </w:t>
      </w:r>
      <w:r w:rsidR="00F63C12" w:rsidRPr="00B21FF6">
        <w:rPr>
          <w:i/>
        </w:rPr>
        <w:t xml:space="preserve">Castel &amp; </w:t>
      </w:r>
      <w:proofErr w:type="gramStart"/>
      <w:r w:rsidR="00F63C12" w:rsidRPr="00B21FF6">
        <w:rPr>
          <w:i/>
        </w:rPr>
        <w:t>Walker</w:t>
      </w:r>
      <w:r w:rsidR="00B21FF6" w:rsidRPr="00B21FF6">
        <w:rPr>
          <w:i/>
        </w:rPr>
        <w:t> :</w:t>
      </w:r>
      <w:proofErr w:type="gramEnd"/>
      <w:r w:rsidR="00F63C12" w:rsidRPr="00B21FF6">
        <w:rPr>
          <w:i/>
        </w:rPr>
        <w:t xml:space="preserve"> </w:t>
      </w:r>
      <w:r w:rsidR="00EA2C76" w:rsidRPr="00B21FF6">
        <w:rPr>
          <w:i/>
        </w:rPr>
        <w:t>Canadian Conflict of Laws</w:t>
      </w:r>
      <w:r w:rsidR="00F63C12" w:rsidRPr="00B21FF6">
        <w:t>, 6th ed.,</w:t>
      </w:r>
      <w:r w:rsidR="00EA2C76" w:rsidRPr="00B21FF6">
        <w:rPr>
          <w:i/>
        </w:rPr>
        <w:t xml:space="preserve"> </w:t>
      </w:r>
      <w:r w:rsidR="00EA2C76" w:rsidRPr="00B21FF6">
        <w:t>Toronto, LexisNexis, 2005 (loose</w:t>
      </w:r>
      <w:r w:rsidR="00B21FF6" w:rsidRPr="00B21FF6">
        <w:noBreakHyphen/>
      </w:r>
      <w:r w:rsidR="00EA2C76" w:rsidRPr="00B21FF6">
        <w:t xml:space="preserve">leaf updated </w:t>
      </w:r>
      <w:r w:rsidR="00B12705" w:rsidRPr="00B21FF6">
        <w:t>August 2021, release 87</w:t>
      </w:r>
      <w:r w:rsidR="00EA2C76" w:rsidRPr="00B21FF6">
        <w:t>).</w:t>
      </w:r>
    </w:p>
    <w:p w:rsidR="004D7D95" w:rsidRPr="00B21FF6" w:rsidRDefault="0072663C" w:rsidP="00843D5F">
      <w:pPr>
        <w:pStyle w:val="SCCNormalDoubleSpacing"/>
        <w:spacing w:after="720" w:line="240" w:lineRule="auto"/>
        <w:ind w:left="540" w:hanging="540"/>
        <w:rPr>
          <w:lang w:val="en-US"/>
        </w:rPr>
      </w:pPr>
      <w:r w:rsidRPr="00B21FF6">
        <w:t>Walker, J</w:t>
      </w:r>
      <w:r w:rsidR="00EE0DAA" w:rsidRPr="00B21FF6">
        <w:t>anet</w:t>
      </w:r>
      <w:r w:rsidRPr="00B21FF6">
        <w:t xml:space="preserve">. </w:t>
      </w:r>
      <w:r w:rsidRPr="00B21FF6">
        <w:rPr>
          <w:i/>
          <w:szCs w:val="24"/>
        </w:rPr>
        <w:t>Halsbury’s Laws of Canada — Conflict of Laws</w:t>
      </w:r>
      <w:r w:rsidRPr="00B21FF6">
        <w:rPr>
          <w:szCs w:val="24"/>
        </w:rPr>
        <w:t xml:space="preserve">, 1st ed., Toronto, LexisNexis, </w:t>
      </w:r>
      <w:r w:rsidR="00B55047" w:rsidRPr="00B21FF6">
        <w:rPr>
          <w:szCs w:val="24"/>
        </w:rPr>
        <w:t>2020 Reissue</w:t>
      </w:r>
      <w:r w:rsidRPr="00B21FF6">
        <w:rPr>
          <w:szCs w:val="24"/>
        </w:rPr>
        <w:t>.</w:t>
      </w:r>
    </w:p>
    <w:p w:rsidR="005A34FC" w:rsidRPr="00B21FF6" w:rsidRDefault="005A34FC" w:rsidP="00843D5F">
      <w:pPr>
        <w:pStyle w:val="SCCNormalDoubleSpacing"/>
        <w:spacing w:after="480"/>
        <w:rPr>
          <w:lang w:val="fr-CA"/>
        </w:rPr>
      </w:pPr>
      <w:r w:rsidRPr="00B21FF6">
        <w:rPr>
          <w:lang w:val="en-US"/>
        </w:rPr>
        <w:tab/>
      </w:r>
      <w:r w:rsidR="004D7D95" w:rsidRPr="00B21FF6">
        <w:rPr>
          <w:lang w:val="en-US"/>
        </w:rPr>
        <w:t xml:space="preserve">POURVOI contre un </w:t>
      </w:r>
      <w:proofErr w:type="spellStart"/>
      <w:r w:rsidR="004D7D95" w:rsidRPr="00B21FF6">
        <w:rPr>
          <w:lang w:val="en-US"/>
        </w:rPr>
        <w:t>arrêt</w:t>
      </w:r>
      <w:proofErr w:type="spellEnd"/>
      <w:r w:rsidR="004D7D95" w:rsidRPr="00B21FF6">
        <w:rPr>
          <w:lang w:val="en-US"/>
        </w:rPr>
        <w:t xml:space="preserve"> de la Cour d</w:t>
      </w:r>
      <w:r w:rsidRPr="00B21FF6">
        <w:rPr>
          <w:lang w:val="en-US"/>
        </w:rPr>
        <w:t>’</w:t>
      </w:r>
      <w:r w:rsidR="004D7D95" w:rsidRPr="00B21FF6">
        <w:rPr>
          <w:lang w:val="en-US"/>
        </w:rPr>
        <w:t>appel de l</w:t>
      </w:r>
      <w:r w:rsidRPr="00B21FF6">
        <w:rPr>
          <w:lang w:val="en-US"/>
        </w:rPr>
        <w:t>’</w:t>
      </w:r>
      <w:r w:rsidR="004D7D95" w:rsidRPr="00B21FF6">
        <w:rPr>
          <w:lang w:val="en-US"/>
        </w:rPr>
        <w:t>Ontario</w:t>
      </w:r>
      <w:r w:rsidRPr="00B21FF6">
        <w:rPr>
          <w:lang w:val="en-US"/>
        </w:rPr>
        <w:t xml:space="preserve"> (les juges Simmons, Pardu et Nordheimer), 2020 ONCA 12, 149 </w:t>
      </w:r>
      <w:r w:rsidR="00485C78" w:rsidRPr="00B21FF6">
        <w:rPr>
          <w:lang w:val="en-US"/>
        </w:rPr>
        <w:t xml:space="preserve">O.R. </w:t>
      </w:r>
      <w:r w:rsidRPr="00B21FF6">
        <w:rPr>
          <w:lang w:val="en-US"/>
        </w:rPr>
        <w:t>(3d) 440, 442 D.L.R. (4th) 241, 14 L.C.R. (2d) 177, 1 B.</w:t>
      </w:r>
      <w:r w:rsidR="00485C78" w:rsidRPr="00B21FF6">
        <w:rPr>
          <w:lang w:val="en-US"/>
        </w:rPr>
        <w:t xml:space="preserve">L.R. (6th) 232, [2020] O.J. </w:t>
      </w:r>
      <w:r w:rsidR="00B21FF6" w:rsidRPr="00B21FF6">
        <w:rPr>
          <w:lang w:val="en-US"/>
        </w:rPr>
        <w:t>No. </w:t>
      </w:r>
      <w:r w:rsidR="00485C78" w:rsidRPr="00B21FF6">
        <w:rPr>
          <w:lang w:val="en-US"/>
        </w:rPr>
        <w:t>69</w:t>
      </w:r>
      <w:r w:rsidRPr="00B21FF6">
        <w:rPr>
          <w:lang w:val="en-US"/>
        </w:rPr>
        <w:t xml:space="preserve"> (QL), 2020 CarswellOnt 74 (WL Can.), qui a </w:t>
      </w:r>
      <w:proofErr w:type="spellStart"/>
      <w:r w:rsidRPr="00B21FF6">
        <w:rPr>
          <w:lang w:val="en-US"/>
        </w:rPr>
        <w:t>confirmé</w:t>
      </w:r>
      <w:proofErr w:type="spellEnd"/>
      <w:r w:rsidRPr="00B21FF6">
        <w:rPr>
          <w:lang w:val="en-US"/>
        </w:rPr>
        <w:t xml:space="preserve"> </w:t>
      </w:r>
      <w:proofErr w:type="spellStart"/>
      <w:r w:rsidRPr="00B21FF6">
        <w:rPr>
          <w:lang w:val="en-US"/>
        </w:rPr>
        <w:t>une</w:t>
      </w:r>
      <w:proofErr w:type="spellEnd"/>
      <w:r w:rsidRPr="00B21FF6">
        <w:rPr>
          <w:lang w:val="en-US"/>
        </w:rPr>
        <w:t xml:space="preserve"> décision du juge </w:t>
      </w:r>
      <w:r w:rsidR="00485C78" w:rsidRPr="00B21FF6">
        <w:rPr>
          <w:lang w:val="en-US"/>
        </w:rPr>
        <w:t>Pe</w:t>
      </w:r>
      <w:r w:rsidRPr="00B21FF6">
        <w:rPr>
          <w:lang w:val="en-US"/>
        </w:rPr>
        <w:t>rell, 2019 ONSC 1445, 145 O.R. (3d) 515, 14 L</w:t>
      </w:r>
      <w:r w:rsidR="00485C78" w:rsidRPr="00B21FF6">
        <w:rPr>
          <w:lang w:val="en-US"/>
        </w:rPr>
        <w:t xml:space="preserve">.C.R. (2d) 150, [2019] O.J. </w:t>
      </w:r>
      <w:r w:rsidR="00B21FF6" w:rsidRPr="00B21FF6">
        <w:rPr>
          <w:lang w:val="en-US"/>
        </w:rPr>
        <w:t>No. </w:t>
      </w:r>
      <w:r w:rsidRPr="00B21FF6">
        <w:rPr>
          <w:lang w:val="en-US"/>
        </w:rPr>
        <w:t xml:space="preserve">1133 (QL), 2019 CarswellOnt 3149 (WL Can.). </w:t>
      </w:r>
      <w:r w:rsidRPr="00B21FF6">
        <w:rPr>
          <w:lang w:val="fr-CA"/>
        </w:rPr>
        <w:t>Pourvoi</w:t>
      </w:r>
      <w:r w:rsidR="00AA0A42" w:rsidRPr="00B21FF6">
        <w:rPr>
          <w:lang w:val="fr-CA"/>
        </w:rPr>
        <w:t xml:space="preserve"> </w:t>
      </w:r>
      <w:r w:rsidR="00F05E66" w:rsidRPr="00B21FF6">
        <w:rPr>
          <w:lang w:val="fr-CA"/>
        </w:rPr>
        <w:t>rejeté.</w:t>
      </w:r>
    </w:p>
    <w:p w:rsidR="001C1A25" w:rsidRPr="00B21FF6" w:rsidRDefault="003D7F3C" w:rsidP="00843D5F">
      <w:pPr>
        <w:pStyle w:val="SCCNormalDoubleSpacing"/>
        <w:spacing w:after="480"/>
        <w:rPr>
          <w:lang w:val="fr-CA"/>
        </w:rPr>
      </w:pPr>
      <w:r w:rsidRPr="00B21FF6">
        <w:rPr>
          <w:rStyle w:val="SCCCounselNameChar"/>
          <w:lang w:val="fr-CA"/>
        </w:rPr>
        <w:tab/>
        <w:t xml:space="preserve">Lincoln Caylor </w:t>
      </w:r>
      <w:r w:rsidRPr="00B21FF6">
        <w:rPr>
          <w:rStyle w:val="SCCCounselSeparatorChar"/>
          <w:lang w:val="fr-CA"/>
        </w:rPr>
        <w:t xml:space="preserve">et </w:t>
      </w:r>
      <w:r w:rsidRPr="00B21FF6">
        <w:rPr>
          <w:rStyle w:val="SCCCounselNameChar"/>
          <w:lang w:val="fr-CA"/>
        </w:rPr>
        <w:t>Nina Butz</w:t>
      </w:r>
      <w:r w:rsidRPr="00B21FF6">
        <w:rPr>
          <w:rStyle w:val="SCCCounselPartyRoleChar"/>
          <w:lang w:val="fr-CA"/>
        </w:rPr>
        <w:t>, pour l</w:t>
      </w:r>
      <w:r w:rsidR="005A34FC" w:rsidRPr="00B21FF6">
        <w:rPr>
          <w:rStyle w:val="SCCCounselPartyRoleChar"/>
          <w:lang w:val="fr-CA"/>
        </w:rPr>
        <w:t>’appelante</w:t>
      </w:r>
      <w:r w:rsidRPr="00B21FF6">
        <w:rPr>
          <w:rStyle w:val="SCCCounselPartyRoleChar"/>
          <w:lang w:val="fr-CA"/>
        </w:rPr>
        <w:t>.</w:t>
      </w:r>
    </w:p>
    <w:p w:rsidR="001C1A25" w:rsidRPr="00B21FF6" w:rsidRDefault="003D7F3C" w:rsidP="005A34FC">
      <w:pPr>
        <w:pStyle w:val="SCCNormalDoubleSpacing"/>
        <w:rPr>
          <w:lang w:val="fr-CA"/>
        </w:rPr>
      </w:pPr>
      <w:r w:rsidRPr="00B21FF6">
        <w:rPr>
          <w:rStyle w:val="SCCCounselNameChar"/>
          <w:lang w:val="fr-CA"/>
        </w:rPr>
        <w:tab/>
        <w:t>Steve</w:t>
      </w:r>
      <w:r w:rsidR="00843D5F" w:rsidRPr="00B21FF6">
        <w:rPr>
          <w:rStyle w:val="SCCCounselNameChar"/>
          <w:lang w:val="fr-CA"/>
        </w:rPr>
        <w:t> </w:t>
      </w:r>
      <w:r w:rsidRPr="00B21FF6">
        <w:rPr>
          <w:rStyle w:val="SCCCounselNameChar"/>
          <w:lang w:val="fr-CA"/>
        </w:rPr>
        <w:t>J. Tenai</w:t>
      </w:r>
      <w:r w:rsidRPr="00B21FF6">
        <w:rPr>
          <w:rStyle w:val="SCCCounselSeparatorChar"/>
          <w:lang w:val="fr-CA"/>
        </w:rPr>
        <w:t xml:space="preserve"> et </w:t>
      </w:r>
      <w:proofErr w:type="spellStart"/>
      <w:r w:rsidRPr="00B21FF6">
        <w:rPr>
          <w:rStyle w:val="SCCCounselNameChar"/>
          <w:lang w:val="fr-CA"/>
        </w:rPr>
        <w:t>Sanj</w:t>
      </w:r>
      <w:proofErr w:type="spellEnd"/>
      <w:r w:rsidRPr="00B21FF6">
        <w:rPr>
          <w:rStyle w:val="SCCCounselNameChar"/>
          <w:lang w:val="fr-CA"/>
        </w:rPr>
        <w:t xml:space="preserve"> </w:t>
      </w:r>
      <w:proofErr w:type="spellStart"/>
      <w:r w:rsidRPr="00B21FF6">
        <w:rPr>
          <w:rStyle w:val="SCCCounselNameChar"/>
          <w:lang w:val="fr-CA"/>
        </w:rPr>
        <w:t>Sood</w:t>
      </w:r>
      <w:proofErr w:type="spellEnd"/>
      <w:r w:rsidRPr="00B21FF6">
        <w:rPr>
          <w:rStyle w:val="SCCCounselPartyRoleChar"/>
          <w:lang w:val="fr-CA"/>
        </w:rPr>
        <w:t>, pour l</w:t>
      </w:r>
      <w:r w:rsidR="005A34FC" w:rsidRPr="00B21FF6">
        <w:rPr>
          <w:rStyle w:val="SCCCounselPartyRoleChar"/>
          <w:lang w:val="fr-CA"/>
        </w:rPr>
        <w:t>’intimé</w:t>
      </w:r>
      <w:r w:rsidRPr="00B21FF6">
        <w:rPr>
          <w:rStyle w:val="SCCCounselPartyRoleChar"/>
          <w:lang w:val="fr-CA"/>
        </w:rPr>
        <w:t>.</w:t>
      </w:r>
    </w:p>
    <w:p w:rsidR="004D7D95" w:rsidRDefault="004D7D95" w:rsidP="009D2D7F">
      <w:pPr>
        <w:pStyle w:val="SCCNormalDoubleSpacing"/>
        <w:spacing w:after="480"/>
        <w:rPr>
          <w:lang w:val="fr-CA"/>
        </w:rPr>
      </w:pPr>
    </w:p>
    <w:p w:rsidR="009D2D7F" w:rsidRDefault="009D2D7F" w:rsidP="009D2D7F">
      <w:pPr>
        <w:jc w:val="both"/>
        <w:rPr>
          <w:lang w:val="fr-CA"/>
        </w:rPr>
      </w:pPr>
      <w:r w:rsidRPr="00173A02">
        <w:rPr>
          <w:lang w:val="fr-CA"/>
        </w:rPr>
        <w:t>Version française du jugement d</w:t>
      </w:r>
      <w:r>
        <w:rPr>
          <w:lang w:val="fr-CA"/>
        </w:rPr>
        <w:t xml:space="preserve">u juge en chef Wagner et des juges </w:t>
      </w:r>
      <w:r w:rsidRPr="00F271B4">
        <w:rPr>
          <w:lang w:val="fr-CA"/>
        </w:rPr>
        <w:t xml:space="preserve">Karakatsanis, </w:t>
      </w:r>
      <w:r w:rsidRPr="00DE2815">
        <w:rPr>
          <w:lang w:val="fr-CA"/>
        </w:rPr>
        <w:t xml:space="preserve">Rowe </w:t>
      </w:r>
      <w:r>
        <w:rPr>
          <w:lang w:val="fr-CA"/>
        </w:rPr>
        <w:t>et</w:t>
      </w:r>
      <w:r w:rsidRPr="00F271B4">
        <w:rPr>
          <w:lang w:val="fr-CA"/>
        </w:rPr>
        <w:t xml:space="preserve"> Kasirer </w:t>
      </w:r>
      <w:r w:rsidRPr="00173A02">
        <w:rPr>
          <w:lang w:val="fr-CA"/>
        </w:rPr>
        <w:t>rendu par</w:t>
      </w:r>
    </w:p>
    <w:p w:rsidR="009D2D7F" w:rsidRDefault="009D2D7F" w:rsidP="009D2D7F">
      <w:pPr>
        <w:jc w:val="both"/>
        <w:rPr>
          <w:lang w:val="fr-CA"/>
        </w:rPr>
      </w:pPr>
    </w:p>
    <w:p w:rsidR="009D2D7F" w:rsidRPr="002C6B07" w:rsidRDefault="009D2D7F" w:rsidP="009D2D7F">
      <w:pPr>
        <w:pStyle w:val="JudgeJuge"/>
        <w:spacing w:before="480"/>
        <w:rPr>
          <w:noProof/>
          <w:lang w:val="fr-CA"/>
        </w:rPr>
      </w:pPr>
      <w:r w:rsidRPr="002C6B07">
        <w:rPr>
          <w:noProof/>
          <w:lang w:val="fr-CA"/>
        </w:rPr>
        <w:tab/>
        <w:t xml:space="preserve">Le juge en chef — </w:t>
      </w:r>
    </w:p>
    <w:p w:rsidR="009D2D7F" w:rsidRPr="002C6B07" w:rsidRDefault="009D2D7F" w:rsidP="009D2D7F">
      <w:pPr>
        <w:pStyle w:val="Title1LevelTitre1Niveau-AltL"/>
        <w:rPr>
          <w:rFonts w:cs="Times New Roman"/>
          <w:noProof/>
          <w:lang w:val="fr-CA"/>
        </w:rPr>
      </w:pPr>
      <w:r w:rsidRPr="002C6B07">
        <w:rPr>
          <w:rFonts w:cs="Times New Roman"/>
          <w:noProof/>
          <w:lang w:val="fr-CA"/>
        </w:rPr>
        <w:t>Introduction</w:t>
      </w:r>
    </w:p>
    <w:p w:rsidR="009D2D7F" w:rsidRPr="002C6B07" w:rsidRDefault="009D2D7F" w:rsidP="009D2D7F">
      <w:pPr>
        <w:pStyle w:val="ParaNoNdepar-AltN"/>
        <w:tabs>
          <w:tab w:val="clear" w:pos="1152"/>
          <w:tab w:val="left" w:pos="1166"/>
        </w:tabs>
        <w:rPr>
          <w:rFonts w:cs="Times New Roman"/>
          <w:noProof/>
          <w:lang w:val="fr-CA"/>
        </w:rPr>
      </w:pPr>
      <w:r w:rsidRPr="002C6B07">
        <w:rPr>
          <w:rStyle w:val="normaltextrun"/>
          <w:rFonts w:cs="Times New Roman"/>
          <w:noProof/>
          <w:lang w:val="fr-CA"/>
        </w:rPr>
        <w:t xml:space="preserve">Dans le présent pourvoi, H.M.B. Holdings Limited (« H.M.B. ») sollicite, en vertu de la </w:t>
      </w:r>
      <w:r w:rsidRPr="002C6B07">
        <w:rPr>
          <w:rFonts w:cs="Times New Roman"/>
          <w:i/>
          <w:iCs/>
          <w:noProof/>
          <w:lang w:val="fr-CA"/>
        </w:rPr>
        <w:t>Loi sur l’exécution réciproque de jugements</w:t>
      </w:r>
      <w:r w:rsidRPr="002C6B07">
        <w:rPr>
          <w:rFonts w:cs="Times New Roman"/>
          <w:noProof/>
          <w:lang w:val="fr-CA"/>
        </w:rPr>
        <w:t>, L.R.O. 1990, c. R.5 (« </w:t>
      </w:r>
      <w:r w:rsidRPr="002C6B07">
        <w:rPr>
          <w:rFonts w:cs="Times New Roman"/>
          <w:i/>
          <w:iCs/>
          <w:noProof/>
          <w:lang w:val="fr-CA"/>
        </w:rPr>
        <w:t>LERJ</w:t>
      </w:r>
      <w:r w:rsidRPr="002C6B07">
        <w:rPr>
          <w:rFonts w:cs="Times New Roman"/>
          <w:noProof/>
          <w:lang w:val="fr-CA"/>
        </w:rPr>
        <w:t> »), de l’Ontario, une ordonnance portant enregistrement du jugement par défaut qu’elle a obtenu en Colombie</w:t>
      </w:r>
      <w:r>
        <w:rPr>
          <w:rFonts w:cs="Times New Roman"/>
          <w:noProof/>
          <w:lang w:val="fr-CA"/>
        </w:rPr>
        <w:noBreakHyphen/>
      </w:r>
      <w:r w:rsidRPr="002C6B07">
        <w:rPr>
          <w:rFonts w:cs="Times New Roman"/>
          <w:noProof/>
          <w:lang w:val="fr-CA"/>
        </w:rPr>
        <w:t>Britannique contre Antigua</w:t>
      </w:r>
      <w:r>
        <w:rPr>
          <w:rFonts w:cs="Times New Roman"/>
          <w:noProof/>
          <w:lang w:val="fr-CA"/>
        </w:rPr>
        <w:noBreakHyphen/>
      </w:r>
      <w:r w:rsidRPr="002C6B07">
        <w:rPr>
          <w:rFonts w:cs="Times New Roman"/>
          <w:noProof/>
          <w:lang w:val="fr-CA"/>
        </w:rPr>
        <w:t>et</w:t>
      </w:r>
      <w:r>
        <w:rPr>
          <w:rFonts w:cs="Times New Roman"/>
          <w:noProof/>
          <w:lang w:val="fr-CA"/>
        </w:rPr>
        <w:noBreakHyphen/>
      </w:r>
      <w:r w:rsidRPr="002C6B07">
        <w:rPr>
          <w:rFonts w:cs="Times New Roman"/>
          <w:noProof/>
          <w:lang w:val="fr-CA"/>
        </w:rPr>
        <w:t xml:space="preserve">Barbuda (« Antigua ») en vue de faire exécuter un arrêt par lequel le Comité </w:t>
      </w:r>
      <w:r w:rsidRPr="002C6B07">
        <w:rPr>
          <w:rFonts w:cs="Times New Roman"/>
          <w:noProof/>
          <w:szCs w:val="24"/>
          <w:shd w:val="clear" w:color="auto" w:fill="FFFFFF"/>
          <w:lang w:val="fr-CA"/>
        </w:rPr>
        <w:t xml:space="preserve">judiciaire du Conseil privé </w:t>
      </w:r>
      <w:r>
        <w:rPr>
          <w:rFonts w:cs="Times New Roman"/>
          <w:noProof/>
          <w:szCs w:val="24"/>
          <w:shd w:val="clear" w:color="auto" w:fill="FFFFFF"/>
          <w:lang w:val="fr-CA"/>
        </w:rPr>
        <w:t>accordant une indemnité</w:t>
      </w:r>
      <w:r w:rsidRPr="002C6B07">
        <w:rPr>
          <w:rFonts w:cs="Times New Roman"/>
          <w:noProof/>
          <w:szCs w:val="24"/>
          <w:shd w:val="clear" w:color="auto" w:fill="FFFFFF"/>
          <w:lang w:val="fr-CA"/>
        </w:rPr>
        <w:t xml:space="preserve"> pour expropriation</w:t>
      </w:r>
      <w:r w:rsidRPr="002C6B07">
        <w:rPr>
          <w:rFonts w:cs="Times New Roman"/>
          <w:noProof/>
          <w:lang w:val="fr-CA"/>
        </w:rPr>
        <w:t xml:space="preserve">. Il s’agit d’un problème d’interprétation des lois et, plus particulièrement, d’interprétation et d’application des </w:t>
      </w:r>
      <w:r>
        <w:rPr>
          <w:rFonts w:cs="Times New Roman"/>
          <w:noProof/>
          <w:lang w:val="fr-CA"/>
        </w:rPr>
        <w:t>al. </w:t>
      </w:r>
      <w:r w:rsidRPr="002C6B07">
        <w:rPr>
          <w:rFonts w:cs="Times New Roman"/>
          <w:noProof/>
          <w:lang w:val="fr-CA"/>
        </w:rPr>
        <w:t xml:space="preserve">3b) et 3g) de </w:t>
      </w:r>
      <w:r w:rsidRPr="002C6B07">
        <w:rPr>
          <w:rFonts w:cs="Times New Roman"/>
          <w:iCs/>
          <w:noProof/>
          <w:lang w:val="fr-CA"/>
        </w:rPr>
        <w:t xml:space="preserve">la </w:t>
      </w:r>
      <w:r w:rsidRPr="002C6B07">
        <w:rPr>
          <w:rFonts w:cs="Times New Roman"/>
          <w:i/>
          <w:iCs/>
          <w:noProof/>
          <w:lang w:val="fr-CA"/>
        </w:rPr>
        <w:t>LERJ</w:t>
      </w:r>
      <w:r w:rsidRPr="002C6B07">
        <w:rPr>
          <w:rFonts w:cs="Times New Roman"/>
          <w:iCs/>
          <w:noProof/>
          <w:lang w:val="fr-CA"/>
        </w:rPr>
        <w:t>.</w:t>
      </w:r>
      <w:r w:rsidRPr="002C6B07">
        <w:rPr>
          <w:rFonts w:cs="Times New Roman"/>
          <w:i/>
          <w:iCs/>
          <w:noProof/>
          <w:lang w:val="fr-CA"/>
        </w:rPr>
        <w:t xml:space="preserve"> </w:t>
      </w:r>
      <w:r w:rsidRPr="002C6B07">
        <w:rPr>
          <w:rFonts w:cs="Times New Roman"/>
          <w:iCs/>
          <w:noProof/>
          <w:lang w:val="fr-CA"/>
        </w:rPr>
        <w:t xml:space="preserve">Si l’une ou l’autre de ces dispositions s’applique, </w:t>
      </w:r>
      <w:r w:rsidRPr="002C6B07">
        <w:rPr>
          <w:rFonts w:cs="Times New Roman"/>
          <w:noProof/>
          <w:lang w:val="fr-CA"/>
        </w:rPr>
        <w:t xml:space="preserve">H.M.B. ne peut faire enregistrer le jugement par défaut en vertu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w:t>
      </w:r>
    </w:p>
    <w:p w:rsidR="009D2D7F" w:rsidRPr="002C6B07" w:rsidRDefault="009D2D7F" w:rsidP="009D2D7F">
      <w:pPr>
        <w:pStyle w:val="ParaNoNdepar-AltN"/>
        <w:tabs>
          <w:tab w:val="clear" w:pos="1152"/>
          <w:tab w:val="left" w:pos="1166"/>
        </w:tabs>
        <w:rPr>
          <w:rFonts w:cs="Times New Roman"/>
          <w:noProof/>
          <w:lang w:val="fr-CA"/>
        </w:rPr>
      </w:pPr>
      <w:r w:rsidRPr="002C6B07">
        <w:rPr>
          <w:rStyle w:val="normaltextrun"/>
          <w:rFonts w:cs="Times New Roman"/>
          <w:noProof/>
          <w:lang w:val="fr-CA"/>
        </w:rPr>
        <w:t>Le juge de première instance a conclu que les deux dispositions en question interdisaient l’enregistrement en vertu de la loi. La Cour d’appel de l’Ontario a confirmé à la majorité la conclusion du juge de première instance sur le seul fondement de l’</w:t>
      </w:r>
      <w:r>
        <w:rPr>
          <w:rStyle w:val="normaltextrun"/>
          <w:rFonts w:cs="Times New Roman"/>
          <w:noProof/>
          <w:lang w:val="fr-CA"/>
        </w:rPr>
        <w:t>al. </w:t>
      </w:r>
      <w:r w:rsidRPr="002C6B07">
        <w:rPr>
          <w:rStyle w:val="normaltextrun"/>
          <w:rFonts w:cs="Times New Roman"/>
          <w:noProof/>
          <w:lang w:val="fr-CA"/>
        </w:rPr>
        <w:t>3b). Pour les motifs qui suivent, je suis d’accord avec la Cour d’appel et j’arrive à la conclusion que le présent pourvoi doit être rejeté.</w:t>
      </w:r>
    </w:p>
    <w:p w:rsidR="009D2D7F" w:rsidRPr="002C6B07" w:rsidRDefault="009D2D7F" w:rsidP="009D2D7F">
      <w:pPr>
        <w:pStyle w:val="Title1LevelTitre1Niveau-AltL"/>
        <w:rPr>
          <w:rFonts w:cs="Times New Roman"/>
          <w:noProof/>
          <w:lang w:val="fr-CA"/>
        </w:rPr>
      </w:pPr>
      <w:r w:rsidRPr="002C6B07">
        <w:rPr>
          <w:rFonts w:cs="Times New Roman"/>
          <w:noProof/>
          <w:lang w:val="fr-CA"/>
        </w:rPr>
        <w:t>Les faits</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En 2007, Antigua, un pays constitué de plusieurs îles des Caraïbes, a exproprié en vertu de sa </w:t>
      </w:r>
      <w:r w:rsidRPr="002C6B07">
        <w:rPr>
          <w:rFonts w:cs="Times New Roman"/>
          <w:i/>
          <w:noProof/>
          <w:lang w:val="fr-CA"/>
        </w:rPr>
        <w:t>Land Acquisition Act</w:t>
      </w:r>
      <w:r w:rsidRPr="002C6B07">
        <w:rPr>
          <w:rFonts w:cs="Times New Roman"/>
          <w:noProof/>
          <w:lang w:val="fr-CA"/>
        </w:rPr>
        <w:t xml:space="preserve">, 1958, c. 233, une propriété appartenant à H.M.B., une société privée constituée en personne morale à Antigua. </w:t>
      </w:r>
      <w:r>
        <w:rPr>
          <w:rFonts w:cs="Times New Roman"/>
          <w:noProof/>
          <w:lang w:val="fr-CA"/>
        </w:rPr>
        <w:t xml:space="preserve">Des procédures judiciaires ont été engagées et, en mai </w:t>
      </w:r>
      <w:r w:rsidRPr="002C6B07">
        <w:rPr>
          <w:rFonts w:cs="Times New Roman"/>
          <w:noProof/>
          <w:lang w:val="fr-CA"/>
        </w:rPr>
        <w:t>2014, le Comité judiciaire du Conseil privé a condamné Antigua à dédommager H.M.B. pour l’expropriation (n</w:t>
      </w:r>
      <w:r w:rsidRPr="002C6B07">
        <w:rPr>
          <w:rFonts w:cs="Times New Roman"/>
          <w:noProof/>
          <w:vertAlign w:val="superscript"/>
          <w:lang w:val="fr-CA"/>
        </w:rPr>
        <w:t>o</w:t>
      </w:r>
      <w:r w:rsidRPr="002C6B07">
        <w:rPr>
          <w:rFonts w:cs="Times New Roman"/>
          <w:lang w:val="fr-CA"/>
        </w:rPr>
        <w:t> 2013/0017 (</w:t>
      </w:r>
      <w:r w:rsidRPr="002C6B07">
        <w:rPr>
          <w:rFonts w:cs="Times New Roman"/>
          <w:noProof/>
          <w:lang w:val="fr-CA"/>
        </w:rPr>
        <w:t>« arrêt du Conseil privé »)).</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Plus de deux ans plus tard, en octobre 2016, H.M.B. a intenté une action en common law en Colombie</w:t>
      </w:r>
      <w:r>
        <w:rPr>
          <w:rFonts w:cs="Times New Roman"/>
          <w:noProof/>
          <w:lang w:val="fr-CA"/>
        </w:rPr>
        <w:noBreakHyphen/>
      </w:r>
      <w:r w:rsidRPr="002C6B07">
        <w:rPr>
          <w:rFonts w:cs="Times New Roman"/>
          <w:noProof/>
          <w:lang w:val="fr-CA"/>
        </w:rPr>
        <w:t xml:space="preserve">Britannique pour faire exécuter l’arrêt du Conseil privé dans cette province. H.M.B. a intenté son action dans les délais prescrits par la </w:t>
      </w:r>
      <w:r w:rsidRPr="002C6B07">
        <w:rPr>
          <w:rFonts w:cs="Times New Roman"/>
          <w:i/>
          <w:iCs/>
          <w:noProof/>
          <w:lang w:val="fr-CA"/>
        </w:rPr>
        <w:t>Limitation Act</w:t>
      </w:r>
      <w:r>
        <w:rPr>
          <w:rFonts w:cs="Times New Roman"/>
          <w:noProof/>
          <w:lang w:val="fr-CA"/>
        </w:rPr>
        <w:t>, S.B.C. 2012, c. </w:t>
      </w:r>
      <w:r w:rsidRPr="002C6B07">
        <w:rPr>
          <w:rFonts w:cs="Times New Roman"/>
          <w:noProof/>
          <w:lang w:val="fr-CA"/>
        </w:rPr>
        <w:t>13, de la Colombie</w:t>
      </w:r>
      <w:r>
        <w:rPr>
          <w:rFonts w:cs="Times New Roman"/>
          <w:noProof/>
          <w:lang w:val="fr-CA"/>
        </w:rPr>
        <w:noBreakHyphen/>
      </w:r>
      <w:r w:rsidRPr="002C6B07">
        <w:rPr>
          <w:rFonts w:cs="Times New Roman"/>
          <w:noProof/>
          <w:lang w:val="fr-CA"/>
        </w:rPr>
        <w:t>Britannique, qui prévoit que l’action en common law visant à faire exécuter un jugement étranger dans cette province se prescrit par dix ans</w:t>
      </w:r>
      <w:r>
        <w:rPr>
          <w:rFonts w:cs="Times New Roman"/>
          <w:noProof/>
          <w:lang w:val="fr-CA"/>
        </w:rPr>
        <w:t xml:space="preserve"> </w:t>
      </w:r>
      <w:r w:rsidRPr="002C6B07">
        <w:rPr>
          <w:rFonts w:cs="Times New Roman"/>
          <w:noProof/>
          <w:lang w:val="fr-CA"/>
        </w:rPr>
        <w:t>(</w:t>
      </w:r>
      <w:r>
        <w:rPr>
          <w:rFonts w:cs="Times New Roman"/>
          <w:noProof/>
          <w:lang w:val="fr-CA"/>
        </w:rPr>
        <w:t>art. </w:t>
      </w:r>
      <w:r w:rsidRPr="002C6B07">
        <w:rPr>
          <w:rFonts w:cs="Times New Roman"/>
          <w:noProof/>
          <w:lang w:val="fr-CA"/>
        </w:rPr>
        <w:t xml:space="preserve">7). Il convient toutefois de noter que si H.M.B. avait intenté son action en common law en Ontario en vue de faire exécuter l’arrêt du Conseil privé, cette action aurait été prescrite suivant la </w:t>
      </w:r>
      <w:r w:rsidRPr="002C6B07">
        <w:rPr>
          <w:rFonts w:cs="Times New Roman"/>
          <w:i/>
          <w:iCs/>
          <w:noProof/>
          <w:lang w:val="fr-CA"/>
        </w:rPr>
        <w:t>Loi de 2002 sur la prescription des actions</w:t>
      </w:r>
      <w:r w:rsidRPr="002C6B07">
        <w:rPr>
          <w:rFonts w:cs="Times New Roman"/>
          <w:noProof/>
          <w:lang w:val="fr-CA"/>
        </w:rPr>
        <w:t>, L.O. 2002, c. 24, ann. B, qui prévoit un délai de prescription de deux ans</w:t>
      </w:r>
      <w:r>
        <w:rPr>
          <w:rFonts w:cs="Times New Roman"/>
          <w:noProof/>
          <w:lang w:val="fr-CA"/>
        </w:rPr>
        <w:t xml:space="preserve"> </w:t>
      </w:r>
      <w:r w:rsidRPr="002C6B07">
        <w:rPr>
          <w:rFonts w:cs="Times New Roman"/>
          <w:noProof/>
          <w:lang w:val="fr-CA"/>
        </w:rPr>
        <w:t>(</w:t>
      </w:r>
      <w:r>
        <w:rPr>
          <w:rFonts w:cs="Times New Roman"/>
          <w:noProof/>
          <w:lang w:val="fr-CA"/>
        </w:rPr>
        <w:t>art. </w:t>
      </w:r>
      <w:r w:rsidRPr="002C6B07">
        <w:rPr>
          <w:rFonts w:cs="Times New Roman"/>
          <w:noProof/>
          <w:lang w:val="fr-CA"/>
        </w:rPr>
        <w:t>4).</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Antigua n’a pas contesté l’action. En conséquence, en avril 2017, H.M.B. a obtenu de la Cour suprême de la Colombie</w:t>
      </w:r>
      <w:r>
        <w:rPr>
          <w:rFonts w:cs="Times New Roman"/>
          <w:noProof/>
          <w:lang w:val="fr-CA"/>
        </w:rPr>
        <w:noBreakHyphen/>
      </w:r>
      <w:r w:rsidRPr="002C6B07">
        <w:rPr>
          <w:rFonts w:cs="Times New Roman"/>
          <w:noProof/>
          <w:lang w:val="fr-CA"/>
        </w:rPr>
        <w:t>Britannique un jugement par défaut contre Antigua ordonnant l’exécution de l’arrêt du Conseil privé (n</w:t>
      </w:r>
      <w:r w:rsidRPr="002C6B07">
        <w:rPr>
          <w:rFonts w:cs="Times New Roman"/>
          <w:noProof/>
          <w:vertAlign w:val="superscript"/>
          <w:lang w:val="fr-CA"/>
        </w:rPr>
        <w:t>o</w:t>
      </w:r>
      <w:r w:rsidRPr="002C6B07">
        <w:rPr>
          <w:rFonts w:cs="Times New Roman"/>
          <w:noProof/>
          <w:lang w:val="fr-CA"/>
        </w:rPr>
        <w:t> S169831 (« jugement de la Colombie</w:t>
      </w:r>
      <w:r>
        <w:rPr>
          <w:rFonts w:cs="Times New Roman"/>
          <w:noProof/>
          <w:lang w:val="fr-CA"/>
        </w:rPr>
        <w:noBreakHyphen/>
      </w:r>
      <w:r w:rsidRPr="002C6B07">
        <w:rPr>
          <w:rFonts w:cs="Times New Roman"/>
          <w:noProof/>
          <w:lang w:val="fr-CA"/>
        </w:rPr>
        <w:t>Britannique »)). Un an plus tard, en mai 2018, H.M.B. a introduit une requête en Ontario en vue de faire exécuter le jugement de la Colombie</w:t>
      </w:r>
      <w:r>
        <w:rPr>
          <w:rFonts w:cs="Times New Roman"/>
          <w:noProof/>
          <w:lang w:val="fr-CA"/>
        </w:rPr>
        <w:noBreakHyphen/>
      </w:r>
      <w:r w:rsidRPr="002C6B07">
        <w:rPr>
          <w:rFonts w:cs="Times New Roman"/>
          <w:noProof/>
          <w:lang w:val="fr-CA"/>
        </w:rPr>
        <w:t xml:space="preserve">Britannique en demandant qu’il soit enregistré en vertu de la </w:t>
      </w:r>
      <w:r w:rsidRPr="002C6B07">
        <w:rPr>
          <w:rFonts w:cs="Times New Roman"/>
          <w:i/>
          <w:noProof/>
          <w:lang w:val="fr-CA"/>
        </w:rPr>
        <w:t>LERJ</w:t>
      </w:r>
      <w:r w:rsidRPr="002C6B07">
        <w:rPr>
          <w:rFonts w:cs="Times New Roman"/>
          <w:noProof/>
          <w:lang w:val="fr-CA"/>
        </w:rPr>
        <w:t xml:space="preserve">. Cette loi </w:t>
      </w:r>
      <w:r w:rsidRPr="002C6B07">
        <w:rPr>
          <w:rFonts w:cs="Times New Roman"/>
          <w:iCs/>
          <w:noProof/>
          <w:lang w:val="fr-CA"/>
        </w:rPr>
        <w:t>prévoit un délai de prescription de six ans pour l’enregistrement des jugements, plus généreux que le délai de deux ans auquel est assujettie l’action en common law visant à faire exécuter un jugement étranger</w:t>
      </w:r>
      <w:r>
        <w:rPr>
          <w:rFonts w:cs="Times New Roman"/>
          <w:noProof/>
          <w:lang w:val="fr-CA"/>
        </w:rPr>
        <w:t xml:space="preserve"> </w:t>
      </w:r>
      <w:r w:rsidRPr="002C6B07">
        <w:rPr>
          <w:rFonts w:cs="Times New Roman"/>
          <w:noProof/>
          <w:lang w:val="fr-CA"/>
        </w:rPr>
        <w:t>(</w:t>
      </w:r>
      <w:r>
        <w:rPr>
          <w:rFonts w:cs="Times New Roman"/>
          <w:noProof/>
          <w:lang w:val="fr-CA"/>
        </w:rPr>
        <w:t>art. </w:t>
      </w:r>
      <w:r w:rsidRPr="002C6B07">
        <w:rPr>
          <w:rFonts w:cs="Times New Roman"/>
          <w:noProof/>
          <w:lang w:val="fr-CA"/>
        </w:rPr>
        <w:t xml:space="preserve">2; </w:t>
      </w:r>
      <w:r w:rsidRPr="002C6B07">
        <w:rPr>
          <w:rFonts w:cs="Times New Roman"/>
          <w:i/>
          <w:iCs/>
          <w:noProof/>
          <w:lang w:val="fr-CA"/>
        </w:rPr>
        <w:t>Loi de 2002 sur la prescription des actions</w:t>
      </w:r>
      <w:r w:rsidRPr="002C6B07">
        <w:rPr>
          <w:rFonts w:cs="Times New Roman"/>
          <w:noProof/>
          <w:lang w:val="fr-CA"/>
        </w:rPr>
        <w:t xml:space="preserve">, </w:t>
      </w:r>
      <w:r>
        <w:rPr>
          <w:rFonts w:cs="Times New Roman"/>
          <w:noProof/>
          <w:lang w:val="fr-CA"/>
        </w:rPr>
        <w:t>art. </w:t>
      </w:r>
      <w:r w:rsidRPr="002C6B07">
        <w:rPr>
          <w:rFonts w:cs="Times New Roman"/>
          <w:noProof/>
          <w:lang w:val="fr-CA"/>
        </w:rPr>
        <w:t>4). Antigua s’est opposée à la requête.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Au moment de l’action en justice intentée en Colombie</w:t>
      </w:r>
      <w:r>
        <w:rPr>
          <w:rFonts w:cs="Times New Roman"/>
          <w:noProof/>
          <w:lang w:val="fr-CA"/>
        </w:rPr>
        <w:noBreakHyphen/>
      </w:r>
      <w:r w:rsidRPr="002C6B07">
        <w:rPr>
          <w:rFonts w:cs="Times New Roman"/>
          <w:noProof/>
          <w:lang w:val="fr-CA"/>
        </w:rPr>
        <w:t>Britannique, Antigua n’avait pas de présence physique dans la province. Elle n’avait pas de consulat, de délégation ou d’autres bureaux dans cette province. Elle n’avait pas non plus d’employés ou de mandataires dans la province et elle ne faisait pas de publicité destinée précisément aux résidents de la Colombie</w:t>
      </w:r>
      <w:r>
        <w:rPr>
          <w:rFonts w:cs="Times New Roman"/>
          <w:noProof/>
          <w:lang w:val="fr-CA"/>
        </w:rPr>
        <w:noBreakHyphen/>
      </w:r>
      <w:r w:rsidRPr="002C6B07">
        <w:rPr>
          <w:rFonts w:cs="Times New Roman"/>
          <w:noProof/>
          <w:lang w:val="fr-CA"/>
        </w:rPr>
        <w:t>Britannique.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Toutefois, dans le cadre de son programme de citoyenneté pour les investisseurs (« </w:t>
      </w:r>
      <w:r w:rsidRPr="002C6B07">
        <w:rPr>
          <w:rFonts w:cs="Times New Roman"/>
          <w:i/>
          <w:noProof/>
          <w:lang w:val="fr-CA"/>
        </w:rPr>
        <w:t>Citizenship by Investment Program </w:t>
      </w:r>
      <w:r w:rsidRPr="002C6B07">
        <w:rPr>
          <w:rFonts w:cs="Times New Roman"/>
          <w:noProof/>
          <w:lang w:val="fr-CA"/>
        </w:rPr>
        <w:t>» ou « CIP »), le gouvernement d’Antigua avait conclu des contrats avec quatre « représentants autorisés » qui avaient des entreprises, des établissements et des employés en Colombie</w:t>
      </w:r>
      <w:r>
        <w:rPr>
          <w:rFonts w:cs="Times New Roman"/>
          <w:noProof/>
          <w:lang w:val="fr-CA"/>
        </w:rPr>
        <w:noBreakHyphen/>
      </w:r>
      <w:r w:rsidRPr="002C6B07">
        <w:rPr>
          <w:rFonts w:cs="Times New Roman"/>
          <w:noProof/>
          <w:lang w:val="fr-CA"/>
        </w:rPr>
        <w:t>Britannique. Le CIP vise à encourager les investissements dans les biens immobiliers, les entreprises et le Fonds de développement national d’Antigua (« </w:t>
      </w:r>
      <w:r w:rsidRPr="002C6B07">
        <w:rPr>
          <w:rFonts w:cs="Times New Roman"/>
          <w:i/>
          <w:noProof/>
          <w:lang w:val="fr-CA"/>
        </w:rPr>
        <w:t>National Development Fund</w:t>
      </w:r>
      <w:r w:rsidRPr="002C6B07">
        <w:rPr>
          <w:rFonts w:cs="Times New Roman"/>
          <w:noProof/>
          <w:lang w:val="fr-CA"/>
        </w:rPr>
        <w:t> ») en octroyant la citoyenneté aux investisseurs et à leurs familles en échange de ces investissements.</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Antigua engage des représentants autorisés pour faciliter la mise en relation avec des investisseurs potentiels, en échange de quoi ces représentants reçoivent une sorte de commission d’intermédiaire. Les représentants autorisés n’ont cependant pas le pouvoir d’examiner ou d’approuver les demandes présentées au titre du CI</w:t>
      </w:r>
      <w:r>
        <w:rPr>
          <w:rFonts w:cs="Times New Roman"/>
          <w:noProof/>
          <w:lang w:val="fr-CA"/>
        </w:rPr>
        <w:t xml:space="preserve">P. </w:t>
      </w:r>
      <w:r w:rsidRPr="002C6B07">
        <w:rPr>
          <w:rFonts w:cs="Times New Roman"/>
          <w:noProof/>
          <w:lang w:val="fr-CA"/>
        </w:rPr>
        <w:t>Ils se contentent d’aider les investisseurs éventuels en leur fournissant des informations sur le CIP et en remplissant des formulaires préliminaires à envoyer à des « mandataires autorisés » établis à Antigua.</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Les mandataires autorisés aident les demandeurs à obtenir des renseignements sur le processus de demande du CIP, perçoivent les droits exigés et transmettent les demandes complétées au Service de la citoyenneté pour les investisseurs (« </w:t>
      </w:r>
      <w:r w:rsidRPr="002C6B07">
        <w:rPr>
          <w:rFonts w:cs="Times New Roman"/>
          <w:i/>
          <w:noProof/>
          <w:lang w:val="fr-CA"/>
        </w:rPr>
        <w:t>Citizenship Investment Unit</w:t>
      </w:r>
      <w:r w:rsidRPr="002C6B07">
        <w:rPr>
          <w:rFonts w:cs="Times New Roman"/>
          <w:noProof/>
          <w:lang w:val="fr-CA"/>
        </w:rPr>
        <w:t> » ou « CIU »), l’organisme du gouvernement d’Antigua chargé d’administrer le CI</w:t>
      </w:r>
      <w:r>
        <w:rPr>
          <w:rFonts w:cs="Times New Roman"/>
          <w:noProof/>
          <w:lang w:val="fr-CA"/>
        </w:rPr>
        <w:t>P. Le</w:t>
      </w:r>
      <w:r w:rsidRPr="002C6B07">
        <w:rPr>
          <w:rFonts w:cs="Times New Roman"/>
          <w:noProof/>
          <w:lang w:val="fr-CA"/>
        </w:rPr>
        <w:t xml:space="preserve"> CIU est l’autorité chargée de décider en dernier ressort de l’approbation ou du refus de la demande d’un investisseur. Les représentants autorisés </w:t>
      </w:r>
      <w:r>
        <w:rPr>
          <w:rFonts w:cs="Times New Roman"/>
          <w:noProof/>
          <w:lang w:val="fr-CA"/>
        </w:rPr>
        <w:t>ne sont pas en contact avec le</w:t>
      </w:r>
      <w:r w:rsidRPr="002C6B07">
        <w:rPr>
          <w:rFonts w:cs="Times New Roman"/>
          <w:noProof/>
          <w:lang w:val="fr-CA"/>
        </w:rPr>
        <w:t xml:space="preserve"> CIU ou avec le gouvernement d’Antigua, et ils reçoivent leur commission d’intermédiaire par le truchement d’un mandataire autorisé si la demande est acceptée.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Comme il est mentionné plus haut, au moment de l’action en justice intentée en Colombie</w:t>
      </w:r>
      <w:r>
        <w:rPr>
          <w:rFonts w:cs="Times New Roman"/>
          <w:noProof/>
          <w:lang w:val="fr-CA"/>
        </w:rPr>
        <w:noBreakHyphen/>
      </w:r>
      <w:r w:rsidRPr="002C6B07">
        <w:rPr>
          <w:rFonts w:cs="Times New Roman"/>
          <w:noProof/>
          <w:lang w:val="fr-CA"/>
        </w:rPr>
        <w:t>Britannique, Antigua n’avait aucune présence physique dans la province pour l’une ou l’autre des fins visées par le CIP; elle ne traitait pas avec des investisseurs potentiels, ne passait pas de contrats avec eux, n’approuvait pas de demandes dans la province et ne faisait pas de publicité pour le CIP dans la province, se limitant à engager des représentants autorisés pour faire connaître le programme. Les quatre représentants autorisés étaient tous nommés pour une durée limitée pour l’application du CIP et exerçaient en Colombie</w:t>
      </w:r>
      <w:r>
        <w:rPr>
          <w:rFonts w:cs="Times New Roman"/>
          <w:noProof/>
          <w:lang w:val="fr-CA"/>
        </w:rPr>
        <w:noBreakHyphen/>
      </w:r>
      <w:r w:rsidRPr="002C6B07">
        <w:rPr>
          <w:rFonts w:cs="Times New Roman"/>
          <w:noProof/>
          <w:lang w:val="fr-CA"/>
        </w:rPr>
        <w:t>Britannique d’autres activités non liées au programme, indépendamment des activités du gouvernement d’Antigua.</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En outre, le CIP ne ciblait pas expressément les résidents du Canada ou de la Colombie</w:t>
      </w:r>
      <w:r>
        <w:rPr>
          <w:rFonts w:cs="Times New Roman"/>
          <w:noProof/>
          <w:lang w:val="fr-CA"/>
        </w:rPr>
        <w:noBreakHyphen/>
      </w:r>
      <w:r w:rsidRPr="002C6B07">
        <w:rPr>
          <w:rFonts w:cs="Times New Roman"/>
          <w:noProof/>
          <w:lang w:val="fr-CA"/>
        </w:rPr>
        <w:t>Britannique. Entre son lancement en octobre 2013 et le 30 juin 2018, seulement 9 demandes ont été présentées dans le cadre du CIP par des personnes nées au Canada, sur un total de 1 547 demandes provenant du monde entier.</w:t>
      </w:r>
    </w:p>
    <w:p w:rsidR="009D2D7F" w:rsidRPr="002C6B07" w:rsidRDefault="009D2D7F" w:rsidP="009D2D7F">
      <w:pPr>
        <w:pStyle w:val="Title1LevelTitre1Niveau-AltL"/>
        <w:rPr>
          <w:rFonts w:cs="Times New Roman"/>
          <w:noProof/>
          <w:lang w:val="fr-CA"/>
        </w:rPr>
      </w:pPr>
      <w:r w:rsidRPr="002C6B07">
        <w:rPr>
          <w:rFonts w:cs="Times New Roman"/>
          <w:noProof/>
          <w:lang w:val="fr-CA"/>
        </w:rPr>
        <w:t>Dispositions législatives applicables</w:t>
      </w:r>
    </w:p>
    <w:p w:rsidR="009D2D7F" w:rsidRPr="002C6B07" w:rsidRDefault="009D2D7F" w:rsidP="009D2D7F">
      <w:pPr>
        <w:pStyle w:val="ParaNoNdepar-AltN"/>
        <w:tabs>
          <w:tab w:val="clear" w:pos="1152"/>
          <w:tab w:val="left" w:pos="1166"/>
        </w:tabs>
        <w:spacing w:before="0"/>
        <w:rPr>
          <w:rFonts w:cs="Times New Roman"/>
          <w:noProof/>
          <w:lang w:val="fr-CA"/>
        </w:rPr>
      </w:pPr>
      <w:r w:rsidRPr="002C6B07">
        <w:rPr>
          <w:rFonts w:cs="Times New Roman"/>
          <w:noProof/>
          <w:lang w:val="fr-CA"/>
        </w:rPr>
        <w:t xml:space="preserve">Les dispositions suivantes de </w:t>
      </w:r>
      <w:r w:rsidRPr="002C6B07">
        <w:rPr>
          <w:rFonts w:cs="Times New Roman"/>
          <w:iCs/>
          <w:noProof/>
          <w:lang w:val="fr-CA"/>
        </w:rPr>
        <w:t xml:space="preserve">la </w:t>
      </w:r>
      <w:r w:rsidRPr="002C6B07">
        <w:rPr>
          <w:rFonts w:cs="Times New Roman"/>
          <w:i/>
          <w:iCs/>
          <w:noProof/>
          <w:lang w:val="fr-CA"/>
        </w:rPr>
        <w:t xml:space="preserve">LERJ </w:t>
      </w:r>
      <w:r w:rsidRPr="002C6B07">
        <w:rPr>
          <w:rFonts w:cs="Times New Roman"/>
          <w:iCs/>
          <w:noProof/>
          <w:lang w:val="fr-CA"/>
        </w:rPr>
        <w:t>sont pertinentes en l’espèce</w:t>
      </w:r>
      <w:r>
        <w:rPr>
          <w:rFonts w:cs="Times New Roman"/>
          <w:iCs/>
          <w:noProof/>
          <w:lang w:val="fr-CA"/>
        </w:rPr>
        <w:t> :</w:t>
      </w:r>
    </w:p>
    <w:p w:rsidR="009D2D7F" w:rsidRPr="002C6B07" w:rsidRDefault="009D2D7F" w:rsidP="009D2D7F">
      <w:pPr>
        <w:pStyle w:val="Citation-AltC"/>
        <w:spacing w:after="0"/>
        <w:ind w:left="1168" w:hanging="357"/>
        <w:contextualSpacing w:val="0"/>
        <w:rPr>
          <w:b/>
          <w:noProof/>
          <w:lang w:val="fr-CA"/>
        </w:rPr>
      </w:pPr>
      <w:r w:rsidRPr="002C6B07">
        <w:rPr>
          <w:noProof/>
          <w:lang w:val="fr-CA"/>
        </w:rPr>
        <w:tab/>
      </w:r>
      <w:r w:rsidRPr="002C6B07">
        <w:rPr>
          <w:b/>
          <w:noProof/>
          <w:lang w:val="fr-CA"/>
        </w:rPr>
        <w:t>Définitions</w:t>
      </w:r>
    </w:p>
    <w:p w:rsidR="009D2D7F" w:rsidRPr="002C6B07" w:rsidRDefault="009D2D7F" w:rsidP="009D2D7F">
      <w:pPr>
        <w:pStyle w:val="Citation-AltC"/>
        <w:spacing w:after="240"/>
        <w:ind w:left="1168" w:hanging="357"/>
        <w:contextualSpacing w:val="0"/>
        <w:rPr>
          <w:noProof/>
          <w:lang w:val="fr-CA"/>
        </w:rPr>
      </w:pPr>
      <w:r w:rsidRPr="002C6B07">
        <w:rPr>
          <w:bCs/>
          <w:noProof/>
          <w:lang w:val="fr-CA"/>
        </w:rPr>
        <w:tab/>
      </w:r>
      <w:r w:rsidRPr="002C6B07">
        <w:rPr>
          <w:b/>
          <w:bCs/>
          <w:noProof/>
          <w:lang w:val="fr-CA"/>
        </w:rPr>
        <w:t>1</w:t>
      </w:r>
      <w:r w:rsidRPr="00293BAB">
        <w:t> </w:t>
      </w:r>
      <w:r>
        <w:rPr>
          <w:noProof/>
          <w:lang w:val="fr-CA"/>
        </w:rPr>
        <w:t>(1) </w:t>
      </w:r>
      <w:r w:rsidRPr="002C6B07">
        <w:rPr>
          <w:noProof/>
          <w:lang w:val="fr-CA"/>
        </w:rPr>
        <w:t>Les définitions qui suivent s’appliquent à la présente loi.</w:t>
      </w:r>
    </w:p>
    <w:p w:rsidR="009D2D7F" w:rsidRPr="002C6B07" w:rsidRDefault="009D2D7F" w:rsidP="009D2D7F">
      <w:pPr>
        <w:pStyle w:val="Citation-AltC"/>
        <w:spacing w:after="240"/>
        <w:ind w:hanging="356"/>
        <w:contextualSpacing w:val="0"/>
        <w:rPr>
          <w:noProof/>
          <w:lang w:val="fr-CA"/>
        </w:rPr>
      </w:pPr>
      <w:r w:rsidRPr="002C6B07">
        <w:rPr>
          <w:noProof/>
          <w:lang w:val="fr-CA"/>
        </w:rPr>
        <w:tab/>
        <w:t xml:space="preserve">« créancier en vertu du jugement » La personne qui a obtenu le jugement. S’entend en outre des exécuteurs, administrateurs, successeurs et ayants droit de cette personne; </w:t>
      </w:r>
    </w:p>
    <w:p w:rsidR="009D2D7F" w:rsidRPr="002C6B07" w:rsidRDefault="009D2D7F" w:rsidP="009D2D7F">
      <w:pPr>
        <w:pStyle w:val="Citation-AltC"/>
        <w:spacing w:after="240"/>
        <w:ind w:hanging="356"/>
        <w:contextualSpacing w:val="0"/>
        <w:rPr>
          <w:noProof/>
          <w:lang w:val="fr-CA"/>
        </w:rPr>
      </w:pPr>
      <w:r w:rsidRPr="002C6B07">
        <w:rPr>
          <w:noProof/>
          <w:lang w:val="fr-CA"/>
        </w:rPr>
        <w:tab/>
        <w:t xml:space="preserve">« débiteur en vertu du jugement » La personne contre laquelle un jugement est rendu. S’entend en outre de la personne contre laquelle le jugement est exécutoire dans le lieu où il a été rendu; </w:t>
      </w:r>
    </w:p>
    <w:p w:rsidR="009D2D7F" w:rsidRPr="002C6B07" w:rsidRDefault="009D2D7F" w:rsidP="009D2D7F">
      <w:pPr>
        <w:pStyle w:val="Citation-AltC"/>
        <w:spacing w:after="240"/>
        <w:ind w:hanging="356"/>
        <w:contextualSpacing w:val="0"/>
        <w:rPr>
          <w:noProof/>
          <w:lang w:val="fr-CA"/>
        </w:rPr>
      </w:pPr>
      <w:r w:rsidRPr="002C6B07">
        <w:rPr>
          <w:noProof/>
          <w:lang w:val="fr-CA"/>
        </w:rPr>
        <w:tab/>
        <w:t xml:space="preserve">« jugement » Jugement ou ordonnance d’un tribunal dans une instance civile, portant condamnation au paiement d’une somme d’argent. S’entend en outre d’une sentence arbitrale qui, selon les lois de la province ou du territoire où elle a été rendue, est devenue exécutoire de la même manière qu’un jugement rendu par un tribunal de cette province ou de ce territoire; </w:t>
      </w:r>
    </w:p>
    <w:p w:rsidR="009D2D7F" w:rsidRPr="002C6B07" w:rsidRDefault="009D2D7F" w:rsidP="009D2D7F">
      <w:pPr>
        <w:pStyle w:val="Citation-AltC"/>
        <w:spacing w:after="240"/>
        <w:ind w:hanging="356"/>
        <w:contextualSpacing w:val="0"/>
        <w:rPr>
          <w:noProof/>
          <w:lang w:val="fr-CA"/>
        </w:rPr>
      </w:pPr>
      <w:r w:rsidRPr="002C6B07">
        <w:rPr>
          <w:noProof/>
          <w:lang w:val="fr-CA"/>
        </w:rPr>
        <w:tab/>
        <w:t>« tribunal d’enregistrement » Dans le cas d’un jugement, le tribunal auprès duquel celui</w:t>
      </w:r>
      <w:r>
        <w:rPr>
          <w:noProof/>
          <w:lang w:val="fr-CA"/>
        </w:rPr>
        <w:noBreakHyphen/>
      </w:r>
      <w:r w:rsidRPr="002C6B07">
        <w:rPr>
          <w:noProof/>
          <w:lang w:val="fr-CA"/>
        </w:rPr>
        <w:t xml:space="preserve">ci a été enregistré en application de la présente loi; </w:t>
      </w:r>
    </w:p>
    <w:p w:rsidR="009D2D7F" w:rsidRPr="002C6B07" w:rsidRDefault="009D2D7F" w:rsidP="009D2D7F">
      <w:pPr>
        <w:pStyle w:val="Citation-AltC"/>
        <w:spacing w:after="240"/>
        <w:ind w:hanging="356"/>
        <w:contextualSpacing w:val="0"/>
        <w:rPr>
          <w:noProof/>
          <w:lang w:val="fr-CA"/>
        </w:rPr>
      </w:pPr>
      <w:r w:rsidRPr="002C6B07">
        <w:rPr>
          <w:noProof/>
          <w:lang w:val="fr-CA"/>
        </w:rPr>
        <w:tab/>
        <w:t xml:space="preserve">« tribunal d’origine » Dans le cas d’un jugement, le tribunal qui l’a rendu. </w:t>
      </w:r>
    </w:p>
    <w:p w:rsidR="009D2D7F" w:rsidRPr="002C6B07" w:rsidRDefault="009D2D7F" w:rsidP="009D2D7F">
      <w:pPr>
        <w:pStyle w:val="Citation-AltC"/>
        <w:spacing w:after="0"/>
        <w:ind w:left="1168" w:hanging="357"/>
        <w:contextualSpacing w:val="0"/>
        <w:rPr>
          <w:b/>
          <w:noProof/>
          <w:lang w:val="fr-CA"/>
        </w:rPr>
      </w:pPr>
      <w:r w:rsidRPr="002C6B07">
        <w:rPr>
          <w:noProof/>
          <w:lang w:val="fr-CA"/>
        </w:rPr>
        <w:tab/>
      </w:r>
      <w:r w:rsidRPr="002C6B07">
        <w:rPr>
          <w:b/>
          <w:noProof/>
          <w:lang w:val="fr-CA"/>
        </w:rPr>
        <w:t>Enregistrement d’un jugement</w:t>
      </w:r>
    </w:p>
    <w:p w:rsidR="009D2D7F" w:rsidRPr="002C6B07" w:rsidRDefault="009D2D7F" w:rsidP="009D2D7F">
      <w:pPr>
        <w:pStyle w:val="Citation-AltC"/>
        <w:spacing w:after="240"/>
        <w:ind w:left="1168" w:hanging="357"/>
        <w:contextualSpacing w:val="0"/>
        <w:rPr>
          <w:noProof/>
          <w:lang w:val="fr-CA"/>
        </w:rPr>
      </w:pPr>
      <w:r w:rsidRPr="002C6B07">
        <w:rPr>
          <w:bCs/>
          <w:noProof/>
          <w:lang w:val="fr-CA"/>
        </w:rPr>
        <w:tab/>
      </w:r>
      <w:r w:rsidRPr="002C6B07">
        <w:rPr>
          <w:b/>
          <w:bCs/>
          <w:noProof/>
          <w:lang w:val="fr-CA"/>
        </w:rPr>
        <w:t>2</w:t>
      </w:r>
      <w:r w:rsidRPr="00293BAB">
        <w:t> </w:t>
      </w:r>
      <w:r w:rsidRPr="002C6B07">
        <w:rPr>
          <w:noProof/>
          <w:lang w:val="fr-CA"/>
        </w:rPr>
        <w:t>(1) Lorsqu’un jugement a été rendu par le tribunal d’un État accordant la réciprocité, le créancier en vertu du jugement peut, dans les six ans de la date de ce dernier, s’adresser, par voie de requête, au tribunal de l’Ontario compétent pour connaître de l’objet du jugement, afin de faire enregistrer le jugement au greffe de ce tribun</w:t>
      </w:r>
      <w:r>
        <w:rPr>
          <w:noProof/>
          <w:lang w:val="fr-CA"/>
        </w:rPr>
        <w:t xml:space="preserve">al. </w:t>
      </w:r>
      <w:r w:rsidRPr="002C6B07">
        <w:rPr>
          <w:noProof/>
          <w:lang w:val="fr-CA"/>
        </w:rPr>
        <w:t>Le tribunal peut alors, sous réserve de la présente loi, ordonner l’enregistrement du jugement. La requête peut toutefois être présentée à la Cour supérieure de justice, quel que soit l’objet du jugement.</w:t>
      </w:r>
    </w:p>
    <w:p w:rsidR="009D2D7F" w:rsidRPr="002C6B07" w:rsidRDefault="009D2D7F" w:rsidP="009D2D7F">
      <w:pPr>
        <w:pStyle w:val="Citation-AltC"/>
        <w:spacing w:after="0"/>
        <w:ind w:left="1168" w:hanging="356"/>
        <w:contextualSpacing w:val="0"/>
        <w:rPr>
          <w:b/>
          <w:noProof/>
          <w:lang w:val="fr-CA"/>
        </w:rPr>
      </w:pPr>
      <w:r w:rsidRPr="002C6B07">
        <w:rPr>
          <w:noProof/>
          <w:lang w:val="fr-CA"/>
        </w:rPr>
        <w:tab/>
      </w:r>
      <w:r w:rsidRPr="002C6B07">
        <w:rPr>
          <w:b/>
          <w:noProof/>
          <w:lang w:val="fr-CA"/>
        </w:rPr>
        <w:t>Conditions de l’enregistrement</w:t>
      </w:r>
    </w:p>
    <w:p w:rsidR="009D2D7F" w:rsidRPr="002C6B07" w:rsidRDefault="009D2D7F" w:rsidP="009D2D7F">
      <w:pPr>
        <w:pStyle w:val="Citation-AltC"/>
        <w:spacing w:after="240"/>
        <w:ind w:left="1168" w:hanging="357"/>
        <w:contextualSpacing w:val="0"/>
        <w:rPr>
          <w:noProof/>
          <w:lang w:val="fr-CA"/>
        </w:rPr>
      </w:pPr>
      <w:r>
        <w:rPr>
          <w:b/>
          <w:noProof/>
          <w:lang w:val="fr-CA"/>
        </w:rPr>
        <w:tab/>
      </w:r>
      <w:r w:rsidRPr="002C6B07">
        <w:rPr>
          <w:b/>
          <w:noProof/>
          <w:lang w:val="fr-CA"/>
        </w:rPr>
        <w:t>3</w:t>
      </w:r>
      <w:r w:rsidRPr="00293BAB">
        <w:t> </w:t>
      </w:r>
      <w:r w:rsidRPr="002C6B07">
        <w:rPr>
          <w:noProof/>
          <w:lang w:val="fr-CA"/>
        </w:rPr>
        <w:t>Le tribunal d’enregistrement ne doit pas, aux termes de la présente loi, ordonner l’enregistrement d’un jugement s’il est démontré que</w:t>
      </w:r>
      <w:r>
        <w:rPr>
          <w:noProof/>
          <w:lang w:val="fr-CA"/>
        </w:rPr>
        <w:t> :</w:t>
      </w:r>
    </w:p>
    <w:p w:rsidR="009D2D7F" w:rsidRPr="002C6B07" w:rsidRDefault="009D2D7F" w:rsidP="009D2D7F">
      <w:pPr>
        <w:pStyle w:val="Citation-AltC"/>
        <w:tabs>
          <w:tab w:val="left" w:pos="1134"/>
        </w:tabs>
        <w:spacing w:after="240"/>
        <w:ind w:left="1418" w:hanging="567"/>
        <w:contextualSpacing w:val="0"/>
        <w:rPr>
          <w:noProof/>
          <w:lang w:val="fr-CA"/>
        </w:rPr>
      </w:pPr>
      <w:r>
        <w:rPr>
          <w:noProof/>
          <w:lang w:val="fr-CA"/>
        </w:rPr>
        <w:tab/>
        <w:t>b) </w:t>
      </w:r>
      <w:r w:rsidRPr="002C6B07">
        <w:rPr>
          <w:noProof/>
          <w:lang w:val="fr-CA"/>
        </w:rPr>
        <w:t xml:space="preserve">le débiteur en vertu du jugement, qui n’exerçait pas ses activités ni ne résidait </w:t>
      </w:r>
      <w:r w:rsidRPr="00414504">
        <w:rPr>
          <w:lang w:val="fr-CA"/>
        </w:rPr>
        <w:t>ordinairement</w:t>
      </w:r>
      <w:r w:rsidRPr="002C6B07">
        <w:rPr>
          <w:noProof/>
          <w:lang w:val="fr-CA"/>
        </w:rPr>
        <w:t xml:space="preserve"> dans le ressort du tribunal d’origine, n’a pas comparu volontairement ni autrement reconnu, durant l’instance, la compétence de ce tribunal;</w:t>
      </w:r>
    </w:p>
    <w:p w:rsidR="009D2D7F" w:rsidRPr="002C6B07" w:rsidRDefault="009D2D7F" w:rsidP="009D2D7F">
      <w:pPr>
        <w:pStyle w:val="Citation-AltC"/>
        <w:tabs>
          <w:tab w:val="left" w:pos="1134"/>
        </w:tabs>
        <w:ind w:left="1418" w:hanging="1418"/>
        <w:rPr>
          <w:noProof/>
          <w:lang w:val="fr-CA"/>
        </w:rPr>
      </w:pPr>
      <w:r>
        <w:rPr>
          <w:noProof/>
          <w:lang w:val="fr-CA"/>
        </w:rPr>
        <w:tab/>
        <w:t>g) </w:t>
      </w:r>
      <w:r w:rsidRPr="002C6B07">
        <w:rPr>
          <w:noProof/>
          <w:lang w:val="fr-CA"/>
        </w:rPr>
        <w:t>le débiteur en vertu du jugement pourrait opposer une défense</w:t>
      </w:r>
      <w:r>
        <w:rPr>
          <w:noProof/>
          <w:lang w:val="fr-CA"/>
        </w:rPr>
        <w:t xml:space="preserve"> </w:t>
      </w:r>
      <w:r w:rsidRPr="002C6B07">
        <w:rPr>
          <w:noProof/>
          <w:lang w:val="fr-CA"/>
        </w:rPr>
        <w:t>valable</w:t>
      </w:r>
      <w:r>
        <w:rPr>
          <w:noProof/>
          <w:lang w:val="fr-CA"/>
        </w:rPr>
        <w:t xml:space="preserve"> </w:t>
      </w:r>
      <w:r w:rsidRPr="002C6B07">
        <w:rPr>
          <w:noProof/>
          <w:lang w:val="fr-CA"/>
        </w:rPr>
        <w:t>si une action était intentée sur la base du jugement initial.</w:t>
      </w:r>
    </w:p>
    <w:p w:rsidR="009D2D7F" w:rsidRPr="002C6B07" w:rsidRDefault="009D2D7F" w:rsidP="009D2D7F">
      <w:pPr>
        <w:pStyle w:val="Title1LevelTitre1Niveau-AltL"/>
        <w:rPr>
          <w:rFonts w:cs="Times New Roman"/>
          <w:noProof/>
          <w:lang w:val="fr-CA"/>
        </w:rPr>
      </w:pPr>
      <w:r w:rsidRPr="002C6B07">
        <w:rPr>
          <w:rFonts w:cs="Times New Roman"/>
          <w:noProof/>
          <w:lang w:val="fr-CA"/>
        </w:rPr>
        <w:t>Historique des procédures judiciaires</w:t>
      </w:r>
    </w:p>
    <w:p w:rsidR="009D2D7F" w:rsidRPr="002C6B07" w:rsidRDefault="009D2D7F" w:rsidP="009D2D7F">
      <w:pPr>
        <w:pStyle w:val="Title2LevelTitre2Niveau"/>
        <w:rPr>
          <w:rFonts w:cs="Times New Roman"/>
          <w:noProof/>
          <w:lang w:val="fr-CA"/>
        </w:rPr>
      </w:pPr>
      <w:r w:rsidRPr="002C6B07">
        <w:rPr>
          <w:rFonts w:cs="Times New Roman"/>
          <w:noProof/>
          <w:lang w:val="fr-CA"/>
        </w:rPr>
        <w:t>Cour supérieure de justice de l’Ontario, 2019 ONSC 1445</w:t>
      </w:r>
      <w:r>
        <w:rPr>
          <w:rFonts w:cs="Times New Roman"/>
          <w:noProof/>
          <w:lang w:val="fr-CA"/>
        </w:rPr>
        <w:t xml:space="preserve">, 145 O.R. (3d) 515 (le </w:t>
      </w:r>
      <w:r w:rsidRPr="002C6B07">
        <w:rPr>
          <w:rFonts w:cs="Times New Roman"/>
          <w:noProof/>
          <w:lang w:val="fr-CA"/>
        </w:rPr>
        <w:t>juge Perell)</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H.M.B. a tenté de faire exécuter le jugement de la Colombie</w:t>
      </w:r>
      <w:r>
        <w:rPr>
          <w:rFonts w:cs="Times New Roman"/>
          <w:noProof/>
          <w:lang w:val="fr-CA"/>
        </w:rPr>
        <w:noBreakHyphen/>
      </w:r>
      <w:r w:rsidRPr="002C6B07">
        <w:rPr>
          <w:rFonts w:cs="Times New Roman"/>
          <w:noProof/>
          <w:lang w:val="fr-CA"/>
        </w:rPr>
        <w:t xml:space="preserve">Britannique en Ontario en vertu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 xml:space="preserve">. Antigua s’est opposée à la requête en invoquant les </w:t>
      </w:r>
      <w:r>
        <w:rPr>
          <w:rFonts w:cs="Times New Roman"/>
          <w:noProof/>
          <w:lang w:val="fr-CA"/>
        </w:rPr>
        <w:t>al. </w:t>
      </w:r>
      <w:r w:rsidRPr="002C6B07">
        <w:rPr>
          <w:rFonts w:cs="Times New Roman"/>
          <w:noProof/>
          <w:lang w:val="fr-CA"/>
        </w:rPr>
        <w:t xml:space="preserve">3b) et 3g) de la </w:t>
      </w:r>
      <w:r w:rsidRPr="002C6B07">
        <w:rPr>
          <w:rFonts w:cs="Times New Roman"/>
          <w:i/>
          <w:iCs/>
          <w:noProof/>
          <w:lang w:val="fr-CA"/>
        </w:rPr>
        <w:t>LERJ</w:t>
      </w:r>
      <w:r w:rsidRPr="002C6B07">
        <w:rPr>
          <w:rFonts w:cs="Times New Roman"/>
          <w:noProof/>
          <w:lang w:val="fr-CA"/>
        </w:rPr>
        <w:t>. Le juge de première instance a retenu les arguments d’Antigua et rejeté la requête de H.M.B.</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Premièrement, le juge de première instance a conclu que l’</w:t>
      </w:r>
      <w:r>
        <w:rPr>
          <w:rFonts w:cs="Times New Roman"/>
          <w:noProof/>
          <w:lang w:val="fr-CA"/>
        </w:rPr>
        <w:t>al. </w:t>
      </w:r>
      <w:r w:rsidRPr="002C6B07">
        <w:rPr>
          <w:rFonts w:cs="Times New Roman"/>
          <w:noProof/>
          <w:lang w:val="fr-CA"/>
        </w:rPr>
        <w:t xml:space="preserve">3b)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 xml:space="preserve"> empêchait l’enregistrement du jugement de la Colombie</w:t>
      </w:r>
      <w:r>
        <w:rPr>
          <w:rFonts w:cs="Times New Roman"/>
          <w:noProof/>
          <w:lang w:val="fr-CA"/>
        </w:rPr>
        <w:noBreakHyphen/>
      </w:r>
      <w:r w:rsidRPr="002C6B07">
        <w:rPr>
          <w:rFonts w:cs="Times New Roman"/>
          <w:noProof/>
          <w:lang w:val="fr-CA"/>
        </w:rPr>
        <w:t xml:space="preserve">Britannique parce qu’Antigua « n’exerçait pas ses activités » </w:t>
      </w:r>
      <w:r>
        <w:rPr>
          <w:rFonts w:cs="Times New Roman"/>
          <w:noProof/>
          <w:lang w:val="fr-CA"/>
        </w:rPr>
        <w:t>(« </w:t>
      </w:r>
      <w:r>
        <w:rPr>
          <w:rFonts w:cs="Times New Roman"/>
          <w:i/>
          <w:noProof/>
          <w:lang w:val="fr-CA"/>
        </w:rPr>
        <w:t xml:space="preserve">carrying on </w:t>
      </w:r>
      <w:r w:rsidRPr="00F850B0">
        <w:rPr>
          <w:rFonts w:cs="Times New Roman"/>
          <w:i/>
          <w:noProof/>
          <w:lang w:val="fr-CA"/>
        </w:rPr>
        <w:t>business </w:t>
      </w:r>
      <w:r>
        <w:rPr>
          <w:rFonts w:cs="Times New Roman"/>
          <w:noProof/>
          <w:lang w:val="fr-CA"/>
        </w:rPr>
        <w:t xml:space="preserve">» dans la version anglaise de la </w:t>
      </w:r>
      <w:r>
        <w:rPr>
          <w:rFonts w:cs="Times New Roman"/>
          <w:i/>
          <w:noProof/>
          <w:lang w:val="fr-CA"/>
        </w:rPr>
        <w:t>LERJ</w:t>
      </w:r>
      <w:r>
        <w:rPr>
          <w:rFonts w:cs="Times New Roman"/>
          <w:noProof/>
          <w:lang w:val="fr-CA"/>
        </w:rPr>
        <w:t xml:space="preserve">) </w:t>
      </w:r>
      <w:r w:rsidRPr="00F850B0">
        <w:rPr>
          <w:rFonts w:cs="Times New Roman"/>
          <w:noProof/>
          <w:lang w:val="fr-CA"/>
        </w:rPr>
        <w:t>en</w:t>
      </w:r>
      <w:r w:rsidRPr="002C6B07">
        <w:rPr>
          <w:rFonts w:cs="Times New Roman"/>
          <w:noProof/>
          <w:lang w:val="fr-CA"/>
        </w:rPr>
        <w:t xml:space="preserve"> Colombie</w:t>
      </w:r>
      <w:r>
        <w:rPr>
          <w:rFonts w:cs="Times New Roman"/>
          <w:noProof/>
          <w:lang w:val="fr-CA"/>
        </w:rPr>
        <w:noBreakHyphen/>
      </w:r>
      <w:r w:rsidRPr="002C6B07">
        <w:rPr>
          <w:rFonts w:cs="Times New Roman"/>
          <w:noProof/>
          <w:lang w:val="fr-CA"/>
        </w:rPr>
        <w:t xml:space="preserve">Britannique. Selon l’arrêt </w:t>
      </w:r>
      <w:r w:rsidRPr="002C6B07">
        <w:rPr>
          <w:rFonts w:cs="Times New Roman"/>
          <w:i/>
          <w:iCs/>
          <w:noProof/>
          <w:lang w:val="fr-CA"/>
        </w:rPr>
        <w:t>Club Resorts Ltd. c. Van Breda</w:t>
      </w:r>
      <w:r w:rsidRPr="002C6B07">
        <w:rPr>
          <w:rFonts w:cs="Times New Roman"/>
          <w:noProof/>
          <w:lang w:val="fr-CA"/>
        </w:rPr>
        <w:t xml:space="preserve">, 2012 CSC 17, [2012] 1 R.C.S. 572, </w:t>
      </w:r>
      <w:r>
        <w:rPr>
          <w:rFonts w:cs="Times New Roman"/>
          <w:noProof/>
          <w:lang w:val="fr-CA"/>
        </w:rPr>
        <w:t>« </w:t>
      </w:r>
      <w:r w:rsidRPr="002C6B07">
        <w:rPr>
          <w:rFonts w:cs="Times New Roman"/>
          <w:noProof/>
          <w:lang w:val="fr-CA"/>
        </w:rPr>
        <w:t>l’exploitation d’une entreprise</w:t>
      </w:r>
      <w:r>
        <w:rPr>
          <w:rFonts w:cs="Times New Roman"/>
          <w:noProof/>
          <w:lang w:val="fr-CA"/>
        </w:rPr>
        <w:t> » (« </w:t>
      </w:r>
      <w:r>
        <w:rPr>
          <w:rFonts w:cs="Times New Roman"/>
          <w:i/>
          <w:noProof/>
          <w:lang w:val="fr-CA"/>
        </w:rPr>
        <w:t>carrying on business</w:t>
      </w:r>
      <w:r>
        <w:rPr>
          <w:rFonts w:cs="Times New Roman"/>
          <w:noProof/>
          <w:lang w:val="fr-CA"/>
        </w:rPr>
        <w:t> »)</w:t>
      </w:r>
      <w:r w:rsidRPr="002C6B07">
        <w:rPr>
          <w:rFonts w:cs="Times New Roman"/>
          <w:noProof/>
          <w:lang w:val="fr-CA"/>
        </w:rPr>
        <w:t xml:space="preserve"> exige une forme de présence effective — et non seulement virtuelle — dans le ressort en question. Or, Antigua n’avait aucune présence physique en Colombie</w:t>
      </w:r>
      <w:r>
        <w:rPr>
          <w:rFonts w:cs="Times New Roman"/>
          <w:noProof/>
          <w:lang w:val="fr-CA"/>
        </w:rPr>
        <w:noBreakHyphen/>
      </w:r>
      <w:r w:rsidRPr="002C6B07">
        <w:rPr>
          <w:rFonts w:cs="Times New Roman"/>
          <w:noProof/>
          <w:lang w:val="fr-CA"/>
        </w:rPr>
        <w:t>Britannique, et elle ne se livrait pas non plus à des activités commerciales soutenues dans la province. De plus, le CIP n’était pas une activité commerciale. C’était un programme gouvernemental visant à recruter de nouveaux citoyens pour démarrer des entreprises à Antigua. Même en supposant que le CIP soit une activité commerciale, les quatre représentants autorisés qui se trouvaient en Colombie</w:t>
      </w:r>
      <w:r>
        <w:rPr>
          <w:rFonts w:cs="Times New Roman"/>
          <w:noProof/>
          <w:lang w:val="fr-CA"/>
        </w:rPr>
        <w:noBreakHyphen/>
      </w:r>
      <w:r w:rsidRPr="002C6B07">
        <w:rPr>
          <w:rFonts w:cs="Times New Roman"/>
          <w:noProof/>
          <w:lang w:val="fr-CA"/>
        </w:rPr>
        <w:t>Britannique n’étaient pas des mandataires autorisés du gouvernement d’Antigua; ils exploitaient leurs propres entreprises de façon indépendante.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Deuxièmement, et à titre subsidiaire, le juge de première instance a conclu que l’enregistrement du jugement de la Colombie</w:t>
      </w:r>
      <w:r>
        <w:rPr>
          <w:rFonts w:cs="Times New Roman"/>
          <w:noProof/>
          <w:lang w:val="fr-CA"/>
        </w:rPr>
        <w:noBreakHyphen/>
      </w:r>
      <w:r w:rsidRPr="002C6B07">
        <w:rPr>
          <w:rFonts w:cs="Times New Roman"/>
          <w:noProof/>
          <w:lang w:val="fr-CA"/>
        </w:rPr>
        <w:t>Britannique était exclu par l’</w:t>
      </w:r>
      <w:r>
        <w:rPr>
          <w:rFonts w:cs="Times New Roman"/>
          <w:noProof/>
          <w:lang w:val="fr-CA"/>
        </w:rPr>
        <w:t>al. </w:t>
      </w:r>
      <w:r w:rsidRPr="002C6B07">
        <w:rPr>
          <w:rFonts w:cs="Times New Roman"/>
          <w:noProof/>
          <w:lang w:val="fr-CA"/>
        </w:rPr>
        <w:t xml:space="preserve">3g) de la </w:t>
      </w:r>
      <w:r w:rsidRPr="002C6B07">
        <w:rPr>
          <w:rFonts w:cs="Times New Roman"/>
          <w:i/>
          <w:noProof/>
          <w:lang w:val="fr-CA"/>
        </w:rPr>
        <w:t>LERJ</w:t>
      </w:r>
      <w:r w:rsidRPr="002C6B07">
        <w:rPr>
          <w:rFonts w:cs="Times New Roman"/>
          <w:noProof/>
          <w:lang w:val="fr-CA"/>
        </w:rPr>
        <w:t xml:space="preserve">, qui interdit au tribunal d’enregistrer le jugement si </w:t>
      </w:r>
      <w:r w:rsidRPr="002C6B07">
        <w:rPr>
          <w:rFonts w:cs="Times New Roman"/>
          <w:noProof/>
          <w:szCs w:val="24"/>
          <w:lang w:val="fr-CA"/>
        </w:rPr>
        <w:t xml:space="preserve">« le débiteur en vertu du jugement pourrait opposer une défense valable si une action était intentée sur la base du jugement initial  ». Le </w:t>
      </w:r>
      <w:r w:rsidRPr="002C6B07">
        <w:rPr>
          <w:rFonts w:cs="Times New Roman"/>
          <w:noProof/>
          <w:lang w:val="fr-CA"/>
        </w:rPr>
        <w:t>juge de première instance a fait porter son analyse sur le sens du terme « jugement initial » que l’on trouve dans cette disposition. Il a conclu que, par « jugement initial », il fallait entendre la décision rendue sur le fond en première instance par le Conseil privé et non le jugement de la Colombie</w:t>
      </w:r>
      <w:r>
        <w:rPr>
          <w:rFonts w:cs="Times New Roman"/>
          <w:noProof/>
          <w:lang w:val="fr-CA"/>
        </w:rPr>
        <w:noBreakHyphen/>
      </w:r>
      <w:r w:rsidRPr="002C6B07">
        <w:rPr>
          <w:rFonts w:cs="Times New Roman"/>
          <w:noProof/>
          <w:lang w:val="fr-CA"/>
        </w:rPr>
        <w:t>Britannique, qui dérivait d’un jugement rendu par un État n’accordant pas la réciprocité. Suivant le juge de première instance, interpréter le terme « jugement initial » de façon à englober un jugement de cette nature contournerait la politique générale du droit ontarien en matière de jugements étrangers rendus par des États n’accordant pas la réciprocité. Une telle interprétation permettrait d’utiliser un moyen indirect pour faire enregistrer en Ontario un jugement rendu par un tribunal étranger alors qu’il n’est pas permis de le faire directement. Le « jugement initial » était donc l’arrêt du Conseil privé et non le jugement de la Colombie</w:t>
      </w:r>
      <w:r>
        <w:rPr>
          <w:rFonts w:cs="Times New Roman"/>
          <w:noProof/>
          <w:lang w:val="fr-CA"/>
        </w:rPr>
        <w:noBreakHyphen/>
      </w:r>
      <w:r w:rsidRPr="002C6B07">
        <w:rPr>
          <w:rFonts w:cs="Times New Roman"/>
          <w:noProof/>
          <w:lang w:val="fr-CA"/>
        </w:rPr>
        <w:t xml:space="preserve">Britannique, et, comme Antigua </w:t>
      </w:r>
      <w:r w:rsidRPr="002C6B07">
        <w:rPr>
          <w:rFonts w:cs="Times New Roman"/>
          <w:lang w:val="fr-CA"/>
        </w:rPr>
        <w:t>pouvait opposer une défense valable</w:t>
      </w:r>
      <w:r w:rsidRPr="002C6B07">
        <w:rPr>
          <w:rFonts w:cs="Times New Roman"/>
          <w:noProof/>
          <w:lang w:val="fr-CA"/>
        </w:rPr>
        <w:t xml:space="preserve"> fondée </w:t>
      </w:r>
      <w:r w:rsidRPr="002C6B07">
        <w:rPr>
          <w:rFonts w:cs="Times New Roman"/>
          <w:noProof/>
          <w:szCs w:val="24"/>
          <w:lang w:val="fr-CA"/>
        </w:rPr>
        <w:t xml:space="preserve">sur la prescription si H.M.B. avait intenté une action directe pour </w:t>
      </w:r>
      <w:r w:rsidRPr="002C6B07">
        <w:rPr>
          <w:rFonts w:cs="Times New Roman"/>
          <w:noProof/>
          <w:lang w:val="fr-CA"/>
        </w:rPr>
        <w:t>faire exécuter l’arrêt du Conseil privé, l’</w:t>
      </w:r>
      <w:r>
        <w:rPr>
          <w:rFonts w:cs="Times New Roman"/>
          <w:noProof/>
          <w:lang w:val="fr-CA"/>
        </w:rPr>
        <w:t>al. </w:t>
      </w:r>
      <w:r w:rsidRPr="002C6B07">
        <w:rPr>
          <w:rFonts w:cs="Times New Roman"/>
          <w:noProof/>
          <w:lang w:val="fr-CA"/>
        </w:rPr>
        <w:t>3g) empêchait l’enregistrement.</w:t>
      </w:r>
    </w:p>
    <w:p w:rsidR="009D2D7F" w:rsidRPr="002C6B07" w:rsidRDefault="009D2D7F" w:rsidP="009D2D7F">
      <w:pPr>
        <w:pStyle w:val="Title2LevelTitre2Niveau"/>
        <w:rPr>
          <w:rFonts w:cs="Times New Roman"/>
          <w:noProof/>
          <w:lang w:val="fr-CA"/>
        </w:rPr>
      </w:pPr>
      <w:r w:rsidRPr="002C6B07">
        <w:rPr>
          <w:rFonts w:cs="Times New Roman"/>
          <w:noProof/>
          <w:lang w:val="fr-CA"/>
        </w:rPr>
        <w:t>Cour d’appel de l’Ontario, 2020 ONCA 12, 149 O.R. (3d) 440 (les juges Simmons et Pardu, le juge Nordheimer, dissident)</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En appel, H.M.B. a contesté la façon dont le juge de première instance a abordé les </w:t>
      </w:r>
      <w:r>
        <w:rPr>
          <w:rFonts w:cs="Times New Roman"/>
          <w:noProof/>
          <w:lang w:val="fr-CA"/>
        </w:rPr>
        <w:t>al. </w:t>
      </w:r>
      <w:r w:rsidRPr="002C6B07">
        <w:rPr>
          <w:rFonts w:cs="Times New Roman"/>
          <w:noProof/>
          <w:lang w:val="fr-CA"/>
        </w:rPr>
        <w:t>3b) et 3g).</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La Cour d’appel de l’Ontario a confirmé à la majorité l’analyse que le juge de première instance avait faite du concept d’« exer[cice] [d’]activités » à l’</w:t>
      </w:r>
      <w:r>
        <w:rPr>
          <w:rFonts w:cs="Times New Roman"/>
          <w:noProof/>
          <w:lang w:val="fr-CA"/>
        </w:rPr>
        <w:t>al. </w:t>
      </w:r>
      <w:r w:rsidRPr="002C6B07">
        <w:rPr>
          <w:rFonts w:cs="Times New Roman"/>
          <w:noProof/>
          <w:lang w:val="fr-CA"/>
        </w:rPr>
        <w:t xml:space="preserve">3b)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 xml:space="preserve"> et rejeté l’appel pour ce motif. Elle a conclu que le juge de première instance n’avait pas commis d’erreur en résumant ou en appliquant le critère juridique permettant de déterminer en quoi consiste l’exercice d’activités, ajoutant que la conclusion de fait du juge selon laquelle Antigua n’exerçait pas ses activités en Colombie</w:t>
      </w:r>
      <w:r>
        <w:rPr>
          <w:rFonts w:cs="Times New Roman"/>
          <w:noProof/>
          <w:lang w:val="fr-CA"/>
        </w:rPr>
        <w:noBreakHyphen/>
      </w:r>
      <w:r w:rsidRPr="002C6B07">
        <w:rPr>
          <w:rFonts w:cs="Times New Roman"/>
          <w:noProof/>
          <w:lang w:val="fr-CA"/>
        </w:rPr>
        <w:t>Britannique commandait la déférence. Rien ne justifiait donc l’intervention de la Cour d’appel sur ce point. La majorité a estimé que, comme cette conclusion suffisait pour rejeter l’appel, il n’était pas nécessaire de se pencher sur l’interprétation que le juge de première instance avait faite du terme « jugement initial » qui figure à l’</w:t>
      </w:r>
      <w:r>
        <w:rPr>
          <w:rFonts w:cs="Times New Roman"/>
          <w:noProof/>
          <w:lang w:val="fr-CA"/>
        </w:rPr>
        <w:t>al. </w:t>
      </w:r>
      <w:r w:rsidRPr="002C6B07">
        <w:rPr>
          <w:rFonts w:cs="Times New Roman"/>
          <w:noProof/>
          <w:lang w:val="fr-CA"/>
        </w:rPr>
        <w:t xml:space="preserve">3g) de </w:t>
      </w:r>
      <w:r w:rsidRPr="002C6B07">
        <w:rPr>
          <w:rFonts w:cs="Times New Roman"/>
          <w:iCs/>
          <w:noProof/>
          <w:lang w:val="fr-CA"/>
        </w:rPr>
        <w:t xml:space="preserve">la </w:t>
      </w:r>
      <w:r w:rsidRPr="002C6B07">
        <w:rPr>
          <w:rFonts w:cs="Times New Roman"/>
          <w:i/>
          <w:iCs/>
          <w:noProof/>
          <w:lang w:val="fr-CA"/>
        </w:rPr>
        <w:t>LERJ</w:t>
      </w:r>
      <w:r w:rsidRPr="002C6B07">
        <w:rPr>
          <w:rFonts w:cs="Times New Roman"/>
          <w:iCs/>
          <w:noProof/>
          <w:lang w:val="fr-CA"/>
        </w:rPr>
        <w:t>.</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Le juge Nordheimer, dissident, aurait fait droit à l’appel de H.M.B. et aurait ordonné l’enregistrement du jugement de la Colombie</w:t>
      </w:r>
      <w:r>
        <w:rPr>
          <w:rFonts w:cs="Times New Roman"/>
          <w:noProof/>
          <w:lang w:val="fr-CA"/>
        </w:rPr>
        <w:noBreakHyphen/>
      </w:r>
      <w:r w:rsidRPr="002C6B07">
        <w:rPr>
          <w:rFonts w:cs="Times New Roman"/>
          <w:noProof/>
          <w:lang w:val="fr-CA"/>
        </w:rPr>
        <w:t xml:space="preserve">Britannique. Il s’est dit d’avis que le juge de première instance avait commis une erreur en se fondant sur l’arrêt </w:t>
      </w:r>
      <w:r w:rsidRPr="002C6B07">
        <w:rPr>
          <w:rFonts w:cs="Times New Roman"/>
          <w:i/>
          <w:iCs/>
          <w:noProof/>
          <w:lang w:val="fr-CA"/>
        </w:rPr>
        <w:t>Van Breda</w:t>
      </w:r>
      <w:r w:rsidRPr="002C6B07">
        <w:rPr>
          <w:rFonts w:cs="Times New Roman"/>
          <w:noProof/>
          <w:lang w:val="fr-CA"/>
        </w:rPr>
        <w:t xml:space="preserve">, qui portait sur la compétence en première instance et ne s’appliquait pas à la reconnaissance et à l’exécution des jugements étrangers. La décision applicable était plutôt l’arrêt </w:t>
      </w:r>
      <w:r w:rsidRPr="002C6B07">
        <w:rPr>
          <w:rFonts w:cs="Times New Roman"/>
          <w:i/>
          <w:iCs/>
          <w:noProof/>
          <w:lang w:val="fr-CA"/>
        </w:rPr>
        <w:t>Chevron Cor</w:t>
      </w:r>
      <w:r>
        <w:rPr>
          <w:rFonts w:cs="Times New Roman"/>
          <w:i/>
          <w:iCs/>
          <w:noProof/>
          <w:lang w:val="fr-CA"/>
        </w:rPr>
        <w:t xml:space="preserve">p. </w:t>
      </w:r>
      <w:r w:rsidRPr="002C6B07">
        <w:rPr>
          <w:rFonts w:cs="Times New Roman"/>
          <w:i/>
          <w:iCs/>
          <w:noProof/>
          <w:lang w:val="fr-CA"/>
        </w:rPr>
        <w:t>c. Yaiguaje</w:t>
      </w:r>
      <w:r w:rsidRPr="002C6B07">
        <w:rPr>
          <w:rFonts w:cs="Times New Roman"/>
          <w:noProof/>
          <w:lang w:val="fr-CA"/>
        </w:rPr>
        <w:t>, 2015</w:t>
      </w:r>
      <w:r>
        <w:rPr>
          <w:rFonts w:cs="Times New Roman"/>
          <w:noProof/>
          <w:lang w:val="fr-CA"/>
        </w:rPr>
        <w:t xml:space="preserve"> </w:t>
      </w:r>
      <w:r w:rsidRPr="002C6B07">
        <w:rPr>
          <w:rFonts w:cs="Times New Roman"/>
          <w:noProof/>
          <w:lang w:val="fr-CA"/>
        </w:rPr>
        <w:t>CSC 42, [2015] 3 R.C.S. 69, qui préconise une approche libérale en matière de reconnaissance et d’exécution de jugements étrangers. En conséquence, l’exigence relative à l’« exer[cice] [d’]activités » prévue à l’</w:t>
      </w:r>
      <w:r>
        <w:rPr>
          <w:rFonts w:cs="Times New Roman"/>
          <w:noProof/>
          <w:lang w:val="fr-CA"/>
        </w:rPr>
        <w:t>al. </w:t>
      </w:r>
      <w:r w:rsidRPr="002C6B07">
        <w:rPr>
          <w:rFonts w:cs="Times New Roman"/>
          <w:noProof/>
          <w:lang w:val="fr-CA"/>
        </w:rPr>
        <w:t xml:space="preserve">3b) de la </w:t>
      </w:r>
      <w:r w:rsidRPr="002C6B07">
        <w:rPr>
          <w:rFonts w:cs="Times New Roman"/>
          <w:i/>
          <w:noProof/>
          <w:lang w:val="fr-CA"/>
        </w:rPr>
        <w:t xml:space="preserve">LERJ </w:t>
      </w:r>
      <w:r w:rsidRPr="002C6B07">
        <w:rPr>
          <w:rFonts w:cs="Times New Roman"/>
          <w:noProof/>
          <w:lang w:val="fr-CA"/>
        </w:rPr>
        <w:t>devait selon lui être interprétée comme établissant un critère très peu exigeant auquel Antigua satisfaisait aisément du fait des activités qu’elle exerçait en Colombie</w:t>
      </w:r>
      <w:r>
        <w:rPr>
          <w:rFonts w:cs="Times New Roman"/>
          <w:noProof/>
          <w:lang w:val="fr-CA"/>
        </w:rPr>
        <w:noBreakHyphen/>
      </w:r>
      <w:r w:rsidRPr="002C6B07">
        <w:rPr>
          <w:rFonts w:cs="Times New Roman"/>
          <w:noProof/>
          <w:lang w:val="fr-CA"/>
        </w:rPr>
        <w:t>Britannique par le truchement du CI</w:t>
      </w:r>
      <w:r>
        <w:rPr>
          <w:rFonts w:cs="Times New Roman"/>
          <w:noProof/>
          <w:lang w:val="fr-CA"/>
        </w:rPr>
        <w:t xml:space="preserve">P. </w:t>
      </w:r>
      <w:r w:rsidRPr="002C6B07">
        <w:rPr>
          <w:rFonts w:cs="Times New Roman"/>
          <w:noProof/>
          <w:lang w:val="fr-CA"/>
        </w:rPr>
        <w:t xml:space="preserve">Le juge Nordheimer a conclu que le juge de première instance avait commis une erreur manifeste et déterminante en concluant différemment. </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En ce qui concerne l’</w:t>
      </w:r>
      <w:r>
        <w:rPr>
          <w:rFonts w:cs="Times New Roman"/>
          <w:noProof/>
          <w:lang w:val="fr-CA"/>
        </w:rPr>
        <w:t>al. </w:t>
      </w:r>
      <w:r w:rsidRPr="002C6B07">
        <w:rPr>
          <w:rFonts w:cs="Times New Roman"/>
          <w:noProof/>
          <w:lang w:val="fr-CA"/>
        </w:rPr>
        <w:t>3g), le juge Nordheimer a conclu que le « jugement initial » dont il est question dans cette disposition s’entendait du jugement de la Colombie</w:t>
      </w:r>
      <w:r>
        <w:rPr>
          <w:rFonts w:cs="Times New Roman"/>
          <w:noProof/>
          <w:lang w:val="fr-CA"/>
        </w:rPr>
        <w:noBreakHyphen/>
      </w:r>
      <w:r w:rsidRPr="002C6B07">
        <w:rPr>
          <w:rFonts w:cs="Times New Roman"/>
          <w:noProof/>
          <w:lang w:val="fr-CA"/>
        </w:rPr>
        <w:t xml:space="preserve">Britannique. Selon la définition prévue au </w:t>
      </w:r>
      <w:r>
        <w:rPr>
          <w:rFonts w:cs="Times New Roman"/>
          <w:noProof/>
          <w:lang w:val="fr-CA"/>
        </w:rPr>
        <w:t>par. </w:t>
      </w:r>
      <w:r w:rsidRPr="002C6B07">
        <w:rPr>
          <w:rFonts w:cs="Times New Roman"/>
          <w:noProof/>
          <w:lang w:val="fr-CA"/>
        </w:rPr>
        <w:t xml:space="preserve">1(1) de </w:t>
      </w:r>
      <w:r w:rsidRPr="002C6B07">
        <w:rPr>
          <w:rFonts w:cs="Times New Roman"/>
          <w:iCs/>
          <w:noProof/>
          <w:lang w:val="fr-CA"/>
        </w:rPr>
        <w:t xml:space="preserve">la </w:t>
      </w:r>
      <w:r w:rsidRPr="002C6B07">
        <w:rPr>
          <w:rFonts w:cs="Times New Roman"/>
          <w:i/>
          <w:iCs/>
          <w:noProof/>
          <w:lang w:val="fr-CA"/>
        </w:rPr>
        <w:t>LERJ</w:t>
      </w:r>
      <w:r w:rsidRPr="002C6B07">
        <w:rPr>
          <w:rFonts w:cs="Times New Roman"/>
          <w:iCs/>
          <w:noProof/>
          <w:lang w:val="fr-CA"/>
        </w:rPr>
        <w:t xml:space="preserve">, </w:t>
      </w:r>
      <w:r w:rsidRPr="002C6B07">
        <w:rPr>
          <w:rFonts w:cs="Times New Roman"/>
          <w:lang w:val="fr-CA"/>
        </w:rPr>
        <w:t>le «</w:t>
      </w:r>
      <w:r>
        <w:rPr>
          <w:rFonts w:cs="Times New Roman"/>
          <w:lang w:val="fr-CA"/>
        </w:rPr>
        <w:t> </w:t>
      </w:r>
      <w:r w:rsidRPr="002C6B07">
        <w:rPr>
          <w:rFonts w:cs="Times New Roman"/>
          <w:lang w:val="fr-CA"/>
        </w:rPr>
        <w:t>tribunal d’origine</w:t>
      </w:r>
      <w:r>
        <w:rPr>
          <w:rFonts w:cs="Times New Roman"/>
          <w:lang w:val="fr-CA"/>
        </w:rPr>
        <w:t> </w:t>
      </w:r>
      <w:r w:rsidRPr="002C6B07">
        <w:rPr>
          <w:rFonts w:cs="Times New Roman"/>
          <w:lang w:val="fr-CA"/>
        </w:rPr>
        <w:t>» est «</w:t>
      </w:r>
      <w:r>
        <w:rPr>
          <w:rFonts w:cs="Times New Roman"/>
          <w:lang w:val="fr-CA"/>
        </w:rPr>
        <w:t> </w:t>
      </w:r>
      <w:r w:rsidRPr="002C6B07">
        <w:rPr>
          <w:rFonts w:cs="Times New Roman"/>
          <w:lang w:val="fr-CA"/>
        </w:rPr>
        <w:t>le tribunal qui [. . .] a rendu [le jugement]</w:t>
      </w:r>
      <w:r>
        <w:rPr>
          <w:rFonts w:cs="Times New Roman"/>
          <w:lang w:val="fr-CA"/>
        </w:rPr>
        <w:t> </w:t>
      </w:r>
      <w:r w:rsidRPr="002C6B07">
        <w:rPr>
          <w:rFonts w:cs="Times New Roman"/>
          <w:lang w:val="fr-CA"/>
        </w:rPr>
        <w:t xml:space="preserve">», ce qui, en l’espèce, s’entendait, selon le </w:t>
      </w:r>
      <w:r w:rsidRPr="002C6B07">
        <w:rPr>
          <w:rFonts w:cs="Times New Roman"/>
          <w:noProof/>
          <w:lang w:val="fr-CA"/>
        </w:rPr>
        <w:t>juge Nordheimer, de la Cour suprême de la Colombie</w:t>
      </w:r>
      <w:r>
        <w:rPr>
          <w:rFonts w:cs="Times New Roman"/>
          <w:noProof/>
          <w:lang w:val="fr-CA"/>
        </w:rPr>
        <w:noBreakHyphen/>
      </w:r>
      <w:r w:rsidRPr="002C6B07">
        <w:rPr>
          <w:rFonts w:cs="Times New Roman"/>
          <w:noProof/>
          <w:lang w:val="fr-CA"/>
        </w:rPr>
        <w:t>Britannique, étant donné que le jugement dont on cherchait à obtenir l’enregistrement était le jugement de la Colombie</w:t>
      </w:r>
      <w:r>
        <w:rPr>
          <w:rFonts w:cs="Times New Roman"/>
          <w:noProof/>
          <w:lang w:val="fr-CA"/>
        </w:rPr>
        <w:noBreakHyphen/>
      </w:r>
      <w:r w:rsidRPr="002C6B07">
        <w:rPr>
          <w:rFonts w:cs="Times New Roman"/>
          <w:noProof/>
          <w:lang w:val="fr-CA"/>
        </w:rPr>
        <w:t>Britannique. Sur le plan de l’interprétation des lois, la présomption d’uniformité d’expression donnait à penser que le terme «</w:t>
      </w:r>
      <w:r>
        <w:rPr>
          <w:rFonts w:cs="Times New Roman"/>
          <w:noProof/>
          <w:lang w:val="fr-CA"/>
        </w:rPr>
        <w:t> </w:t>
      </w:r>
      <w:r w:rsidRPr="002C6B07">
        <w:rPr>
          <w:rFonts w:cs="Times New Roman"/>
          <w:noProof/>
          <w:lang w:val="fr-CA"/>
        </w:rPr>
        <w:t>jugement initial</w:t>
      </w:r>
      <w:r>
        <w:rPr>
          <w:rFonts w:cs="Times New Roman"/>
          <w:noProof/>
          <w:lang w:val="fr-CA"/>
        </w:rPr>
        <w:t> </w:t>
      </w:r>
      <w:r w:rsidRPr="002C6B07">
        <w:rPr>
          <w:rFonts w:cs="Times New Roman"/>
          <w:noProof/>
          <w:lang w:val="fr-CA"/>
        </w:rPr>
        <w:t>» s’entendait aussi du jugement de la Colombie</w:t>
      </w:r>
      <w:r>
        <w:rPr>
          <w:rFonts w:cs="Times New Roman"/>
          <w:noProof/>
          <w:lang w:val="fr-CA"/>
        </w:rPr>
        <w:noBreakHyphen/>
      </w:r>
      <w:r w:rsidRPr="002C6B07">
        <w:rPr>
          <w:rFonts w:cs="Times New Roman"/>
          <w:noProof/>
          <w:lang w:val="fr-CA"/>
        </w:rPr>
        <w:t xml:space="preserve">Britannique. Rien ne permettait de réfuter cette présomption en l’espèce. D’ailleurs, l’interprétation incohérente de ce terme par le juge de première instance allait à l’encontre de l’objet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 qui est de faciliter l’exécution des jugements régulièrement rendus par des États accordant la réciprocité. Le juge Nordheimer a estimé que, comme Antigua n’avait pas de moyen de défense valable à faire valoir pour s’opposer au jugement de la Colombie</w:t>
      </w:r>
      <w:r>
        <w:rPr>
          <w:rFonts w:cs="Times New Roman"/>
          <w:noProof/>
          <w:lang w:val="fr-CA"/>
        </w:rPr>
        <w:noBreakHyphen/>
      </w:r>
      <w:r w:rsidRPr="002C6B07">
        <w:rPr>
          <w:rFonts w:cs="Times New Roman"/>
          <w:noProof/>
          <w:lang w:val="fr-CA"/>
        </w:rPr>
        <w:t>Britannique, l’</w:t>
      </w:r>
      <w:r>
        <w:rPr>
          <w:rFonts w:cs="Times New Roman"/>
          <w:noProof/>
          <w:lang w:val="fr-CA"/>
        </w:rPr>
        <w:t>al. </w:t>
      </w:r>
      <w:r w:rsidRPr="002C6B07">
        <w:rPr>
          <w:rFonts w:cs="Times New Roman"/>
          <w:noProof/>
          <w:lang w:val="fr-CA"/>
        </w:rPr>
        <w:t>3g) n’empêchait pas l’enregistrement de ce jugement, de sorte qu’il en aurait ordonné l’enregistrement.</w:t>
      </w:r>
    </w:p>
    <w:p w:rsidR="009D2D7F" w:rsidRPr="002C6B07" w:rsidRDefault="009D2D7F" w:rsidP="009D2D7F">
      <w:pPr>
        <w:pStyle w:val="Title1LevelTitre1Niveau-AltL"/>
        <w:rPr>
          <w:rFonts w:cs="Times New Roman"/>
          <w:noProof/>
          <w:lang w:val="fr-CA"/>
        </w:rPr>
      </w:pPr>
      <w:r w:rsidRPr="002C6B07">
        <w:rPr>
          <w:rFonts w:cs="Times New Roman"/>
          <w:noProof/>
          <w:lang w:val="fr-CA"/>
        </w:rPr>
        <w:t>Prétentions des parties</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H.M.B. soutient que l’interprétation de l’expression « exerçait [. . .] ses activités » à l’</w:t>
      </w:r>
      <w:r>
        <w:rPr>
          <w:rFonts w:cs="Times New Roman"/>
          <w:noProof/>
          <w:lang w:val="fr-CA"/>
        </w:rPr>
        <w:t>al. </w:t>
      </w:r>
      <w:r w:rsidRPr="002C6B07">
        <w:rPr>
          <w:rFonts w:cs="Times New Roman"/>
          <w:noProof/>
          <w:lang w:val="fr-CA"/>
        </w:rPr>
        <w:t>3b) doit refléter l’approche « </w:t>
      </w:r>
      <w:r w:rsidRPr="002C6B07">
        <w:rPr>
          <w:rFonts w:cs="Times New Roman"/>
          <w:lang w:val="fr-CA"/>
        </w:rPr>
        <w:t>souple et libérale » en matière de reconnaissance et d’exécution des jugements étrangers</w:t>
      </w:r>
      <w:r w:rsidRPr="002C6B07">
        <w:rPr>
          <w:rFonts w:cs="Times New Roman"/>
          <w:noProof/>
          <w:lang w:val="fr-CA"/>
        </w:rPr>
        <w:t xml:space="preserve"> énoncée dans l’arrêt </w:t>
      </w:r>
      <w:r w:rsidRPr="002C6B07">
        <w:rPr>
          <w:rFonts w:cs="Times New Roman"/>
          <w:i/>
          <w:iCs/>
          <w:noProof/>
          <w:lang w:val="fr-CA"/>
        </w:rPr>
        <w:t>Chevron</w:t>
      </w:r>
      <w:r w:rsidRPr="002C6B07">
        <w:rPr>
          <w:rFonts w:cs="Times New Roman"/>
          <w:noProof/>
          <w:lang w:val="fr-CA"/>
        </w:rPr>
        <w:t xml:space="preserve">. Les </w:t>
      </w:r>
      <w:r w:rsidRPr="002C6B07">
        <w:rPr>
          <w:rFonts w:cs="Times New Roman"/>
          <w:lang w:val="fr-CA"/>
        </w:rPr>
        <w:t xml:space="preserve">principes relatifs à l’établissement de la compétence ne s’appliquent pas, et </w:t>
      </w:r>
      <w:r w:rsidRPr="002C6B07">
        <w:rPr>
          <w:rFonts w:cs="Times New Roman"/>
          <w:noProof/>
          <w:lang w:val="fr-CA"/>
        </w:rPr>
        <w:t xml:space="preserve">le juge de première instance a commis une erreur en se fondant sur l’arrêt </w:t>
      </w:r>
      <w:r w:rsidRPr="002C6B07">
        <w:rPr>
          <w:rFonts w:cs="Times New Roman"/>
          <w:i/>
          <w:iCs/>
          <w:noProof/>
          <w:lang w:val="fr-CA"/>
        </w:rPr>
        <w:t>Van Breda</w:t>
      </w:r>
      <w:r w:rsidRPr="002C6B07">
        <w:rPr>
          <w:rFonts w:cs="Times New Roman"/>
          <w:noProof/>
          <w:lang w:val="fr-CA"/>
        </w:rPr>
        <w:t xml:space="preserve">. Le critère applicable est plutôt celui qui a été énoncé dans l’arrêt </w:t>
      </w:r>
      <w:r w:rsidRPr="002C6B07">
        <w:rPr>
          <w:rFonts w:cs="Times New Roman"/>
          <w:i/>
          <w:noProof/>
          <w:lang w:val="fr-CA"/>
        </w:rPr>
        <w:t>Wilson c. Hull</w:t>
      </w:r>
      <w:r w:rsidRPr="002C6B07">
        <w:rPr>
          <w:rFonts w:cs="Times New Roman"/>
          <w:noProof/>
          <w:lang w:val="fr-CA"/>
        </w:rPr>
        <w:t xml:space="preserve"> (1995),</w:t>
      </w:r>
      <w:r>
        <w:rPr>
          <w:rFonts w:cs="Times New Roman"/>
          <w:noProof/>
          <w:lang w:val="fr-CA"/>
        </w:rPr>
        <w:t xml:space="preserve"> </w:t>
      </w:r>
      <w:r w:rsidRPr="002C6B07">
        <w:rPr>
          <w:rFonts w:cs="Times New Roman"/>
          <w:noProof/>
          <w:lang w:val="fr-CA"/>
        </w:rPr>
        <w:t>128</w:t>
      </w:r>
      <w:r>
        <w:rPr>
          <w:rFonts w:cs="Times New Roman"/>
          <w:noProof/>
          <w:lang w:val="fr-CA"/>
        </w:rPr>
        <w:t xml:space="preserve"> </w:t>
      </w:r>
      <w:r w:rsidRPr="002C6B07">
        <w:rPr>
          <w:rFonts w:cs="Times New Roman"/>
          <w:noProof/>
          <w:lang w:val="fr-CA"/>
        </w:rPr>
        <w:t xml:space="preserve">D.L.R. (4th) 403 (C.A. Alta.). Selon l’arrêt </w:t>
      </w:r>
      <w:r w:rsidRPr="002C6B07">
        <w:rPr>
          <w:rFonts w:cs="Times New Roman"/>
          <w:i/>
          <w:noProof/>
          <w:lang w:val="fr-CA"/>
        </w:rPr>
        <w:t>Wilson</w:t>
      </w:r>
      <w:r w:rsidRPr="002C6B07">
        <w:rPr>
          <w:rFonts w:cs="Times New Roman"/>
          <w:noProof/>
          <w:lang w:val="fr-CA"/>
        </w:rPr>
        <w:t xml:space="preserve"> ou tout autre critère relatif à l’« exercice d’activités », les [</w:t>
      </w:r>
      <w:r w:rsidRPr="002C6B07">
        <w:rPr>
          <w:rFonts w:cs="Times New Roman"/>
          <w:smallCaps/>
          <w:noProof/>
          <w:lang w:val="fr-CA"/>
        </w:rPr>
        <w:t>traduction</w:t>
      </w:r>
      <w:r w:rsidRPr="002C6B07">
        <w:rPr>
          <w:rFonts w:cs="Times New Roman"/>
          <w:noProof/>
          <w:lang w:val="fr-CA"/>
        </w:rPr>
        <w:t xml:space="preserve">] « activités de promotion et de vente de la citoyenneté </w:t>
      </w:r>
      <w:r w:rsidRPr="002C6B07">
        <w:rPr>
          <w:rFonts w:cs="Times New Roman"/>
          <w:lang w:val="fr-CA"/>
        </w:rPr>
        <w:t>antiguaise »</w:t>
      </w:r>
      <w:r w:rsidRPr="002C6B07">
        <w:rPr>
          <w:rFonts w:cs="Times New Roman"/>
          <w:noProof/>
          <w:lang w:val="fr-CA"/>
        </w:rPr>
        <w:t xml:space="preserve"> auxquelles se livrait Antigua en Colombie</w:t>
      </w:r>
      <w:r>
        <w:rPr>
          <w:rFonts w:cs="Times New Roman"/>
          <w:noProof/>
          <w:lang w:val="fr-CA"/>
        </w:rPr>
        <w:noBreakHyphen/>
      </w:r>
      <w:r w:rsidRPr="002C6B07">
        <w:rPr>
          <w:rFonts w:cs="Times New Roman"/>
          <w:noProof/>
          <w:lang w:val="fr-CA"/>
        </w:rPr>
        <w:t xml:space="preserve">Britannique satisfaisaient à la norme relative à l’exercice d’activités (m.a., </w:t>
      </w:r>
      <w:r>
        <w:rPr>
          <w:rFonts w:cs="Times New Roman"/>
          <w:noProof/>
          <w:lang w:val="fr-CA"/>
        </w:rPr>
        <w:t>par. </w:t>
      </w:r>
      <w:r w:rsidRPr="002C6B07">
        <w:rPr>
          <w:rFonts w:cs="Times New Roman"/>
          <w:noProof/>
          <w:lang w:val="fr-CA"/>
        </w:rPr>
        <w:t>27). En ce qui concerne l’</w:t>
      </w:r>
      <w:r>
        <w:rPr>
          <w:rFonts w:cs="Times New Roman"/>
          <w:noProof/>
          <w:lang w:val="fr-CA"/>
        </w:rPr>
        <w:t>al. </w:t>
      </w:r>
      <w:r w:rsidRPr="002C6B07">
        <w:rPr>
          <w:rFonts w:cs="Times New Roman"/>
          <w:noProof/>
          <w:lang w:val="fr-CA"/>
        </w:rPr>
        <w:t>3g), H.M.B. fait valoir que, selon une interprétation cohérente des termes « initial » et «</w:t>
      </w:r>
      <w:r>
        <w:rPr>
          <w:rFonts w:cs="Times New Roman"/>
          <w:noProof/>
          <w:lang w:val="fr-CA"/>
        </w:rPr>
        <w:t> </w:t>
      </w:r>
      <w:r w:rsidRPr="002C6B07">
        <w:rPr>
          <w:rFonts w:cs="Times New Roman"/>
          <w:noProof/>
          <w:lang w:val="fr-CA"/>
        </w:rPr>
        <w:t>d’origine</w:t>
      </w:r>
      <w:r>
        <w:rPr>
          <w:rFonts w:cs="Times New Roman"/>
          <w:noProof/>
          <w:lang w:val="fr-CA"/>
        </w:rPr>
        <w:t> </w:t>
      </w:r>
      <w:r w:rsidRPr="002C6B07">
        <w:rPr>
          <w:rFonts w:cs="Times New Roman"/>
          <w:noProof/>
          <w:lang w:val="fr-CA"/>
        </w:rPr>
        <w:t>» que l’on trouve partout dans la loi, force est de conclure que le « jugement initial » est le jugement de la Colombie</w:t>
      </w:r>
      <w:r>
        <w:rPr>
          <w:rFonts w:cs="Times New Roman"/>
          <w:noProof/>
          <w:lang w:val="fr-CA"/>
        </w:rPr>
        <w:noBreakHyphen/>
      </w:r>
      <w:r w:rsidRPr="002C6B07">
        <w:rPr>
          <w:rFonts w:cs="Times New Roman"/>
          <w:noProof/>
          <w:lang w:val="fr-CA"/>
        </w:rPr>
        <w:t>Britannique, contre lequel Antigua n’a aucun moyen de défense à faire valoir. En conséquence, ni l’</w:t>
      </w:r>
      <w:r>
        <w:rPr>
          <w:rFonts w:cs="Times New Roman"/>
          <w:noProof/>
          <w:lang w:val="fr-CA"/>
        </w:rPr>
        <w:t>al. </w:t>
      </w:r>
      <w:r w:rsidRPr="002C6B07">
        <w:rPr>
          <w:rFonts w:cs="Times New Roman"/>
          <w:noProof/>
          <w:lang w:val="fr-CA"/>
        </w:rPr>
        <w:t>3b) ni l’</w:t>
      </w:r>
      <w:r>
        <w:rPr>
          <w:rFonts w:cs="Times New Roman"/>
          <w:noProof/>
          <w:lang w:val="fr-CA"/>
        </w:rPr>
        <w:t>al. </w:t>
      </w:r>
      <w:r w:rsidRPr="002C6B07">
        <w:rPr>
          <w:rFonts w:cs="Times New Roman"/>
          <w:noProof/>
          <w:lang w:val="fr-CA"/>
        </w:rPr>
        <w:t xml:space="preserve">3g) de la </w:t>
      </w:r>
      <w:r w:rsidRPr="002C6B07">
        <w:rPr>
          <w:rFonts w:cs="Times New Roman"/>
          <w:i/>
          <w:noProof/>
          <w:lang w:val="fr-CA"/>
        </w:rPr>
        <w:t>LERJ</w:t>
      </w:r>
      <w:r w:rsidRPr="002C6B07">
        <w:rPr>
          <w:rFonts w:cs="Times New Roman"/>
          <w:noProof/>
          <w:lang w:val="fr-CA"/>
        </w:rPr>
        <w:t xml:space="preserve"> n’empêche l’enregistrement du jugement.</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Antigua soutient que le juge de première instance a appliqué le bon critère pour déterminer s’il y avait « exer[cice] [d’]activités » au sens de l’</w:t>
      </w:r>
      <w:r>
        <w:rPr>
          <w:rFonts w:cs="Times New Roman"/>
          <w:noProof/>
          <w:lang w:val="fr-CA"/>
        </w:rPr>
        <w:t>al. </w:t>
      </w:r>
      <w:r w:rsidRPr="002C6B07">
        <w:rPr>
          <w:rFonts w:cs="Times New Roman"/>
          <w:noProof/>
          <w:lang w:val="fr-CA"/>
        </w:rPr>
        <w:t>3b), critère qui trouve son or</w:t>
      </w:r>
      <w:r>
        <w:rPr>
          <w:rFonts w:cs="Times New Roman"/>
          <w:noProof/>
          <w:lang w:val="fr-CA"/>
        </w:rPr>
        <w:t xml:space="preserve">igine dans les règles de common </w:t>
      </w:r>
      <w:r w:rsidRPr="002C6B07">
        <w:rPr>
          <w:rFonts w:cs="Times New Roman"/>
          <w:noProof/>
          <w:lang w:val="fr-CA"/>
        </w:rPr>
        <w:t xml:space="preserve">law relatives à l’établissement de la compétence </w:t>
      </w:r>
      <w:r w:rsidRPr="002C6B07">
        <w:rPr>
          <w:rFonts w:cs="Times New Roman"/>
          <w:lang w:val="fr-CA"/>
        </w:rPr>
        <w:t>fondée sur la présence dans le ressort</w:t>
      </w:r>
      <w:r w:rsidRPr="002C6B07">
        <w:rPr>
          <w:rFonts w:cs="Times New Roman"/>
          <w:i/>
          <w:iCs/>
          <w:noProof/>
          <w:lang w:val="fr-CA"/>
        </w:rPr>
        <w:t xml:space="preserve">. </w:t>
      </w:r>
      <w:r w:rsidRPr="002C6B07">
        <w:rPr>
          <w:rFonts w:cs="Times New Roman"/>
          <w:iCs/>
          <w:noProof/>
          <w:lang w:val="fr-CA"/>
        </w:rPr>
        <w:t>Elle ajoute que l</w:t>
      </w:r>
      <w:r w:rsidRPr="002C6B07">
        <w:rPr>
          <w:rFonts w:cs="Times New Roman"/>
          <w:noProof/>
          <w:lang w:val="fr-CA"/>
        </w:rPr>
        <w:t>a conclusion du juge de première instance suivant laquelle Antigua n’exerçait pas ses activités en Colombie</w:t>
      </w:r>
      <w:r>
        <w:rPr>
          <w:rFonts w:cs="Times New Roman"/>
          <w:noProof/>
          <w:lang w:val="fr-CA"/>
        </w:rPr>
        <w:noBreakHyphen/>
      </w:r>
      <w:r w:rsidRPr="002C6B07">
        <w:rPr>
          <w:rFonts w:cs="Times New Roman"/>
          <w:noProof/>
          <w:lang w:val="fr-CA"/>
        </w:rPr>
        <w:t>Britannique n’est entachée d’aucune erreur justifiant l’infirmation de sa décision. Pour ce qui est de l’</w:t>
      </w:r>
      <w:r>
        <w:rPr>
          <w:rFonts w:cs="Times New Roman"/>
          <w:noProof/>
          <w:lang w:val="fr-CA"/>
        </w:rPr>
        <w:t>al. </w:t>
      </w:r>
      <w:r w:rsidRPr="002C6B07">
        <w:rPr>
          <w:rFonts w:cs="Times New Roman"/>
          <w:noProof/>
          <w:lang w:val="fr-CA"/>
        </w:rPr>
        <w:t>3g), Antigua affirme que le «</w:t>
      </w:r>
      <w:r>
        <w:rPr>
          <w:rFonts w:cs="Times New Roman"/>
          <w:noProof/>
          <w:lang w:val="fr-CA"/>
        </w:rPr>
        <w:t> </w:t>
      </w:r>
      <w:r w:rsidRPr="002C6B07">
        <w:rPr>
          <w:rFonts w:cs="Times New Roman"/>
          <w:noProof/>
          <w:lang w:val="fr-CA"/>
        </w:rPr>
        <w:t>jugement initial</w:t>
      </w:r>
      <w:r>
        <w:rPr>
          <w:rFonts w:cs="Times New Roman"/>
          <w:noProof/>
          <w:lang w:val="fr-CA"/>
        </w:rPr>
        <w:t> </w:t>
      </w:r>
      <w:r w:rsidRPr="002C6B07">
        <w:rPr>
          <w:rFonts w:cs="Times New Roman"/>
          <w:noProof/>
          <w:lang w:val="fr-CA"/>
        </w:rPr>
        <w:t>» est l’arrêt du Conseil privé, contre lequel elle peut faire valoir un moyen de défense valable fondé sur la prescription. De plus, conclure que le jugement dérivé rendu en Colombie</w:t>
      </w:r>
      <w:r>
        <w:rPr>
          <w:rFonts w:cs="Times New Roman"/>
          <w:noProof/>
          <w:lang w:val="fr-CA"/>
        </w:rPr>
        <w:noBreakHyphen/>
      </w:r>
      <w:r w:rsidRPr="002C6B07">
        <w:rPr>
          <w:rFonts w:cs="Times New Roman"/>
          <w:noProof/>
          <w:lang w:val="fr-CA"/>
        </w:rPr>
        <w:t xml:space="preserve">Britannique est le « jugement initial » permettrait de se soustraire au délai de prescription prévu par la loi ontarienne pour l’enregistrement des jugements étrangers, permettant ainsi à H.M.B. de faire indirectement ce qu’elle ne peut pas faire directement. En conséquence, les </w:t>
      </w:r>
      <w:r>
        <w:rPr>
          <w:rFonts w:cs="Times New Roman"/>
          <w:noProof/>
          <w:lang w:val="fr-CA"/>
        </w:rPr>
        <w:t>al. </w:t>
      </w:r>
      <w:r w:rsidRPr="002C6B07">
        <w:rPr>
          <w:rFonts w:cs="Times New Roman"/>
          <w:noProof/>
          <w:lang w:val="fr-CA"/>
        </w:rPr>
        <w:t xml:space="preserve">3b) et 3g) de la </w:t>
      </w:r>
      <w:r w:rsidRPr="002C6B07">
        <w:rPr>
          <w:rFonts w:cs="Times New Roman"/>
          <w:i/>
          <w:noProof/>
          <w:lang w:val="fr-CA"/>
        </w:rPr>
        <w:t>LERJ</w:t>
      </w:r>
      <w:r w:rsidRPr="002C6B07">
        <w:rPr>
          <w:rFonts w:cs="Times New Roman"/>
          <w:noProof/>
          <w:lang w:val="fr-CA"/>
        </w:rPr>
        <w:t xml:space="preserve"> empêchent tous les deux l’enregistrement du jugement de la Colombie</w:t>
      </w:r>
      <w:r>
        <w:rPr>
          <w:rFonts w:cs="Times New Roman"/>
          <w:noProof/>
          <w:lang w:val="fr-CA"/>
        </w:rPr>
        <w:noBreakHyphen/>
      </w:r>
      <w:r w:rsidRPr="002C6B07">
        <w:rPr>
          <w:rFonts w:cs="Times New Roman"/>
          <w:noProof/>
          <w:lang w:val="fr-CA"/>
        </w:rPr>
        <w:t xml:space="preserve">Britannique en vertu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w:t>
      </w:r>
    </w:p>
    <w:p w:rsidR="009D2D7F" w:rsidRPr="002C6B07" w:rsidRDefault="009D2D7F" w:rsidP="009D2D7F">
      <w:pPr>
        <w:pStyle w:val="Title1LevelTitre1Niveau-AltL"/>
        <w:rPr>
          <w:rFonts w:cs="Times New Roman"/>
          <w:noProof/>
          <w:lang w:val="fr-CA"/>
        </w:rPr>
      </w:pPr>
      <w:r w:rsidRPr="002C6B07">
        <w:rPr>
          <w:rFonts w:cs="Times New Roman"/>
          <w:noProof/>
          <w:lang w:val="fr-CA"/>
        </w:rPr>
        <w:t>Questions en litige dans le présent pourvoi</w:t>
      </w:r>
    </w:p>
    <w:p w:rsidR="009D2D7F" w:rsidRPr="002C6B07" w:rsidRDefault="009D2D7F" w:rsidP="009D2D7F">
      <w:pPr>
        <w:pStyle w:val="Citation-AltC"/>
        <w:numPr>
          <w:ilvl w:val="0"/>
          <w:numId w:val="39"/>
        </w:numPr>
        <w:spacing w:after="480" w:line="480" w:lineRule="auto"/>
        <w:contextualSpacing w:val="0"/>
        <w:rPr>
          <w:noProof/>
          <w:lang w:val="fr-CA"/>
        </w:rPr>
      </w:pPr>
      <w:r w:rsidRPr="002C6B07">
        <w:rPr>
          <w:noProof/>
          <w:lang w:val="fr-CA" w:bidi="en-US"/>
        </w:rPr>
        <w:t xml:space="preserve">L’alinéa 3b) de la </w:t>
      </w:r>
      <w:r w:rsidRPr="002C6B07">
        <w:rPr>
          <w:i/>
          <w:noProof/>
          <w:lang w:val="fr-CA" w:bidi="en-US"/>
        </w:rPr>
        <w:t>LERJ</w:t>
      </w:r>
      <w:r w:rsidRPr="002C6B07">
        <w:rPr>
          <w:noProof/>
          <w:lang w:val="fr-CA" w:bidi="en-US"/>
        </w:rPr>
        <w:t xml:space="preserve"> empêche</w:t>
      </w:r>
      <w:r>
        <w:rPr>
          <w:noProof/>
          <w:lang w:val="fr-CA" w:bidi="en-US"/>
        </w:rPr>
        <w:noBreakHyphen/>
      </w:r>
      <w:r w:rsidRPr="002C6B07">
        <w:rPr>
          <w:noProof/>
          <w:lang w:val="fr-CA" w:bidi="en-US"/>
        </w:rPr>
        <w:t>t</w:t>
      </w:r>
      <w:r>
        <w:rPr>
          <w:noProof/>
          <w:lang w:val="fr-CA" w:bidi="en-US"/>
        </w:rPr>
        <w:noBreakHyphen/>
      </w:r>
      <w:r w:rsidRPr="002C6B07">
        <w:rPr>
          <w:noProof/>
          <w:lang w:val="fr-CA" w:bidi="en-US"/>
        </w:rPr>
        <w:t xml:space="preserve">il H.M.B. </w:t>
      </w:r>
      <w:r w:rsidRPr="002C6B07">
        <w:rPr>
          <w:iCs/>
          <w:noProof/>
          <w:lang w:val="fr-CA" w:bidi="en-US"/>
        </w:rPr>
        <w:t xml:space="preserve">de faire enregistrer </w:t>
      </w:r>
      <w:r w:rsidRPr="002C6B07">
        <w:rPr>
          <w:noProof/>
          <w:lang w:val="fr-CA" w:bidi="en-US"/>
        </w:rPr>
        <w:t>le jugement de la Colombie</w:t>
      </w:r>
      <w:r>
        <w:rPr>
          <w:noProof/>
          <w:lang w:val="fr-CA" w:bidi="en-US"/>
        </w:rPr>
        <w:noBreakHyphen/>
      </w:r>
      <w:r w:rsidRPr="002C6B07">
        <w:rPr>
          <w:noProof/>
          <w:lang w:val="fr-CA" w:bidi="en-US"/>
        </w:rPr>
        <w:t>Britannique en Ontario parce qu’Antigua « n’exerçait pas ses activités » en Colombie</w:t>
      </w:r>
      <w:r>
        <w:rPr>
          <w:noProof/>
          <w:lang w:val="fr-CA" w:bidi="en-US"/>
        </w:rPr>
        <w:noBreakHyphen/>
      </w:r>
      <w:r w:rsidRPr="002C6B07">
        <w:rPr>
          <w:noProof/>
          <w:lang w:val="fr-CA" w:bidi="en-US"/>
        </w:rPr>
        <w:t>Britannique lorsque l’action a été intentée dans cette province?</w:t>
      </w:r>
    </w:p>
    <w:p w:rsidR="009D2D7F" w:rsidRPr="002C6B07" w:rsidRDefault="009D2D7F" w:rsidP="009D2D7F">
      <w:pPr>
        <w:pStyle w:val="Citation-AltC"/>
        <w:numPr>
          <w:ilvl w:val="0"/>
          <w:numId w:val="39"/>
        </w:numPr>
        <w:spacing w:after="480" w:line="480" w:lineRule="auto"/>
        <w:contextualSpacing w:val="0"/>
        <w:rPr>
          <w:noProof/>
          <w:lang w:val="fr-CA"/>
        </w:rPr>
      </w:pPr>
      <w:r w:rsidRPr="002C6B07">
        <w:rPr>
          <w:noProof/>
          <w:lang w:val="fr-CA"/>
        </w:rPr>
        <w:t>Dans la négative, l’</w:t>
      </w:r>
      <w:r>
        <w:rPr>
          <w:noProof/>
          <w:lang w:val="fr-CA"/>
        </w:rPr>
        <w:t>al. </w:t>
      </w:r>
      <w:r w:rsidRPr="002C6B07">
        <w:rPr>
          <w:noProof/>
          <w:lang w:val="fr-CA"/>
        </w:rPr>
        <w:t>3</w:t>
      </w:r>
      <w:r w:rsidRPr="002C6B07">
        <w:rPr>
          <w:noProof/>
          <w:lang w:val="fr-CA" w:bidi="en-US"/>
        </w:rPr>
        <w:t>g) de</w:t>
      </w:r>
      <w:r w:rsidRPr="002C6B07">
        <w:rPr>
          <w:noProof/>
          <w:lang w:val="fr-CA"/>
        </w:rPr>
        <w:t xml:space="preserve"> </w:t>
      </w:r>
      <w:r w:rsidRPr="002C6B07">
        <w:rPr>
          <w:iCs/>
          <w:noProof/>
          <w:lang w:val="fr-CA" w:bidi="en-US"/>
        </w:rPr>
        <w:t xml:space="preserve">la </w:t>
      </w:r>
      <w:r w:rsidRPr="002C6B07">
        <w:rPr>
          <w:i/>
          <w:iCs/>
          <w:noProof/>
          <w:lang w:val="fr-CA" w:bidi="en-US"/>
        </w:rPr>
        <w:t>LERJ</w:t>
      </w:r>
      <w:r w:rsidRPr="002C6B07">
        <w:rPr>
          <w:iCs/>
          <w:noProof/>
          <w:lang w:val="fr-CA" w:bidi="en-US"/>
        </w:rPr>
        <w:t xml:space="preserve"> empêche</w:t>
      </w:r>
      <w:r>
        <w:rPr>
          <w:iCs/>
          <w:noProof/>
          <w:lang w:val="fr-CA" w:bidi="en-US"/>
        </w:rPr>
        <w:noBreakHyphen/>
      </w:r>
      <w:r w:rsidRPr="002C6B07">
        <w:rPr>
          <w:iCs/>
          <w:noProof/>
          <w:lang w:val="fr-CA" w:bidi="en-US"/>
        </w:rPr>
        <w:t>t</w:t>
      </w:r>
      <w:r>
        <w:rPr>
          <w:iCs/>
          <w:noProof/>
          <w:lang w:val="fr-CA" w:bidi="en-US"/>
        </w:rPr>
        <w:noBreakHyphen/>
      </w:r>
      <w:r w:rsidRPr="002C6B07">
        <w:rPr>
          <w:iCs/>
          <w:noProof/>
          <w:lang w:val="fr-CA" w:bidi="en-US"/>
        </w:rPr>
        <w:t xml:space="preserve">il H.M.B. de faire enregistrer </w:t>
      </w:r>
      <w:r w:rsidRPr="002C6B07">
        <w:rPr>
          <w:noProof/>
          <w:lang w:val="fr-CA" w:bidi="en-US"/>
        </w:rPr>
        <w:t>le jugement de la Colombie</w:t>
      </w:r>
      <w:r>
        <w:rPr>
          <w:noProof/>
          <w:lang w:val="fr-CA" w:bidi="en-US"/>
        </w:rPr>
        <w:noBreakHyphen/>
      </w:r>
      <w:r w:rsidRPr="002C6B07">
        <w:rPr>
          <w:noProof/>
          <w:lang w:val="fr-CA" w:bidi="en-US"/>
        </w:rPr>
        <w:t>Britannique en Ontario parce qu’Antigua dispose d’un bon moyen de défense contre le jugement initial</w:t>
      </w:r>
      <w:r w:rsidRPr="002C6B07">
        <w:rPr>
          <w:noProof/>
          <w:lang w:val="fr-CA"/>
        </w:rPr>
        <w:t>?</w:t>
      </w:r>
    </w:p>
    <w:p w:rsidR="009D2D7F" w:rsidRPr="002C6B07" w:rsidRDefault="009D2D7F" w:rsidP="009D2D7F">
      <w:pPr>
        <w:pStyle w:val="Title1LevelTitre1Niveau-AltL"/>
        <w:rPr>
          <w:rFonts w:cs="Times New Roman"/>
          <w:noProof/>
          <w:lang w:val="fr-CA"/>
        </w:rPr>
      </w:pPr>
      <w:r w:rsidRPr="002C6B07">
        <w:rPr>
          <w:rFonts w:cs="Times New Roman"/>
          <w:noProof/>
          <w:lang w:val="fr-CA"/>
        </w:rPr>
        <w:t>Analyse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H.M.B. cherche à faire exécuter l’arrêt du Conseil privé en introduisant une requête pour faire enregistrer le jugement de la Colombie</w:t>
      </w:r>
      <w:r>
        <w:rPr>
          <w:rFonts w:cs="Times New Roman"/>
          <w:noProof/>
          <w:lang w:val="fr-CA"/>
        </w:rPr>
        <w:noBreakHyphen/>
      </w:r>
      <w:r w:rsidRPr="002C6B07">
        <w:rPr>
          <w:rFonts w:cs="Times New Roman"/>
          <w:noProof/>
          <w:lang w:val="fr-CA"/>
        </w:rPr>
        <w:t xml:space="preserve">Britannique en vertu de la </w:t>
      </w:r>
      <w:r w:rsidRPr="002C6B07">
        <w:rPr>
          <w:rFonts w:cs="Times New Roman"/>
          <w:i/>
          <w:noProof/>
          <w:lang w:val="fr-CA"/>
        </w:rPr>
        <w:t>LERJ</w:t>
      </w:r>
      <w:r w:rsidRPr="002C6B07">
        <w:rPr>
          <w:rFonts w:cs="Times New Roman"/>
          <w:noProof/>
          <w:lang w:val="fr-CA"/>
        </w:rPr>
        <w:t xml:space="preserve">. Cette loi permet à une personne qui a obtenu un </w:t>
      </w:r>
      <w:r w:rsidRPr="002C6B07">
        <w:rPr>
          <w:rStyle w:val="normaltextrun"/>
          <w:rFonts w:cs="Times New Roman"/>
          <w:noProof/>
          <w:lang w:val="fr-CA"/>
        </w:rPr>
        <w:t>jugement dans un autre ressort (le « créancier en vertu du jugement ») de demander l’enregistrement du jugement en Ontario. Elle instaure une procédure permettant à la personne contre qui le jugement a été rendu (le « débiteur en vertu du jugement »)</w:t>
      </w:r>
      <w:r w:rsidRPr="002C6B07">
        <w:rPr>
          <w:rStyle w:val="normaltextrun"/>
          <w:rFonts w:cs="Times New Roman"/>
          <w:noProof/>
          <w:shd w:val="clear" w:color="auto" w:fill="FFFFFF"/>
          <w:lang w:val="fr-CA"/>
        </w:rPr>
        <w:t xml:space="preserve"> de s’opposer à son enregistrement. Le jugement enregistré en vertu de </w:t>
      </w:r>
      <w:r w:rsidRPr="002C6B07">
        <w:rPr>
          <w:rStyle w:val="normaltextrun"/>
          <w:rFonts w:cs="Times New Roman"/>
          <w:iCs/>
          <w:noProof/>
          <w:shd w:val="clear" w:color="auto" w:fill="FFFFFF"/>
          <w:lang w:val="fr-CA"/>
        </w:rPr>
        <w:t xml:space="preserve">la </w:t>
      </w:r>
      <w:r w:rsidRPr="002C6B07">
        <w:rPr>
          <w:rFonts w:cs="Times New Roman"/>
          <w:i/>
          <w:lang w:val="fr-CA"/>
        </w:rPr>
        <w:t xml:space="preserve">LERJ </w:t>
      </w:r>
      <w:r w:rsidRPr="002C6B07">
        <w:rPr>
          <w:rFonts w:cs="Times New Roman"/>
          <w:lang w:val="fr-CA"/>
        </w:rPr>
        <w:t>a la même valeur qu’un jugement rendu par un tribunal ontarien (</w:t>
      </w:r>
      <w:r>
        <w:rPr>
          <w:rFonts w:cs="Times New Roman"/>
          <w:lang w:val="fr-CA"/>
        </w:rPr>
        <w:t>art. </w:t>
      </w:r>
      <w:r w:rsidRPr="002C6B07">
        <w:rPr>
          <w:rStyle w:val="normaltextrun"/>
          <w:rFonts w:cs="Times New Roman"/>
          <w:noProof/>
          <w:shd w:val="clear" w:color="auto" w:fill="FFFFFF"/>
          <w:lang w:val="fr-CA"/>
        </w:rPr>
        <w:t>4)</w:t>
      </w:r>
      <w:r w:rsidRPr="002C6B07">
        <w:rPr>
          <w:rFonts w:cs="Times New Roman"/>
          <w:noProof/>
          <w:lang w:val="fr-CA"/>
        </w:rPr>
        <w:t>.</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La </w:t>
      </w:r>
      <w:r w:rsidRPr="002C6B07">
        <w:rPr>
          <w:rFonts w:cs="Times New Roman"/>
          <w:i/>
          <w:noProof/>
          <w:lang w:val="fr-CA"/>
        </w:rPr>
        <w:t xml:space="preserve">LERJ </w:t>
      </w:r>
      <w:r w:rsidRPr="002C6B07">
        <w:rPr>
          <w:rFonts w:cs="Times New Roman"/>
          <w:noProof/>
          <w:lang w:val="fr-CA"/>
        </w:rPr>
        <w:t>n’est pas la seule voie de recours ouverte à H.M.B. pour tenter de faire exécuter l’arrêt du Conseil privé en Ontario. H.M.B. pouvait aussi introduire une action distincte en common law en vue de faire exécuter cet arrêt</w:t>
      </w:r>
      <w:r w:rsidRPr="00D216C1">
        <w:rPr>
          <w:rStyle w:val="Hyperlink"/>
          <w:vertAlign w:val="superscript"/>
        </w:rPr>
        <w:footnoteReference w:id="1"/>
      </w:r>
      <w:r w:rsidRPr="002C6B07">
        <w:rPr>
          <w:rFonts w:cs="Times New Roman"/>
          <w:noProof/>
          <w:lang w:val="fr-CA"/>
        </w:rPr>
        <w:t xml:space="preserve">. Cependant, la </w:t>
      </w:r>
      <w:r w:rsidRPr="002C6B07">
        <w:rPr>
          <w:rFonts w:cs="Times New Roman"/>
          <w:i/>
          <w:noProof/>
          <w:lang w:val="fr-CA"/>
        </w:rPr>
        <w:t xml:space="preserve">LERJ </w:t>
      </w:r>
      <w:r w:rsidRPr="002C6B07">
        <w:rPr>
          <w:rFonts w:cs="Times New Roman"/>
          <w:noProof/>
          <w:lang w:val="fr-CA"/>
        </w:rPr>
        <w:t>offre un moyen facile, économique et rapide de faire exécuter les jugements étrangers (</w:t>
      </w:r>
      <w:r w:rsidRPr="002C6B07">
        <w:rPr>
          <w:rFonts w:cs="Times New Roman"/>
          <w:i/>
          <w:noProof/>
          <w:lang w:val="fr-CA"/>
        </w:rPr>
        <w:t>T.D.I. Hospitality Management Consultants Inc. c. Browne</w:t>
      </w:r>
      <w:r w:rsidRPr="002C6B07">
        <w:rPr>
          <w:rFonts w:cs="Times New Roman"/>
          <w:noProof/>
          <w:lang w:val="fr-CA"/>
        </w:rPr>
        <w:t xml:space="preserve"> (1994),</w:t>
      </w:r>
      <w:r>
        <w:rPr>
          <w:rFonts w:cs="Times New Roman"/>
          <w:noProof/>
          <w:lang w:val="fr-CA"/>
        </w:rPr>
        <w:t xml:space="preserve"> </w:t>
      </w:r>
      <w:r w:rsidRPr="002C6B07">
        <w:rPr>
          <w:rFonts w:cs="Times New Roman"/>
          <w:noProof/>
          <w:lang w:val="fr-CA"/>
        </w:rPr>
        <w:t>117</w:t>
      </w:r>
      <w:r>
        <w:rPr>
          <w:rFonts w:cs="Times New Roman"/>
          <w:noProof/>
          <w:lang w:val="fr-CA"/>
        </w:rPr>
        <w:t xml:space="preserve"> </w:t>
      </w:r>
      <w:r w:rsidRPr="002C6B07">
        <w:rPr>
          <w:rFonts w:cs="Times New Roman"/>
          <w:noProof/>
          <w:lang w:val="fr-CA"/>
        </w:rPr>
        <w:t>D.L.R.</w:t>
      </w:r>
      <w:r>
        <w:rPr>
          <w:rFonts w:cs="Times New Roman"/>
          <w:noProof/>
          <w:lang w:val="fr-CA"/>
        </w:rPr>
        <w:t xml:space="preserve"> </w:t>
      </w:r>
      <w:r w:rsidRPr="002C6B07">
        <w:rPr>
          <w:rFonts w:cs="Times New Roman"/>
          <w:noProof/>
          <w:lang w:val="fr-CA"/>
        </w:rPr>
        <w:t>(4th)</w:t>
      </w:r>
      <w:r>
        <w:rPr>
          <w:rFonts w:cs="Times New Roman"/>
          <w:noProof/>
          <w:lang w:val="fr-CA"/>
        </w:rPr>
        <w:t xml:space="preserve"> </w:t>
      </w:r>
      <w:r w:rsidRPr="002C6B07">
        <w:rPr>
          <w:rFonts w:cs="Times New Roman"/>
          <w:noProof/>
          <w:lang w:val="fr-CA"/>
        </w:rPr>
        <w:t xml:space="preserve">289 (C.A. Man.), </w:t>
      </w:r>
      <w:r>
        <w:rPr>
          <w:rFonts w:cs="Times New Roman"/>
          <w:noProof/>
          <w:lang w:val="fr-CA"/>
        </w:rPr>
        <w:t>p. </w:t>
      </w:r>
      <w:r w:rsidRPr="002C6B07">
        <w:rPr>
          <w:rFonts w:cs="Times New Roman"/>
          <w:noProof/>
          <w:lang w:val="fr-CA"/>
        </w:rPr>
        <w:t xml:space="preserve">295; </w:t>
      </w:r>
      <w:r w:rsidRPr="002C6B07">
        <w:rPr>
          <w:rFonts w:cs="Times New Roman"/>
          <w:i/>
          <w:noProof/>
          <w:lang w:val="fr-CA"/>
        </w:rPr>
        <w:t>Wilson</w:t>
      </w:r>
      <w:r w:rsidRPr="002C6B07">
        <w:rPr>
          <w:rFonts w:cs="Times New Roman"/>
          <w:noProof/>
          <w:lang w:val="fr-CA"/>
        </w:rPr>
        <w:t xml:space="preserve">, </w:t>
      </w:r>
      <w:r>
        <w:rPr>
          <w:rFonts w:cs="Times New Roman"/>
          <w:noProof/>
          <w:lang w:val="fr-CA"/>
        </w:rPr>
        <w:t>p. </w:t>
      </w:r>
      <w:r w:rsidRPr="002C6B07">
        <w:rPr>
          <w:rFonts w:cs="Times New Roman"/>
          <w:noProof/>
          <w:lang w:val="fr-CA"/>
        </w:rPr>
        <w:t>412</w:t>
      </w:r>
      <w:r>
        <w:rPr>
          <w:rFonts w:cs="Times New Roman"/>
          <w:noProof/>
          <w:lang w:val="fr-CA"/>
        </w:rPr>
        <w:noBreakHyphen/>
      </w:r>
      <w:r w:rsidRPr="002C6B07">
        <w:rPr>
          <w:rFonts w:cs="Times New Roman"/>
          <w:noProof/>
          <w:lang w:val="fr-CA"/>
        </w:rPr>
        <w:t xml:space="preserve">413; </w:t>
      </w:r>
      <w:r w:rsidRPr="002C6B07">
        <w:rPr>
          <w:rFonts w:cs="Times New Roman"/>
          <w:i/>
          <w:noProof/>
          <w:lang w:val="fr-CA"/>
        </w:rPr>
        <w:t>Impagination Inc. c. Baird</w:t>
      </w:r>
      <w:r w:rsidRPr="002C6B07">
        <w:rPr>
          <w:rFonts w:cs="Times New Roman"/>
          <w:noProof/>
          <w:lang w:val="fr-CA"/>
        </w:rPr>
        <w:t xml:space="preserve"> (2001), 202 Nfld. </w:t>
      </w:r>
      <w:r w:rsidRPr="002C6B07">
        <w:rPr>
          <w:rFonts w:cs="Times New Roman"/>
          <w:noProof/>
          <w:lang w:val="en-US"/>
        </w:rPr>
        <w:t>&amp; P.E.I.R. 300 (C.S.T.</w:t>
      </w:r>
      <w:r>
        <w:rPr>
          <w:rFonts w:cs="Times New Roman"/>
          <w:noProof/>
          <w:lang w:val="en-US"/>
        </w:rPr>
        <w:noBreakHyphen/>
      </w:r>
      <w:r w:rsidRPr="002C6B07">
        <w:rPr>
          <w:rFonts w:cs="Times New Roman"/>
          <w:noProof/>
          <w:lang w:val="en-US"/>
        </w:rPr>
        <w:t>N. Div. 1</w:t>
      </w:r>
      <w:r w:rsidRPr="002C6B07">
        <w:rPr>
          <w:rFonts w:cs="Times New Roman"/>
          <w:noProof/>
          <w:vertAlign w:val="superscript"/>
          <w:lang w:val="en-US"/>
        </w:rPr>
        <w:t>re</w:t>
      </w:r>
      <w:r w:rsidRPr="002C6B07">
        <w:rPr>
          <w:rFonts w:cs="Times New Roman"/>
          <w:noProof/>
          <w:lang w:val="en-US"/>
        </w:rPr>
        <w:t xml:space="preserve"> inst.), </w:t>
      </w:r>
      <w:r>
        <w:rPr>
          <w:rFonts w:cs="Times New Roman"/>
          <w:noProof/>
          <w:lang w:val="en-US"/>
        </w:rPr>
        <w:t>par. </w:t>
      </w:r>
      <w:r w:rsidRPr="002C6B07">
        <w:rPr>
          <w:rFonts w:cs="Times New Roman"/>
          <w:noProof/>
          <w:lang w:val="en-US"/>
        </w:rPr>
        <w:t>26</w:t>
      </w:r>
      <w:r>
        <w:rPr>
          <w:rFonts w:cs="Times New Roman"/>
          <w:noProof/>
          <w:lang w:val="en-US"/>
        </w:rPr>
        <w:noBreakHyphen/>
      </w:r>
      <w:r w:rsidRPr="002C6B07">
        <w:rPr>
          <w:rFonts w:cs="Times New Roman"/>
          <w:noProof/>
          <w:lang w:val="en-US"/>
        </w:rPr>
        <w:t xml:space="preserve">27; S. G. A. Pitel et N. S. Rafferty, </w:t>
      </w:r>
      <w:r w:rsidRPr="002C6B07">
        <w:rPr>
          <w:rFonts w:cs="Times New Roman"/>
          <w:i/>
          <w:noProof/>
          <w:lang w:val="en-US"/>
        </w:rPr>
        <w:t>Conflict of Laws</w:t>
      </w:r>
      <w:r w:rsidRPr="002C6B07">
        <w:rPr>
          <w:rFonts w:cs="Times New Roman"/>
          <w:noProof/>
          <w:lang w:val="en-US"/>
        </w:rPr>
        <w:t xml:space="preserve"> (2</w:t>
      </w:r>
      <w:r w:rsidRPr="002C6B07">
        <w:rPr>
          <w:rFonts w:cs="Times New Roman"/>
          <w:noProof/>
          <w:vertAlign w:val="superscript"/>
          <w:lang w:val="en-US"/>
        </w:rPr>
        <w:t>e</w:t>
      </w:r>
      <w:r w:rsidRPr="002C6B07">
        <w:rPr>
          <w:rFonts w:cs="Times New Roman"/>
          <w:noProof/>
          <w:lang w:val="en-US"/>
        </w:rPr>
        <w:t xml:space="preserve"> éd. 2016), </w:t>
      </w:r>
      <w:r>
        <w:rPr>
          <w:rFonts w:cs="Times New Roman"/>
          <w:noProof/>
          <w:lang w:val="en-US"/>
        </w:rPr>
        <w:t>p. </w:t>
      </w:r>
      <w:r w:rsidRPr="002C6B07">
        <w:rPr>
          <w:rFonts w:cs="Times New Roman"/>
          <w:noProof/>
          <w:lang w:val="en-US"/>
        </w:rPr>
        <w:t>201 et 203</w:t>
      </w:r>
      <w:r>
        <w:rPr>
          <w:rFonts w:cs="Times New Roman"/>
          <w:noProof/>
          <w:lang w:val="en-US"/>
        </w:rPr>
        <w:noBreakHyphen/>
      </w:r>
      <w:r w:rsidRPr="002C6B07">
        <w:rPr>
          <w:rFonts w:cs="Times New Roman"/>
          <w:noProof/>
          <w:lang w:val="en-US"/>
        </w:rPr>
        <w:t xml:space="preserve">204; S. G. A. Pitel et autres, </w:t>
      </w:r>
      <w:r w:rsidRPr="002C6B07">
        <w:rPr>
          <w:rFonts w:cs="Times New Roman"/>
          <w:i/>
          <w:noProof/>
          <w:lang w:val="en-US"/>
        </w:rPr>
        <w:t>Private International Law in Common Law Canada</w:t>
      </w:r>
      <w:r>
        <w:rPr>
          <w:rFonts w:cs="Times New Roman"/>
          <w:i/>
          <w:noProof/>
          <w:lang w:val="en-US"/>
        </w:rPr>
        <w:t> :</w:t>
      </w:r>
      <w:r w:rsidRPr="002C6B07">
        <w:rPr>
          <w:rFonts w:cs="Times New Roman"/>
          <w:i/>
          <w:noProof/>
          <w:lang w:val="en-US"/>
        </w:rPr>
        <w:t xml:space="preserve"> Cases, Text and Materials</w:t>
      </w:r>
      <w:r w:rsidRPr="002C6B07">
        <w:rPr>
          <w:rFonts w:cs="Times New Roman"/>
          <w:noProof/>
          <w:lang w:val="en-US"/>
        </w:rPr>
        <w:t xml:space="preserve"> (4</w:t>
      </w:r>
      <w:r w:rsidRPr="002C6B07">
        <w:rPr>
          <w:rFonts w:cs="Times New Roman"/>
          <w:noProof/>
          <w:vertAlign w:val="superscript"/>
          <w:lang w:val="en-US"/>
        </w:rPr>
        <w:t>e</w:t>
      </w:r>
      <w:r w:rsidRPr="002C6B07">
        <w:rPr>
          <w:rFonts w:cs="Times New Roman"/>
          <w:noProof/>
          <w:lang w:val="en-US"/>
        </w:rPr>
        <w:t xml:space="preserve"> éd. 2016), </w:t>
      </w:r>
      <w:r>
        <w:rPr>
          <w:rFonts w:cs="Times New Roman"/>
          <w:noProof/>
          <w:lang w:val="en-US"/>
        </w:rPr>
        <w:t>p. </w:t>
      </w:r>
      <w:r w:rsidRPr="002C6B07">
        <w:rPr>
          <w:rFonts w:cs="Times New Roman"/>
          <w:noProof/>
          <w:lang w:val="en-US"/>
        </w:rPr>
        <w:t xml:space="preserve">481). </w:t>
      </w:r>
      <w:r w:rsidRPr="002C6B07">
        <w:rPr>
          <w:rFonts w:cs="Times New Roman"/>
          <w:noProof/>
          <w:lang w:val="fr-CA"/>
        </w:rPr>
        <w:t xml:space="preserve">Le moyen offert par la </w:t>
      </w:r>
      <w:r w:rsidRPr="002C6B07">
        <w:rPr>
          <w:rFonts w:cs="Times New Roman"/>
          <w:i/>
          <w:noProof/>
          <w:lang w:val="fr-CA"/>
        </w:rPr>
        <w:t>LERJ</w:t>
      </w:r>
      <w:r w:rsidRPr="002C6B07">
        <w:rPr>
          <w:rFonts w:cs="Times New Roman"/>
          <w:noProof/>
          <w:lang w:val="fr-CA"/>
        </w:rPr>
        <w:t xml:space="preserve"> présente plusieurs avantages</w:t>
      </w:r>
      <w:r>
        <w:rPr>
          <w:rFonts w:cs="Times New Roman"/>
          <w:noProof/>
          <w:lang w:val="fr-CA"/>
        </w:rPr>
        <w:t> :</w:t>
      </w:r>
      <w:r w:rsidRPr="002C6B07">
        <w:rPr>
          <w:rFonts w:cs="Times New Roman"/>
          <w:noProof/>
          <w:lang w:val="fr-CA"/>
        </w:rPr>
        <w:t xml:space="preserve"> un délai de six ans pour faire enregistrer le jugement à partir de la date à laquelle il a été rendu (</w:t>
      </w:r>
      <w:r>
        <w:rPr>
          <w:rFonts w:cs="Times New Roman"/>
          <w:noProof/>
          <w:lang w:val="fr-CA"/>
        </w:rPr>
        <w:t>par. </w:t>
      </w:r>
      <w:r w:rsidRPr="002C6B07">
        <w:rPr>
          <w:rFonts w:cs="Times New Roman"/>
          <w:noProof/>
          <w:lang w:val="fr-CA"/>
        </w:rPr>
        <w:t xml:space="preserve">2(1)), la possibilité d’obtenir une ordonnance portant enregistrement sans </w:t>
      </w:r>
      <w:r w:rsidRPr="002C6B07">
        <w:rPr>
          <w:rFonts w:cs="Times New Roman"/>
          <w:lang w:val="fr-CA"/>
        </w:rPr>
        <w:t>préavis au débiteur en vertu du jugement (</w:t>
      </w:r>
      <w:r>
        <w:rPr>
          <w:rFonts w:cs="Times New Roman"/>
          <w:lang w:val="fr-CA"/>
        </w:rPr>
        <w:t>par. </w:t>
      </w:r>
      <w:r w:rsidRPr="002C6B07">
        <w:rPr>
          <w:rFonts w:cs="Times New Roman"/>
          <w:lang w:val="fr-CA"/>
        </w:rPr>
        <w:t>2(2)), et un court délai d’un mois après la signification de l’avis d’enregistrement dans lequel</w:t>
      </w:r>
      <w:r w:rsidRPr="002C6B07">
        <w:rPr>
          <w:rFonts w:cs="Times New Roman"/>
          <w:noProof/>
          <w:lang w:val="fr-CA"/>
        </w:rPr>
        <w:t xml:space="preserve"> le débiteur en vertu du jugement</w:t>
      </w:r>
      <w:r w:rsidRPr="002C6B07">
        <w:rPr>
          <w:rFonts w:cs="Times New Roman"/>
          <w:lang w:val="fr-CA"/>
        </w:rPr>
        <w:t xml:space="preserve"> peut faire annuler l’enregistrement </w:t>
      </w:r>
      <w:r w:rsidRPr="002C6B07">
        <w:rPr>
          <w:rFonts w:cs="Times New Roman"/>
          <w:noProof/>
          <w:lang w:val="fr-CA"/>
        </w:rPr>
        <w:t>(</w:t>
      </w:r>
      <w:r>
        <w:rPr>
          <w:rFonts w:cs="Times New Roman"/>
          <w:noProof/>
          <w:lang w:val="fr-CA"/>
        </w:rPr>
        <w:t>art. </w:t>
      </w:r>
      <w:r w:rsidRPr="002C6B07">
        <w:rPr>
          <w:rFonts w:cs="Times New Roman"/>
          <w:noProof/>
          <w:lang w:val="fr-CA"/>
        </w:rPr>
        <w:t xml:space="preserve">6). Mais ces avantages conférés par la loi ne sont pas sans conséquence. Seuls les jugements provenant de ressorts accordant la réciprocité peuvent être enregistrés en vertu de la </w:t>
      </w:r>
      <w:r w:rsidRPr="002C6B07">
        <w:rPr>
          <w:rFonts w:cs="Times New Roman"/>
          <w:i/>
          <w:noProof/>
          <w:lang w:val="fr-CA"/>
        </w:rPr>
        <w:t>LERJ</w:t>
      </w:r>
      <w:r w:rsidRPr="002C6B07">
        <w:rPr>
          <w:rFonts w:cs="Times New Roman"/>
          <w:noProof/>
          <w:lang w:val="fr-CA"/>
        </w:rPr>
        <w:t>. La Colombie</w:t>
      </w:r>
      <w:r>
        <w:rPr>
          <w:rFonts w:cs="Times New Roman"/>
          <w:noProof/>
          <w:lang w:val="fr-CA"/>
        </w:rPr>
        <w:noBreakHyphen/>
      </w:r>
      <w:r w:rsidRPr="002C6B07">
        <w:rPr>
          <w:rFonts w:cs="Times New Roman"/>
          <w:noProof/>
          <w:lang w:val="fr-CA"/>
        </w:rPr>
        <w:t xml:space="preserve">Britannique est un ressort accordant la réciprocité au sens de la </w:t>
      </w:r>
      <w:r w:rsidRPr="002C6B07">
        <w:rPr>
          <w:rFonts w:cs="Times New Roman"/>
          <w:i/>
          <w:noProof/>
          <w:lang w:val="fr-CA"/>
        </w:rPr>
        <w:t>LERJ</w:t>
      </w:r>
      <w:r w:rsidRPr="002C6B07">
        <w:rPr>
          <w:rFonts w:cs="Times New Roman"/>
          <w:noProof/>
          <w:lang w:val="fr-CA"/>
        </w:rPr>
        <w:t xml:space="preserve">, mais pas Antigua. De plus, la reconnaissance des jugements en vertu de la </w:t>
      </w:r>
      <w:r w:rsidRPr="002C6B07">
        <w:rPr>
          <w:rFonts w:cs="Times New Roman"/>
          <w:i/>
          <w:noProof/>
          <w:lang w:val="fr-CA"/>
        </w:rPr>
        <w:t>LERJ</w:t>
      </w:r>
      <w:r w:rsidRPr="002C6B07">
        <w:rPr>
          <w:rFonts w:cs="Times New Roman"/>
          <w:noProof/>
          <w:lang w:val="fr-CA"/>
        </w:rPr>
        <w:t xml:space="preserve"> est assujettie aux sept moyens de défense énumérés à l’</w:t>
      </w:r>
      <w:r>
        <w:rPr>
          <w:rFonts w:cs="Times New Roman"/>
          <w:noProof/>
          <w:lang w:val="fr-CA"/>
        </w:rPr>
        <w:t>art. </w:t>
      </w:r>
      <w:r w:rsidRPr="002C6B07">
        <w:rPr>
          <w:rFonts w:cs="Times New Roman"/>
          <w:noProof/>
          <w:lang w:val="fr-CA"/>
        </w:rPr>
        <w:t>3. Si l’un de ces moyens est établi, le jugement ne peut être enregistré. Deux de ces moyens de défense sont en cause dans le présent pourvoi</w:t>
      </w:r>
      <w:r>
        <w:rPr>
          <w:rFonts w:cs="Times New Roman"/>
          <w:noProof/>
          <w:lang w:val="fr-CA"/>
        </w:rPr>
        <w:t xml:space="preserve"> </w:t>
      </w:r>
      <w:r w:rsidRPr="002C6B07">
        <w:rPr>
          <w:rFonts w:cs="Times New Roman"/>
          <w:noProof/>
          <w:lang w:val="fr-CA"/>
        </w:rPr>
        <w:t>(celui prévu à l’</w:t>
      </w:r>
      <w:r>
        <w:rPr>
          <w:rFonts w:cs="Times New Roman"/>
          <w:noProof/>
          <w:lang w:val="fr-CA"/>
        </w:rPr>
        <w:t>al. </w:t>
      </w:r>
      <w:r w:rsidRPr="002C6B07">
        <w:rPr>
          <w:rFonts w:cs="Times New Roman"/>
          <w:noProof/>
          <w:lang w:val="fr-CA"/>
        </w:rPr>
        <w:t>3b) et celui énoncé à l’</w:t>
      </w:r>
      <w:r>
        <w:rPr>
          <w:rFonts w:cs="Times New Roman"/>
          <w:noProof/>
          <w:lang w:val="fr-CA"/>
        </w:rPr>
        <w:t>al. </w:t>
      </w:r>
      <w:r w:rsidRPr="002C6B07">
        <w:rPr>
          <w:rFonts w:cs="Times New Roman"/>
          <w:noProof/>
          <w:lang w:val="fr-CA"/>
        </w:rPr>
        <w:t>3g)).</w:t>
      </w:r>
    </w:p>
    <w:p w:rsidR="009D2D7F" w:rsidRPr="002C6B07" w:rsidRDefault="009D2D7F" w:rsidP="009D2D7F">
      <w:pPr>
        <w:pStyle w:val="Title2LevelTitre2Niveau"/>
        <w:rPr>
          <w:rFonts w:cs="Times New Roman"/>
          <w:noProof/>
          <w:lang w:val="fr-CA"/>
        </w:rPr>
      </w:pPr>
      <w:r w:rsidRPr="002C6B07">
        <w:rPr>
          <w:rFonts w:cs="Times New Roman"/>
          <w:noProof/>
          <w:lang w:val="fr-CA"/>
        </w:rPr>
        <w:t>Question préliminaire</w:t>
      </w:r>
    </w:p>
    <w:p w:rsidR="009D2D7F" w:rsidRPr="002C6B07" w:rsidRDefault="009D2D7F" w:rsidP="009D2D7F">
      <w:pPr>
        <w:pStyle w:val="ParaNoNdepar-AltN"/>
        <w:tabs>
          <w:tab w:val="clear" w:pos="1152"/>
          <w:tab w:val="left" w:pos="1166"/>
        </w:tabs>
        <w:rPr>
          <w:rFonts w:eastAsiaTheme="minorHAnsi" w:cs="Times New Roman"/>
          <w:noProof/>
          <w:lang w:val="fr-CA"/>
        </w:rPr>
      </w:pPr>
      <w:r w:rsidRPr="002C6B07">
        <w:rPr>
          <w:rFonts w:eastAsiaTheme="minorHAnsi" w:cs="Times New Roman"/>
          <w:noProof/>
          <w:lang w:val="fr-CA"/>
        </w:rPr>
        <w:t xml:space="preserve">Il convient tout d’abord de signaler que la </w:t>
      </w:r>
      <w:r w:rsidRPr="002C6B07">
        <w:rPr>
          <w:rFonts w:eastAsiaTheme="minorHAnsi" w:cs="Times New Roman"/>
          <w:i/>
          <w:noProof/>
          <w:lang w:val="fr-CA"/>
        </w:rPr>
        <w:t>LERJ</w:t>
      </w:r>
      <w:r w:rsidRPr="002C6B07">
        <w:rPr>
          <w:rFonts w:eastAsiaTheme="minorHAnsi" w:cs="Times New Roman"/>
          <w:noProof/>
          <w:lang w:val="fr-CA"/>
        </w:rPr>
        <w:t xml:space="preserve"> ne s’applique qu’au </w:t>
      </w:r>
      <w:r w:rsidRPr="002C6B07">
        <w:rPr>
          <w:rFonts w:cs="Times New Roman"/>
          <w:lang w:val="fr-CA"/>
        </w:rPr>
        <w:t>« [j]</w:t>
      </w:r>
      <w:proofErr w:type="spellStart"/>
      <w:r w:rsidRPr="002C6B07">
        <w:rPr>
          <w:rFonts w:cs="Times New Roman"/>
          <w:lang w:val="fr-CA"/>
        </w:rPr>
        <w:t>ugement</w:t>
      </w:r>
      <w:proofErr w:type="spellEnd"/>
      <w:r w:rsidRPr="002C6B07">
        <w:rPr>
          <w:rFonts w:cs="Times New Roman"/>
          <w:lang w:val="fr-CA"/>
        </w:rPr>
        <w:t xml:space="preserve"> ou [à l’</w:t>
      </w:r>
      <w:proofErr w:type="gramStart"/>
      <w:r w:rsidRPr="002C6B07">
        <w:rPr>
          <w:rFonts w:cs="Times New Roman"/>
          <w:lang w:val="fr-CA"/>
        </w:rPr>
        <w:t>]ordonnance</w:t>
      </w:r>
      <w:proofErr w:type="gramEnd"/>
      <w:r w:rsidRPr="002C6B07">
        <w:rPr>
          <w:rFonts w:cs="Times New Roman"/>
          <w:lang w:val="fr-CA"/>
        </w:rPr>
        <w:t xml:space="preserve"> d’un tribunal dans une instance civile, portant condamnation au paiement d’une somme d’argent » (</w:t>
      </w:r>
      <w:r>
        <w:rPr>
          <w:rFonts w:eastAsiaTheme="minorHAnsi" w:cs="Times New Roman"/>
          <w:noProof/>
          <w:lang w:val="fr-CA"/>
        </w:rPr>
        <w:t>par. </w:t>
      </w:r>
      <w:r w:rsidRPr="002C6B07">
        <w:rPr>
          <w:rFonts w:eastAsiaTheme="minorHAnsi" w:cs="Times New Roman"/>
          <w:noProof/>
          <w:lang w:val="fr-CA"/>
        </w:rPr>
        <w:t xml:space="preserve">1(1) « jugement » et 2(1)). Si le jugement en cause ne répond pas à la définition que la </w:t>
      </w:r>
      <w:r w:rsidRPr="002C6B07">
        <w:rPr>
          <w:rFonts w:eastAsiaTheme="minorHAnsi" w:cs="Times New Roman"/>
          <w:i/>
          <w:noProof/>
          <w:lang w:val="fr-CA"/>
        </w:rPr>
        <w:t xml:space="preserve">LERJ </w:t>
      </w:r>
      <w:r w:rsidRPr="002C6B07">
        <w:rPr>
          <w:rFonts w:eastAsiaTheme="minorHAnsi" w:cs="Times New Roman"/>
          <w:noProof/>
          <w:lang w:val="fr-CA"/>
        </w:rPr>
        <w:t xml:space="preserve">donne du mot « jugement » au </w:t>
      </w:r>
      <w:r>
        <w:rPr>
          <w:rFonts w:eastAsiaTheme="minorHAnsi" w:cs="Times New Roman"/>
          <w:noProof/>
          <w:lang w:val="fr-CA"/>
        </w:rPr>
        <w:t>par. </w:t>
      </w:r>
      <w:r w:rsidRPr="002C6B07">
        <w:rPr>
          <w:rFonts w:eastAsiaTheme="minorHAnsi" w:cs="Times New Roman"/>
          <w:noProof/>
          <w:lang w:val="fr-CA"/>
        </w:rPr>
        <w:t xml:space="preserve">1(1), il ne peut être enregistré en vertu de la </w:t>
      </w:r>
      <w:r w:rsidRPr="002C6B07">
        <w:rPr>
          <w:rFonts w:eastAsiaTheme="minorHAnsi" w:cs="Times New Roman"/>
          <w:i/>
          <w:noProof/>
          <w:lang w:val="fr-CA"/>
        </w:rPr>
        <w:t>LERJ</w:t>
      </w:r>
      <w:r w:rsidRPr="002C6B07">
        <w:rPr>
          <w:rFonts w:eastAsiaTheme="minorHAnsi" w:cs="Times New Roman"/>
          <w:noProof/>
          <w:lang w:val="fr-CA"/>
        </w:rPr>
        <w:t xml:space="preserve"> et il n’est pas nécessaire d’examiner les moyens de défense prévus à l’</w:t>
      </w:r>
      <w:r>
        <w:rPr>
          <w:rFonts w:eastAsiaTheme="minorHAnsi" w:cs="Times New Roman"/>
          <w:noProof/>
          <w:lang w:val="fr-CA"/>
        </w:rPr>
        <w:t>art. </w:t>
      </w:r>
      <w:r w:rsidRPr="002C6B07">
        <w:rPr>
          <w:rFonts w:eastAsiaTheme="minorHAnsi" w:cs="Times New Roman"/>
          <w:noProof/>
          <w:lang w:val="fr-CA"/>
        </w:rPr>
        <w:t xml:space="preserve">3 pour s’opposer à l’enregistrement. </w:t>
      </w:r>
    </w:p>
    <w:p w:rsidR="009D2D7F" w:rsidRPr="002C6B07" w:rsidRDefault="009D2D7F" w:rsidP="009D2D7F">
      <w:pPr>
        <w:pStyle w:val="ParaNoNdepar-AltN"/>
        <w:tabs>
          <w:tab w:val="clear" w:pos="1152"/>
          <w:tab w:val="left" w:pos="1166"/>
        </w:tabs>
        <w:rPr>
          <w:rFonts w:eastAsiaTheme="minorHAnsi" w:cs="Times New Roman"/>
          <w:noProof/>
          <w:lang w:val="fr-CA"/>
        </w:rPr>
      </w:pPr>
      <w:r w:rsidRPr="002C6B07">
        <w:rPr>
          <w:rFonts w:eastAsiaTheme="minorHAnsi" w:cs="Times New Roman"/>
          <w:noProof/>
          <w:lang w:val="fr-CA"/>
        </w:rPr>
        <w:t>Il reste à voir si le jugement dérivé rendu en Colombie</w:t>
      </w:r>
      <w:r>
        <w:rPr>
          <w:rFonts w:eastAsiaTheme="minorHAnsi" w:cs="Times New Roman"/>
          <w:noProof/>
          <w:lang w:val="fr-CA"/>
        </w:rPr>
        <w:noBreakHyphen/>
      </w:r>
      <w:r w:rsidRPr="002C6B07">
        <w:rPr>
          <w:rFonts w:eastAsiaTheme="minorHAnsi" w:cs="Times New Roman"/>
          <w:noProof/>
          <w:lang w:val="fr-CA"/>
        </w:rPr>
        <w:t>Britannique — un jugement qui exécute lui</w:t>
      </w:r>
      <w:r>
        <w:rPr>
          <w:rFonts w:eastAsiaTheme="minorHAnsi" w:cs="Times New Roman"/>
          <w:noProof/>
          <w:lang w:val="fr-CA"/>
        </w:rPr>
        <w:noBreakHyphen/>
      </w:r>
      <w:r w:rsidRPr="002C6B07">
        <w:rPr>
          <w:rFonts w:eastAsiaTheme="minorHAnsi" w:cs="Times New Roman"/>
          <w:noProof/>
          <w:lang w:val="fr-CA"/>
        </w:rPr>
        <w:t xml:space="preserve">même un jugement émanant d’un État qui n’accorde pas la réciprocité — répond à la définition du terme « jugement » dans la </w:t>
      </w:r>
      <w:r w:rsidRPr="002C6B07">
        <w:rPr>
          <w:rFonts w:eastAsiaTheme="minorHAnsi" w:cs="Times New Roman"/>
          <w:i/>
          <w:noProof/>
          <w:lang w:val="fr-CA"/>
        </w:rPr>
        <w:t xml:space="preserve">LERJ </w:t>
      </w:r>
      <w:r w:rsidRPr="002C6B07">
        <w:rPr>
          <w:rFonts w:eastAsiaTheme="minorHAnsi" w:cs="Times New Roman"/>
          <w:noProof/>
          <w:lang w:val="fr-CA"/>
        </w:rPr>
        <w:t>et s’il peut être enregistré en vertu de cette loi. D’une part, certains soutiennent que la définition de « jugement » exclut les jugements dérivés parce que ceux</w:t>
      </w:r>
      <w:r>
        <w:rPr>
          <w:rFonts w:eastAsiaTheme="minorHAnsi" w:cs="Times New Roman"/>
          <w:noProof/>
          <w:lang w:val="fr-CA"/>
        </w:rPr>
        <w:noBreakHyphen/>
      </w:r>
      <w:r w:rsidRPr="002C6B07">
        <w:rPr>
          <w:rFonts w:eastAsiaTheme="minorHAnsi" w:cs="Times New Roman"/>
          <w:noProof/>
          <w:lang w:val="fr-CA"/>
        </w:rPr>
        <w:t xml:space="preserve">ci ne sont pas des jugements </w:t>
      </w:r>
      <w:r w:rsidRPr="002C6B07">
        <w:rPr>
          <w:rFonts w:cs="Times New Roman"/>
          <w:lang w:val="fr-CA"/>
        </w:rPr>
        <w:t>portant condamnation au paiement d’une somme d’argent</w:t>
      </w:r>
      <w:r w:rsidRPr="002C6B07">
        <w:rPr>
          <w:rFonts w:eastAsiaTheme="minorHAnsi" w:cs="Times New Roman"/>
          <w:noProof/>
          <w:lang w:val="fr-CA"/>
        </w:rPr>
        <w:t>, et parce que leur inclusion serait contraire à l’objet des lois relatives à l’exécution réciproque et au principe de réciprocité</w:t>
      </w:r>
      <w:r>
        <w:rPr>
          <w:rFonts w:eastAsiaTheme="minorHAnsi" w:cs="Times New Roman"/>
          <w:noProof/>
          <w:lang w:val="fr-CA"/>
        </w:rPr>
        <w:t xml:space="preserve"> </w:t>
      </w:r>
      <w:r w:rsidRPr="002C6B07">
        <w:rPr>
          <w:rFonts w:eastAsiaTheme="minorHAnsi" w:cs="Times New Roman"/>
          <w:noProof/>
          <w:lang w:val="fr-CA"/>
        </w:rPr>
        <w:t xml:space="preserve">(voir, par exemple, </w:t>
      </w:r>
      <w:r w:rsidRPr="002C6B07">
        <w:rPr>
          <w:rFonts w:eastAsiaTheme="minorHAnsi" w:cs="Times New Roman"/>
          <w:i/>
          <w:noProof/>
          <w:lang w:val="fr-CA"/>
        </w:rPr>
        <w:t>Owen c. Rocketinfo Inc.</w:t>
      </w:r>
      <w:r w:rsidRPr="002C6B07">
        <w:rPr>
          <w:rFonts w:eastAsiaTheme="minorHAnsi" w:cs="Times New Roman"/>
          <w:noProof/>
          <w:lang w:val="fr-CA"/>
        </w:rPr>
        <w:t xml:space="preserve">, 2008 BCCA 502, 86 B.C.L.R. (4th) 64, </w:t>
      </w:r>
      <w:r>
        <w:rPr>
          <w:rFonts w:eastAsiaTheme="minorHAnsi" w:cs="Times New Roman"/>
          <w:noProof/>
          <w:lang w:val="fr-CA"/>
        </w:rPr>
        <w:t>par. </w:t>
      </w:r>
      <w:r w:rsidRPr="002C6B07">
        <w:rPr>
          <w:rFonts w:eastAsiaTheme="minorHAnsi" w:cs="Times New Roman"/>
          <w:noProof/>
          <w:lang w:val="fr-CA"/>
        </w:rPr>
        <w:t>20</w:t>
      </w:r>
      <w:r>
        <w:rPr>
          <w:rFonts w:eastAsiaTheme="minorHAnsi" w:cs="Times New Roman"/>
          <w:noProof/>
          <w:lang w:val="fr-CA"/>
        </w:rPr>
        <w:noBreakHyphen/>
      </w:r>
      <w:r w:rsidRPr="002C6B07">
        <w:rPr>
          <w:rFonts w:eastAsiaTheme="minorHAnsi" w:cs="Times New Roman"/>
          <w:noProof/>
          <w:lang w:val="fr-CA"/>
        </w:rPr>
        <w:t xml:space="preserve">21; </w:t>
      </w:r>
      <w:r w:rsidRPr="002C6B07">
        <w:rPr>
          <w:rFonts w:eastAsiaTheme="minorHAnsi" w:cs="Times New Roman"/>
          <w:i/>
          <w:noProof/>
          <w:lang w:val="fr-CA"/>
        </w:rPr>
        <w:t>Strategic Technologies Pte Ltd. c. Procurement Bureau of the Republic of China Ministry of National Defence</w:t>
      </w:r>
      <w:r w:rsidRPr="002C6B07">
        <w:rPr>
          <w:rFonts w:eastAsiaTheme="minorHAnsi" w:cs="Times New Roman"/>
          <w:noProof/>
          <w:lang w:val="fr-CA"/>
        </w:rPr>
        <w:t xml:space="preserve">, [2020] EWCA Civ 1604, [2021] 2 W.L.R. 448, </w:t>
      </w:r>
      <w:r>
        <w:rPr>
          <w:rFonts w:eastAsiaTheme="minorHAnsi" w:cs="Times New Roman"/>
          <w:noProof/>
          <w:lang w:val="fr-CA"/>
        </w:rPr>
        <w:t>par. </w:t>
      </w:r>
      <w:r w:rsidRPr="002C6B07">
        <w:rPr>
          <w:rFonts w:eastAsiaTheme="minorHAnsi" w:cs="Times New Roman"/>
          <w:noProof/>
          <w:lang w:val="fr-CA"/>
        </w:rPr>
        <w:t>54</w:t>
      </w:r>
      <w:r>
        <w:rPr>
          <w:rFonts w:eastAsiaTheme="minorHAnsi" w:cs="Times New Roman"/>
          <w:noProof/>
          <w:lang w:val="fr-CA"/>
        </w:rPr>
        <w:noBreakHyphen/>
      </w:r>
      <w:r w:rsidRPr="002C6B07">
        <w:rPr>
          <w:rFonts w:eastAsiaTheme="minorHAnsi" w:cs="Times New Roman"/>
          <w:noProof/>
          <w:lang w:val="fr-CA"/>
        </w:rPr>
        <w:t xml:space="preserve">61). D’autre part, la remarque incidente de notre Cour dans l’arrêt </w:t>
      </w:r>
      <w:r w:rsidRPr="002C6B07">
        <w:rPr>
          <w:rFonts w:eastAsiaTheme="minorHAnsi" w:cs="Times New Roman"/>
          <w:i/>
          <w:noProof/>
          <w:lang w:val="fr-CA"/>
        </w:rPr>
        <w:t>Chevron</w:t>
      </w:r>
      <w:r w:rsidRPr="002C6B07">
        <w:rPr>
          <w:rFonts w:eastAsiaTheme="minorHAnsi" w:cs="Times New Roman"/>
          <w:noProof/>
          <w:lang w:val="fr-CA"/>
        </w:rPr>
        <w:t xml:space="preserve"> porte à croire que la définition du mot « jugement » dans la </w:t>
      </w:r>
      <w:r w:rsidRPr="002C6B07">
        <w:rPr>
          <w:rFonts w:eastAsiaTheme="minorHAnsi" w:cs="Times New Roman"/>
          <w:i/>
          <w:noProof/>
          <w:lang w:val="fr-CA"/>
        </w:rPr>
        <w:t>LERJ</w:t>
      </w:r>
      <w:r w:rsidRPr="002C6B07">
        <w:rPr>
          <w:rFonts w:eastAsiaTheme="minorHAnsi" w:cs="Times New Roman"/>
          <w:noProof/>
          <w:lang w:val="fr-CA"/>
        </w:rPr>
        <w:t xml:space="preserve"> englobe les jugements dérivés</w:t>
      </w:r>
      <w:r>
        <w:rPr>
          <w:rFonts w:eastAsiaTheme="minorHAnsi" w:cs="Times New Roman"/>
          <w:noProof/>
          <w:lang w:val="fr-CA"/>
        </w:rPr>
        <w:t> :</w:t>
      </w:r>
      <w:r w:rsidRPr="002C6B07">
        <w:rPr>
          <w:rFonts w:eastAsiaTheme="minorHAnsi" w:cs="Times New Roman"/>
          <w:noProof/>
          <w:lang w:val="fr-CA"/>
        </w:rPr>
        <w:t xml:space="preserve"> « </w:t>
      </w:r>
      <w:r>
        <w:rPr>
          <w:rFonts w:eastAsiaTheme="minorHAnsi" w:cs="Times New Roman"/>
          <w:noProof/>
          <w:lang w:val="fr-CA"/>
        </w:rPr>
        <w:t>. . .</w:t>
      </w:r>
      <w:r w:rsidRPr="002C6B07">
        <w:rPr>
          <w:rFonts w:eastAsiaTheme="minorHAnsi" w:cs="Times New Roman"/>
          <w:noProof/>
          <w:lang w:val="fr-CA"/>
        </w:rPr>
        <w:t xml:space="preserve"> selon </w:t>
      </w:r>
      <w:r w:rsidRPr="002C6B07">
        <w:rPr>
          <w:rFonts w:cs="Times New Roman"/>
          <w:lang w:val="fr-CA"/>
        </w:rPr>
        <w:t>la législation provinciale, un jugement en reconnaissance et en exécution rendu dans une province peut être susceptible d’“enregistrement</w:t>
      </w:r>
      <w:r w:rsidRPr="002C6B07">
        <w:rPr>
          <w:rFonts w:eastAsiaTheme="minorHAnsi" w:cs="Times New Roman"/>
          <w:noProof/>
          <w:lang w:val="fr-CA"/>
        </w:rPr>
        <w:t>”</w:t>
      </w:r>
      <w:r w:rsidRPr="002C6B07">
        <w:rPr>
          <w:rFonts w:cs="Times New Roman"/>
          <w:lang w:val="fr-CA"/>
        </w:rPr>
        <w:t xml:space="preserve"> dans une autre province</w:t>
      </w:r>
      <w:r>
        <w:rPr>
          <w:rFonts w:cs="Times New Roman"/>
          <w:lang w:val="fr-CA"/>
        </w:rPr>
        <w:t>. . .</w:t>
      </w:r>
      <w:r w:rsidRPr="002C6B07">
        <w:rPr>
          <w:rFonts w:cs="Times New Roman"/>
          <w:lang w:val="fr-CA"/>
        </w:rPr>
        <w:t> » (</w:t>
      </w:r>
      <w:r>
        <w:rPr>
          <w:rFonts w:eastAsiaTheme="minorHAnsi" w:cs="Times New Roman"/>
          <w:noProof/>
          <w:lang w:val="fr-CA"/>
        </w:rPr>
        <w:t>par. </w:t>
      </w:r>
      <w:r w:rsidRPr="002C6B07">
        <w:rPr>
          <w:rFonts w:eastAsiaTheme="minorHAnsi" w:cs="Times New Roman"/>
          <w:noProof/>
          <w:lang w:val="fr-CA"/>
        </w:rPr>
        <w:t xml:space="preserve">49). </w:t>
      </w:r>
    </w:p>
    <w:p w:rsidR="009D2D7F" w:rsidRPr="002C6B07" w:rsidRDefault="009D2D7F" w:rsidP="009D2D7F">
      <w:pPr>
        <w:pStyle w:val="ParaNoNdepar-AltN"/>
        <w:tabs>
          <w:tab w:val="clear" w:pos="1152"/>
          <w:tab w:val="left" w:pos="1166"/>
        </w:tabs>
        <w:rPr>
          <w:rFonts w:eastAsiaTheme="minorHAnsi" w:cs="Times New Roman"/>
          <w:noProof/>
          <w:lang w:val="fr-CA"/>
        </w:rPr>
      </w:pPr>
      <w:r w:rsidRPr="002C6B07">
        <w:rPr>
          <w:rFonts w:eastAsiaTheme="minorHAnsi" w:cs="Times New Roman"/>
          <w:noProof/>
          <w:lang w:val="fr-CA"/>
        </w:rPr>
        <w:t>Dans le présent pourvoi, les deux parties acceptent, à l’instar des juridictions inférieures, que le jugement de la Colombie</w:t>
      </w:r>
      <w:r>
        <w:rPr>
          <w:rFonts w:eastAsiaTheme="minorHAnsi" w:cs="Times New Roman"/>
          <w:noProof/>
          <w:lang w:val="fr-CA"/>
        </w:rPr>
        <w:noBreakHyphen/>
      </w:r>
      <w:r w:rsidRPr="002C6B07">
        <w:rPr>
          <w:rFonts w:eastAsiaTheme="minorHAnsi" w:cs="Times New Roman"/>
          <w:noProof/>
          <w:lang w:val="fr-CA"/>
        </w:rPr>
        <w:t xml:space="preserve">Britannique est un « jugement » qui relève de la </w:t>
      </w:r>
      <w:r w:rsidRPr="002C6B07">
        <w:rPr>
          <w:rFonts w:eastAsiaTheme="minorHAnsi" w:cs="Times New Roman"/>
          <w:i/>
          <w:noProof/>
          <w:lang w:val="fr-CA"/>
        </w:rPr>
        <w:t>LERJ</w:t>
      </w:r>
      <w:r w:rsidRPr="002C6B07">
        <w:rPr>
          <w:rFonts w:eastAsiaTheme="minorHAnsi" w:cs="Times New Roman"/>
          <w:noProof/>
          <w:lang w:val="fr-CA"/>
        </w:rPr>
        <w:t>, et la Cour n’a pas eu l’avantage d’entendre une argumentation complète sur la question. De plus, comme l’analyse que je fais plus loin le démontrera, si l’on tient pour acquis que le jugement de la Colombie</w:t>
      </w:r>
      <w:r>
        <w:rPr>
          <w:rFonts w:eastAsiaTheme="minorHAnsi" w:cs="Times New Roman"/>
          <w:noProof/>
          <w:lang w:val="fr-CA"/>
        </w:rPr>
        <w:noBreakHyphen/>
      </w:r>
      <w:r w:rsidRPr="002C6B07">
        <w:rPr>
          <w:rFonts w:eastAsiaTheme="minorHAnsi" w:cs="Times New Roman"/>
          <w:noProof/>
          <w:lang w:val="fr-CA"/>
        </w:rPr>
        <w:t xml:space="preserve">Britannique répond à la définition de « jugement » dans la </w:t>
      </w:r>
      <w:r w:rsidRPr="002C6B07">
        <w:rPr>
          <w:rFonts w:eastAsiaTheme="minorHAnsi" w:cs="Times New Roman"/>
          <w:i/>
          <w:noProof/>
          <w:lang w:val="fr-CA"/>
        </w:rPr>
        <w:t>LERJ</w:t>
      </w:r>
      <w:r w:rsidRPr="002C6B07">
        <w:rPr>
          <w:rFonts w:eastAsiaTheme="minorHAnsi" w:cs="Times New Roman"/>
          <w:noProof/>
          <w:lang w:val="fr-CA"/>
        </w:rPr>
        <w:t>, il faut alors confirmer la conclusion du juge de première instance selon laquelle l’</w:t>
      </w:r>
      <w:r>
        <w:rPr>
          <w:rFonts w:eastAsiaTheme="minorHAnsi" w:cs="Times New Roman"/>
          <w:noProof/>
          <w:lang w:val="fr-CA"/>
        </w:rPr>
        <w:t>al. </w:t>
      </w:r>
      <w:r w:rsidRPr="002C6B07">
        <w:rPr>
          <w:rFonts w:eastAsiaTheme="minorHAnsi" w:cs="Times New Roman"/>
          <w:noProof/>
          <w:lang w:val="fr-CA"/>
        </w:rPr>
        <w:t>3b) fait obstacle à l’enregistrement du jugement de la Colombie</w:t>
      </w:r>
      <w:r>
        <w:rPr>
          <w:rFonts w:eastAsiaTheme="minorHAnsi" w:cs="Times New Roman"/>
          <w:noProof/>
          <w:lang w:val="fr-CA"/>
        </w:rPr>
        <w:noBreakHyphen/>
      </w:r>
      <w:r w:rsidRPr="002C6B07">
        <w:rPr>
          <w:rFonts w:eastAsiaTheme="minorHAnsi" w:cs="Times New Roman"/>
          <w:noProof/>
          <w:lang w:val="fr-CA"/>
        </w:rPr>
        <w:t xml:space="preserve">Britannique. Il n’est donc pas nécessaire que je décide si les jugements dérivés peuvent être enregistrés en vertu de la </w:t>
      </w:r>
      <w:r w:rsidRPr="002C6B07">
        <w:rPr>
          <w:rFonts w:eastAsiaTheme="minorHAnsi" w:cs="Times New Roman"/>
          <w:i/>
          <w:noProof/>
          <w:lang w:val="fr-CA"/>
        </w:rPr>
        <w:t>LERJ</w:t>
      </w:r>
      <w:r w:rsidRPr="002C6B07">
        <w:rPr>
          <w:rFonts w:eastAsiaTheme="minorHAnsi" w:cs="Times New Roman"/>
          <w:noProof/>
          <w:lang w:val="fr-CA"/>
        </w:rPr>
        <w:t>, puisque le présent pourvoi doit de toute façon être rejeté. Les présents motifs tiennent donc pour acquis, sans trancher la question, que le jugement de la Colombie</w:t>
      </w:r>
      <w:r>
        <w:rPr>
          <w:rFonts w:eastAsiaTheme="minorHAnsi" w:cs="Times New Roman"/>
          <w:noProof/>
          <w:lang w:val="fr-CA"/>
        </w:rPr>
        <w:noBreakHyphen/>
      </w:r>
      <w:r w:rsidRPr="002C6B07">
        <w:rPr>
          <w:rFonts w:eastAsiaTheme="minorHAnsi" w:cs="Times New Roman"/>
          <w:noProof/>
          <w:lang w:val="fr-CA"/>
        </w:rPr>
        <w:t xml:space="preserve">Britannique relève de la </w:t>
      </w:r>
      <w:r w:rsidRPr="002C6B07">
        <w:rPr>
          <w:rFonts w:eastAsiaTheme="minorHAnsi" w:cs="Times New Roman"/>
          <w:i/>
          <w:noProof/>
          <w:lang w:val="fr-CA"/>
        </w:rPr>
        <w:t>LERJ</w:t>
      </w:r>
      <w:r w:rsidRPr="002C6B07">
        <w:rPr>
          <w:rFonts w:eastAsiaTheme="minorHAnsi" w:cs="Times New Roman"/>
          <w:noProof/>
          <w:lang w:val="fr-CA"/>
        </w:rPr>
        <w:t xml:space="preserve">. Je remets à une autre occasion l’examen de la question de savoir si les jugements dérivés sont effectivement visés par la définition de « jugement » dans la </w:t>
      </w:r>
      <w:r w:rsidRPr="002C6B07">
        <w:rPr>
          <w:rFonts w:eastAsiaTheme="minorHAnsi" w:cs="Times New Roman"/>
          <w:i/>
          <w:noProof/>
          <w:lang w:val="fr-CA"/>
        </w:rPr>
        <w:t>LERJ</w:t>
      </w:r>
      <w:r w:rsidRPr="002C6B07">
        <w:rPr>
          <w:rFonts w:eastAsiaTheme="minorHAnsi" w:cs="Times New Roman"/>
          <w:noProof/>
          <w:lang w:val="fr-CA"/>
        </w:rPr>
        <w:t>.</w:t>
      </w:r>
    </w:p>
    <w:p w:rsidR="009D2D7F" w:rsidRPr="002C6B07" w:rsidRDefault="009D2D7F" w:rsidP="009D2D7F">
      <w:pPr>
        <w:pStyle w:val="Title2LevelTitre2Niveau"/>
        <w:rPr>
          <w:rFonts w:cs="Times New Roman"/>
          <w:noProof/>
          <w:lang w:val="fr-CA"/>
        </w:rPr>
      </w:pPr>
      <w:r>
        <w:rPr>
          <w:rFonts w:cs="Times New Roman"/>
          <w:noProof/>
          <w:lang w:val="fr-CA" w:bidi="en-US"/>
        </w:rPr>
        <w:t>Est-ce qu’</w:t>
      </w:r>
      <w:r w:rsidRPr="002C6B07">
        <w:rPr>
          <w:rFonts w:cs="Times New Roman"/>
          <w:noProof/>
          <w:lang w:val="fr-CA" w:bidi="en-US"/>
        </w:rPr>
        <w:t>Antigua « exerçait ses activités » en Colombie</w:t>
      </w:r>
      <w:r>
        <w:rPr>
          <w:rFonts w:cs="Times New Roman"/>
          <w:noProof/>
          <w:lang w:val="fr-CA" w:bidi="en-US"/>
        </w:rPr>
        <w:noBreakHyphen/>
      </w:r>
      <w:r w:rsidRPr="002C6B07">
        <w:rPr>
          <w:rFonts w:cs="Times New Roman"/>
          <w:noProof/>
          <w:lang w:val="fr-CA" w:bidi="en-US"/>
        </w:rPr>
        <w:t>Britannique au sens de l’</w:t>
      </w:r>
      <w:r>
        <w:rPr>
          <w:rFonts w:cs="Times New Roman"/>
          <w:noProof/>
          <w:lang w:val="fr-CA" w:bidi="en-US"/>
        </w:rPr>
        <w:t>al. </w:t>
      </w:r>
      <w:r w:rsidRPr="002C6B07">
        <w:rPr>
          <w:rFonts w:cs="Times New Roman"/>
          <w:noProof/>
          <w:lang w:val="fr-CA"/>
        </w:rPr>
        <w:t>3b) de la LERJ?</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L’alinéa 3b)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 xml:space="preserve"> dispose</w:t>
      </w:r>
      <w:r>
        <w:rPr>
          <w:rFonts w:cs="Times New Roman"/>
          <w:noProof/>
          <w:lang w:val="fr-CA"/>
        </w:rPr>
        <w:t> :</w:t>
      </w:r>
    </w:p>
    <w:p w:rsidR="009D2D7F" w:rsidRPr="002C6B07" w:rsidRDefault="009D2D7F" w:rsidP="009D2D7F">
      <w:pPr>
        <w:pStyle w:val="Citation-AltC"/>
        <w:spacing w:after="240"/>
        <w:ind w:left="1168" w:hanging="1310"/>
        <w:contextualSpacing w:val="0"/>
        <w:rPr>
          <w:noProof/>
          <w:lang w:val="fr-CA"/>
        </w:rPr>
      </w:pPr>
      <w:r w:rsidRPr="002C6B07">
        <w:rPr>
          <w:b/>
          <w:noProof/>
          <w:lang w:val="fr-CA"/>
        </w:rPr>
        <w:tab/>
        <w:t>3</w:t>
      </w:r>
      <w:r w:rsidRPr="00293BAB">
        <w:t> </w:t>
      </w:r>
      <w:r w:rsidRPr="002C6B07">
        <w:rPr>
          <w:noProof/>
          <w:lang w:val="fr-CA"/>
        </w:rPr>
        <w:t>Le tribunal d’enregistrement ne doit pas, aux termes de la présente loi, ordonner l’enregistrement d’un jugement s’il est démontré que</w:t>
      </w:r>
      <w:r>
        <w:rPr>
          <w:noProof/>
          <w:lang w:val="fr-CA"/>
        </w:rPr>
        <w:t> :</w:t>
      </w:r>
      <w:r w:rsidRPr="002C6B07">
        <w:rPr>
          <w:noProof/>
          <w:lang w:val="fr-CA"/>
        </w:rPr>
        <w:t xml:space="preserve"> </w:t>
      </w:r>
    </w:p>
    <w:p w:rsidR="009D2D7F" w:rsidRPr="008C5F73" w:rsidRDefault="009D2D7F" w:rsidP="009D2D7F">
      <w:pPr>
        <w:pStyle w:val="Citation-AltC"/>
        <w:spacing w:after="240"/>
        <w:ind w:left="1168" w:hanging="1168"/>
        <w:contextualSpacing w:val="0"/>
        <w:jc w:val="center"/>
        <w:rPr>
          <w:noProof/>
          <w:lang w:val="fr-CA"/>
        </w:rPr>
      </w:pPr>
      <w:r>
        <w:rPr>
          <w:noProof/>
          <w:lang w:val="fr-CA"/>
        </w:rPr>
        <w:tab/>
      </w:r>
      <w:r w:rsidRPr="008C5F73">
        <w:rPr>
          <w:noProof/>
          <w:lang w:val="fr-CA"/>
        </w:rPr>
        <w:t>. . .</w:t>
      </w:r>
    </w:p>
    <w:p w:rsidR="009D2D7F" w:rsidRPr="002C6B07" w:rsidRDefault="009D2D7F" w:rsidP="009D2D7F">
      <w:pPr>
        <w:pStyle w:val="Citation-AltC"/>
        <w:tabs>
          <w:tab w:val="left" w:pos="1560"/>
        </w:tabs>
        <w:ind w:left="1843" w:hanging="709"/>
        <w:rPr>
          <w:noProof/>
          <w:lang w:val="fr-CA"/>
        </w:rPr>
      </w:pPr>
      <w:r>
        <w:rPr>
          <w:noProof/>
          <w:lang w:val="fr-CA"/>
        </w:rPr>
        <w:tab/>
        <w:t>b)</w:t>
      </w:r>
      <w:r>
        <w:rPr>
          <w:noProof/>
          <w:lang w:val="fr-CA"/>
        </w:rPr>
        <w:tab/>
      </w:r>
      <w:r w:rsidRPr="002C6B07">
        <w:rPr>
          <w:noProof/>
          <w:lang w:val="fr-CA"/>
        </w:rPr>
        <w:t>le débiteur en vertu du jugement, qui n’exerçait pas ses activités ni ne</w:t>
      </w:r>
      <w:r>
        <w:rPr>
          <w:noProof/>
          <w:lang w:val="fr-CA"/>
        </w:rPr>
        <w:tab/>
      </w:r>
      <w:r w:rsidRPr="002C6B07">
        <w:rPr>
          <w:noProof/>
          <w:lang w:val="fr-CA"/>
        </w:rPr>
        <w:t>résidait ordinairement dans le ressort du tribunal d’origine, n’a pas</w:t>
      </w:r>
      <w:r>
        <w:rPr>
          <w:noProof/>
          <w:lang w:val="fr-CA"/>
        </w:rPr>
        <w:t xml:space="preserve"> </w:t>
      </w:r>
      <w:r w:rsidRPr="002C6B07">
        <w:rPr>
          <w:noProof/>
          <w:lang w:val="fr-CA"/>
        </w:rPr>
        <w:t>comparu volontairement ni autrement reconnu, durant l’instance, la</w:t>
      </w:r>
      <w:r>
        <w:rPr>
          <w:noProof/>
          <w:lang w:val="fr-CA"/>
        </w:rPr>
        <w:t xml:space="preserve"> </w:t>
      </w:r>
      <w:r w:rsidRPr="002C6B07">
        <w:rPr>
          <w:noProof/>
          <w:lang w:val="fr-CA"/>
        </w:rPr>
        <w:t>compétence de ce tribunal;</w:t>
      </w:r>
    </w:p>
    <w:p w:rsidR="009D2D7F" w:rsidRPr="002C6B07" w:rsidRDefault="009D2D7F" w:rsidP="009D2D7F">
      <w:pPr>
        <w:pStyle w:val="ParaNoNdepar-AltN"/>
        <w:tabs>
          <w:tab w:val="clear" w:pos="1152"/>
          <w:tab w:val="left" w:pos="1166"/>
        </w:tabs>
        <w:rPr>
          <w:rFonts w:eastAsia="Times New Roman" w:cs="Times New Roman"/>
          <w:noProof/>
          <w:szCs w:val="24"/>
          <w:lang w:val="fr-CA"/>
        </w:rPr>
      </w:pPr>
      <w:r w:rsidRPr="002C6B07">
        <w:rPr>
          <w:rFonts w:cs="Times New Roman"/>
          <w:noProof/>
          <w:lang w:val="fr-CA"/>
        </w:rPr>
        <w:t>L’alinéa 3b) oblige le débiteur en vertu du jugement qui cherche à faire valoir ce moyen de défense à s’acquitter de deux fardeaux. Premièrement, le débiteur en vertu du jugement doit démontrer qu’il n’exerçait pas ses activités ni ne résidait ordinairement dans le ressort du tribunal d’origine. Deuxièmement, le débiteur en vertu du jugement doit aussi établir qu’il n’a pas comparu volontairement ni autrement reconnu la compétence de ce tribunal durant l’instance introduite par le créancier en vertu du jugement devant ce tribun</w:t>
      </w:r>
      <w:r>
        <w:rPr>
          <w:rFonts w:cs="Times New Roman"/>
          <w:noProof/>
          <w:lang w:val="fr-CA"/>
        </w:rPr>
        <w:t xml:space="preserve">al. </w:t>
      </w:r>
      <w:r w:rsidRPr="002C6B07">
        <w:rPr>
          <w:rFonts w:cs="Times New Roman"/>
          <w:noProof/>
          <w:lang w:val="fr-CA"/>
        </w:rPr>
        <w:t>Si le débiteur en vertu du jugement démontre au tribunal ontarien que ces deux conditions sont satisfaites, l’</w:t>
      </w:r>
      <w:r>
        <w:rPr>
          <w:rFonts w:cs="Times New Roman"/>
          <w:noProof/>
          <w:lang w:val="fr-CA"/>
        </w:rPr>
        <w:t>al. </w:t>
      </w:r>
      <w:r w:rsidRPr="002C6B07">
        <w:rPr>
          <w:rFonts w:cs="Times New Roman"/>
          <w:noProof/>
          <w:lang w:val="fr-CA"/>
        </w:rPr>
        <w:t>3b) empêche alors l’enregistrement du jugement.</w:t>
      </w:r>
    </w:p>
    <w:p w:rsidR="009D2D7F" w:rsidRPr="002C6B07" w:rsidRDefault="009D2D7F" w:rsidP="009D2D7F">
      <w:pPr>
        <w:pStyle w:val="ParaNoNdepar-AltN"/>
        <w:tabs>
          <w:tab w:val="clear" w:pos="1152"/>
          <w:tab w:val="left" w:pos="1166"/>
        </w:tabs>
        <w:rPr>
          <w:rFonts w:cs="Times New Roman"/>
          <w:noProof/>
          <w:szCs w:val="24"/>
          <w:lang w:val="fr-CA"/>
        </w:rPr>
      </w:pPr>
      <w:r w:rsidRPr="002C6B07">
        <w:rPr>
          <w:rFonts w:cs="Times New Roman"/>
          <w:noProof/>
          <w:lang w:val="fr-CA"/>
        </w:rPr>
        <w:t>Dans le présent pourvoi, les parties conviennent qu’Antigua ne réside pas ordinairement en Colombie</w:t>
      </w:r>
      <w:r>
        <w:rPr>
          <w:rFonts w:cs="Times New Roman"/>
          <w:noProof/>
          <w:lang w:val="fr-CA"/>
        </w:rPr>
        <w:noBreakHyphen/>
      </w:r>
      <w:r w:rsidRPr="002C6B07">
        <w:rPr>
          <w:rFonts w:cs="Times New Roman"/>
          <w:noProof/>
          <w:lang w:val="fr-CA"/>
        </w:rPr>
        <w:t>Britannique et qu’elle n’a pas comparu volontairement ni autrement reconnu la compétence de la Cour suprême de la Colombie</w:t>
      </w:r>
      <w:r>
        <w:rPr>
          <w:rFonts w:cs="Times New Roman"/>
          <w:noProof/>
          <w:lang w:val="fr-CA"/>
        </w:rPr>
        <w:noBreakHyphen/>
      </w:r>
      <w:r w:rsidRPr="002C6B07">
        <w:rPr>
          <w:rFonts w:cs="Times New Roman"/>
          <w:noProof/>
          <w:lang w:val="fr-CA"/>
        </w:rPr>
        <w:t>Britannique au cours de l’instance que H.M.B. a introduite dans cette province. En conséquence, la seule question que soulève l’application de l’</w:t>
      </w:r>
      <w:r>
        <w:rPr>
          <w:rFonts w:cs="Times New Roman"/>
          <w:noProof/>
          <w:lang w:val="fr-CA"/>
        </w:rPr>
        <w:t>al. </w:t>
      </w:r>
      <w:r w:rsidRPr="002C6B07">
        <w:rPr>
          <w:rFonts w:cs="Times New Roman"/>
          <w:noProof/>
          <w:lang w:val="fr-CA"/>
        </w:rPr>
        <w:t>3b) en l’espèce est celle de savoir si Antigua « exerçait [. . .] ses activités » en Colombie</w:t>
      </w:r>
      <w:r>
        <w:rPr>
          <w:rFonts w:cs="Times New Roman"/>
          <w:noProof/>
          <w:lang w:val="fr-CA"/>
        </w:rPr>
        <w:noBreakHyphen/>
      </w:r>
      <w:r w:rsidRPr="002C6B07">
        <w:rPr>
          <w:rFonts w:cs="Times New Roman"/>
          <w:noProof/>
          <w:lang w:val="fr-CA"/>
        </w:rPr>
        <w:t>Britannique.</w:t>
      </w:r>
    </w:p>
    <w:p w:rsidR="009D2D7F" w:rsidRPr="002C6B07" w:rsidRDefault="009D2D7F" w:rsidP="009D2D7F">
      <w:pPr>
        <w:pStyle w:val="Title3LevelTitre3Niveau"/>
        <w:rPr>
          <w:rFonts w:cs="Times New Roman"/>
          <w:noProof/>
          <w:lang w:val="fr-CA"/>
        </w:rPr>
      </w:pPr>
      <w:r w:rsidRPr="002C6B07">
        <w:rPr>
          <w:rFonts w:cs="Times New Roman"/>
          <w:noProof/>
          <w:lang w:val="fr-CA"/>
        </w:rPr>
        <w:t xml:space="preserve">Interprétation de </w:t>
      </w:r>
      <w:r>
        <w:rPr>
          <w:rFonts w:cs="Times New Roman"/>
          <w:noProof/>
          <w:lang w:val="fr-CA"/>
        </w:rPr>
        <w:t>la notion d’</w:t>
      </w:r>
      <w:r w:rsidRPr="002C6B07">
        <w:rPr>
          <w:rFonts w:cs="Times New Roman"/>
          <w:noProof/>
          <w:lang w:val="fr-CA"/>
        </w:rPr>
        <w:t>«</w:t>
      </w:r>
      <w:r>
        <w:rPr>
          <w:rFonts w:cs="Times New Roman"/>
          <w:noProof/>
          <w:lang w:val="fr-CA"/>
        </w:rPr>
        <w:t> </w:t>
      </w:r>
      <w:r w:rsidRPr="002C6B07">
        <w:rPr>
          <w:rFonts w:cs="Times New Roman"/>
          <w:noProof/>
          <w:lang w:val="fr-CA"/>
        </w:rPr>
        <w:t>ex</w:t>
      </w:r>
      <w:r>
        <w:rPr>
          <w:rFonts w:cs="Times New Roman"/>
          <w:noProof/>
          <w:lang w:val="fr-CA"/>
        </w:rPr>
        <w:t>ercice d’activités </w:t>
      </w:r>
      <w:r w:rsidRPr="002C6B07">
        <w:rPr>
          <w:rFonts w:cs="Times New Roman"/>
          <w:noProof/>
          <w:lang w:val="fr-CA"/>
        </w:rPr>
        <w:t>»</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La </w:t>
      </w:r>
      <w:r w:rsidRPr="002C6B07">
        <w:rPr>
          <w:rFonts w:cs="Times New Roman"/>
          <w:i/>
          <w:noProof/>
          <w:lang w:val="fr-CA"/>
        </w:rPr>
        <w:t xml:space="preserve">LERJ </w:t>
      </w:r>
      <w:r w:rsidRPr="002C6B07">
        <w:rPr>
          <w:rFonts w:cs="Times New Roman"/>
          <w:noProof/>
          <w:lang w:val="fr-CA"/>
        </w:rPr>
        <w:t xml:space="preserve">ne définit pas </w:t>
      </w:r>
      <w:r>
        <w:rPr>
          <w:rFonts w:cs="Times New Roman"/>
          <w:noProof/>
          <w:lang w:val="fr-CA"/>
        </w:rPr>
        <w:t>la notion d’</w:t>
      </w:r>
      <w:r w:rsidRPr="002C6B07">
        <w:rPr>
          <w:rFonts w:cs="Times New Roman"/>
          <w:noProof/>
          <w:lang w:val="fr-CA"/>
        </w:rPr>
        <w:t xml:space="preserve">« exercice d’activités », mais ce concept existe depuis longtemps en common law. Du point de vue de l’interprétation des lois, </w:t>
      </w:r>
      <w:r w:rsidRPr="002C6B07">
        <w:rPr>
          <w:rFonts w:cs="Times New Roman"/>
          <w:lang w:val="fr-CA"/>
        </w:rPr>
        <w:t>lorsqu’ils sont utilisés dans une disposition législative, les termes et concepts empruntés à la common law sont présumés conserver le sens qu’ils ont en common law (</w:t>
      </w:r>
      <w:r w:rsidRPr="002C6B07">
        <w:rPr>
          <w:rFonts w:cs="Times New Roman"/>
          <w:noProof/>
          <w:lang w:val="fr-CA"/>
        </w:rPr>
        <w:t xml:space="preserve">R. Sullivan, </w:t>
      </w:r>
      <w:r w:rsidRPr="002C6B07">
        <w:rPr>
          <w:rFonts w:cs="Times New Roman"/>
          <w:i/>
          <w:noProof/>
          <w:lang w:val="fr-CA"/>
        </w:rPr>
        <w:t>Sullivan on the Construction of Statutes</w:t>
      </w:r>
      <w:r w:rsidRPr="002C6B07">
        <w:rPr>
          <w:rFonts w:cs="Times New Roman"/>
          <w:noProof/>
          <w:lang w:val="fr-CA"/>
        </w:rPr>
        <w:t xml:space="preserve"> (</w:t>
      </w:r>
      <w:r w:rsidRPr="002C6B07">
        <w:rPr>
          <w:rFonts w:eastAsia="Times New Roman" w:cs="Times New Roman"/>
          <w:noProof/>
          <w:szCs w:val="24"/>
          <w:lang w:val="fr-CA"/>
        </w:rPr>
        <w:t>6</w:t>
      </w:r>
      <w:r w:rsidRPr="002C6B07">
        <w:rPr>
          <w:rFonts w:eastAsia="Times New Roman" w:cs="Times New Roman"/>
          <w:noProof/>
          <w:szCs w:val="24"/>
          <w:vertAlign w:val="superscript"/>
          <w:lang w:val="fr-CA"/>
        </w:rPr>
        <w:t>e</w:t>
      </w:r>
      <w:r w:rsidRPr="002C6B07">
        <w:rPr>
          <w:rFonts w:eastAsia="Times New Roman" w:cs="Times New Roman"/>
          <w:noProof/>
          <w:szCs w:val="24"/>
          <w:lang w:val="fr-CA"/>
        </w:rPr>
        <w:t> éd. 2014), § 1</w:t>
      </w:r>
      <w:r w:rsidRPr="002C6B07">
        <w:rPr>
          <w:rFonts w:cs="Times New Roman"/>
          <w:noProof/>
          <w:lang w:val="fr-CA"/>
        </w:rPr>
        <w:t>7.14).</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En common law, le concept d’« exercice d’activités » fait partie des fondements traditionnels de la compétence des tribunaux. Comme notre Cour l’a expliqué dans l’arrêt </w:t>
      </w:r>
      <w:r w:rsidRPr="002C6B07">
        <w:rPr>
          <w:rFonts w:cs="Times New Roman"/>
          <w:i/>
          <w:iCs/>
          <w:noProof/>
          <w:lang w:val="fr-CA"/>
        </w:rPr>
        <w:t>Morguard Investments Ltd. c. De Savoye</w:t>
      </w:r>
      <w:r w:rsidRPr="002C6B07">
        <w:rPr>
          <w:rFonts w:cs="Times New Roman"/>
          <w:noProof/>
          <w:lang w:val="fr-CA"/>
        </w:rPr>
        <w:t xml:space="preserve">, [1990] 3 R.C.S. 1077, selon les fondements traditionnels de la compétence des tribunaux en common law, un jugement étranger ne peut être reconnu et exécuté au Canada que si le défendeur dans l’action initiale était </w:t>
      </w:r>
      <w:r w:rsidRPr="002C6B07">
        <w:rPr>
          <w:rFonts w:cs="Times New Roman"/>
          <w:i/>
          <w:iCs/>
          <w:noProof/>
          <w:lang w:val="fr-CA"/>
        </w:rPr>
        <w:t>présent</w:t>
      </w:r>
      <w:r w:rsidRPr="002C6B07">
        <w:rPr>
          <w:rFonts w:cs="Times New Roman"/>
          <w:noProof/>
          <w:lang w:val="fr-CA"/>
        </w:rPr>
        <w:t xml:space="preserve"> </w:t>
      </w:r>
      <w:r w:rsidRPr="002C6B07">
        <w:rPr>
          <w:rFonts w:cs="Times New Roman"/>
          <w:lang w:val="fr-CA"/>
        </w:rPr>
        <w:t xml:space="preserve">à l’époque où l’action a été intentée dans l’État étranger où le jugement a été rendu ou s’il a </w:t>
      </w:r>
      <w:r w:rsidRPr="002C6B07">
        <w:rPr>
          <w:rFonts w:cs="Times New Roman"/>
          <w:i/>
          <w:iCs/>
          <w:lang w:val="fr-CA"/>
        </w:rPr>
        <w:t xml:space="preserve">reconnu </w:t>
      </w:r>
      <w:r w:rsidRPr="002C6B07">
        <w:rPr>
          <w:rFonts w:cs="Times New Roman"/>
          <w:lang w:val="fr-CA"/>
        </w:rPr>
        <w:t>d’une façon ou d’une autre la compétence du tribunal étranger (</w:t>
      </w:r>
      <w:r>
        <w:rPr>
          <w:rFonts w:cs="Times New Roman"/>
          <w:noProof/>
          <w:lang w:val="fr-CA"/>
        </w:rPr>
        <w:t>p. </w:t>
      </w:r>
      <w:r w:rsidRPr="002C6B07">
        <w:rPr>
          <w:rFonts w:cs="Times New Roman"/>
          <w:noProof/>
          <w:lang w:val="fr-CA"/>
        </w:rPr>
        <w:t xml:space="preserve">1092; voir également </w:t>
      </w:r>
      <w:r w:rsidRPr="002C6B07">
        <w:rPr>
          <w:rFonts w:cs="Times New Roman"/>
          <w:i/>
          <w:iCs/>
          <w:noProof/>
          <w:lang w:val="fr-CA"/>
        </w:rPr>
        <w:t>Chevron</w:t>
      </w:r>
      <w:r>
        <w:rPr>
          <w:rFonts w:cs="Times New Roman"/>
          <w:iCs/>
          <w:noProof/>
          <w:lang w:val="fr-CA"/>
        </w:rPr>
        <w:t>,</w:t>
      </w:r>
      <w:r w:rsidRPr="002C6B07">
        <w:rPr>
          <w:rFonts w:cs="Times New Roman"/>
          <w:iCs/>
          <w:noProof/>
          <w:lang w:val="fr-CA"/>
        </w:rPr>
        <w:t xml:space="preserve"> </w:t>
      </w:r>
      <w:r>
        <w:rPr>
          <w:rFonts w:cs="Times New Roman"/>
          <w:noProof/>
          <w:lang w:val="fr-CA"/>
        </w:rPr>
        <w:t>par. </w:t>
      </w:r>
      <w:r w:rsidRPr="002C6B07">
        <w:rPr>
          <w:rFonts w:cs="Times New Roman"/>
          <w:noProof/>
          <w:lang w:val="fr-CA"/>
        </w:rPr>
        <w:t xml:space="preserve">29; Pitel et Rafferty, </w:t>
      </w:r>
      <w:r>
        <w:rPr>
          <w:rFonts w:cs="Times New Roman"/>
          <w:noProof/>
          <w:lang w:val="fr-CA"/>
        </w:rPr>
        <w:t>p. </w:t>
      </w:r>
      <w:r w:rsidRPr="002C6B07">
        <w:rPr>
          <w:rFonts w:cs="Times New Roman"/>
          <w:noProof/>
          <w:lang w:val="fr-CA"/>
        </w:rPr>
        <w:t>164 et 168). Dans ce contexte, une société est considérée comme étant «</w:t>
      </w:r>
      <w:r w:rsidRPr="002C6B07">
        <w:rPr>
          <w:rFonts w:cs="Times New Roman"/>
          <w:lang w:val="fr-CA"/>
        </w:rPr>
        <w:t> </w:t>
      </w:r>
      <w:r w:rsidRPr="002C6B07">
        <w:rPr>
          <w:rFonts w:cs="Times New Roman"/>
          <w:noProof/>
          <w:lang w:val="fr-CA"/>
        </w:rPr>
        <w:t xml:space="preserve">présente » dans un ressort s’il est </w:t>
      </w:r>
      <w:r w:rsidRPr="002C6B07">
        <w:rPr>
          <w:rFonts w:cs="Times New Roman"/>
          <w:lang w:val="fr-CA"/>
        </w:rPr>
        <w:t>démontré qu’elle y « exploitait une entreprise » au moment de l’action (</w:t>
      </w:r>
      <w:r w:rsidRPr="002C6B07">
        <w:rPr>
          <w:rFonts w:cs="Times New Roman"/>
          <w:i/>
          <w:noProof/>
          <w:lang w:val="fr-CA"/>
        </w:rPr>
        <w:t>Chevron</w:t>
      </w:r>
      <w:r w:rsidRPr="002C6B07">
        <w:rPr>
          <w:rFonts w:cs="Times New Roman"/>
          <w:noProof/>
          <w:lang w:val="fr-CA"/>
        </w:rPr>
        <w:t xml:space="preserve">, </w:t>
      </w:r>
      <w:r>
        <w:rPr>
          <w:rFonts w:cs="Times New Roman"/>
          <w:noProof/>
          <w:lang w:val="fr-CA"/>
        </w:rPr>
        <w:t>par. </w:t>
      </w:r>
      <w:r w:rsidRPr="002C6B07">
        <w:rPr>
          <w:rFonts w:cs="Times New Roman"/>
          <w:noProof/>
          <w:lang w:val="fr-CA"/>
        </w:rPr>
        <w:t xml:space="preserve">85; Pitel et Rafferty, </w:t>
      </w:r>
      <w:r>
        <w:rPr>
          <w:rFonts w:cs="Times New Roman"/>
          <w:noProof/>
          <w:lang w:val="fr-CA"/>
        </w:rPr>
        <w:t>p. </w:t>
      </w:r>
      <w:r w:rsidRPr="002C6B07">
        <w:rPr>
          <w:rFonts w:cs="Times New Roman"/>
          <w:noProof/>
          <w:lang w:val="fr-CA"/>
        </w:rPr>
        <w:t xml:space="preserve">170; J. Walker, </w:t>
      </w:r>
      <w:r w:rsidRPr="002C6B07">
        <w:rPr>
          <w:rFonts w:cs="Times New Roman"/>
          <w:i/>
          <w:noProof/>
          <w:lang w:val="fr-CA"/>
        </w:rPr>
        <w:t>Castel &amp; Walker</w:t>
      </w:r>
      <w:r>
        <w:rPr>
          <w:rFonts w:cs="Times New Roman"/>
          <w:i/>
          <w:noProof/>
          <w:lang w:val="fr-CA"/>
        </w:rPr>
        <w:t> :</w:t>
      </w:r>
      <w:r w:rsidRPr="002C6B07">
        <w:rPr>
          <w:rFonts w:cs="Times New Roman"/>
          <w:i/>
          <w:noProof/>
          <w:lang w:val="fr-CA"/>
        </w:rPr>
        <w:t xml:space="preserve"> Canadian Conflict of Laws </w:t>
      </w:r>
      <w:r w:rsidRPr="002C6B07">
        <w:rPr>
          <w:rFonts w:cs="Times New Roman"/>
          <w:noProof/>
          <w:lang w:val="fr-CA"/>
        </w:rPr>
        <w:t>(6</w:t>
      </w:r>
      <w:r w:rsidRPr="002C6B07">
        <w:rPr>
          <w:rFonts w:cs="Times New Roman"/>
          <w:noProof/>
          <w:vertAlign w:val="superscript"/>
          <w:lang w:val="fr-CA"/>
        </w:rPr>
        <w:t>e</w:t>
      </w:r>
      <w:r w:rsidRPr="002C6B07">
        <w:rPr>
          <w:rFonts w:cs="Times New Roman"/>
          <w:noProof/>
          <w:lang w:val="fr-CA"/>
        </w:rPr>
        <w:t xml:space="preserve"> éd. (feuilles mobiles)), </w:t>
      </w:r>
      <w:r>
        <w:rPr>
          <w:rFonts w:cs="Times New Roman"/>
          <w:noProof/>
          <w:lang w:val="fr-CA"/>
        </w:rPr>
        <w:t>p. </w:t>
      </w:r>
      <w:r w:rsidRPr="002C6B07">
        <w:rPr>
          <w:rFonts w:cs="Times New Roman"/>
          <w:noProof/>
          <w:lang w:val="fr-CA"/>
        </w:rPr>
        <w:t>14</w:t>
      </w:r>
      <w:r>
        <w:rPr>
          <w:rFonts w:cs="Times New Roman"/>
          <w:noProof/>
          <w:lang w:val="fr-CA"/>
        </w:rPr>
        <w:noBreakHyphen/>
      </w:r>
      <w:r w:rsidRPr="002C6B07">
        <w:rPr>
          <w:rFonts w:cs="Times New Roman"/>
          <w:noProof/>
          <w:lang w:val="fr-CA"/>
        </w:rPr>
        <w:t>24).</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La common law canadienne en matière de reconnaissance et d’exécution de jugements s’est développée au</w:t>
      </w:r>
      <w:r>
        <w:rPr>
          <w:rFonts w:cs="Times New Roman"/>
          <w:noProof/>
          <w:lang w:val="fr-CA"/>
        </w:rPr>
        <w:noBreakHyphen/>
      </w:r>
      <w:r w:rsidRPr="002C6B07">
        <w:rPr>
          <w:rFonts w:cs="Times New Roman"/>
          <w:noProof/>
          <w:lang w:val="fr-CA"/>
        </w:rPr>
        <w:t xml:space="preserve">delà des fondements traditionnels de la compétence. </w:t>
      </w:r>
      <w:r>
        <w:rPr>
          <w:rFonts w:cs="Times New Roman"/>
          <w:noProof/>
          <w:lang w:val="fr-CA"/>
        </w:rPr>
        <w:t>N</w:t>
      </w:r>
      <w:r w:rsidRPr="002C6B07">
        <w:rPr>
          <w:rFonts w:cs="Times New Roman"/>
          <w:noProof/>
          <w:lang w:val="fr-CA"/>
        </w:rPr>
        <w:t>otamment</w:t>
      </w:r>
      <w:r>
        <w:rPr>
          <w:rFonts w:cs="Times New Roman"/>
          <w:noProof/>
          <w:lang w:val="fr-CA"/>
        </w:rPr>
        <w:t>,</w:t>
      </w:r>
      <w:r w:rsidRPr="002C6B07">
        <w:rPr>
          <w:rFonts w:cs="Times New Roman"/>
          <w:noProof/>
          <w:lang w:val="fr-CA"/>
        </w:rPr>
        <w:t xml:space="preserve"> dans l’arrêt </w:t>
      </w:r>
      <w:r w:rsidRPr="002C6B07">
        <w:rPr>
          <w:rFonts w:cs="Times New Roman"/>
          <w:i/>
          <w:iCs/>
          <w:noProof/>
          <w:lang w:val="fr-CA"/>
        </w:rPr>
        <w:t xml:space="preserve">Morguard </w:t>
      </w:r>
      <w:r w:rsidRPr="002C6B07">
        <w:rPr>
          <w:rFonts w:cs="Times New Roman"/>
          <w:iCs/>
          <w:noProof/>
          <w:lang w:val="fr-CA"/>
        </w:rPr>
        <w:t>lui</w:t>
      </w:r>
      <w:r>
        <w:rPr>
          <w:rFonts w:cs="Times New Roman"/>
          <w:iCs/>
          <w:noProof/>
          <w:lang w:val="fr-CA"/>
        </w:rPr>
        <w:noBreakHyphen/>
      </w:r>
      <w:r w:rsidRPr="002C6B07">
        <w:rPr>
          <w:rFonts w:cs="Times New Roman"/>
          <w:iCs/>
          <w:noProof/>
          <w:lang w:val="fr-CA"/>
        </w:rPr>
        <w:t>même, la Cour a statué que le jugement du tribunal d’une province pouvait être reconnu dans une autre province au motif qu’il existait un «</w:t>
      </w:r>
      <w:r>
        <w:rPr>
          <w:rFonts w:cs="Times New Roman"/>
          <w:iCs/>
          <w:noProof/>
          <w:lang w:val="fr-CA"/>
        </w:rPr>
        <w:t> </w:t>
      </w:r>
      <w:r w:rsidRPr="002C6B07">
        <w:rPr>
          <w:rFonts w:cs="Times New Roman"/>
          <w:iCs/>
          <w:noProof/>
          <w:lang w:val="fr-CA"/>
        </w:rPr>
        <w:t>lien réel et substantiel</w:t>
      </w:r>
      <w:r>
        <w:rPr>
          <w:rFonts w:cs="Times New Roman"/>
          <w:iCs/>
          <w:noProof/>
          <w:lang w:val="fr-CA"/>
        </w:rPr>
        <w:t> </w:t>
      </w:r>
      <w:r w:rsidRPr="002C6B07">
        <w:rPr>
          <w:rFonts w:cs="Times New Roman"/>
          <w:iCs/>
          <w:noProof/>
          <w:lang w:val="fr-CA"/>
        </w:rPr>
        <w:t xml:space="preserve">» avec la province où le jugement avait été rendu, plutôt qu’en application des </w:t>
      </w:r>
      <w:r w:rsidRPr="002C6B07">
        <w:rPr>
          <w:rFonts w:cs="Times New Roman"/>
          <w:noProof/>
          <w:lang w:val="fr-CA"/>
        </w:rPr>
        <w:t xml:space="preserve">fondements traditionnels de la compétence. Néanmoins, les fondements traditionnels </w:t>
      </w:r>
      <w:r w:rsidRPr="002C6B07">
        <w:rPr>
          <w:rFonts w:cs="Times New Roman"/>
          <w:lang w:val="fr-CA"/>
        </w:rPr>
        <w:t xml:space="preserve">de la compétence en </w:t>
      </w:r>
      <w:r>
        <w:rPr>
          <w:rFonts w:cs="Times New Roman"/>
          <w:lang w:val="fr-CA"/>
        </w:rPr>
        <w:t xml:space="preserve">common </w:t>
      </w:r>
      <w:r w:rsidRPr="002C6B07">
        <w:rPr>
          <w:rFonts w:cs="Times New Roman"/>
          <w:lang w:val="fr-CA"/>
        </w:rPr>
        <w:t>law que sont la présence et le consentement demeurent importants et, en l’espèce, ils sont essentiels</w:t>
      </w:r>
      <w:r w:rsidRPr="002C6B07">
        <w:rPr>
          <w:rFonts w:cs="Times New Roman"/>
          <w:noProof/>
          <w:lang w:val="fr-CA"/>
        </w:rPr>
        <w:t xml:space="preserve"> pour comprendre l’</w:t>
      </w:r>
      <w:r>
        <w:rPr>
          <w:rFonts w:cs="Times New Roman"/>
          <w:noProof/>
          <w:lang w:val="fr-CA"/>
        </w:rPr>
        <w:t>al. </w:t>
      </w:r>
      <w:r w:rsidRPr="002C6B07">
        <w:rPr>
          <w:rFonts w:cs="Times New Roman"/>
          <w:noProof/>
          <w:lang w:val="fr-CA"/>
        </w:rPr>
        <w:t xml:space="preserve">3b) de la </w:t>
      </w:r>
      <w:r w:rsidRPr="002C6B07">
        <w:rPr>
          <w:rFonts w:cs="Times New Roman"/>
          <w:i/>
          <w:iCs/>
          <w:noProof/>
          <w:lang w:val="fr-CA"/>
        </w:rPr>
        <w:t>LERJ</w:t>
      </w:r>
      <w:r w:rsidRPr="002C6B07">
        <w:rPr>
          <w:rFonts w:cs="Times New Roman"/>
          <w:noProof/>
          <w:lang w:val="fr-CA"/>
        </w:rPr>
        <w:t>.</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iCs/>
          <w:noProof/>
          <w:lang w:val="fr-CA"/>
        </w:rPr>
        <w:t xml:space="preserve">L’adoption de la </w:t>
      </w:r>
      <w:r w:rsidRPr="002C6B07">
        <w:rPr>
          <w:rFonts w:cs="Times New Roman"/>
          <w:i/>
          <w:iCs/>
          <w:noProof/>
          <w:lang w:val="fr-CA"/>
        </w:rPr>
        <w:t>LERJ</w:t>
      </w:r>
      <w:r w:rsidRPr="002C6B07">
        <w:rPr>
          <w:rFonts w:cs="Times New Roman"/>
          <w:noProof/>
          <w:lang w:val="fr-CA"/>
        </w:rPr>
        <w:t xml:space="preserve"> remonte à 1929. </w:t>
      </w:r>
      <w:r w:rsidRPr="00E53C2D">
        <w:rPr>
          <w:rFonts w:cs="Times New Roman"/>
          <w:noProof/>
          <w:lang w:val="fr-CA"/>
        </w:rPr>
        <w:t>Elle s’inspire d’une loi type approuvée par la Conférence des commissa</w:t>
      </w:r>
      <w:r>
        <w:rPr>
          <w:rFonts w:cs="Times New Roman"/>
          <w:noProof/>
          <w:lang w:val="fr-CA"/>
        </w:rPr>
        <w:t xml:space="preserve">ires sur l’uniformité des lois au Canada </w:t>
      </w:r>
      <w:r w:rsidRPr="00E53C2D">
        <w:rPr>
          <w:rFonts w:cs="Times New Roman"/>
          <w:noProof/>
          <w:lang w:val="fr-CA"/>
        </w:rPr>
        <w:t>en 1924, qui était elle</w:t>
      </w:r>
      <w:r w:rsidRPr="00E53C2D">
        <w:rPr>
          <w:rFonts w:cs="Times New Roman"/>
          <w:noProof/>
          <w:lang w:val="fr-CA"/>
        </w:rPr>
        <w:noBreakHyphen/>
        <w:t>même fondée sur l’</w:t>
      </w:r>
      <w:r w:rsidRPr="00E53C2D">
        <w:rPr>
          <w:rFonts w:cs="Times New Roman"/>
          <w:i/>
          <w:iCs/>
          <w:noProof/>
          <w:lang w:val="fr-CA"/>
        </w:rPr>
        <w:t>Administration of Justice Act, 1920</w:t>
      </w:r>
      <w:r w:rsidRPr="00E53C2D">
        <w:rPr>
          <w:rFonts w:cs="Times New Roman"/>
          <w:iCs/>
          <w:noProof/>
          <w:lang w:val="fr-CA"/>
        </w:rPr>
        <w:t>,</w:t>
      </w:r>
      <w:r w:rsidRPr="00E53C2D">
        <w:rPr>
          <w:rFonts w:cs="Times New Roman"/>
          <w:noProof/>
          <w:lang w:val="fr-CA"/>
        </w:rPr>
        <w:t xml:space="preserve"> 10 &amp; 11 Geo. 5, c. 81, du Royaume</w:t>
      </w:r>
      <w:r w:rsidRPr="00E53C2D">
        <w:rPr>
          <w:rFonts w:cs="Times New Roman"/>
          <w:noProof/>
          <w:lang w:val="fr-CA"/>
        </w:rPr>
        <w:noBreakHyphen/>
        <w:t xml:space="preserve">Uni (voir </w:t>
      </w:r>
      <w:r w:rsidRPr="00E53C2D">
        <w:rPr>
          <w:rFonts w:cs="Times New Roman"/>
          <w:i/>
          <w:iCs/>
          <w:lang w:val="fr-CA"/>
        </w:rPr>
        <w:t xml:space="preserve">Proceedings of the Seventh Annual Meeting of the Conference of Commissioners on </w:t>
      </w:r>
      <w:proofErr w:type="spellStart"/>
      <w:r w:rsidRPr="00E53C2D">
        <w:rPr>
          <w:rFonts w:cs="Times New Roman"/>
          <w:i/>
          <w:iCs/>
          <w:lang w:val="fr-CA"/>
        </w:rPr>
        <w:t>Uniformity</w:t>
      </w:r>
      <w:proofErr w:type="spellEnd"/>
      <w:r w:rsidRPr="00E53C2D">
        <w:rPr>
          <w:rFonts w:cs="Times New Roman"/>
          <w:i/>
          <w:iCs/>
          <w:lang w:val="fr-CA"/>
        </w:rPr>
        <w:t xml:space="preserve"> of </w:t>
      </w:r>
      <w:proofErr w:type="spellStart"/>
      <w:r w:rsidRPr="00E53C2D">
        <w:rPr>
          <w:rFonts w:cs="Times New Roman"/>
          <w:i/>
          <w:iCs/>
          <w:lang w:val="fr-CA"/>
        </w:rPr>
        <w:t>Legislation</w:t>
      </w:r>
      <w:proofErr w:type="spellEnd"/>
      <w:r w:rsidRPr="00E53C2D">
        <w:rPr>
          <w:rFonts w:cs="Times New Roman"/>
          <w:i/>
          <w:iCs/>
          <w:lang w:val="fr-CA"/>
        </w:rPr>
        <w:t xml:space="preserve"> in Canada</w:t>
      </w:r>
      <w:r w:rsidRPr="00E53C2D">
        <w:rPr>
          <w:rFonts w:cs="Times New Roman"/>
          <w:iCs/>
          <w:lang w:val="fr-CA"/>
        </w:rPr>
        <w:t xml:space="preserve">, ann. </w:t>
      </w:r>
      <w:r w:rsidRPr="009D2D7F">
        <w:rPr>
          <w:rFonts w:cs="Times New Roman"/>
          <w:iCs/>
          <w:lang w:val="fr-CA"/>
        </w:rPr>
        <w:t xml:space="preserve">G, </w:t>
      </w:r>
      <w:r w:rsidRPr="009D2D7F">
        <w:rPr>
          <w:rFonts w:cs="Times New Roman"/>
          <w:i/>
          <w:iCs/>
          <w:lang w:val="fr-CA"/>
        </w:rPr>
        <w:t xml:space="preserve">The Reciprocal Enforcement of Judgments Act </w:t>
      </w:r>
      <w:r w:rsidRPr="009D2D7F">
        <w:rPr>
          <w:rFonts w:cs="Times New Roman"/>
          <w:iCs/>
          <w:lang w:val="fr-CA"/>
        </w:rPr>
        <w:t>(1924))</w:t>
      </w:r>
      <w:r w:rsidRPr="009D2D7F">
        <w:rPr>
          <w:rFonts w:cs="Times New Roman"/>
          <w:noProof/>
          <w:lang w:val="fr-CA"/>
        </w:rPr>
        <w:t xml:space="preserve">. </w:t>
      </w:r>
      <w:r w:rsidRPr="002C6B07">
        <w:rPr>
          <w:rFonts w:cs="Times New Roman"/>
          <w:noProof/>
          <w:lang w:val="fr-CA"/>
        </w:rPr>
        <w:t>L’alinéa 3b), qui n’a pas été modifié depuis 1929, est presque identique à l’</w:t>
      </w:r>
      <w:r>
        <w:rPr>
          <w:rFonts w:cs="Times New Roman"/>
          <w:noProof/>
          <w:lang w:val="fr-CA"/>
        </w:rPr>
        <w:t>al. </w:t>
      </w:r>
      <w:r w:rsidRPr="002C6B07">
        <w:rPr>
          <w:rFonts w:cs="Times New Roman"/>
          <w:noProof/>
          <w:lang w:val="fr-CA"/>
        </w:rPr>
        <w:t>9(2)(b) de la loi du Royaume</w:t>
      </w:r>
      <w:r>
        <w:rPr>
          <w:rFonts w:cs="Times New Roman"/>
          <w:noProof/>
          <w:lang w:val="fr-CA"/>
        </w:rPr>
        <w:noBreakHyphen/>
      </w:r>
      <w:r w:rsidRPr="002C6B07">
        <w:rPr>
          <w:rFonts w:cs="Times New Roman"/>
          <w:noProof/>
          <w:lang w:val="fr-CA"/>
        </w:rPr>
        <w:t>Uni.</w:t>
      </w:r>
    </w:p>
    <w:p w:rsidR="009D2D7F" w:rsidRPr="002C6B07" w:rsidRDefault="009D2D7F" w:rsidP="009D2D7F">
      <w:pPr>
        <w:pStyle w:val="ParaNoNdepar-AltN"/>
        <w:tabs>
          <w:tab w:val="clear" w:pos="1152"/>
          <w:tab w:val="left" w:pos="1166"/>
        </w:tabs>
        <w:rPr>
          <w:rFonts w:eastAsia="Times New Roman" w:cs="Times New Roman"/>
          <w:noProof/>
          <w:szCs w:val="24"/>
          <w:lang w:val="fr-CA"/>
        </w:rPr>
      </w:pPr>
      <w:r w:rsidRPr="002C6B07">
        <w:rPr>
          <w:rFonts w:cs="Times New Roman"/>
          <w:noProof/>
          <w:lang w:val="fr-CA"/>
        </w:rPr>
        <w:t xml:space="preserve">L’alinéa 3b) a codifié les règles relatives aux fondements traditionnels de la compétence en common law à titre de condition préalable à l’enregistrement. Dans l’arrêt </w:t>
      </w:r>
      <w:r w:rsidRPr="002C6B07">
        <w:rPr>
          <w:rFonts w:cs="Times New Roman"/>
          <w:i/>
          <w:noProof/>
          <w:lang w:val="fr-CA"/>
        </w:rPr>
        <w:t>Morguard</w:t>
      </w:r>
      <w:r w:rsidRPr="002C6B07">
        <w:rPr>
          <w:rFonts w:cs="Times New Roman"/>
          <w:noProof/>
          <w:lang w:val="fr-CA"/>
        </w:rPr>
        <w:t>, la Cour a reconnu le lien qui existe entre les fondements traditionnels de la compétence et l’équivalent britanno</w:t>
      </w:r>
      <w:r>
        <w:rPr>
          <w:rFonts w:cs="Times New Roman"/>
          <w:noProof/>
          <w:lang w:val="fr-CA"/>
        </w:rPr>
        <w:noBreakHyphen/>
      </w:r>
      <w:r w:rsidRPr="002C6B07">
        <w:rPr>
          <w:rFonts w:cs="Times New Roman"/>
          <w:noProof/>
          <w:lang w:val="fr-CA"/>
        </w:rPr>
        <w:t>colombien de l’</w:t>
      </w:r>
      <w:r>
        <w:rPr>
          <w:rFonts w:cs="Times New Roman"/>
          <w:noProof/>
          <w:lang w:val="fr-CA"/>
        </w:rPr>
        <w:t>al. </w:t>
      </w:r>
      <w:r w:rsidRPr="002C6B07">
        <w:rPr>
          <w:rFonts w:cs="Times New Roman"/>
          <w:noProof/>
          <w:lang w:val="fr-CA"/>
        </w:rPr>
        <w:t>3b)</w:t>
      </w:r>
      <w:r>
        <w:rPr>
          <w:rFonts w:cs="Times New Roman"/>
          <w:noProof/>
          <w:lang w:val="fr-CA"/>
        </w:rPr>
        <w:t xml:space="preserve"> </w:t>
      </w:r>
      <w:r w:rsidRPr="002C6B07">
        <w:rPr>
          <w:rFonts w:cs="Times New Roman"/>
          <w:noProof/>
          <w:lang w:val="fr-CA"/>
        </w:rPr>
        <w:t>(</w:t>
      </w:r>
      <w:r>
        <w:rPr>
          <w:rFonts w:cs="Times New Roman"/>
          <w:noProof/>
          <w:lang w:val="fr-CA"/>
        </w:rPr>
        <w:t>p. </w:t>
      </w:r>
      <w:r w:rsidRPr="002C6B07">
        <w:rPr>
          <w:rFonts w:cs="Times New Roman"/>
          <w:noProof/>
          <w:lang w:val="fr-CA"/>
        </w:rPr>
        <w:t>1111). La doctrine accepte elle aussi l’existence d’un lien entre les fondements traditionnels de la compétence et l’</w:t>
      </w:r>
      <w:r>
        <w:rPr>
          <w:rFonts w:cs="Times New Roman"/>
          <w:noProof/>
          <w:lang w:val="fr-CA"/>
        </w:rPr>
        <w:t>al. </w:t>
      </w:r>
      <w:r w:rsidRPr="002C6B07">
        <w:rPr>
          <w:rFonts w:cs="Times New Roman"/>
          <w:noProof/>
          <w:lang w:val="fr-CA"/>
        </w:rPr>
        <w:t>3b)</w:t>
      </w:r>
      <w:r>
        <w:rPr>
          <w:rFonts w:cs="Times New Roman"/>
          <w:noProof/>
          <w:lang w:val="fr-CA"/>
        </w:rPr>
        <w:t xml:space="preserve"> </w:t>
      </w:r>
      <w:r w:rsidRPr="002C6B07">
        <w:rPr>
          <w:rFonts w:cs="Times New Roman"/>
          <w:noProof/>
          <w:lang w:val="fr-CA"/>
        </w:rPr>
        <w:t xml:space="preserve">(Pitel et autres, </w:t>
      </w:r>
      <w:r>
        <w:rPr>
          <w:rFonts w:cs="Times New Roman"/>
          <w:noProof/>
          <w:lang w:val="fr-CA"/>
        </w:rPr>
        <w:t>p. </w:t>
      </w:r>
      <w:r w:rsidRPr="002C6B07">
        <w:rPr>
          <w:rFonts w:cs="Times New Roman"/>
          <w:noProof/>
          <w:lang w:val="fr-CA"/>
        </w:rPr>
        <w:t>481). De même, la jurisprudence anglaise reconnaît que l’</w:t>
      </w:r>
      <w:r w:rsidRPr="002C6B07">
        <w:rPr>
          <w:rFonts w:cs="Times New Roman"/>
          <w:i/>
          <w:iCs/>
          <w:noProof/>
          <w:lang w:val="fr-CA"/>
        </w:rPr>
        <w:t>Administration of Justice Act, 1920</w:t>
      </w:r>
      <w:r w:rsidRPr="002C6B07">
        <w:rPr>
          <w:rFonts w:cs="Times New Roman"/>
          <w:noProof/>
          <w:lang w:val="fr-CA"/>
        </w:rPr>
        <w:t xml:space="preserve"> est [</w:t>
      </w:r>
      <w:r w:rsidRPr="002C6B07">
        <w:rPr>
          <w:rFonts w:cs="Times New Roman"/>
          <w:smallCaps/>
          <w:noProof/>
          <w:lang w:val="fr-CA"/>
        </w:rPr>
        <w:t>traduction</w:t>
      </w:r>
      <w:r w:rsidRPr="002C6B07">
        <w:rPr>
          <w:rFonts w:cs="Times New Roman"/>
          <w:noProof/>
          <w:lang w:val="fr-CA"/>
        </w:rPr>
        <w:t>] « fondée sur la common law et doit être interprétée conformément à la common law » et que la disposition équivalente à l’</w:t>
      </w:r>
      <w:r>
        <w:rPr>
          <w:rFonts w:cs="Times New Roman"/>
          <w:noProof/>
          <w:lang w:val="fr-CA"/>
        </w:rPr>
        <w:t>al. </w:t>
      </w:r>
      <w:r w:rsidRPr="002C6B07">
        <w:rPr>
          <w:rFonts w:cs="Times New Roman"/>
          <w:noProof/>
          <w:lang w:val="fr-CA"/>
        </w:rPr>
        <w:t>3b) reflète les principes de common law en matière de compétence (</w:t>
      </w:r>
      <w:r w:rsidRPr="002C6B07">
        <w:rPr>
          <w:rFonts w:cs="Times New Roman"/>
          <w:i/>
          <w:iCs/>
          <w:noProof/>
          <w:lang w:val="fr-CA"/>
        </w:rPr>
        <w:t>Vizcaya Partners Ltd. c. Picard</w:t>
      </w:r>
      <w:r w:rsidRPr="002C6B07">
        <w:rPr>
          <w:rFonts w:cs="Times New Roman"/>
          <w:noProof/>
          <w:lang w:val="fr-CA"/>
        </w:rPr>
        <w:t xml:space="preserve">, [2016] UKPC 5, [2016] 3 All E.R. 181, </w:t>
      </w:r>
      <w:r>
        <w:rPr>
          <w:rFonts w:cs="Times New Roman"/>
          <w:noProof/>
          <w:lang w:val="fr-CA"/>
        </w:rPr>
        <w:t>par. </w:t>
      </w:r>
      <w:r w:rsidRPr="002C6B07">
        <w:rPr>
          <w:rFonts w:cs="Times New Roman"/>
          <w:noProof/>
          <w:lang w:val="fr-CA"/>
        </w:rPr>
        <w:t>5 et 8). En outre, la codification des règles relatives aux fondements traditionnels de la compétence en common law à l’</w:t>
      </w:r>
      <w:r>
        <w:rPr>
          <w:rFonts w:cs="Times New Roman"/>
          <w:noProof/>
          <w:lang w:val="fr-CA"/>
        </w:rPr>
        <w:t>al. </w:t>
      </w:r>
      <w:r w:rsidRPr="002C6B07">
        <w:rPr>
          <w:rFonts w:cs="Times New Roman"/>
          <w:noProof/>
          <w:lang w:val="fr-CA"/>
        </w:rPr>
        <w:t>3b) se dégage du libellé de cette disposition. L’alinéa 3b) traite clairement de la compétence fondée sur la présence en mentionnant l’exercice d’activités et la résidence, et elle traite de la compétence fondée sur le consentement en parlant de comparution volontaire et de reconnaissance de la compétence du tribunal.</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En conséquence, contrairement à ce que prétend l’appelante, les </w:t>
      </w:r>
      <w:r w:rsidRPr="002C6B07">
        <w:rPr>
          <w:rFonts w:cs="Times New Roman"/>
          <w:lang w:val="fr-CA"/>
        </w:rPr>
        <w:t>principes relatifs à l’établissement de la compétence</w:t>
      </w:r>
      <w:r w:rsidRPr="002C6B07">
        <w:rPr>
          <w:rFonts w:cs="Times New Roman"/>
          <w:noProof/>
          <w:lang w:val="fr-CA"/>
        </w:rPr>
        <w:t xml:space="preserve"> sont utiles pour interpréter l’</w:t>
      </w:r>
      <w:r>
        <w:rPr>
          <w:rFonts w:cs="Times New Roman"/>
          <w:noProof/>
          <w:lang w:val="fr-CA"/>
        </w:rPr>
        <w:t>al. </w:t>
      </w:r>
      <w:r w:rsidRPr="002C6B07">
        <w:rPr>
          <w:rFonts w:cs="Times New Roman"/>
          <w:noProof/>
          <w:lang w:val="fr-CA"/>
        </w:rPr>
        <w:t xml:space="preserve">3b)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 En particulier, la jurisprudence sur les fondements traditionnels de la compétence codifiés à l’</w:t>
      </w:r>
      <w:r>
        <w:rPr>
          <w:rFonts w:cs="Times New Roman"/>
          <w:noProof/>
          <w:lang w:val="fr-CA"/>
        </w:rPr>
        <w:t>al. </w:t>
      </w:r>
      <w:r w:rsidRPr="002C6B07">
        <w:rPr>
          <w:rFonts w:cs="Times New Roman"/>
          <w:noProof/>
          <w:lang w:val="fr-CA"/>
        </w:rPr>
        <w:t xml:space="preserve">3b) est directement applicable pour nous aider à interpréter et à appliquer cette disposition. L’arrêt </w:t>
      </w:r>
      <w:r w:rsidRPr="002C6B07">
        <w:rPr>
          <w:rFonts w:cs="Times New Roman"/>
          <w:i/>
          <w:iCs/>
          <w:noProof/>
          <w:lang w:val="fr-CA"/>
        </w:rPr>
        <w:t xml:space="preserve">Chevron </w:t>
      </w:r>
      <w:r w:rsidRPr="002C6B07">
        <w:rPr>
          <w:rFonts w:cs="Times New Roman"/>
          <w:iCs/>
          <w:noProof/>
          <w:lang w:val="fr-CA"/>
        </w:rPr>
        <w:t xml:space="preserve">est utile en l’espèce dans la mesure où il clarifie les </w:t>
      </w:r>
      <w:r w:rsidRPr="002C6B07">
        <w:rPr>
          <w:rFonts w:cs="Times New Roman"/>
          <w:noProof/>
          <w:lang w:val="fr-CA"/>
        </w:rPr>
        <w:t xml:space="preserve">fondements traditionnels de la compétence. Je passe maintenant à l’examen de cette jurisprudence et du sens de </w:t>
      </w:r>
      <w:r>
        <w:rPr>
          <w:rFonts w:cs="Times New Roman"/>
          <w:noProof/>
          <w:lang w:val="fr-CA"/>
        </w:rPr>
        <w:t>la notion d’</w:t>
      </w:r>
      <w:r w:rsidRPr="002C6B07">
        <w:rPr>
          <w:rFonts w:cs="Times New Roman"/>
          <w:noProof/>
          <w:lang w:val="fr-CA"/>
        </w:rPr>
        <w:t>« exercice d’activités ».</w:t>
      </w:r>
    </w:p>
    <w:p w:rsidR="009D2D7F" w:rsidRPr="002C6B07" w:rsidRDefault="009D2D7F" w:rsidP="009D2D7F">
      <w:pPr>
        <w:pStyle w:val="ParaNoNdepar-AltN"/>
        <w:tabs>
          <w:tab w:val="clear" w:pos="1152"/>
          <w:tab w:val="left" w:pos="1166"/>
        </w:tabs>
        <w:rPr>
          <w:rFonts w:eastAsia="Times New Roman" w:cs="Times New Roman"/>
          <w:noProof/>
          <w:szCs w:val="24"/>
          <w:lang w:val="fr-CA"/>
        </w:rPr>
      </w:pPr>
      <w:r w:rsidRPr="002C6B07">
        <w:rPr>
          <w:rFonts w:cs="Times New Roman"/>
          <w:noProof/>
          <w:lang w:val="fr-CA"/>
        </w:rPr>
        <w:t xml:space="preserve">Avant l’arrêt </w:t>
      </w:r>
      <w:r w:rsidRPr="002C6B07">
        <w:rPr>
          <w:rFonts w:cs="Times New Roman"/>
          <w:i/>
          <w:iCs/>
          <w:noProof/>
          <w:lang w:val="fr-CA"/>
        </w:rPr>
        <w:t>Chevron</w:t>
      </w:r>
      <w:r w:rsidRPr="002C6B07">
        <w:rPr>
          <w:rFonts w:cs="Times New Roman"/>
          <w:noProof/>
          <w:lang w:val="fr-CA"/>
        </w:rPr>
        <w:t xml:space="preserve">, les tribunaux s’appuyaient généralement sur la jurisprudence anglaise, et en particulier sur la décision de la Cour d’appel anglaise dans </w:t>
      </w:r>
      <w:r w:rsidRPr="002C6B07">
        <w:rPr>
          <w:rFonts w:cs="Times New Roman"/>
          <w:i/>
          <w:iCs/>
          <w:noProof/>
          <w:lang w:val="fr-CA"/>
        </w:rPr>
        <w:t>Adams c. Cape Industries Plc.</w:t>
      </w:r>
      <w:r w:rsidRPr="002C6B07">
        <w:rPr>
          <w:rFonts w:cs="Times New Roman"/>
          <w:noProof/>
          <w:lang w:val="fr-CA"/>
        </w:rPr>
        <w:t xml:space="preserve">, [1990] 1 </w:t>
      </w:r>
      <w:r>
        <w:rPr>
          <w:rFonts w:cs="Times New Roman"/>
          <w:noProof/>
          <w:lang w:val="fr-CA"/>
        </w:rPr>
        <w:t>Ch. </w:t>
      </w:r>
      <w:r w:rsidRPr="002C6B07">
        <w:rPr>
          <w:rFonts w:cs="Times New Roman"/>
          <w:noProof/>
          <w:lang w:val="fr-CA"/>
        </w:rPr>
        <w:t xml:space="preserve">433, pour interpréter le sens de </w:t>
      </w:r>
      <w:r>
        <w:rPr>
          <w:rFonts w:cs="Times New Roman"/>
          <w:noProof/>
          <w:lang w:val="fr-CA"/>
        </w:rPr>
        <w:t>la notion d’</w:t>
      </w:r>
      <w:r w:rsidRPr="002C6B07">
        <w:rPr>
          <w:rFonts w:cs="Times New Roman"/>
          <w:noProof/>
          <w:lang w:val="fr-CA"/>
        </w:rPr>
        <w:t>« exercice d’activités ».</w:t>
      </w:r>
      <w:r w:rsidRPr="002C6B07">
        <w:rPr>
          <w:rFonts w:eastAsia="Times New Roman" w:cs="Times New Roman"/>
          <w:noProof/>
          <w:szCs w:val="24"/>
          <w:lang w:val="fr-CA"/>
        </w:rPr>
        <w:t xml:space="preserve"> Dans l’arrêt </w:t>
      </w:r>
      <w:r w:rsidRPr="002C6B07">
        <w:rPr>
          <w:rFonts w:cs="Times New Roman"/>
          <w:i/>
          <w:iCs/>
          <w:noProof/>
          <w:lang w:val="fr-CA"/>
        </w:rPr>
        <w:t>Adams</w:t>
      </w:r>
      <w:r w:rsidRPr="002C6B07">
        <w:rPr>
          <w:rFonts w:cs="Times New Roman"/>
          <w:noProof/>
          <w:lang w:val="fr-CA"/>
        </w:rPr>
        <w:t>, le lord juge Slade, qui s’exprimait au nom d’une cour unanime, a déclaré que les tribunaux anglais sont susceptibles de considérer qu’une société étrangère est présente dans le ressort des tribunaux de l’État étranger seulement si l’une ou l’autre des conditions suivantes est respectée</w:t>
      </w:r>
      <w:r>
        <w:rPr>
          <w:rFonts w:cs="Times New Roman"/>
          <w:noProof/>
          <w:lang w:val="fr-CA"/>
        </w:rPr>
        <w:t> :</w:t>
      </w:r>
      <w:r w:rsidRPr="002C6B07">
        <w:rPr>
          <w:rFonts w:cs="Times New Roman"/>
          <w:noProof/>
          <w:lang w:val="fr-CA"/>
        </w:rPr>
        <w:t xml:space="preserve"> (1) l’entreprise a établi et maintenu à ses propres frais, que ce soit en tant que propriétaire ou locataire, son propre lieu d’affaires fixe dans l’autre pays et, pour une période plus que minimale, a exercé ses propres activités dans cet établissement ou à partir de celui</w:t>
      </w:r>
      <w:r>
        <w:rPr>
          <w:rFonts w:cs="Times New Roman"/>
          <w:noProof/>
          <w:lang w:val="fr-CA"/>
        </w:rPr>
        <w:noBreakHyphen/>
      </w:r>
      <w:r w:rsidRPr="002C6B07">
        <w:rPr>
          <w:rFonts w:cs="Times New Roman"/>
          <w:noProof/>
          <w:lang w:val="fr-CA"/>
        </w:rPr>
        <w:t>ci par l’intermédiaire de ses employés ou de ses mandataires; (2) un représentant de la société étrangère a, pour une péri</w:t>
      </w:r>
      <w:r>
        <w:rPr>
          <w:rFonts w:cs="Times New Roman"/>
          <w:noProof/>
          <w:lang w:val="fr-CA"/>
        </w:rPr>
        <w:t>ode plus que minimale, exercé d</w:t>
      </w:r>
      <w:r w:rsidRPr="002C6B07">
        <w:rPr>
          <w:rFonts w:cs="Times New Roman"/>
          <w:noProof/>
          <w:lang w:val="fr-CA"/>
        </w:rPr>
        <w:t>es activités de la société dans l’autre pays dans un lieu d’affaires fixe ou à partir de celui</w:t>
      </w:r>
      <w:r>
        <w:rPr>
          <w:rFonts w:cs="Times New Roman"/>
          <w:noProof/>
          <w:lang w:val="fr-CA"/>
        </w:rPr>
        <w:noBreakHyphen/>
      </w:r>
      <w:r w:rsidRPr="002C6B07">
        <w:rPr>
          <w:rFonts w:cs="Times New Roman"/>
          <w:noProof/>
          <w:lang w:val="fr-CA"/>
        </w:rPr>
        <w:t>ci (</w:t>
      </w:r>
      <w:r>
        <w:rPr>
          <w:rFonts w:cs="Times New Roman"/>
          <w:noProof/>
          <w:lang w:val="fr-CA"/>
        </w:rPr>
        <w:t>p. </w:t>
      </w:r>
      <w:r w:rsidRPr="002C6B07">
        <w:rPr>
          <w:rFonts w:cs="Times New Roman"/>
          <w:noProof/>
          <w:lang w:val="fr-CA"/>
        </w:rPr>
        <w:t>530). Dans un cas comme dans l’autre, la présence de la société étrangère ne peut être établie que si l’on peut dire que les activités ont été exercées au lieu d’affaires fixe ou à partir de celui</w:t>
      </w:r>
      <w:r>
        <w:rPr>
          <w:rFonts w:cs="Times New Roman"/>
          <w:noProof/>
          <w:lang w:val="fr-CA"/>
        </w:rPr>
        <w:noBreakHyphen/>
      </w:r>
      <w:r w:rsidRPr="002C6B07">
        <w:rPr>
          <w:rFonts w:cs="Times New Roman"/>
          <w:noProof/>
          <w:lang w:val="fr-CA"/>
        </w:rPr>
        <w:t>ci.</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Dans les cas mettant en cause un représentant, la question de savoir si celui</w:t>
      </w:r>
      <w:r>
        <w:rPr>
          <w:rFonts w:cs="Times New Roman"/>
          <w:noProof/>
          <w:lang w:val="fr-CA"/>
        </w:rPr>
        <w:noBreakHyphen/>
      </w:r>
      <w:r w:rsidRPr="002C6B07">
        <w:rPr>
          <w:rFonts w:cs="Times New Roman"/>
          <w:noProof/>
          <w:lang w:val="fr-CA"/>
        </w:rPr>
        <w:t>ci a exploité l’entreprise de la société étrangère ou s’est contenté d’exploiter sa propre entreprise nécessitera un examen des fonctions qu’il a exercées et de tous les aspects de sa relation avec la société étrangère (</w:t>
      </w:r>
      <w:r>
        <w:rPr>
          <w:rFonts w:cs="Times New Roman"/>
          <w:noProof/>
          <w:lang w:val="fr-CA"/>
        </w:rPr>
        <w:t>p. </w:t>
      </w:r>
      <w:r w:rsidRPr="002C6B07">
        <w:rPr>
          <w:rFonts w:cs="Times New Roman"/>
          <w:noProof/>
          <w:lang w:val="fr-CA"/>
        </w:rPr>
        <w:t xml:space="preserve">530). En particulier, les questions suivantes sont utiles pour déterminer si le représentant a </w:t>
      </w:r>
      <w:r>
        <w:rPr>
          <w:rFonts w:cs="Times New Roman"/>
          <w:noProof/>
          <w:lang w:val="fr-CA"/>
        </w:rPr>
        <w:t>exercé des activités</w:t>
      </w:r>
      <w:r w:rsidRPr="002C6B07">
        <w:rPr>
          <w:rFonts w:cs="Times New Roman"/>
          <w:noProof/>
          <w:lang w:val="fr-CA"/>
        </w:rPr>
        <w:t xml:space="preserve"> de la société étrangère</w:t>
      </w:r>
      <w:r>
        <w:rPr>
          <w:rFonts w:cs="Times New Roman"/>
          <w:noProof/>
          <w:lang w:val="fr-CA"/>
        </w:rPr>
        <w:t> :</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Le lieu d’affaires fixe à partir duquel le représentant se livre à ses activités a</w:t>
      </w:r>
      <w:r>
        <w:rPr>
          <w:noProof/>
          <w:lang w:val="fr-CA"/>
        </w:rPr>
        <w:noBreakHyphen/>
      </w:r>
      <w:r w:rsidRPr="002C6B07">
        <w:rPr>
          <w:noProof/>
          <w:lang w:val="fr-CA"/>
        </w:rPr>
        <w:t>t</w:t>
      </w:r>
      <w:r>
        <w:rPr>
          <w:noProof/>
          <w:lang w:val="fr-CA"/>
        </w:rPr>
        <w:noBreakHyphen/>
      </w:r>
      <w:r w:rsidRPr="002C6B07">
        <w:rPr>
          <w:noProof/>
          <w:lang w:val="fr-CA"/>
        </w:rPr>
        <w:t>il été acquis à l’origine dans le but de lui permettre d’agir pour le compte de la société étrangère?</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 xml:space="preserve">La société étrangère </w:t>
      </w:r>
      <w:r>
        <w:rPr>
          <w:noProof/>
          <w:lang w:val="fr-CA"/>
        </w:rPr>
        <w:t>rembourse-t-elle</w:t>
      </w:r>
      <w:r w:rsidRPr="002C6B07">
        <w:rPr>
          <w:noProof/>
          <w:lang w:val="fr-CA"/>
        </w:rPr>
        <w:t xml:space="preserve"> directement au représentant le coût de </w:t>
      </w:r>
      <w:r>
        <w:rPr>
          <w:noProof/>
          <w:lang w:val="fr-CA"/>
        </w:rPr>
        <w:t>ses locaux</w:t>
      </w:r>
      <w:r w:rsidRPr="002C6B07">
        <w:rPr>
          <w:noProof/>
          <w:lang w:val="fr-CA"/>
        </w:rPr>
        <w:t xml:space="preserve"> au lieu d’affaires</w:t>
      </w:r>
      <w:r w:rsidRPr="00396332">
        <w:rPr>
          <w:noProof/>
          <w:lang w:val="fr-CA"/>
        </w:rPr>
        <w:t xml:space="preserve"> </w:t>
      </w:r>
      <w:r w:rsidRPr="002C6B07">
        <w:rPr>
          <w:noProof/>
          <w:lang w:val="fr-CA"/>
        </w:rPr>
        <w:t xml:space="preserve">fixe, ainsi que le </w:t>
      </w:r>
      <w:r>
        <w:rPr>
          <w:noProof/>
          <w:lang w:val="fr-CA"/>
        </w:rPr>
        <w:t xml:space="preserve">coût </w:t>
      </w:r>
      <w:r w:rsidRPr="002C6B07">
        <w:rPr>
          <w:noProof/>
          <w:lang w:val="fr-CA"/>
        </w:rPr>
        <w:t>de son personnel?</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 xml:space="preserve">Quelles autres contributions, s’il </w:t>
      </w:r>
      <w:r>
        <w:rPr>
          <w:noProof/>
          <w:lang w:val="fr-CA"/>
        </w:rPr>
        <w:t>en est</w:t>
      </w:r>
      <w:r w:rsidRPr="002C6B07">
        <w:rPr>
          <w:noProof/>
          <w:lang w:val="fr-CA"/>
        </w:rPr>
        <w:t>, la société étrangère fait</w:t>
      </w:r>
      <w:r>
        <w:rPr>
          <w:noProof/>
          <w:lang w:val="fr-CA"/>
        </w:rPr>
        <w:noBreakHyphen/>
      </w:r>
      <w:r w:rsidRPr="002C6B07">
        <w:rPr>
          <w:noProof/>
          <w:lang w:val="fr-CA"/>
        </w:rPr>
        <w:t xml:space="preserve">elle au </w:t>
      </w:r>
      <w:r>
        <w:rPr>
          <w:noProof/>
          <w:lang w:val="fr-CA"/>
        </w:rPr>
        <w:t xml:space="preserve">titre du </w:t>
      </w:r>
      <w:r w:rsidRPr="002C6B07">
        <w:rPr>
          <w:noProof/>
          <w:lang w:val="fr-CA"/>
        </w:rPr>
        <w:t>financement des activités exercées par le représentant?</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Le représentant est</w:t>
      </w:r>
      <w:r>
        <w:rPr>
          <w:noProof/>
          <w:lang w:val="fr-CA"/>
        </w:rPr>
        <w:noBreakHyphen/>
      </w:r>
      <w:r w:rsidRPr="002C6B07">
        <w:rPr>
          <w:noProof/>
          <w:lang w:val="fr-CA"/>
        </w:rPr>
        <w:t>il rémunéré en fonction des opérations</w:t>
      </w:r>
      <w:r>
        <w:rPr>
          <w:noProof/>
          <w:lang w:val="fr-CA"/>
        </w:rPr>
        <w:t xml:space="preserve"> réalisées</w:t>
      </w:r>
      <w:r w:rsidRPr="002C6B07">
        <w:rPr>
          <w:noProof/>
          <w:lang w:val="fr-CA"/>
        </w:rPr>
        <w:t xml:space="preserve"> (p</w:t>
      </w:r>
      <w:r>
        <w:rPr>
          <w:noProof/>
          <w:lang w:val="fr-CA"/>
        </w:rPr>
        <w:t>. </w:t>
      </w:r>
      <w:r w:rsidRPr="002C6B07">
        <w:rPr>
          <w:noProof/>
          <w:lang w:val="fr-CA"/>
        </w:rPr>
        <w:t>ex</w:t>
      </w:r>
      <w:r>
        <w:rPr>
          <w:noProof/>
          <w:lang w:val="fr-CA"/>
        </w:rPr>
        <w:t>.</w:t>
      </w:r>
      <w:r w:rsidRPr="002C6B07">
        <w:rPr>
          <w:noProof/>
          <w:lang w:val="fr-CA"/>
        </w:rPr>
        <w:t xml:space="preserve">, </w:t>
      </w:r>
      <w:r>
        <w:rPr>
          <w:noProof/>
          <w:lang w:val="fr-CA"/>
        </w:rPr>
        <w:t xml:space="preserve">au moyen de </w:t>
      </w:r>
      <w:r w:rsidRPr="002C6B07">
        <w:rPr>
          <w:noProof/>
          <w:lang w:val="fr-CA"/>
        </w:rPr>
        <w:t>commission</w:t>
      </w:r>
      <w:r>
        <w:rPr>
          <w:noProof/>
          <w:lang w:val="fr-CA"/>
        </w:rPr>
        <w:t>s</w:t>
      </w:r>
      <w:r w:rsidRPr="002C6B07">
        <w:rPr>
          <w:noProof/>
          <w:lang w:val="fr-CA"/>
        </w:rPr>
        <w:t xml:space="preserve">), </w:t>
      </w:r>
      <w:r>
        <w:rPr>
          <w:noProof/>
          <w:lang w:val="fr-CA"/>
        </w:rPr>
        <w:t>par voie</w:t>
      </w:r>
      <w:r w:rsidRPr="002C6B07">
        <w:rPr>
          <w:noProof/>
          <w:lang w:val="fr-CA"/>
        </w:rPr>
        <w:t xml:space="preserve"> de </w:t>
      </w:r>
      <w:r>
        <w:rPr>
          <w:noProof/>
          <w:lang w:val="fr-CA"/>
        </w:rPr>
        <w:t>paiements</w:t>
      </w:r>
      <w:r w:rsidRPr="002C6B07">
        <w:rPr>
          <w:noProof/>
          <w:lang w:val="fr-CA"/>
        </w:rPr>
        <w:t xml:space="preserve"> fixes </w:t>
      </w:r>
      <w:r>
        <w:rPr>
          <w:noProof/>
          <w:lang w:val="fr-CA"/>
        </w:rPr>
        <w:t xml:space="preserve">réguliers </w:t>
      </w:r>
      <w:r w:rsidRPr="002C6B07">
        <w:rPr>
          <w:noProof/>
          <w:lang w:val="fr-CA"/>
        </w:rPr>
        <w:t>ou d’une autre manière?</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Quel degré de contrôle la société étrangère exerce</w:t>
      </w:r>
      <w:r>
        <w:rPr>
          <w:noProof/>
          <w:lang w:val="fr-CA"/>
        </w:rPr>
        <w:noBreakHyphen/>
      </w:r>
      <w:r w:rsidRPr="002C6B07">
        <w:rPr>
          <w:noProof/>
          <w:lang w:val="fr-CA"/>
        </w:rPr>
        <w:t>t</w:t>
      </w:r>
      <w:r>
        <w:rPr>
          <w:noProof/>
          <w:lang w:val="fr-CA"/>
        </w:rPr>
        <w:noBreakHyphen/>
      </w:r>
      <w:r w:rsidRPr="002C6B07">
        <w:rPr>
          <w:noProof/>
          <w:lang w:val="fr-CA"/>
        </w:rPr>
        <w:t xml:space="preserve">elle sur les activités </w:t>
      </w:r>
      <w:r>
        <w:rPr>
          <w:noProof/>
          <w:lang w:val="fr-CA"/>
        </w:rPr>
        <w:t>menées par</w:t>
      </w:r>
      <w:r w:rsidRPr="002C6B07">
        <w:rPr>
          <w:noProof/>
          <w:lang w:val="fr-CA"/>
        </w:rPr>
        <w:t xml:space="preserve"> le représentant?</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Le représentant réserve</w:t>
      </w:r>
      <w:r>
        <w:rPr>
          <w:noProof/>
          <w:lang w:val="fr-CA"/>
        </w:rPr>
        <w:noBreakHyphen/>
      </w:r>
      <w:r w:rsidRPr="002C6B07">
        <w:rPr>
          <w:noProof/>
          <w:lang w:val="fr-CA"/>
        </w:rPr>
        <w:t>t</w:t>
      </w:r>
      <w:r>
        <w:rPr>
          <w:noProof/>
          <w:lang w:val="fr-CA"/>
        </w:rPr>
        <w:noBreakHyphen/>
      </w:r>
      <w:r w:rsidRPr="002C6B07">
        <w:rPr>
          <w:noProof/>
          <w:lang w:val="fr-CA"/>
        </w:rPr>
        <w:t>il une partie de ses locaux et une partie de son personnel à l’exercice d’activités liées à la société étrangère?</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Le représentant affiche</w:t>
      </w:r>
      <w:r>
        <w:rPr>
          <w:noProof/>
          <w:lang w:val="fr-CA"/>
        </w:rPr>
        <w:t>-t-il</w:t>
      </w:r>
      <w:r w:rsidRPr="002C6B07">
        <w:rPr>
          <w:noProof/>
          <w:lang w:val="fr-CA"/>
        </w:rPr>
        <w:t xml:space="preserve"> le nom de la société étrangère </w:t>
      </w:r>
      <w:r>
        <w:rPr>
          <w:noProof/>
          <w:lang w:val="fr-CA"/>
        </w:rPr>
        <w:t xml:space="preserve">à ses locaux </w:t>
      </w:r>
      <w:r w:rsidRPr="002C6B07">
        <w:rPr>
          <w:noProof/>
          <w:lang w:val="fr-CA"/>
        </w:rPr>
        <w:t xml:space="preserve">ou sur sa papeterie et, </w:t>
      </w:r>
      <w:r>
        <w:rPr>
          <w:noProof/>
          <w:lang w:val="fr-CA"/>
        </w:rPr>
        <w:t>dans l’affirmative</w:t>
      </w:r>
      <w:r w:rsidRPr="002C6B07">
        <w:rPr>
          <w:noProof/>
          <w:lang w:val="fr-CA"/>
        </w:rPr>
        <w:t>, le fait</w:t>
      </w:r>
      <w:r>
        <w:rPr>
          <w:noProof/>
          <w:lang w:val="fr-CA"/>
        </w:rPr>
        <w:t>-il d’une</w:t>
      </w:r>
      <w:r w:rsidRPr="002C6B07">
        <w:rPr>
          <w:noProof/>
          <w:lang w:val="fr-CA"/>
        </w:rPr>
        <w:t xml:space="preserve"> manière</w:t>
      </w:r>
      <w:r>
        <w:rPr>
          <w:noProof/>
          <w:lang w:val="fr-CA"/>
        </w:rPr>
        <w:t xml:space="preserve"> propre</w:t>
      </w:r>
      <w:r w:rsidRPr="002C6B07">
        <w:rPr>
          <w:noProof/>
          <w:lang w:val="fr-CA"/>
        </w:rPr>
        <w:t xml:space="preserve"> à indiquer qu’il est un représentant de la société étrangère?</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 xml:space="preserve">Quelles opérations, </w:t>
      </w:r>
      <w:r>
        <w:rPr>
          <w:noProof/>
          <w:lang w:val="fr-CA"/>
        </w:rPr>
        <w:t>s’il en est</w:t>
      </w:r>
      <w:r w:rsidRPr="002C6B07">
        <w:rPr>
          <w:noProof/>
          <w:lang w:val="fr-CA"/>
        </w:rPr>
        <w:t>, le représentant effectue</w:t>
      </w:r>
      <w:r>
        <w:rPr>
          <w:noProof/>
          <w:lang w:val="fr-CA"/>
        </w:rPr>
        <w:noBreakHyphen/>
      </w:r>
      <w:r w:rsidRPr="002C6B07">
        <w:rPr>
          <w:noProof/>
          <w:lang w:val="fr-CA"/>
        </w:rPr>
        <w:t>t</w:t>
      </w:r>
      <w:r>
        <w:rPr>
          <w:noProof/>
          <w:lang w:val="fr-CA"/>
        </w:rPr>
        <w:noBreakHyphen/>
      </w:r>
      <w:r w:rsidRPr="002C6B07">
        <w:rPr>
          <w:noProof/>
          <w:lang w:val="fr-CA"/>
        </w:rPr>
        <w:t>il exclusivement pour son propre compte?</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Le représentant conclut</w:t>
      </w:r>
      <w:r>
        <w:rPr>
          <w:noProof/>
          <w:lang w:val="fr-CA"/>
        </w:rPr>
        <w:noBreakHyphen/>
      </w:r>
      <w:r w:rsidRPr="002C6B07">
        <w:rPr>
          <w:noProof/>
          <w:lang w:val="fr-CA"/>
        </w:rPr>
        <w:t xml:space="preserve">il des contrats avec des clients ou d’autres tiers au nom de la société étrangère ou </w:t>
      </w:r>
      <w:r>
        <w:rPr>
          <w:noProof/>
          <w:lang w:val="fr-CA"/>
        </w:rPr>
        <w:t>d’une autre manière liant cette dernière</w:t>
      </w:r>
      <w:r w:rsidRPr="002C6B07">
        <w:rPr>
          <w:noProof/>
          <w:lang w:val="fr-CA"/>
        </w:rPr>
        <w:t xml:space="preserve">? </w:t>
      </w:r>
    </w:p>
    <w:p w:rsidR="009D2D7F" w:rsidRPr="002C6B07" w:rsidRDefault="009D2D7F" w:rsidP="009D2D7F">
      <w:pPr>
        <w:pStyle w:val="Citation-AltC"/>
        <w:numPr>
          <w:ilvl w:val="0"/>
          <w:numId w:val="40"/>
        </w:numPr>
        <w:spacing w:after="480" w:line="480" w:lineRule="auto"/>
        <w:ind w:left="1321" w:hanging="357"/>
        <w:contextualSpacing w:val="0"/>
        <w:rPr>
          <w:noProof/>
          <w:lang w:val="fr-CA"/>
        </w:rPr>
      </w:pPr>
      <w:r w:rsidRPr="002C6B07">
        <w:rPr>
          <w:noProof/>
          <w:lang w:val="fr-CA"/>
        </w:rPr>
        <w:t xml:space="preserve">Dans l’affirmative, le représentant </w:t>
      </w:r>
      <w:r>
        <w:rPr>
          <w:noProof/>
          <w:lang w:val="fr-CA"/>
        </w:rPr>
        <w:t>a-t-il besoin d’</w:t>
      </w:r>
      <w:r w:rsidRPr="002C6B07">
        <w:rPr>
          <w:noProof/>
          <w:lang w:val="fr-CA"/>
        </w:rPr>
        <w:t>une autorisation préalable</w:t>
      </w:r>
      <w:r>
        <w:rPr>
          <w:noProof/>
          <w:lang w:val="fr-CA"/>
        </w:rPr>
        <w:t xml:space="preserve"> précise</w:t>
      </w:r>
      <w:r w:rsidRPr="002C6B07">
        <w:rPr>
          <w:noProof/>
          <w:lang w:val="fr-CA"/>
        </w:rPr>
        <w:t xml:space="preserve"> avant de lier la société étrangère </w:t>
      </w:r>
      <w:r>
        <w:rPr>
          <w:noProof/>
          <w:lang w:val="fr-CA"/>
        </w:rPr>
        <w:t>par voie d’</w:t>
      </w:r>
      <w:r w:rsidRPr="002C6B07">
        <w:rPr>
          <w:noProof/>
          <w:lang w:val="fr-CA"/>
        </w:rPr>
        <w:t>obligations contractuelles (</w:t>
      </w:r>
      <w:r>
        <w:rPr>
          <w:noProof/>
          <w:lang w:val="fr-CA"/>
        </w:rPr>
        <w:t>p. </w:t>
      </w:r>
      <w:r w:rsidRPr="002C6B07">
        <w:rPr>
          <w:noProof/>
          <w:lang w:val="fr-CA"/>
        </w:rPr>
        <w:t>530</w:t>
      </w:r>
      <w:r>
        <w:rPr>
          <w:noProof/>
          <w:lang w:val="fr-CA"/>
        </w:rPr>
        <w:noBreakHyphen/>
      </w:r>
      <w:r w:rsidRPr="002C6B07">
        <w:rPr>
          <w:noProof/>
          <w:lang w:val="fr-CA"/>
        </w:rPr>
        <w:t>531)?</w:t>
      </w:r>
    </w:p>
    <w:p w:rsidR="009D2D7F" w:rsidRPr="002C6B07" w:rsidRDefault="009D2D7F" w:rsidP="009D2D7F">
      <w:pPr>
        <w:pStyle w:val="ContinueParaSuitedupar-AltP"/>
        <w:rPr>
          <w:rFonts w:cs="Times New Roman"/>
          <w:noProof/>
          <w:lang w:val="fr-CA"/>
        </w:rPr>
      </w:pPr>
      <w:r w:rsidRPr="002C6B07">
        <w:rPr>
          <w:rFonts w:cs="Times New Roman"/>
          <w:noProof/>
          <w:lang w:val="fr-CA"/>
        </w:rPr>
        <w:t>Le lord juge Slade a ajouté que même cette liste de questions n’</w:t>
      </w:r>
      <w:r>
        <w:rPr>
          <w:rFonts w:cs="Times New Roman"/>
          <w:noProof/>
          <w:lang w:val="fr-CA"/>
        </w:rPr>
        <w:t>est</w:t>
      </w:r>
      <w:r w:rsidRPr="002C6B07">
        <w:rPr>
          <w:rFonts w:cs="Times New Roman"/>
          <w:noProof/>
          <w:lang w:val="fr-CA"/>
        </w:rPr>
        <w:t xml:space="preserve"> pas exhaustive et que la réponse à l’une d’entre elles n’</w:t>
      </w:r>
      <w:r>
        <w:rPr>
          <w:rFonts w:cs="Times New Roman"/>
          <w:noProof/>
          <w:lang w:val="fr-CA"/>
        </w:rPr>
        <w:t>est</w:t>
      </w:r>
      <w:r w:rsidRPr="002C6B07">
        <w:rPr>
          <w:rFonts w:cs="Times New Roman"/>
          <w:noProof/>
          <w:lang w:val="fr-CA"/>
        </w:rPr>
        <w:t xml:space="preserve"> pas nécessairement concluante </w:t>
      </w:r>
      <w:r>
        <w:rPr>
          <w:rFonts w:cs="Times New Roman"/>
          <w:noProof/>
          <w:lang w:val="fr-CA"/>
        </w:rPr>
        <w:t>relativement à</w:t>
      </w:r>
      <w:r w:rsidRPr="002C6B07">
        <w:rPr>
          <w:rFonts w:cs="Times New Roman"/>
          <w:noProof/>
          <w:lang w:val="fr-CA"/>
        </w:rPr>
        <w:t xml:space="preserve"> la question de savoir si un représentant exerc</w:t>
      </w:r>
      <w:r>
        <w:rPr>
          <w:rFonts w:cs="Times New Roman"/>
          <w:noProof/>
          <w:lang w:val="fr-CA"/>
        </w:rPr>
        <w:t>e d</w:t>
      </w:r>
      <w:r w:rsidRPr="002C6B07">
        <w:rPr>
          <w:rFonts w:cs="Times New Roman"/>
          <w:noProof/>
          <w:lang w:val="fr-CA"/>
        </w:rPr>
        <w:t xml:space="preserve">es activités </w:t>
      </w:r>
      <w:r>
        <w:rPr>
          <w:rFonts w:cs="Times New Roman"/>
          <w:noProof/>
          <w:lang w:val="fr-CA"/>
        </w:rPr>
        <w:t>liées à une société étrangère dans un</w:t>
      </w:r>
      <w:r w:rsidRPr="002C6B07">
        <w:rPr>
          <w:rFonts w:cs="Times New Roman"/>
          <w:noProof/>
          <w:lang w:val="fr-CA"/>
        </w:rPr>
        <w:t xml:space="preserve"> ressort </w:t>
      </w:r>
      <w:r>
        <w:rPr>
          <w:rFonts w:cs="Times New Roman"/>
          <w:noProof/>
          <w:lang w:val="fr-CA"/>
        </w:rPr>
        <w:t>donné</w:t>
      </w:r>
      <w:r w:rsidRPr="002C6B07">
        <w:rPr>
          <w:rFonts w:cs="Times New Roman"/>
          <w:noProof/>
          <w:lang w:val="fr-CA"/>
        </w:rPr>
        <w:t> (</w:t>
      </w:r>
      <w:r>
        <w:rPr>
          <w:rFonts w:cs="Times New Roman"/>
          <w:noProof/>
          <w:lang w:val="fr-CA"/>
        </w:rPr>
        <w:t>p. </w:t>
      </w:r>
      <w:r w:rsidRPr="002C6B07">
        <w:rPr>
          <w:rFonts w:cs="Times New Roman"/>
          <w:noProof/>
          <w:lang w:val="fr-CA"/>
        </w:rPr>
        <w:t>531).</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Dans l’arrêt </w:t>
      </w:r>
      <w:r w:rsidRPr="002C6B07">
        <w:rPr>
          <w:rFonts w:cs="Times New Roman"/>
          <w:i/>
          <w:iCs/>
          <w:noProof/>
          <w:lang w:val="fr-CA"/>
        </w:rPr>
        <w:t>Chevron</w:t>
      </w:r>
      <w:r w:rsidRPr="002C6B07">
        <w:rPr>
          <w:rFonts w:cs="Times New Roman"/>
          <w:noProof/>
          <w:lang w:val="fr-CA"/>
        </w:rPr>
        <w:t xml:space="preserve">, notre Cour a suivi la démarche établie dans l’arrêt </w:t>
      </w:r>
      <w:r w:rsidRPr="002C6B07">
        <w:rPr>
          <w:rFonts w:cs="Times New Roman"/>
          <w:i/>
          <w:iCs/>
          <w:noProof/>
          <w:lang w:val="fr-CA"/>
        </w:rPr>
        <w:t>Adams</w:t>
      </w:r>
      <w:r w:rsidRPr="002C6B07">
        <w:rPr>
          <w:rFonts w:cs="Times New Roman"/>
          <w:noProof/>
          <w:lang w:val="fr-CA"/>
        </w:rPr>
        <w:t xml:space="preserve"> et expliqué comment l’on devait interpréter au Canada l’expression « exploitation d’une entreprise », </w:t>
      </w:r>
      <w:r w:rsidRPr="002C6B07">
        <w:rPr>
          <w:rFonts w:cs="Times New Roman"/>
          <w:i/>
          <w:iCs/>
          <w:noProof/>
          <w:lang w:val="fr-CA"/>
        </w:rPr>
        <w:t>dans le cadre du fondement traditionnel de la compétence qu’est la présence en common law</w:t>
      </w:r>
      <w:r w:rsidRPr="002C6B07">
        <w:rPr>
          <w:rFonts w:cs="Times New Roman"/>
          <w:noProof/>
          <w:lang w:val="fr-CA"/>
        </w:rPr>
        <w:t>. Le juge Gascon, qui s’exprimait au nom de la Cour, a écrit ce qui suit</w:t>
      </w:r>
      <w:r>
        <w:rPr>
          <w:rFonts w:cs="Times New Roman"/>
          <w:noProof/>
          <w:lang w:val="fr-CA"/>
        </w:rPr>
        <w:t> :</w:t>
      </w:r>
    </w:p>
    <w:p w:rsidR="009D2D7F" w:rsidRPr="002C6B07" w:rsidRDefault="009D2D7F" w:rsidP="009D2D7F">
      <w:pPr>
        <w:pStyle w:val="Citation-AltC"/>
        <w:ind w:hanging="1166"/>
        <w:rPr>
          <w:noProof/>
          <w:lang w:val="fr-CA"/>
        </w:rPr>
      </w:pPr>
      <w:r w:rsidRPr="002C6B07">
        <w:rPr>
          <w:noProof/>
          <w:lang w:val="fr-CA"/>
        </w:rPr>
        <w:tab/>
      </w:r>
      <w:r w:rsidRPr="002C6B07">
        <w:rPr>
          <w:noProof/>
          <w:lang w:val="fr-CA"/>
        </w:rPr>
        <w:tab/>
        <w:t xml:space="preserve">Pour prouver </w:t>
      </w:r>
      <w:r w:rsidRPr="002C6B07">
        <w:rPr>
          <w:noProof/>
          <w:u w:val="single"/>
          <w:lang w:val="fr-CA"/>
        </w:rPr>
        <w:t>la compétence traditionnelle, fondée sur la présence</w:t>
      </w:r>
      <w:r w:rsidRPr="002C6B07">
        <w:rPr>
          <w:noProof/>
          <w:lang w:val="fr-CA"/>
        </w:rPr>
        <w:t xml:space="preserve">, à l’égard d’une société défenderesse de l’extérieur de la province, il faut démontrer que cette </w:t>
      </w:r>
      <w:r w:rsidRPr="002C6B07">
        <w:rPr>
          <w:noProof/>
          <w:u w:val="single"/>
          <w:lang w:val="fr-CA"/>
        </w:rPr>
        <w:t>défenderesse exploitait une entreprise dans le ressort au moment de l’action. La question de savoir si une société « exploite une entreprise » dans la province est une question de fait</w:t>
      </w:r>
      <w:r w:rsidRPr="002C6B07">
        <w:rPr>
          <w:noProof/>
          <w:lang w:val="fr-CA"/>
        </w:rPr>
        <w:t xml:space="preserve">. Dans </w:t>
      </w:r>
      <w:r w:rsidRPr="002C6B07">
        <w:rPr>
          <w:i/>
          <w:iCs/>
          <w:noProof/>
          <w:lang w:val="fr-CA"/>
        </w:rPr>
        <w:t>Wilson</w:t>
      </w:r>
      <w:r w:rsidRPr="002C6B07">
        <w:rPr>
          <w:noProof/>
          <w:lang w:val="fr-CA"/>
        </w:rPr>
        <w:t>, dans le cadre de l’enregistrement, prévu par la loi, d’un jugement étranger, la Cour d’appel de l’Alberta devait déterminer si une société exploitait une entreprise dans le ressort du tribun</w:t>
      </w:r>
      <w:r>
        <w:rPr>
          <w:noProof/>
          <w:lang w:val="fr-CA"/>
        </w:rPr>
        <w:t xml:space="preserve">al. </w:t>
      </w:r>
      <w:r w:rsidRPr="002C6B07">
        <w:rPr>
          <w:noProof/>
          <w:lang w:val="fr-CA"/>
        </w:rPr>
        <w:t xml:space="preserve">Elle a conclu que pour ce faire, </w:t>
      </w:r>
      <w:r w:rsidRPr="002C6B07">
        <w:rPr>
          <w:noProof/>
          <w:u w:val="single"/>
          <w:lang w:val="fr-CA"/>
        </w:rPr>
        <w:t>le tribunal doit se demander si cette société a [</w:t>
      </w:r>
      <w:r w:rsidRPr="002C6B07">
        <w:rPr>
          <w:smallCaps/>
          <w:noProof/>
          <w:u w:val="single"/>
          <w:lang w:val="fr-CA"/>
        </w:rPr>
        <w:t>traduction</w:t>
      </w:r>
      <w:r w:rsidRPr="002C6B07">
        <w:rPr>
          <w:noProof/>
          <w:u w:val="single"/>
          <w:lang w:val="fr-CA"/>
        </w:rPr>
        <w:t>] « une présence directe ou indirecte dans l’État du tribunal qui s’attribue compétence, et si elle se livre à des activités commerciales soutenues pendant un certain temps ». Ces facteurs sont et ont toujours été des indices convaincants de la présence d’une société; comme le démon</w:t>
      </w:r>
      <w:r>
        <w:rPr>
          <w:noProof/>
          <w:u w:val="single"/>
          <w:lang w:val="fr-CA"/>
        </w:rPr>
        <w:t xml:space="preserve">trent les décisions citées dans </w:t>
      </w:r>
      <w:r w:rsidRPr="002C6B07">
        <w:rPr>
          <w:i/>
          <w:iCs/>
          <w:noProof/>
          <w:u w:val="single"/>
          <w:lang w:val="fr-CA"/>
        </w:rPr>
        <w:t>Adams c. Cape Industries Plc.</w:t>
      </w:r>
      <w:r>
        <w:rPr>
          <w:noProof/>
          <w:lang w:val="fr-CA"/>
        </w:rPr>
        <w:t xml:space="preserve">, [1990] 1 Ch. </w:t>
      </w:r>
      <w:r w:rsidRPr="002C6B07">
        <w:rPr>
          <w:noProof/>
          <w:lang w:val="fr-CA"/>
        </w:rPr>
        <w:t>433 [</w:t>
      </w:r>
      <w:r>
        <w:rPr>
          <w:noProof/>
          <w:lang w:val="fr-CA"/>
        </w:rPr>
        <w:t>Ch. </w:t>
      </w:r>
      <w:r w:rsidRPr="002C6B07">
        <w:rPr>
          <w:noProof/>
          <w:lang w:val="fr-CA"/>
        </w:rPr>
        <w:t xml:space="preserve">Div.], </w:t>
      </w:r>
      <w:r>
        <w:rPr>
          <w:noProof/>
          <w:lang w:val="fr-CA"/>
        </w:rPr>
        <w:t>p. </w:t>
      </w:r>
      <w:r w:rsidRPr="002C6B07">
        <w:rPr>
          <w:noProof/>
          <w:lang w:val="fr-CA"/>
        </w:rPr>
        <w:t>467</w:t>
      </w:r>
      <w:r>
        <w:rPr>
          <w:noProof/>
          <w:lang w:val="fr-CA"/>
        </w:rPr>
        <w:noBreakHyphen/>
      </w:r>
      <w:r w:rsidRPr="002C6B07">
        <w:rPr>
          <w:noProof/>
          <w:lang w:val="fr-CA"/>
        </w:rPr>
        <w:t xml:space="preserve">468, le juge Scott, la </w:t>
      </w:r>
      <w:r w:rsidRPr="002C6B07">
        <w:rPr>
          <w:noProof/>
          <w:u w:val="single"/>
          <w:lang w:val="fr-CA"/>
        </w:rPr>
        <w:t>common law considère invariablement que la tenue de locaux commerciaux constitue un facteur convaincant de compétence</w:t>
      </w:r>
      <w:r w:rsidRPr="002C6B07">
        <w:rPr>
          <w:noProof/>
          <w:lang w:val="fr-CA"/>
        </w:rPr>
        <w:t>. Le juge LeBel l’a reconnu dans </w:t>
      </w:r>
      <w:r w:rsidRPr="002C6B07">
        <w:rPr>
          <w:i/>
          <w:iCs/>
          <w:noProof/>
          <w:lang w:val="fr-CA"/>
        </w:rPr>
        <w:t>Van Breda</w:t>
      </w:r>
      <w:r w:rsidRPr="002C6B07">
        <w:rPr>
          <w:noProof/>
          <w:lang w:val="fr-CA"/>
        </w:rPr>
        <w:t xml:space="preserve"> lorsqu’il a conclu que « [l]’exploitation d’une entreprise exige une forme de présence effective — et non seulement virtuelle — dans le ressort en question, par exemple le fait d’y tenir un bureau ». [Je souligne; références omises; </w:t>
      </w:r>
      <w:r>
        <w:rPr>
          <w:noProof/>
          <w:lang w:val="fr-CA"/>
        </w:rPr>
        <w:t>par. </w:t>
      </w:r>
      <w:r w:rsidRPr="002C6B07">
        <w:rPr>
          <w:noProof/>
          <w:lang w:val="fr-CA"/>
        </w:rPr>
        <w:t>85.]</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iCs/>
          <w:noProof/>
          <w:lang w:val="fr-CA"/>
        </w:rPr>
        <w:t xml:space="preserve">Il convient de noter que l’expression « exploitation d’une entreprise » est apparue dans l’arrêt </w:t>
      </w:r>
      <w:r w:rsidRPr="002C6B07">
        <w:rPr>
          <w:rFonts w:cs="Times New Roman"/>
          <w:i/>
          <w:iCs/>
          <w:noProof/>
          <w:lang w:val="fr-CA"/>
        </w:rPr>
        <w:t>Van Breda</w:t>
      </w:r>
      <w:r w:rsidRPr="002C6B07">
        <w:rPr>
          <w:rFonts w:cs="Times New Roman"/>
          <w:iCs/>
          <w:noProof/>
          <w:lang w:val="fr-CA"/>
        </w:rPr>
        <w:t xml:space="preserve"> comme un facteur de rattachement créant une présomption dans le contexte d’une </w:t>
      </w:r>
      <w:r w:rsidRPr="002C6B07">
        <w:rPr>
          <w:rFonts w:cs="Times New Roman"/>
          <w:i/>
          <w:noProof/>
          <w:lang w:val="fr-CA"/>
        </w:rPr>
        <w:t>déclaration</w:t>
      </w:r>
      <w:r w:rsidRPr="002C6B07">
        <w:rPr>
          <w:rFonts w:cs="Times New Roman"/>
          <w:iCs/>
          <w:noProof/>
          <w:lang w:val="fr-CA"/>
        </w:rPr>
        <w:t xml:space="preserve"> de compétence des tribunaux en matière de responsabilité civile délictuelle. Bien que, dans l’arrêt </w:t>
      </w:r>
      <w:r w:rsidRPr="002C6B07">
        <w:rPr>
          <w:rFonts w:cs="Times New Roman"/>
          <w:i/>
          <w:iCs/>
          <w:noProof/>
          <w:lang w:val="fr-CA"/>
        </w:rPr>
        <w:t>Chevron</w:t>
      </w:r>
      <w:r w:rsidRPr="002C6B07">
        <w:rPr>
          <w:rFonts w:cs="Times New Roman"/>
          <w:iCs/>
          <w:noProof/>
          <w:lang w:val="fr-CA"/>
        </w:rPr>
        <w:t xml:space="preserve">, notre Cour ait cité l’arrêt </w:t>
      </w:r>
      <w:r w:rsidRPr="002C6B07">
        <w:rPr>
          <w:rFonts w:cs="Times New Roman"/>
          <w:i/>
          <w:iCs/>
          <w:noProof/>
          <w:lang w:val="fr-CA"/>
        </w:rPr>
        <w:t>Van Breda</w:t>
      </w:r>
      <w:r w:rsidRPr="002C6B07">
        <w:rPr>
          <w:rFonts w:cs="Times New Roman"/>
          <w:iCs/>
          <w:noProof/>
          <w:lang w:val="fr-CA"/>
        </w:rPr>
        <w:t xml:space="preserve"> pour cerner le sens de cette expression dans le contexte de la </w:t>
      </w:r>
      <w:r w:rsidRPr="002C6B07">
        <w:rPr>
          <w:rFonts w:cs="Times New Roman"/>
          <w:noProof/>
          <w:lang w:val="fr-CA"/>
        </w:rPr>
        <w:t>compétence</w:t>
      </w:r>
      <w:r w:rsidRPr="002C6B07">
        <w:rPr>
          <w:rFonts w:cs="Times New Roman"/>
          <w:i/>
          <w:iCs/>
          <w:noProof/>
          <w:lang w:val="fr-CA"/>
        </w:rPr>
        <w:t xml:space="preserve"> traditionnelle fondée sur la présence</w:t>
      </w:r>
      <w:r w:rsidRPr="002C6B07">
        <w:rPr>
          <w:rFonts w:cs="Times New Roman"/>
          <w:iCs/>
          <w:noProof/>
          <w:lang w:val="fr-CA"/>
        </w:rPr>
        <w:t xml:space="preserve">, il est important de se rappeler que la compétence traditionnelle fondée sur la présence est une source de compétence suffisante et indépendante qui s’applique parallèlement à la déclaration de compétence dont il est question dans l’arrêt </w:t>
      </w:r>
      <w:r w:rsidRPr="002C6B07">
        <w:rPr>
          <w:rFonts w:cs="Times New Roman"/>
          <w:i/>
          <w:iCs/>
          <w:noProof/>
          <w:lang w:val="fr-CA"/>
        </w:rPr>
        <w:t>Van Breda</w:t>
      </w:r>
      <w:r w:rsidRPr="002C6B07">
        <w:rPr>
          <w:rFonts w:cs="Times New Roman"/>
          <w:iCs/>
          <w:noProof/>
          <w:lang w:val="fr-CA"/>
        </w:rPr>
        <w:t xml:space="preserve"> (</w:t>
      </w:r>
      <w:r>
        <w:rPr>
          <w:rFonts w:cs="Times New Roman"/>
          <w:iCs/>
          <w:noProof/>
          <w:lang w:val="fr-CA"/>
        </w:rPr>
        <w:t>par. </w:t>
      </w:r>
      <w:r w:rsidRPr="002C6B07">
        <w:rPr>
          <w:rFonts w:cs="Times New Roman"/>
          <w:iCs/>
          <w:noProof/>
          <w:lang w:val="fr-CA"/>
        </w:rPr>
        <w:t>79). Si l’expression « exploitation d’une entreprise » avait le même sens dans les deux contextes, il y aurait chevauchement entre ces deux critères</w:t>
      </w:r>
      <w:r>
        <w:rPr>
          <w:rFonts w:cs="Times New Roman"/>
          <w:iCs/>
          <w:noProof/>
          <w:lang w:val="fr-CA"/>
        </w:rPr>
        <w:t xml:space="preserve"> </w:t>
      </w:r>
      <w:r w:rsidRPr="002C6B07">
        <w:rPr>
          <w:rFonts w:cs="Times New Roman"/>
          <w:iCs/>
          <w:noProof/>
          <w:lang w:val="fr-CA"/>
        </w:rPr>
        <w:t xml:space="preserve">(voir Pitel et Rafferty, </w:t>
      </w:r>
      <w:r>
        <w:rPr>
          <w:rFonts w:cs="Times New Roman"/>
          <w:iCs/>
          <w:noProof/>
          <w:lang w:val="fr-CA"/>
        </w:rPr>
        <w:t>p. </w:t>
      </w:r>
      <w:r w:rsidRPr="002C6B07">
        <w:rPr>
          <w:rFonts w:cs="Times New Roman"/>
          <w:iCs/>
          <w:noProof/>
          <w:lang w:val="fr-CA"/>
        </w:rPr>
        <w:t xml:space="preserve">94). Si une personne morale défenderesse exploitait une entreprise dans un ressort où le demandeur pourrait se contenter de lui signifier la demande </w:t>
      </w:r>
      <w:r w:rsidRPr="002C6B07">
        <w:rPr>
          <w:rFonts w:cs="Times New Roman"/>
          <w:i/>
          <w:iCs/>
          <w:noProof/>
          <w:lang w:val="fr-CA"/>
        </w:rPr>
        <w:t>in juris</w:t>
      </w:r>
      <w:r w:rsidRPr="002C6B07">
        <w:rPr>
          <w:rFonts w:cs="Times New Roman"/>
          <w:iCs/>
          <w:noProof/>
          <w:lang w:val="fr-CA"/>
        </w:rPr>
        <w:t xml:space="preserve"> et établir la compétence traditionnelle fondée sur la présence, on ne voit pas pourquoi ce demandeur essaierait de démontrer qu’il « exploite une entreprise » en tant que simple facteur de rattachement créant une présomption permettant au tribunal de se déclarer compétent. On peut en déduire que l’expression « exploitation d’une entreprise » qui, dans l’arrêt </w:t>
      </w:r>
      <w:r w:rsidRPr="002C6B07">
        <w:rPr>
          <w:rFonts w:cs="Times New Roman"/>
          <w:i/>
          <w:noProof/>
          <w:lang w:val="fr-CA"/>
        </w:rPr>
        <w:t>Van Breda</w:t>
      </w:r>
      <w:r w:rsidRPr="002C6B07">
        <w:rPr>
          <w:rFonts w:cs="Times New Roman"/>
          <w:iCs/>
          <w:noProof/>
          <w:lang w:val="fr-CA"/>
        </w:rPr>
        <w:t>, n’était considérée que comme un simple facteur de rattachement créant une présomption en ce qui concerne une déclaration de compétence</w:t>
      </w:r>
      <w:r>
        <w:rPr>
          <w:rFonts w:cs="Times New Roman"/>
          <w:iCs/>
          <w:noProof/>
          <w:lang w:val="fr-CA"/>
        </w:rPr>
        <w:t>,</w:t>
      </w:r>
      <w:r w:rsidRPr="002C6B07">
        <w:rPr>
          <w:rFonts w:cs="Times New Roman"/>
          <w:iCs/>
          <w:noProof/>
          <w:lang w:val="fr-CA"/>
        </w:rPr>
        <w:t xml:space="preserve"> est peut</w:t>
      </w:r>
      <w:r>
        <w:rPr>
          <w:rFonts w:cs="Times New Roman"/>
          <w:iCs/>
          <w:noProof/>
          <w:lang w:val="fr-CA"/>
        </w:rPr>
        <w:noBreakHyphen/>
      </w:r>
      <w:r w:rsidRPr="002C6B07">
        <w:rPr>
          <w:rFonts w:cs="Times New Roman"/>
          <w:iCs/>
          <w:noProof/>
          <w:lang w:val="fr-CA"/>
        </w:rPr>
        <w:t>être une norme moins exigeante que celle de l’« exploitation d’une entreprise » lorsqu’il s’agit d’établir la compétence traditionnelle fondée sur la présence.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Je n’ai pas besoin de décider ici si l’expression « exploitation d’une entreprise » qui figure dans l’arrêt </w:t>
      </w:r>
      <w:r w:rsidRPr="002C6B07">
        <w:rPr>
          <w:rFonts w:cs="Times New Roman"/>
          <w:i/>
          <w:iCs/>
          <w:noProof/>
          <w:lang w:val="fr-CA"/>
        </w:rPr>
        <w:t>Van Breda</w:t>
      </w:r>
      <w:r w:rsidRPr="002C6B07">
        <w:rPr>
          <w:rFonts w:cs="Times New Roman"/>
          <w:noProof/>
          <w:lang w:val="fr-CA"/>
        </w:rPr>
        <w:t xml:space="preserve"> a le même sens que celui que lui attribue la jurisprudence sur la compétence traditionnelle fondée sur la présence. Cependant, on peut affirmer sans risque de se tromper que, si la norme énoncée dans l’arrêt </w:t>
      </w:r>
      <w:r w:rsidRPr="002C6B07">
        <w:rPr>
          <w:rFonts w:cs="Times New Roman"/>
          <w:i/>
          <w:iCs/>
          <w:noProof/>
          <w:lang w:val="fr-CA"/>
        </w:rPr>
        <w:t>Van Breda</w:t>
      </w:r>
      <w:r w:rsidRPr="002C6B07">
        <w:rPr>
          <w:rFonts w:cs="Times New Roman"/>
          <w:noProof/>
          <w:lang w:val="fr-CA"/>
        </w:rPr>
        <w:t xml:space="preserve"> est différente, elle est moins exigeante. Quoi qu’il en soit, les exigences fixées dans l’arrêt </w:t>
      </w:r>
      <w:r w:rsidRPr="002C6B07">
        <w:rPr>
          <w:rFonts w:cs="Times New Roman"/>
          <w:i/>
          <w:noProof/>
          <w:lang w:val="fr-CA"/>
        </w:rPr>
        <w:t>Van Breda</w:t>
      </w:r>
      <w:r w:rsidRPr="002C6B07">
        <w:rPr>
          <w:rFonts w:cs="Times New Roman"/>
          <w:noProof/>
          <w:lang w:val="fr-CA"/>
        </w:rPr>
        <w:t xml:space="preserve"> en ce qui concerne l’« exploitation d’une entreprise » doivent également s’appliquer pour déterminer la compétence traditionnelle fondée sur la présence. C’est ce que notre Cour a reconnu dans l’arrêt </w:t>
      </w:r>
      <w:r w:rsidRPr="002C6B07">
        <w:rPr>
          <w:rFonts w:cs="Times New Roman"/>
          <w:i/>
          <w:noProof/>
          <w:lang w:val="fr-CA"/>
        </w:rPr>
        <w:t>Chevron</w:t>
      </w:r>
      <w:r w:rsidRPr="002C6B07">
        <w:rPr>
          <w:rFonts w:cs="Times New Roman"/>
          <w:noProof/>
          <w:lang w:val="fr-CA"/>
        </w:rPr>
        <w:t xml:space="preserve">, en reprenant les propos du </w:t>
      </w:r>
      <w:r w:rsidRPr="002C6B07">
        <w:rPr>
          <w:rFonts w:cs="Times New Roman"/>
          <w:lang w:val="fr-CA"/>
        </w:rPr>
        <w:t xml:space="preserve">juge LeBel selon lesquels « [l]’exploitation d’une entreprise exige une forme de présence effective — et non seulement virtuelle — dans le ressort en question, par exemple le fait d’y tenir un bureau », pour expliquer ce qu’il faut entendre par </w:t>
      </w:r>
      <w:r w:rsidRPr="002C6B07">
        <w:rPr>
          <w:rFonts w:cs="Times New Roman"/>
          <w:noProof/>
          <w:lang w:val="fr-CA"/>
        </w:rPr>
        <w:t>«</w:t>
      </w:r>
      <w:r>
        <w:rPr>
          <w:rFonts w:cs="Times New Roman"/>
          <w:noProof/>
          <w:lang w:val="fr-CA"/>
        </w:rPr>
        <w:t> </w:t>
      </w:r>
      <w:r w:rsidRPr="002C6B07">
        <w:rPr>
          <w:rFonts w:cs="Times New Roman"/>
          <w:noProof/>
          <w:lang w:val="fr-CA"/>
        </w:rPr>
        <w:t>exploitation d’une entreprise</w:t>
      </w:r>
      <w:r>
        <w:rPr>
          <w:rFonts w:cs="Times New Roman"/>
          <w:noProof/>
          <w:lang w:val="fr-CA"/>
        </w:rPr>
        <w:t> </w:t>
      </w:r>
      <w:r w:rsidRPr="002C6B07">
        <w:rPr>
          <w:rFonts w:cs="Times New Roman"/>
          <w:noProof/>
          <w:lang w:val="fr-CA"/>
        </w:rPr>
        <w:t>» pour les besoins de la compétence fondée sur la présence.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L’arrêt </w:t>
      </w:r>
      <w:r w:rsidRPr="002C6B07">
        <w:rPr>
          <w:rFonts w:cs="Times New Roman"/>
          <w:i/>
          <w:iCs/>
          <w:noProof/>
          <w:lang w:val="fr-CA"/>
        </w:rPr>
        <w:t>Chevron</w:t>
      </w:r>
      <w:r w:rsidRPr="002C6B07">
        <w:rPr>
          <w:rFonts w:cs="Times New Roman"/>
          <w:noProof/>
          <w:lang w:val="fr-CA"/>
        </w:rPr>
        <w:t xml:space="preserve"> propose donc une définition claire de la notion d’« exploitation d’une entreprise » dans le cadre de la compétence traditionnelle fondée sur la présence en common law. Pour les motifs que j’ai déjà exposés, cette définition est utile pour interpréter l’</w:t>
      </w:r>
      <w:r>
        <w:rPr>
          <w:rFonts w:cs="Times New Roman"/>
          <w:noProof/>
          <w:lang w:val="fr-CA"/>
        </w:rPr>
        <w:t>al. </w:t>
      </w:r>
      <w:r w:rsidRPr="002C6B07">
        <w:rPr>
          <w:rFonts w:cs="Times New Roman"/>
          <w:noProof/>
          <w:lang w:val="fr-CA"/>
        </w:rPr>
        <w:t xml:space="preserve">3b)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 xml:space="preserve">. En résumé, pour déterminer si un défendeur exploite une entreprise dans </w:t>
      </w:r>
      <w:r>
        <w:rPr>
          <w:rFonts w:cs="Times New Roman"/>
          <w:noProof/>
          <w:lang w:val="fr-CA"/>
        </w:rPr>
        <w:t>un ressort</w:t>
      </w:r>
      <w:r w:rsidRPr="002C6B07">
        <w:rPr>
          <w:rFonts w:cs="Times New Roman"/>
          <w:noProof/>
          <w:lang w:val="fr-CA"/>
        </w:rPr>
        <w:t xml:space="preserve">, le tribunal doit vérifier s’il a une présence directe ou indirecte dans </w:t>
      </w:r>
      <w:r>
        <w:rPr>
          <w:rFonts w:cs="Times New Roman"/>
          <w:noProof/>
          <w:lang w:val="fr-CA"/>
        </w:rPr>
        <w:t>ce ressort</w:t>
      </w:r>
      <w:r w:rsidRPr="002C6B07">
        <w:rPr>
          <w:rFonts w:cs="Times New Roman"/>
          <w:noProof/>
          <w:lang w:val="fr-CA"/>
        </w:rPr>
        <w:t xml:space="preserve"> et s’il s’y livre à des activités commerciales soutenues pendant un certain temps. La question de savoir si une société « exploite une entreprise » est une question de fait et, pour déterminer si la société répond à cette définition, le tribunal doit tenir compte des 10 indices susmentionnés qui figurent dans l’arrêt </w:t>
      </w:r>
      <w:r w:rsidRPr="002C6B07">
        <w:rPr>
          <w:rFonts w:cs="Times New Roman"/>
          <w:i/>
          <w:iCs/>
          <w:noProof/>
          <w:lang w:val="fr-CA"/>
        </w:rPr>
        <w:t>Adams</w:t>
      </w:r>
      <w:r w:rsidRPr="002C6B07">
        <w:rPr>
          <w:rFonts w:cs="Times New Roman"/>
          <w:noProof/>
          <w:lang w:val="fr-CA"/>
        </w:rPr>
        <w:t>. Ce concept exige une forme de présence effective, qu’elle soit directe ou indirecte. Une présence physique sous la forme de la tenue d’un bureau sera un facteur convaincant et une présence virtuelle qui ne correspond pas à une présence effective ne suffira pas.</w:t>
      </w:r>
    </w:p>
    <w:p w:rsidR="009D2D7F" w:rsidRPr="002C6B07" w:rsidRDefault="009D2D7F" w:rsidP="009D2D7F">
      <w:pPr>
        <w:pStyle w:val="ParaNoNdepar-AltN"/>
        <w:tabs>
          <w:tab w:val="clear" w:pos="1152"/>
          <w:tab w:val="left" w:pos="1166"/>
        </w:tabs>
        <w:rPr>
          <w:rFonts w:cs="Times New Roman"/>
          <w:noProof/>
          <w:szCs w:val="24"/>
          <w:lang w:val="fr-CA"/>
        </w:rPr>
      </w:pPr>
      <w:r w:rsidRPr="002C6B07">
        <w:rPr>
          <w:rFonts w:cs="Times New Roman"/>
          <w:noProof/>
          <w:szCs w:val="24"/>
          <w:lang w:val="fr-CA"/>
        </w:rPr>
        <w:t xml:space="preserve">Je ne suis donc pas convaincu par l’argument de H.M.B. selon lequel les juridictions inférieures ont commis une erreur en n’interprétant pas </w:t>
      </w:r>
      <w:r>
        <w:rPr>
          <w:rFonts w:cs="Times New Roman"/>
          <w:noProof/>
          <w:szCs w:val="24"/>
          <w:lang w:val="fr-CA"/>
        </w:rPr>
        <w:t>la notion d’</w:t>
      </w:r>
      <w:r w:rsidRPr="002C6B07">
        <w:rPr>
          <w:rFonts w:cs="Times New Roman"/>
          <w:noProof/>
          <w:szCs w:val="24"/>
          <w:lang w:val="fr-CA"/>
        </w:rPr>
        <w:t xml:space="preserve">« exercice d’activités » d’une façon </w:t>
      </w:r>
      <w:r w:rsidRPr="002C6B07">
        <w:rPr>
          <w:rFonts w:cs="Times New Roman"/>
          <w:noProof/>
          <w:lang w:val="fr-CA"/>
        </w:rPr>
        <w:t>« </w:t>
      </w:r>
      <w:r w:rsidRPr="002C6B07">
        <w:rPr>
          <w:rFonts w:cs="Times New Roman"/>
          <w:lang w:val="fr-CA"/>
        </w:rPr>
        <w:t xml:space="preserve">souple et libérale » conformément </w:t>
      </w:r>
      <w:r w:rsidRPr="002C6B07">
        <w:rPr>
          <w:rFonts w:cs="Times New Roman"/>
          <w:noProof/>
          <w:szCs w:val="24"/>
          <w:lang w:val="fr-CA"/>
        </w:rPr>
        <w:t xml:space="preserve">à l’arrêt </w:t>
      </w:r>
      <w:r w:rsidRPr="002C6B07">
        <w:rPr>
          <w:rFonts w:cs="Times New Roman"/>
          <w:i/>
          <w:iCs/>
          <w:noProof/>
          <w:szCs w:val="24"/>
          <w:lang w:val="fr-CA"/>
        </w:rPr>
        <w:t>Chevron</w:t>
      </w:r>
      <w:r w:rsidRPr="002C6B07">
        <w:rPr>
          <w:rFonts w:cs="Times New Roman"/>
          <w:noProof/>
          <w:szCs w:val="24"/>
          <w:lang w:val="fr-CA"/>
        </w:rPr>
        <w:t>. Cet arrêt confirme lui</w:t>
      </w:r>
      <w:r>
        <w:rPr>
          <w:rFonts w:cs="Times New Roman"/>
          <w:noProof/>
          <w:szCs w:val="24"/>
          <w:lang w:val="fr-CA"/>
        </w:rPr>
        <w:noBreakHyphen/>
      </w:r>
      <w:r w:rsidRPr="002C6B07">
        <w:rPr>
          <w:rFonts w:cs="Times New Roman"/>
          <w:noProof/>
          <w:szCs w:val="24"/>
          <w:lang w:val="fr-CA"/>
        </w:rPr>
        <w:t xml:space="preserve">même le critère de l’exploitation d’une entreprise pour les besoins de la compétence traditionnelle fondée sur la présence. L’alinéa 3b) de la </w:t>
      </w:r>
      <w:r w:rsidRPr="002C6B07">
        <w:rPr>
          <w:rFonts w:cs="Times New Roman"/>
          <w:i/>
          <w:noProof/>
          <w:szCs w:val="24"/>
          <w:lang w:val="fr-CA"/>
        </w:rPr>
        <w:t>LERJ</w:t>
      </w:r>
      <w:r w:rsidRPr="002C6B07">
        <w:rPr>
          <w:rFonts w:cs="Times New Roman"/>
          <w:noProof/>
          <w:szCs w:val="24"/>
          <w:lang w:val="fr-CA"/>
        </w:rPr>
        <w:t xml:space="preserve"> évoque la signification de cette expression aux mêmes fins. En conséquence, la démarche « souple et libérale » proposée dans l’arrêt </w:t>
      </w:r>
      <w:r w:rsidRPr="002C6B07">
        <w:rPr>
          <w:rFonts w:cs="Times New Roman"/>
          <w:i/>
          <w:iCs/>
          <w:noProof/>
          <w:szCs w:val="24"/>
          <w:lang w:val="fr-CA"/>
        </w:rPr>
        <w:t>Chevron</w:t>
      </w:r>
      <w:r w:rsidRPr="002C6B07">
        <w:rPr>
          <w:rFonts w:cs="Times New Roman"/>
          <w:noProof/>
          <w:szCs w:val="24"/>
          <w:lang w:val="fr-CA"/>
        </w:rPr>
        <w:t xml:space="preserve"> ne modifie pas le critère </w:t>
      </w:r>
      <w:r>
        <w:rPr>
          <w:rFonts w:cs="Times New Roman"/>
          <w:noProof/>
          <w:szCs w:val="24"/>
          <w:lang w:val="fr-CA"/>
        </w:rPr>
        <w:t xml:space="preserve">relatif à la notion </w:t>
      </w:r>
      <w:r w:rsidRPr="002C6B07">
        <w:rPr>
          <w:rFonts w:cs="Times New Roman"/>
          <w:noProof/>
          <w:szCs w:val="24"/>
          <w:lang w:val="fr-CA"/>
        </w:rPr>
        <w:t>d’« exercice d’activités</w:t>
      </w:r>
      <w:r>
        <w:rPr>
          <w:rFonts w:cs="Times New Roman"/>
          <w:noProof/>
          <w:szCs w:val="24"/>
          <w:lang w:val="fr-CA"/>
        </w:rPr>
        <w:t> </w:t>
      </w:r>
      <w:r w:rsidRPr="002C6B07">
        <w:rPr>
          <w:rFonts w:cs="Times New Roman"/>
          <w:noProof/>
          <w:szCs w:val="24"/>
          <w:lang w:val="fr-CA"/>
        </w:rPr>
        <w:t>» énoncé à l’</w:t>
      </w:r>
      <w:r>
        <w:rPr>
          <w:rFonts w:cs="Times New Roman"/>
          <w:noProof/>
          <w:szCs w:val="24"/>
          <w:lang w:val="fr-CA"/>
        </w:rPr>
        <w:t>al. </w:t>
      </w:r>
      <w:r w:rsidRPr="002C6B07">
        <w:rPr>
          <w:rFonts w:cs="Times New Roman"/>
          <w:noProof/>
          <w:szCs w:val="24"/>
          <w:lang w:val="fr-CA"/>
        </w:rPr>
        <w:t>3b)</w:t>
      </w:r>
      <w:r>
        <w:rPr>
          <w:rFonts w:cs="Times New Roman"/>
          <w:noProof/>
          <w:szCs w:val="24"/>
          <w:lang w:val="fr-CA"/>
        </w:rPr>
        <w:t>,</w:t>
      </w:r>
      <w:r w:rsidRPr="002C6B07">
        <w:rPr>
          <w:rFonts w:cs="Times New Roman"/>
          <w:noProof/>
          <w:szCs w:val="24"/>
          <w:lang w:val="fr-CA"/>
        </w:rPr>
        <w:t xml:space="preserve"> </w:t>
      </w:r>
      <w:r>
        <w:rPr>
          <w:rFonts w:cs="Times New Roman"/>
          <w:noProof/>
          <w:szCs w:val="24"/>
          <w:lang w:val="fr-CA"/>
        </w:rPr>
        <w:t xml:space="preserve">tel qu’il est énoncé </w:t>
      </w:r>
      <w:r w:rsidRPr="002C6B07">
        <w:rPr>
          <w:rFonts w:cs="Times New Roman"/>
          <w:noProof/>
          <w:szCs w:val="24"/>
          <w:lang w:val="fr-CA"/>
        </w:rPr>
        <w:t xml:space="preserve">dans l’arrêt </w:t>
      </w:r>
      <w:r w:rsidRPr="002C6B07">
        <w:rPr>
          <w:rFonts w:cs="Times New Roman"/>
          <w:i/>
          <w:iCs/>
          <w:noProof/>
          <w:szCs w:val="24"/>
          <w:lang w:val="fr-CA"/>
        </w:rPr>
        <w:t>Chevron</w:t>
      </w:r>
      <w:r w:rsidRPr="002C6B07">
        <w:rPr>
          <w:rFonts w:cs="Times New Roman"/>
          <w:noProof/>
          <w:szCs w:val="24"/>
          <w:lang w:val="fr-CA"/>
        </w:rPr>
        <w:t xml:space="preserve"> lui</w:t>
      </w:r>
      <w:r>
        <w:rPr>
          <w:rFonts w:cs="Times New Roman"/>
          <w:noProof/>
          <w:szCs w:val="24"/>
          <w:lang w:val="fr-CA"/>
        </w:rPr>
        <w:noBreakHyphen/>
      </w:r>
      <w:r w:rsidRPr="002C6B07">
        <w:rPr>
          <w:rFonts w:cs="Times New Roman"/>
          <w:noProof/>
          <w:szCs w:val="24"/>
          <w:lang w:val="fr-CA"/>
        </w:rPr>
        <w:t>même.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Je vais maintenant examiner les motifs du juge de première instance à la lumière de cette définition du concept d’« exercice d’activités » que l’on trouve à l’</w:t>
      </w:r>
      <w:r>
        <w:rPr>
          <w:rFonts w:cs="Times New Roman"/>
          <w:noProof/>
          <w:lang w:val="fr-CA"/>
        </w:rPr>
        <w:t>al. </w:t>
      </w:r>
      <w:r w:rsidRPr="002C6B07">
        <w:rPr>
          <w:rFonts w:cs="Times New Roman"/>
          <w:noProof/>
          <w:lang w:val="fr-CA"/>
        </w:rPr>
        <w:t xml:space="preserve">3b)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w:t>
      </w:r>
    </w:p>
    <w:p w:rsidR="009D2D7F" w:rsidRPr="002C6B07" w:rsidRDefault="009D2D7F" w:rsidP="009D2D7F">
      <w:pPr>
        <w:pStyle w:val="Title3LevelTitre3Niveau"/>
        <w:rPr>
          <w:rFonts w:cs="Times New Roman"/>
          <w:noProof/>
          <w:lang w:val="fr-CA"/>
        </w:rPr>
      </w:pPr>
      <w:r w:rsidRPr="002C6B07">
        <w:rPr>
          <w:rFonts w:cs="Times New Roman"/>
          <w:noProof/>
          <w:lang w:val="fr-CA"/>
        </w:rPr>
        <w:t>Application</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À mon avis, l’interprétation que le juge de première instance a faite de l’</w:t>
      </w:r>
      <w:r>
        <w:rPr>
          <w:rFonts w:cs="Times New Roman"/>
          <w:noProof/>
          <w:lang w:val="fr-CA"/>
        </w:rPr>
        <w:t>al. </w:t>
      </w:r>
      <w:r w:rsidRPr="002C6B07">
        <w:rPr>
          <w:rFonts w:cs="Times New Roman"/>
          <w:noProof/>
          <w:lang w:val="fr-CA"/>
        </w:rPr>
        <w:t xml:space="preserve">3b) de </w:t>
      </w:r>
      <w:r w:rsidRPr="002C6B07">
        <w:rPr>
          <w:rFonts w:cs="Times New Roman"/>
          <w:iCs/>
          <w:noProof/>
          <w:lang w:val="fr-CA"/>
        </w:rPr>
        <w:t xml:space="preserve">la </w:t>
      </w:r>
      <w:r w:rsidRPr="002C6B07">
        <w:rPr>
          <w:rFonts w:cs="Times New Roman"/>
          <w:i/>
          <w:iCs/>
          <w:noProof/>
          <w:lang w:val="fr-CA"/>
        </w:rPr>
        <w:t>LERJ</w:t>
      </w:r>
      <w:r w:rsidRPr="002C6B07">
        <w:rPr>
          <w:rFonts w:cs="Times New Roman"/>
          <w:iCs/>
          <w:noProof/>
          <w:lang w:val="fr-CA"/>
        </w:rPr>
        <w:t xml:space="preserve"> n’est entachée d’aucune erreur de droit</w:t>
      </w:r>
      <w:r w:rsidRPr="002C6B07">
        <w:rPr>
          <w:rFonts w:cs="Times New Roman"/>
          <w:noProof/>
          <w:lang w:val="fr-CA"/>
        </w:rPr>
        <w:t>, et son analyse de la question de savoir si Antigua exerçait ses activités en Colombie</w:t>
      </w:r>
      <w:r>
        <w:rPr>
          <w:rFonts w:cs="Times New Roman"/>
          <w:noProof/>
          <w:lang w:val="fr-CA"/>
        </w:rPr>
        <w:noBreakHyphen/>
      </w:r>
      <w:r w:rsidRPr="002C6B07">
        <w:rPr>
          <w:rFonts w:cs="Times New Roman"/>
          <w:noProof/>
          <w:lang w:val="fr-CA"/>
        </w:rPr>
        <w:t>Britannique ne comporte pas non plus d’erreur manifeste et déterminante.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Sur le droit, le juge de première instance a correctement énoncé le critère de l’« exer</w:t>
      </w:r>
      <w:r w:rsidRPr="00A022FD">
        <w:rPr>
          <w:rFonts w:cs="Times New Roman"/>
          <w:noProof/>
          <w:lang w:val="fr-CA"/>
        </w:rPr>
        <w:t>[</w:t>
      </w:r>
      <w:r w:rsidRPr="002C6B07">
        <w:rPr>
          <w:rFonts w:cs="Times New Roman"/>
          <w:noProof/>
          <w:lang w:val="fr-CA"/>
        </w:rPr>
        <w:t>cice</w:t>
      </w:r>
      <w:r>
        <w:rPr>
          <w:rFonts w:cs="Times New Roman"/>
          <w:noProof/>
          <w:lang w:val="fr-CA"/>
        </w:rPr>
        <w:t>]</w:t>
      </w:r>
      <w:r w:rsidRPr="002C6B07">
        <w:rPr>
          <w:rFonts w:cs="Times New Roman"/>
          <w:noProof/>
          <w:lang w:val="fr-CA"/>
        </w:rPr>
        <w:t xml:space="preserve"> </w:t>
      </w:r>
      <w:r>
        <w:rPr>
          <w:rFonts w:cs="Times New Roman"/>
          <w:noProof/>
          <w:lang w:val="fr-CA"/>
        </w:rPr>
        <w:t>[</w:t>
      </w:r>
      <w:r w:rsidRPr="002C6B07">
        <w:rPr>
          <w:rFonts w:cs="Times New Roman"/>
          <w:noProof/>
          <w:lang w:val="fr-CA"/>
        </w:rPr>
        <w:t>d’</w:t>
      </w:r>
      <w:r>
        <w:rPr>
          <w:rFonts w:cs="Times New Roman"/>
          <w:noProof/>
          <w:lang w:val="fr-CA"/>
        </w:rPr>
        <w:t>]</w:t>
      </w:r>
      <w:r w:rsidRPr="002C6B07">
        <w:rPr>
          <w:rFonts w:cs="Times New Roman"/>
          <w:noProof/>
          <w:lang w:val="fr-CA"/>
        </w:rPr>
        <w:t xml:space="preserve">activités » au sens de la </w:t>
      </w:r>
      <w:r w:rsidRPr="002C6B07">
        <w:rPr>
          <w:rFonts w:cs="Times New Roman"/>
          <w:i/>
          <w:noProof/>
          <w:lang w:val="fr-CA"/>
        </w:rPr>
        <w:t>LERJ</w:t>
      </w:r>
      <w:r w:rsidRPr="002C6B07">
        <w:rPr>
          <w:rFonts w:cs="Times New Roman"/>
          <w:noProof/>
          <w:lang w:val="fr-CA"/>
        </w:rPr>
        <w:t xml:space="preserve"> que notre Cour a décrit en détail dans l’arrêt </w:t>
      </w:r>
      <w:r w:rsidRPr="002C6B07">
        <w:rPr>
          <w:rFonts w:cs="Times New Roman"/>
          <w:i/>
          <w:iCs/>
          <w:noProof/>
          <w:lang w:val="fr-CA"/>
        </w:rPr>
        <w:t>Chevron</w:t>
      </w:r>
      <w:r w:rsidRPr="002C6B07">
        <w:rPr>
          <w:rFonts w:cs="Times New Roman"/>
          <w:noProof/>
          <w:lang w:val="fr-CA"/>
        </w:rPr>
        <w:t>. Le juge a statué que la question de savoir si une partie exerce ses activités dans une province est une question de fait. Pour qu’on puisse considérer qu’elle exerce ses activités dans une province, cette partie [</w:t>
      </w:r>
      <w:r w:rsidRPr="002C6B07">
        <w:rPr>
          <w:rFonts w:cs="Times New Roman"/>
          <w:smallCaps/>
          <w:noProof/>
          <w:lang w:val="fr-CA"/>
        </w:rPr>
        <w:t>traduction</w:t>
      </w:r>
      <w:r w:rsidRPr="002C6B07">
        <w:rPr>
          <w:rFonts w:cs="Times New Roman"/>
          <w:noProof/>
          <w:lang w:val="fr-CA"/>
        </w:rPr>
        <w:t>] « doit avoir une présence significative dans la province et cette présence doit se traduire par des activités commerciales soutenues pendant un certain temps » (</w:t>
      </w:r>
      <w:r>
        <w:rPr>
          <w:rFonts w:cs="Times New Roman"/>
          <w:noProof/>
          <w:lang w:val="fr-CA"/>
        </w:rPr>
        <w:t>par. </w:t>
      </w:r>
      <w:r w:rsidRPr="002C6B07">
        <w:rPr>
          <w:rFonts w:cs="Times New Roman"/>
          <w:noProof/>
          <w:lang w:val="fr-CA"/>
        </w:rPr>
        <w:t>50). De plus, pour être considérée comme exerçant ses activités dans un ressort, cette partie doit [</w:t>
      </w:r>
      <w:r w:rsidRPr="002C6B07">
        <w:rPr>
          <w:rFonts w:cs="Times New Roman"/>
          <w:smallCaps/>
          <w:noProof/>
          <w:lang w:val="fr-CA"/>
        </w:rPr>
        <w:t>traduction</w:t>
      </w:r>
      <w:r w:rsidRPr="002C6B07">
        <w:rPr>
          <w:rFonts w:cs="Times New Roman"/>
          <w:noProof/>
          <w:lang w:val="fr-CA"/>
        </w:rPr>
        <w:t>] « être présente effectivement — et non seulement virtuellement — dans le ressort</w:t>
      </w:r>
      <w:r w:rsidRPr="002C6B07">
        <w:rPr>
          <w:rFonts w:cs="Times New Roman"/>
          <w:lang w:val="fr-CA"/>
        </w:rPr>
        <w:t> </w:t>
      </w:r>
      <w:r w:rsidRPr="002C6B07">
        <w:rPr>
          <w:rFonts w:cs="Times New Roman"/>
          <w:noProof/>
          <w:lang w:val="fr-CA"/>
        </w:rPr>
        <w:t>» (</w:t>
      </w:r>
      <w:r>
        <w:rPr>
          <w:rFonts w:cs="Times New Roman"/>
          <w:noProof/>
          <w:lang w:val="fr-CA"/>
        </w:rPr>
        <w:t>par. </w:t>
      </w:r>
      <w:r w:rsidRPr="002C6B07">
        <w:rPr>
          <w:rFonts w:cs="Times New Roman"/>
          <w:noProof/>
          <w:lang w:val="fr-CA"/>
        </w:rPr>
        <w:t xml:space="preserve">51). Ces deux énoncés reflètent fidèlement le critère établi par notre Cour dans l’arrêt </w:t>
      </w:r>
      <w:r w:rsidRPr="002C6B07">
        <w:rPr>
          <w:rFonts w:cs="Times New Roman"/>
          <w:i/>
          <w:iCs/>
          <w:noProof/>
          <w:lang w:val="fr-CA"/>
        </w:rPr>
        <w:t>Chevron</w:t>
      </w:r>
      <w:r w:rsidRPr="002C6B07">
        <w:rPr>
          <w:rFonts w:cs="Times New Roman"/>
          <w:noProof/>
          <w:lang w:val="fr-CA"/>
        </w:rPr>
        <w:t xml:space="preserve">. Bien que le juge de première instance cite la décision rendue par notre Cour dans l’affaire </w:t>
      </w:r>
      <w:r w:rsidRPr="002C6B07">
        <w:rPr>
          <w:rFonts w:cs="Times New Roman"/>
          <w:i/>
          <w:iCs/>
          <w:noProof/>
          <w:lang w:val="fr-CA"/>
        </w:rPr>
        <w:t>Van Breda</w:t>
      </w:r>
      <w:r w:rsidRPr="002C6B07">
        <w:rPr>
          <w:rFonts w:cs="Times New Roman"/>
          <w:noProof/>
          <w:lang w:val="fr-CA"/>
        </w:rPr>
        <w:t xml:space="preserve">, il reprend l’extrait de l’arrêt </w:t>
      </w:r>
      <w:r w:rsidRPr="002C6B07">
        <w:rPr>
          <w:rFonts w:cs="Times New Roman"/>
          <w:i/>
          <w:iCs/>
          <w:noProof/>
          <w:lang w:val="fr-CA"/>
        </w:rPr>
        <w:t>Van Breda</w:t>
      </w:r>
      <w:r w:rsidRPr="002C6B07">
        <w:rPr>
          <w:rFonts w:cs="Times New Roman"/>
          <w:noProof/>
          <w:lang w:val="fr-CA"/>
        </w:rPr>
        <w:t xml:space="preserve"> que notre Cour a cité et approuvé dans l’arrêt </w:t>
      </w:r>
      <w:r w:rsidRPr="002C6B07">
        <w:rPr>
          <w:rFonts w:cs="Times New Roman"/>
          <w:i/>
          <w:iCs/>
          <w:noProof/>
          <w:lang w:val="fr-CA"/>
        </w:rPr>
        <w:t>Chevron</w:t>
      </w:r>
      <w:r w:rsidRPr="002C6B07">
        <w:rPr>
          <w:rFonts w:cs="Times New Roman"/>
          <w:noProof/>
          <w:lang w:val="fr-CA"/>
        </w:rPr>
        <w:t xml:space="preserve"> au sujet du critère de l’exercice d’activités appliqué pour établir la compétence traditionnelle fondée sur la présence. Comme nous l’avons vu, si la norme de l’« exploitation d’une entreprise » énoncée dans l’arrêt </w:t>
      </w:r>
      <w:r w:rsidRPr="002C6B07">
        <w:rPr>
          <w:rFonts w:cs="Times New Roman"/>
          <w:i/>
          <w:noProof/>
          <w:lang w:val="fr-CA"/>
        </w:rPr>
        <w:t>Van Breda</w:t>
      </w:r>
      <w:r w:rsidRPr="002C6B07">
        <w:rPr>
          <w:rFonts w:cs="Times New Roman"/>
          <w:noProof/>
          <w:lang w:val="fr-CA"/>
        </w:rPr>
        <w:t xml:space="preserve"> pour la déclaration de compétence est différente de la norme de l’« exploitation d’une entreprise » proposée dans l’arrêt </w:t>
      </w:r>
      <w:r w:rsidRPr="002C6B07">
        <w:rPr>
          <w:rFonts w:cs="Times New Roman"/>
          <w:i/>
          <w:noProof/>
          <w:lang w:val="fr-CA"/>
        </w:rPr>
        <w:t>Chevron</w:t>
      </w:r>
      <w:r w:rsidRPr="002C6B07">
        <w:rPr>
          <w:rFonts w:cs="Times New Roman"/>
          <w:noProof/>
          <w:lang w:val="fr-CA"/>
        </w:rPr>
        <w:t xml:space="preserve"> en ce qui a trait à la compétence fondée sur la présence, le critère de l’arrêt </w:t>
      </w:r>
      <w:r w:rsidRPr="002C6B07">
        <w:rPr>
          <w:rFonts w:cs="Times New Roman"/>
          <w:i/>
          <w:noProof/>
          <w:lang w:val="fr-CA"/>
        </w:rPr>
        <w:t>Van Breda</w:t>
      </w:r>
      <w:r w:rsidRPr="002C6B07">
        <w:rPr>
          <w:rFonts w:cs="Times New Roman"/>
          <w:noProof/>
          <w:lang w:val="fr-CA"/>
        </w:rPr>
        <w:t xml:space="preserve"> est </w:t>
      </w:r>
      <w:r w:rsidRPr="002C6B07">
        <w:rPr>
          <w:rFonts w:cs="Times New Roman"/>
          <w:i/>
          <w:noProof/>
          <w:lang w:val="fr-CA"/>
        </w:rPr>
        <w:t>moins exigeant</w:t>
      </w:r>
      <w:r w:rsidRPr="002C6B07">
        <w:rPr>
          <w:rFonts w:cs="Times New Roman"/>
          <w:noProof/>
          <w:lang w:val="fr-CA"/>
        </w:rPr>
        <w:t xml:space="preserve">. Le juge de première instance n’a donc pas commis d’erreur en considérant que les exigences énoncées dans l’arrêt </w:t>
      </w:r>
      <w:r w:rsidRPr="002C6B07">
        <w:rPr>
          <w:rFonts w:cs="Times New Roman"/>
          <w:i/>
          <w:noProof/>
          <w:lang w:val="fr-CA"/>
        </w:rPr>
        <w:t>Van Breda</w:t>
      </w:r>
      <w:r w:rsidRPr="002C6B07">
        <w:rPr>
          <w:rFonts w:cs="Times New Roman"/>
          <w:noProof/>
          <w:lang w:val="fr-CA"/>
        </w:rPr>
        <w:t xml:space="preserve"> étaient applicables à l’«</w:t>
      </w:r>
      <w:r>
        <w:rPr>
          <w:rFonts w:cs="Times New Roman"/>
          <w:noProof/>
          <w:lang w:val="fr-CA"/>
        </w:rPr>
        <w:t> </w:t>
      </w:r>
      <w:r w:rsidRPr="002C6B07">
        <w:rPr>
          <w:rFonts w:cs="Times New Roman"/>
          <w:noProof/>
          <w:lang w:val="fr-CA"/>
        </w:rPr>
        <w:t>exer[cice] [d’]activités » au sens de l’</w:t>
      </w:r>
      <w:r>
        <w:rPr>
          <w:rFonts w:cs="Times New Roman"/>
          <w:noProof/>
          <w:lang w:val="fr-CA"/>
        </w:rPr>
        <w:t>al. </w:t>
      </w:r>
      <w:r w:rsidRPr="002C6B07">
        <w:rPr>
          <w:rFonts w:cs="Times New Roman"/>
          <w:noProof/>
          <w:lang w:val="fr-CA"/>
        </w:rPr>
        <w:t xml:space="preserve">3b) de la </w:t>
      </w:r>
      <w:r w:rsidRPr="002C6B07">
        <w:rPr>
          <w:rFonts w:cs="Times New Roman"/>
          <w:i/>
          <w:noProof/>
          <w:lang w:val="fr-CA"/>
        </w:rPr>
        <w:t>LERJ</w:t>
      </w:r>
      <w:r w:rsidRPr="002C6B07">
        <w:rPr>
          <w:rFonts w:cs="Times New Roman"/>
          <w:noProof/>
          <w:lang w:val="fr-CA"/>
        </w:rPr>
        <w:t>.</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 xml:space="preserve">H.M.B. soutient que le juge de première instance a commis une erreur en n’appliquant pas le critère « plus large » de l’arrêt </w:t>
      </w:r>
      <w:r w:rsidRPr="002C6B07">
        <w:rPr>
          <w:rFonts w:cs="Times New Roman"/>
          <w:i/>
          <w:iCs/>
          <w:noProof/>
          <w:lang w:val="fr-CA"/>
        </w:rPr>
        <w:t>Wilson</w:t>
      </w:r>
      <w:r w:rsidRPr="002C6B07">
        <w:rPr>
          <w:rFonts w:cs="Times New Roman"/>
          <w:noProof/>
          <w:lang w:val="fr-CA"/>
        </w:rPr>
        <w:t xml:space="preserve">. Mais c’est à juste titre que le juge de première instance a cité l’arrêt </w:t>
      </w:r>
      <w:r w:rsidRPr="002C6B07">
        <w:rPr>
          <w:rFonts w:cs="Times New Roman"/>
          <w:i/>
          <w:iCs/>
          <w:noProof/>
          <w:lang w:val="fr-CA"/>
        </w:rPr>
        <w:t>Chevron</w:t>
      </w:r>
      <w:r w:rsidRPr="002C6B07">
        <w:rPr>
          <w:rFonts w:cs="Times New Roman"/>
          <w:noProof/>
          <w:lang w:val="fr-CA"/>
        </w:rPr>
        <w:t xml:space="preserve">. Dans l’arrêt </w:t>
      </w:r>
      <w:r w:rsidRPr="002C6B07">
        <w:rPr>
          <w:rFonts w:cs="Times New Roman"/>
          <w:i/>
          <w:iCs/>
          <w:noProof/>
          <w:lang w:val="fr-CA"/>
        </w:rPr>
        <w:t>Chevron</w:t>
      </w:r>
      <w:r w:rsidRPr="002C6B07">
        <w:rPr>
          <w:rFonts w:cs="Times New Roman"/>
          <w:noProof/>
          <w:lang w:val="fr-CA"/>
        </w:rPr>
        <w:t xml:space="preserve">, la Cour citait l’arrêt </w:t>
      </w:r>
      <w:r w:rsidRPr="002C6B07">
        <w:rPr>
          <w:rFonts w:cs="Times New Roman"/>
          <w:i/>
          <w:iCs/>
          <w:noProof/>
          <w:lang w:val="fr-CA"/>
        </w:rPr>
        <w:t>Wilson</w:t>
      </w:r>
      <w:r w:rsidRPr="002C6B07">
        <w:rPr>
          <w:rFonts w:cs="Times New Roman"/>
          <w:noProof/>
          <w:lang w:val="fr-CA"/>
        </w:rPr>
        <w:t xml:space="preserve"> afin d’expliquer le sens de l’expression « exploitation d’une entreprise » pour les besoins de la compétence fondée sur la présence. Je ne vois donc aucune différence significative entre le critère que le juge de première instance a appliqué et le critère que, selon H.M.B., il aurait dû appliquer. Je fais par ailleurs observer que, dans l’arrêt </w:t>
      </w:r>
      <w:r w:rsidRPr="002C6B07">
        <w:rPr>
          <w:rFonts w:cs="Times New Roman"/>
          <w:i/>
          <w:iCs/>
          <w:noProof/>
          <w:lang w:val="fr-CA"/>
        </w:rPr>
        <w:t>Wilson</w:t>
      </w:r>
      <w:r w:rsidRPr="002C6B07">
        <w:rPr>
          <w:rFonts w:cs="Times New Roman"/>
          <w:noProof/>
          <w:lang w:val="fr-CA"/>
        </w:rPr>
        <w:t xml:space="preserve">, la Cour d’appel de l’Alberta avait conclu que l’achat de remorques en Idaho en vue de leur revente en Alberta </w:t>
      </w:r>
      <w:r w:rsidRPr="002C6B07">
        <w:rPr>
          <w:rFonts w:cs="Times New Roman"/>
          <w:i/>
          <w:noProof/>
          <w:lang w:val="fr-CA"/>
        </w:rPr>
        <w:t>ne</w:t>
      </w:r>
      <w:r w:rsidRPr="002C6B07">
        <w:rPr>
          <w:rFonts w:cs="Times New Roman"/>
          <w:noProof/>
          <w:lang w:val="fr-CA"/>
        </w:rPr>
        <w:t xml:space="preserve"> constituait </w:t>
      </w:r>
      <w:r w:rsidRPr="002C6B07">
        <w:rPr>
          <w:rFonts w:cs="Times New Roman"/>
          <w:i/>
          <w:noProof/>
          <w:lang w:val="fr-CA"/>
        </w:rPr>
        <w:t>pas</w:t>
      </w:r>
      <w:r w:rsidRPr="002C6B07">
        <w:rPr>
          <w:rFonts w:cs="Times New Roman"/>
          <w:noProof/>
          <w:lang w:val="fr-CA"/>
        </w:rPr>
        <w:t xml:space="preserve"> l’exploitation d’une entreprise en Idaho parce que le débiteur en vertu du jugement</w:t>
      </w:r>
      <w:r>
        <w:rPr>
          <w:rFonts w:cs="Times New Roman"/>
          <w:noProof/>
          <w:lang w:val="fr-CA"/>
        </w:rPr>
        <w:t> :</w:t>
      </w:r>
      <w:r w:rsidRPr="002C6B07">
        <w:rPr>
          <w:rFonts w:cs="Times New Roman"/>
          <w:noProof/>
          <w:lang w:val="fr-CA"/>
        </w:rPr>
        <w:t xml:space="preserve"> (1) n’avait [</w:t>
      </w:r>
      <w:r w:rsidRPr="002C6B07">
        <w:rPr>
          <w:rFonts w:cs="Times New Roman"/>
          <w:smallCaps/>
          <w:noProof/>
          <w:lang w:val="fr-CA"/>
        </w:rPr>
        <w:t>traduction</w:t>
      </w:r>
      <w:r w:rsidRPr="002C6B07">
        <w:rPr>
          <w:rFonts w:cs="Times New Roman"/>
          <w:noProof/>
          <w:lang w:val="fr-CA"/>
        </w:rPr>
        <w:t>] « aucune présence physique en Idaho, c’est</w:t>
      </w:r>
      <w:r>
        <w:rPr>
          <w:rFonts w:cs="Times New Roman"/>
          <w:noProof/>
          <w:lang w:val="fr-CA"/>
        </w:rPr>
        <w:noBreakHyphen/>
      </w:r>
      <w:r w:rsidRPr="002C6B07">
        <w:rPr>
          <w:rFonts w:cs="Times New Roman"/>
          <w:noProof/>
          <w:lang w:val="fr-CA"/>
        </w:rPr>
        <w:t>à</w:t>
      </w:r>
      <w:r>
        <w:rPr>
          <w:rFonts w:cs="Times New Roman"/>
          <w:noProof/>
          <w:lang w:val="fr-CA"/>
        </w:rPr>
        <w:noBreakHyphen/>
      </w:r>
      <w:r w:rsidRPr="002C6B07">
        <w:rPr>
          <w:rFonts w:cs="Times New Roman"/>
          <w:noProof/>
          <w:lang w:val="fr-CA"/>
        </w:rPr>
        <w:t>dire qu’il n’y avait pas de bureau, d’usine ou d’autres locaux commerciaux »; (2) « n’employait pas de vendeurs, de mandataires ou d’autres représentants ou employés en Idaho</w:t>
      </w:r>
      <w:r>
        <w:rPr>
          <w:rFonts w:cs="Times New Roman"/>
          <w:noProof/>
          <w:lang w:val="fr-CA"/>
        </w:rPr>
        <w:t> </w:t>
      </w:r>
      <w:r w:rsidRPr="002C6B07">
        <w:rPr>
          <w:rFonts w:cs="Times New Roman"/>
          <w:noProof/>
          <w:lang w:val="fr-CA"/>
        </w:rPr>
        <w:t>»; (3) « n’avait pas de relations commerciales avec d’autres résidents de l’Idaho</w:t>
      </w:r>
      <w:r>
        <w:rPr>
          <w:rFonts w:cs="Times New Roman"/>
          <w:noProof/>
          <w:lang w:val="fr-CA"/>
        </w:rPr>
        <w:t> </w:t>
      </w:r>
      <w:r w:rsidRPr="002C6B07">
        <w:rPr>
          <w:rFonts w:cs="Times New Roman"/>
          <w:noProof/>
          <w:lang w:val="fr-CA"/>
        </w:rPr>
        <w:t>»; et (4) « n’annonçait pas ses produits ni ne cherchait à les vendre en Idaho » (</w:t>
      </w:r>
      <w:r>
        <w:rPr>
          <w:rFonts w:cs="Times New Roman"/>
          <w:noProof/>
          <w:lang w:val="fr-CA"/>
        </w:rPr>
        <w:t>p. </w:t>
      </w:r>
      <w:r w:rsidRPr="002C6B07">
        <w:rPr>
          <w:rFonts w:cs="Times New Roman"/>
          <w:noProof/>
          <w:lang w:val="fr-CA"/>
        </w:rPr>
        <w:t>407</w:t>
      </w:r>
      <w:r>
        <w:rPr>
          <w:rFonts w:cs="Times New Roman"/>
          <w:noProof/>
          <w:lang w:val="fr-CA"/>
        </w:rPr>
        <w:noBreakHyphen/>
      </w:r>
      <w:r w:rsidRPr="002C6B07">
        <w:rPr>
          <w:rFonts w:cs="Times New Roman"/>
          <w:noProof/>
          <w:lang w:val="fr-CA"/>
        </w:rPr>
        <w:t>408). À mon avis, il ne s’agit pas d’un critère sensiblement différent ou moins exigeant que celui que le juge de première instance a formulé et appliqué en l’espèce. Je ne décèle donc aucune erreur de droit dans l’énoncé par le juge de première instance du critère légal de l’« exercice d’activités ».</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En ce qui concerne l’application de la loi, la conclusion de fait du juge de première instance suivant laquelle Antigua n’exerçait pas ses activités en Colombie</w:t>
      </w:r>
      <w:r>
        <w:rPr>
          <w:rFonts w:cs="Times New Roman"/>
          <w:noProof/>
          <w:lang w:val="fr-CA"/>
        </w:rPr>
        <w:noBreakHyphen/>
      </w:r>
      <w:r w:rsidRPr="002C6B07">
        <w:rPr>
          <w:rFonts w:cs="Times New Roman"/>
          <w:noProof/>
          <w:lang w:val="fr-CA"/>
        </w:rPr>
        <w:t>Britannique commande la déférence et ne peut être modifiée que si elle comporte une erreur manifeste et déterminante. Or, je ne vois aucune erreur manifeste et déterminante dans l’analyse que le juge de première instance a faite de la question de savoir si Antigua exerçait ses activités dans cette province.</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Pour conclure qu’Antigua n’exerçait pas ses activités en Colombie</w:t>
      </w:r>
      <w:r>
        <w:rPr>
          <w:rFonts w:cs="Times New Roman"/>
          <w:noProof/>
          <w:lang w:val="fr-CA"/>
        </w:rPr>
        <w:noBreakHyphen/>
      </w:r>
      <w:r w:rsidRPr="002C6B07">
        <w:rPr>
          <w:rFonts w:cs="Times New Roman"/>
          <w:noProof/>
          <w:lang w:val="fr-CA"/>
        </w:rPr>
        <w:t>Britannique, le juge de première instance a tiré les cinq grandes conclusions de fait suivantes</w:t>
      </w:r>
      <w:r>
        <w:rPr>
          <w:rFonts w:cs="Times New Roman"/>
          <w:noProof/>
          <w:lang w:val="fr-CA"/>
        </w:rPr>
        <w:t> :</w:t>
      </w:r>
      <w:r w:rsidRPr="002C6B07">
        <w:rPr>
          <w:rFonts w:cs="Times New Roman"/>
          <w:noProof/>
          <w:lang w:val="fr-CA"/>
        </w:rPr>
        <w:t xml:space="preserve"> (1) Antigua n’avait pas de présence physique en Colombie</w:t>
      </w:r>
      <w:r>
        <w:rPr>
          <w:rFonts w:cs="Times New Roman"/>
          <w:noProof/>
          <w:lang w:val="fr-CA"/>
        </w:rPr>
        <w:noBreakHyphen/>
      </w:r>
      <w:r w:rsidRPr="002C6B07">
        <w:rPr>
          <w:rFonts w:cs="Times New Roman"/>
          <w:noProof/>
          <w:lang w:val="fr-CA"/>
        </w:rPr>
        <w:t>Britannique; (2) Antigua ne se livrait pas à des activités commerciales soutenues en Colombie</w:t>
      </w:r>
      <w:r>
        <w:rPr>
          <w:rFonts w:cs="Times New Roman"/>
          <w:noProof/>
          <w:lang w:val="fr-CA"/>
        </w:rPr>
        <w:noBreakHyphen/>
      </w:r>
      <w:r w:rsidRPr="002C6B07">
        <w:rPr>
          <w:rFonts w:cs="Times New Roman"/>
          <w:noProof/>
          <w:lang w:val="fr-CA"/>
        </w:rPr>
        <w:t>Britannique; (3) les quatre représentants autorisés n’étaient pas des mandataires ou des mandataires autorisés du gouvernement d’Antigua; (4) les quatre représentants autorisés exploitaient leur propre entreprise indépendamment des activités du gouvernement antiguais; et (5) le CIP ne ciblait pas particulièrement la Colombie</w:t>
      </w:r>
      <w:r>
        <w:rPr>
          <w:rFonts w:cs="Times New Roman"/>
          <w:noProof/>
          <w:lang w:val="fr-CA"/>
        </w:rPr>
        <w:noBreakHyphen/>
      </w:r>
      <w:r w:rsidRPr="002C6B07">
        <w:rPr>
          <w:rFonts w:cs="Times New Roman"/>
          <w:noProof/>
          <w:lang w:val="fr-CA"/>
        </w:rPr>
        <w:t>Britannique ou le Canada; depuis le lancement de ce programme, 1 547</w:t>
      </w:r>
      <w:r>
        <w:rPr>
          <w:rFonts w:cs="Times New Roman"/>
          <w:noProof/>
          <w:lang w:val="fr-CA"/>
        </w:rPr>
        <w:t xml:space="preserve"> </w:t>
      </w:r>
      <w:r w:rsidRPr="002C6B07">
        <w:rPr>
          <w:rFonts w:cs="Times New Roman"/>
          <w:noProof/>
          <w:lang w:val="fr-CA"/>
        </w:rPr>
        <w:t>demandes avaient été présentées, mais seulement 9 d’entre elles provenaient de personnes nées au Canada (</w:t>
      </w:r>
      <w:r>
        <w:rPr>
          <w:rFonts w:cs="Times New Roman"/>
          <w:noProof/>
          <w:lang w:val="fr-CA"/>
        </w:rPr>
        <w:t>par. </w:t>
      </w:r>
      <w:r w:rsidRPr="002C6B07">
        <w:rPr>
          <w:rFonts w:cs="Times New Roman"/>
          <w:noProof/>
          <w:lang w:val="fr-CA"/>
        </w:rPr>
        <w:t>52 et 54).</w:t>
      </w:r>
    </w:p>
    <w:p w:rsidR="009D2D7F" w:rsidRPr="002C6B07" w:rsidRDefault="009D2D7F" w:rsidP="009D2D7F">
      <w:pPr>
        <w:pStyle w:val="ParaNoNdepar-AltN"/>
        <w:tabs>
          <w:tab w:val="clear" w:pos="1152"/>
          <w:tab w:val="left" w:pos="1166"/>
        </w:tabs>
        <w:rPr>
          <w:rFonts w:eastAsia="Times New Roman" w:cs="Times New Roman"/>
          <w:noProof/>
          <w:szCs w:val="24"/>
          <w:lang w:val="fr-CA"/>
        </w:rPr>
      </w:pPr>
      <w:r w:rsidRPr="002C6B07">
        <w:rPr>
          <w:rFonts w:cs="Times New Roman"/>
          <w:noProof/>
          <w:lang w:val="fr-CA"/>
        </w:rPr>
        <w:t>Ces cinq conclusions de fait sont toutes étayées par la preuve au dossier et ne sont entachées d’aucune erreur. Elles sont des facteurs que le juge de première instance a soupesés pour en arriver à sa conclusion qu’Antigua n’exerçait pas ses activités en Colombie</w:t>
      </w:r>
      <w:r>
        <w:rPr>
          <w:rFonts w:cs="Times New Roman"/>
          <w:noProof/>
          <w:lang w:val="fr-CA"/>
        </w:rPr>
        <w:noBreakHyphen/>
      </w:r>
      <w:r w:rsidRPr="002C6B07">
        <w:rPr>
          <w:rFonts w:cs="Times New Roman"/>
          <w:noProof/>
          <w:lang w:val="fr-CA"/>
        </w:rPr>
        <w:t>Britannique. Comme l’</w:t>
      </w:r>
      <w:r>
        <w:rPr>
          <w:rFonts w:cs="Times New Roman"/>
          <w:noProof/>
          <w:lang w:val="fr-CA"/>
        </w:rPr>
        <w:t>ont conclu les juges majoritaires de</w:t>
      </w:r>
      <w:r w:rsidRPr="002C6B07">
        <w:rPr>
          <w:rFonts w:cs="Times New Roman"/>
          <w:noProof/>
          <w:lang w:val="fr-CA"/>
        </w:rPr>
        <w:t xml:space="preserve"> la Cour d’appel, le juge de première instance a clairement tenu compte d’un certain nombre de circonstances factuelles avant d’arriver à sa conclusion et, à défaut d’erreur manifeste et déterminante, il faut faire preuve de déférence à l’égard de cette conclusion. Je suis d’avis de confirmer la conclusion du juge de première instance pour ce motif, sans me prononcer sur la question de savoir si le fait d’offrir la citoyenneté en échange d’un investissement constitue une activité « commerciale ». Étant donné les autres conclusions de fait tirées par le juge de première instance en l’espèce, il n’est pas nécessaire d’examiner cette question et je suis d’avis de m’en abstenir.</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En conséquence, l’</w:t>
      </w:r>
      <w:r>
        <w:rPr>
          <w:rFonts w:cs="Times New Roman"/>
          <w:noProof/>
          <w:lang w:val="fr-CA"/>
        </w:rPr>
        <w:t>al. </w:t>
      </w:r>
      <w:r w:rsidRPr="002C6B07">
        <w:rPr>
          <w:rFonts w:cs="Times New Roman"/>
          <w:noProof/>
          <w:lang w:val="fr-CA"/>
        </w:rPr>
        <w:t xml:space="preserve">3b) de </w:t>
      </w:r>
      <w:r w:rsidRPr="002C6B07">
        <w:rPr>
          <w:rFonts w:cs="Times New Roman"/>
          <w:iCs/>
          <w:noProof/>
          <w:lang w:val="fr-CA"/>
        </w:rPr>
        <w:t xml:space="preserve">la </w:t>
      </w:r>
      <w:r w:rsidRPr="002C6B07">
        <w:rPr>
          <w:rFonts w:cs="Times New Roman"/>
          <w:i/>
          <w:iCs/>
          <w:noProof/>
          <w:lang w:val="fr-CA"/>
        </w:rPr>
        <w:t>LERJ</w:t>
      </w:r>
      <w:r w:rsidRPr="002C6B07">
        <w:rPr>
          <w:rFonts w:cs="Times New Roman"/>
          <w:noProof/>
          <w:lang w:val="fr-CA"/>
        </w:rPr>
        <w:t xml:space="preserve"> empêche H.M.B. de faire enregistrer le jugement de la Colombie</w:t>
      </w:r>
      <w:r>
        <w:rPr>
          <w:rFonts w:cs="Times New Roman"/>
          <w:noProof/>
          <w:lang w:val="fr-CA"/>
        </w:rPr>
        <w:noBreakHyphen/>
      </w:r>
      <w:r w:rsidRPr="002C6B07">
        <w:rPr>
          <w:rFonts w:cs="Times New Roman"/>
          <w:noProof/>
          <w:lang w:val="fr-CA"/>
        </w:rPr>
        <w:t>Britannique en Ontario en vertu de cette loi. Vu cette conclusion, il n’est pas nécessaire de se demander si l’</w:t>
      </w:r>
      <w:r>
        <w:rPr>
          <w:rFonts w:cs="Times New Roman"/>
          <w:noProof/>
          <w:lang w:val="fr-CA"/>
        </w:rPr>
        <w:t>al. </w:t>
      </w:r>
      <w:r w:rsidRPr="002C6B07">
        <w:rPr>
          <w:rFonts w:cs="Times New Roman"/>
          <w:noProof/>
          <w:lang w:val="fr-CA"/>
        </w:rPr>
        <w:t>3g) empêche lui aussi H.M.B. de faire enregistrer le jugement de la Colombie</w:t>
      </w:r>
      <w:r>
        <w:rPr>
          <w:rFonts w:cs="Times New Roman"/>
          <w:noProof/>
          <w:lang w:val="fr-CA"/>
        </w:rPr>
        <w:noBreakHyphen/>
      </w:r>
      <w:r w:rsidRPr="002C6B07">
        <w:rPr>
          <w:rFonts w:cs="Times New Roman"/>
          <w:noProof/>
          <w:lang w:val="fr-CA"/>
        </w:rPr>
        <w:t xml:space="preserve">Britannique en vertu de la </w:t>
      </w:r>
      <w:r w:rsidRPr="002C6B07">
        <w:rPr>
          <w:rFonts w:cs="Times New Roman"/>
          <w:i/>
          <w:noProof/>
          <w:lang w:val="fr-CA"/>
        </w:rPr>
        <w:t>LERJ</w:t>
      </w:r>
      <w:r w:rsidRPr="002C6B07">
        <w:rPr>
          <w:rFonts w:cs="Times New Roman"/>
          <w:noProof/>
          <w:lang w:val="fr-CA"/>
        </w:rPr>
        <w:t xml:space="preserve"> et je suis d’avis de m’abstenir de me prononcer sur cette question.</w:t>
      </w:r>
    </w:p>
    <w:p w:rsidR="009D2D7F" w:rsidRPr="002C6B07" w:rsidRDefault="009D2D7F" w:rsidP="009D2D7F">
      <w:pPr>
        <w:pStyle w:val="Title1LevelTitre1Niveau-AltL"/>
        <w:rPr>
          <w:rFonts w:cs="Times New Roman"/>
          <w:noProof/>
          <w:lang w:val="fr-CA"/>
        </w:rPr>
      </w:pPr>
      <w:r w:rsidRPr="002C6B07">
        <w:rPr>
          <w:rFonts w:cs="Times New Roman"/>
          <w:noProof/>
          <w:lang w:val="fr-CA"/>
        </w:rPr>
        <w:t>Dispositif</w:t>
      </w:r>
    </w:p>
    <w:p w:rsidR="009D2D7F" w:rsidRPr="002C6B07" w:rsidRDefault="009D2D7F" w:rsidP="009D2D7F">
      <w:pPr>
        <w:pStyle w:val="ParaNoNdepar-AltN"/>
        <w:tabs>
          <w:tab w:val="clear" w:pos="1152"/>
          <w:tab w:val="left" w:pos="1166"/>
        </w:tabs>
        <w:rPr>
          <w:rFonts w:cs="Times New Roman"/>
          <w:noProof/>
          <w:lang w:val="fr-CA"/>
        </w:rPr>
      </w:pPr>
      <w:r w:rsidRPr="002C6B07">
        <w:rPr>
          <w:rFonts w:cs="Times New Roman"/>
          <w:noProof/>
          <w:lang w:val="fr-CA"/>
        </w:rPr>
        <w:t>Le présent pourvoi est donc rejeté avec dépens.</w:t>
      </w:r>
    </w:p>
    <w:p w:rsidR="009D2D7F" w:rsidRDefault="009D2D7F" w:rsidP="009D2D7F">
      <w:pPr>
        <w:pStyle w:val="SCCNormalDoubleSpacing"/>
        <w:spacing w:after="480"/>
        <w:rPr>
          <w:lang w:val="fr-CA"/>
        </w:rPr>
      </w:pPr>
    </w:p>
    <w:p w:rsidR="009D2D7F" w:rsidRDefault="009D2D7F" w:rsidP="009D2D7F">
      <w:pPr>
        <w:jc w:val="both"/>
        <w:rPr>
          <w:lang w:val="fr-CA"/>
        </w:rPr>
      </w:pPr>
      <w:r w:rsidRPr="00173A02">
        <w:rPr>
          <w:lang w:val="fr-CA"/>
        </w:rPr>
        <w:t>Version française des motifs rendus par</w:t>
      </w:r>
    </w:p>
    <w:p w:rsidR="009D2D7F" w:rsidRDefault="009D2D7F" w:rsidP="009D2D7F">
      <w:pPr>
        <w:jc w:val="both"/>
        <w:rPr>
          <w:lang w:val="fr-CA"/>
        </w:rPr>
      </w:pPr>
    </w:p>
    <w:p w:rsidR="009D2D7F" w:rsidRPr="004378FA" w:rsidRDefault="009D2D7F" w:rsidP="009D2D7F">
      <w:pPr>
        <w:pStyle w:val="JudgeJuge"/>
        <w:spacing w:before="480"/>
        <w:rPr>
          <w:noProof/>
          <w:lang w:val="fr-CA"/>
        </w:rPr>
      </w:pPr>
      <w:r w:rsidRPr="004378FA">
        <w:rPr>
          <w:noProof/>
          <w:lang w:val="fr-CA"/>
        </w:rPr>
        <w:tab/>
        <w:t xml:space="preserve">La juge Côté — </w:t>
      </w:r>
    </w:p>
    <w:p w:rsidR="009D2D7F" w:rsidRPr="004378FA" w:rsidRDefault="009D2D7F" w:rsidP="009D2D7F">
      <w:pPr>
        <w:pStyle w:val="ParaNoNdepar-AltN"/>
        <w:rPr>
          <w:rFonts w:cs="Times New Roman"/>
          <w:noProof/>
          <w:lang w:val="fr-CA"/>
        </w:rPr>
      </w:pPr>
      <w:r w:rsidRPr="004378FA">
        <w:rPr>
          <w:rFonts w:cs="Times New Roman"/>
          <w:noProof/>
          <w:lang w:val="fr-CA"/>
        </w:rPr>
        <w:t>Je souscris à l</w:t>
      </w:r>
      <w:r>
        <w:rPr>
          <w:rFonts w:cs="Times New Roman"/>
          <w:noProof/>
          <w:lang w:val="fr-CA"/>
        </w:rPr>
        <w:t>’</w:t>
      </w:r>
      <w:r w:rsidRPr="004378FA">
        <w:rPr>
          <w:rFonts w:cs="Times New Roman"/>
          <w:noProof/>
          <w:lang w:val="fr-CA"/>
        </w:rPr>
        <w:t>analyse du juge en chef fondée sur l</w:t>
      </w:r>
      <w:r>
        <w:rPr>
          <w:rFonts w:cs="Times New Roman"/>
          <w:noProof/>
          <w:lang w:val="fr-CA"/>
        </w:rPr>
        <w:t>’</w:t>
      </w:r>
      <w:r w:rsidRPr="004378FA">
        <w:rPr>
          <w:rFonts w:cs="Times New Roman"/>
          <w:noProof/>
          <w:lang w:val="fr-CA"/>
        </w:rPr>
        <w:t xml:space="preserve">al. 3b) de la </w:t>
      </w:r>
      <w:r w:rsidRPr="004378FA">
        <w:rPr>
          <w:rFonts w:cs="Times New Roman"/>
          <w:i/>
          <w:noProof/>
          <w:lang w:val="fr-CA"/>
        </w:rPr>
        <w:t>Loi sur l</w:t>
      </w:r>
      <w:r>
        <w:rPr>
          <w:rFonts w:cs="Times New Roman"/>
          <w:i/>
          <w:noProof/>
          <w:lang w:val="fr-CA"/>
        </w:rPr>
        <w:t>’</w:t>
      </w:r>
      <w:r w:rsidRPr="004378FA">
        <w:rPr>
          <w:rFonts w:cs="Times New Roman"/>
          <w:i/>
          <w:noProof/>
          <w:lang w:val="fr-CA"/>
        </w:rPr>
        <w:t>exécution réciproque de jugements</w:t>
      </w:r>
      <w:r w:rsidRPr="004378FA">
        <w:rPr>
          <w:rFonts w:cs="Times New Roman"/>
          <w:noProof/>
          <w:lang w:val="fr-CA"/>
        </w:rPr>
        <w:t>, L.R.O. 1990, c. R.5 (« </w:t>
      </w:r>
      <w:r w:rsidRPr="004378FA">
        <w:rPr>
          <w:rFonts w:cs="Times New Roman"/>
          <w:i/>
          <w:noProof/>
          <w:lang w:val="fr-CA"/>
        </w:rPr>
        <w:t>LERJ</w:t>
      </w:r>
      <w:r w:rsidRPr="004378FA">
        <w:rPr>
          <w:rFonts w:cs="Times New Roman"/>
          <w:noProof/>
          <w:lang w:val="fr-CA"/>
        </w:rPr>
        <w:t> »), et au dispositif du présent arrêt. Je suis également d</w:t>
      </w:r>
      <w:r>
        <w:rPr>
          <w:rFonts w:cs="Times New Roman"/>
          <w:noProof/>
          <w:lang w:val="fr-CA"/>
        </w:rPr>
        <w:t>’</w:t>
      </w:r>
      <w:r w:rsidRPr="004378FA">
        <w:rPr>
          <w:rFonts w:cs="Times New Roman"/>
          <w:noProof/>
          <w:lang w:val="fr-CA"/>
        </w:rPr>
        <w:t>avis qu</w:t>
      </w:r>
      <w:r>
        <w:rPr>
          <w:rFonts w:cs="Times New Roman"/>
          <w:noProof/>
          <w:lang w:val="fr-CA"/>
        </w:rPr>
        <w:t>’</w:t>
      </w:r>
      <w:r w:rsidRPr="004378FA">
        <w:rPr>
          <w:rFonts w:cs="Times New Roman"/>
          <w:noProof/>
          <w:lang w:val="fr-CA"/>
        </w:rPr>
        <w:t>il n</w:t>
      </w:r>
      <w:r>
        <w:rPr>
          <w:rFonts w:cs="Times New Roman"/>
          <w:noProof/>
          <w:lang w:val="fr-CA"/>
        </w:rPr>
        <w:t>’</w:t>
      </w:r>
      <w:r w:rsidRPr="004378FA">
        <w:rPr>
          <w:rFonts w:cs="Times New Roman"/>
          <w:noProof/>
          <w:lang w:val="fr-CA"/>
        </w:rPr>
        <w:t>est pas nécessaire d</w:t>
      </w:r>
      <w:r>
        <w:rPr>
          <w:rFonts w:cs="Times New Roman"/>
          <w:noProof/>
          <w:lang w:val="fr-CA"/>
        </w:rPr>
        <w:t>’</w:t>
      </w:r>
      <w:r w:rsidRPr="004378FA">
        <w:rPr>
          <w:rFonts w:cs="Times New Roman"/>
          <w:noProof/>
          <w:lang w:val="fr-CA"/>
        </w:rPr>
        <w:t>établir le sens du terme « jugement initial » à l</w:t>
      </w:r>
      <w:r>
        <w:rPr>
          <w:rFonts w:cs="Times New Roman"/>
          <w:noProof/>
          <w:lang w:val="fr-CA"/>
        </w:rPr>
        <w:t>’</w:t>
      </w:r>
      <w:r w:rsidRPr="004378FA">
        <w:rPr>
          <w:rFonts w:cs="Times New Roman"/>
          <w:noProof/>
          <w:lang w:val="fr-CA"/>
        </w:rPr>
        <w:t>al. 3g). Je diverge toutefois d</w:t>
      </w:r>
      <w:r>
        <w:rPr>
          <w:rFonts w:cs="Times New Roman"/>
          <w:noProof/>
          <w:lang w:val="fr-CA"/>
        </w:rPr>
        <w:t>’</w:t>
      </w:r>
      <w:r w:rsidRPr="004378FA">
        <w:rPr>
          <w:rFonts w:cs="Times New Roman"/>
          <w:noProof/>
          <w:lang w:val="fr-CA"/>
        </w:rPr>
        <w:t xml:space="preserve">opinion dans la mesure où ses motifs laissent entendre que la </w:t>
      </w:r>
      <w:r w:rsidRPr="004378FA">
        <w:rPr>
          <w:rFonts w:cs="Times New Roman"/>
          <w:i/>
          <w:noProof/>
          <w:lang w:val="fr-CA"/>
        </w:rPr>
        <w:t xml:space="preserve">LERJ </w:t>
      </w:r>
      <w:r w:rsidRPr="004378FA">
        <w:rPr>
          <w:rFonts w:cs="Times New Roman"/>
          <w:noProof/>
          <w:lang w:val="fr-CA"/>
        </w:rPr>
        <w:t>pourrait ne pas s</w:t>
      </w:r>
      <w:r>
        <w:rPr>
          <w:rFonts w:cs="Times New Roman"/>
          <w:noProof/>
          <w:lang w:val="fr-CA"/>
        </w:rPr>
        <w:t>’</w:t>
      </w:r>
      <w:r w:rsidRPr="004378FA">
        <w:rPr>
          <w:rFonts w:cs="Times New Roman"/>
          <w:noProof/>
          <w:lang w:val="fr-CA"/>
        </w:rPr>
        <w:t>appliquer à ce qu</w:t>
      </w:r>
      <w:r>
        <w:rPr>
          <w:rFonts w:cs="Times New Roman"/>
          <w:noProof/>
          <w:lang w:val="fr-CA"/>
        </w:rPr>
        <w:t>’</w:t>
      </w:r>
      <w:r w:rsidRPr="004378FA">
        <w:rPr>
          <w:rFonts w:cs="Times New Roman"/>
          <w:noProof/>
          <w:lang w:val="fr-CA"/>
        </w:rPr>
        <w:t>il appelle « les jugements dérivés ». À mon avis, le jugement qui est rendu à l</w:t>
      </w:r>
      <w:r>
        <w:rPr>
          <w:rFonts w:cs="Times New Roman"/>
          <w:noProof/>
          <w:lang w:val="fr-CA"/>
        </w:rPr>
        <w:t>’</w:t>
      </w:r>
      <w:r w:rsidRPr="004378FA">
        <w:rPr>
          <w:rFonts w:cs="Times New Roman"/>
          <w:noProof/>
          <w:lang w:val="fr-CA"/>
        </w:rPr>
        <w:t>issue d</w:t>
      </w:r>
      <w:r>
        <w:rPr>
          <w:rFonts w:cs="Times New Roman"/>
          <w:noProof/>
          <w:lang w:val="fr-CA"/>
        </w:rPr>
        <w:t>’</w:t>
      </w:r>
      <w:r w:rsidRPr="004378FA">
        <w:rPr>
          <w:rFonts w:cs="Times New Roman"/>
          <w:noProof/>
          <w:lang w:val="fr-CA"/>
        </w:rPr>
        <w:t>une action en common law et qui reconnaît un jugement étranger (« jugement de reconnaissance »), comme le jugement de la Colombie</w:t>
      </w:r>
      <w:r w:rsidRPr="004378FA">
        <w:rPr>
          <w:rFonts w:cs="Times New Roman"/>
          <w:noProof/>
          <w:lang w:val="fr-CA"/>
        </w:rPr>
        <w:noBreakHyphen/>
        <w:t>Britannique en l</w:t>
      </w:r>
      <w:r>
        <w:rPr>
          <w:rFonts w:cs="Times New Roman"/>
          <w:noProof/>
          <w:lang w:val="fr-CA"/>
        </w:rPr>
        <w:t>’</w:t>
      </w:r>
      <w:r w:rsidRPr="004378FA">
        <w:rPr>
          <w:rFonts w:cs="Times New Roman"/>
          <w:noProof/>
          <w:lang w:val="fr-CA"/>
        </w:rPr>
        <w:t>espèce (C.S., n</w:t>
      </w:r>
      <w:r w:rsidRPr="004378FA">
        <w:rPr>
          <w:rFonts w:cs="Times New Roman"/>
          <w:noProof/>
          <w:vertAlign w:val="superscript"/>
          <w:lang w:val="fr-CA"/>
        </w:rPr>
        <w:t>o</w:t>
      </w:r>
      <w:r>
        <w:rPr>
          <w:rFonts w:cs="Times New Roman"/>
          <w:noProof/>
          <w:lang w:val="fr-CA"/>
        </w:rPr>
        <w:t xml:space="preserve"> S169831, 7 </w:t>
      </w:r>
      <w:r w:rsidRPr="004378FA">
        <w:rPr>
          <w:rFonts w:cs="Times New Roman"/>
          <w:noProof/>
          <w:lang w:val="fr-CA"/>
        </w:rPr>
        <w:t>avril 2017 (« jugement de la C.</w:t>
      </w:r>
      <w:r w:rsidRPr="004378FA">
        <w:rPr>
          <w:rFonts w:cs="Times New Roman"/>
          <w:noProof/>
          <w:lang w:val="fr-CA"/>
        </w:rPr>
        <w:noBreakHyphen/>
        <w:t xml:space="preserve">B. »)), répond parfaitement à la définition large que le par. 1(1) de la </w:t>
      </w:r>
      <w:r w:rsidRPr="004378FA">
        <w:rPr>
          <w:rFonts w:cs="Times New Roman"/>
          <w:i/>
          <w:noProof/>
          <w:lang w:val="fr-CA"/>
        </w:rPr>
        <w:t xml:space="preserve">LERJ </w:t>
      </w:r>
      <w:r w:rsidRPr="004378FA">
        <w:rPr>
          <w:rFonts w:cs="Times New Roman"/>
          <w:noProof/>
          <w:lang w:val="fr-CA"/>
        </w:rPr>
        <w:t>donne du mot « jugement », pourvu que le jugement de reconnaissance ait été rendu dans un État accordant la réciprocité.</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 xml:space="preserve">Selon mon collègue, </w:t>
      </w:r>
      <w:r w:rsidRPr="004378FA">
        <w:rPr>
          <w:rFonts w:eastAsiaTheme="minorHAnsi" w:cs="Times New Roman"/>
          <w:noProof/>
          <w:lang w:val="fr-CA"/>
        </w:rPr>
        <w:t>il convient d</w:t>
      </w:r>
      <w:r>
        <w:rPr>
          <w:rFonts w:eastAsiaTheme="minorHAnsi" w:cs="Times New Roman"/>
          <w:noProof/>
          <w:lang w:val="fr-CA"/>
        </w:rPr>
        <w:t>’</w:t>
      </w:r>
      <w:r w:rsidRPr="004378FA">
        <w:rPr>
          <w:rFonts w:eastAsiaTheme="minorHAnsi" w:cs="Times New Roman"/>
          <w:noProof/>
          <w:lang w:val="fr-CA"/>
        </w:rPr>
        <w:t>attendre une autre occasion pour trancher cette question, parce que la Cour « n</w:t>
      </w:r>
      <w:r>
        <w:rPr>
          <w:rFonts w:eastAsiaTheme="minorHAnsi" w:cs="Times New Roman"/>
          <w:noProof/>
          <w:lang w:val="fr-CA"/>
        </w:rPr>
        <w:t>’</w:t>
      </w:r>
      <w:r w:rsidRPr="004378FA">
        <w:rPr>
          <w:rFonts w:eastAsiaTheme="minorHAnsi" w:cs="Times New Roman"/>
          <w:noProof/>
          <w:lang w:val="fr-CA"/>
        </w:rPr>
        <w:t>a pas eu l</w:t>
      </w:r>
      <w:r>
        <w:rPr>
          <w:rFonts w:eastAsiaTheme="minorHAnsi" w:cs="Times New Roman"/>
          <w:noProof/>
          <w:lang w:val="fr-CA"/>
        </w:rPr>
        <w:t>’</w:t>
      </w:r>
      <w:r w:rsidRPr="004378FA">
        <w:rPr>
          <w:rFonts w:eastAsiaTheme="minorHAnsi" w:cs="Times New Roman"/>
          <w:noProof/>
          <w:lang w:val="fr-CA"/>
        </w:rPr>
        <w:t>avantage d</w:t>
      </w:r>
      <w:r>
        <w:rPr>
          <w:rFonts w:eastAsiaTheme="minorHAnsi" w:cs="Times New Roman"/>
          <w:noProof/>
          <w:lang w:val="fr-CA"/>
        </w:rPr>
        <w:t>’</w:t>
      </w:r>
      <w:r w:rsidRPr="004378FA">
        <w:rPr>
          <w:rFonts w:eastAsiaTheme="minorHAnsi" w:cs="Times New Roman"/>
          <w:noProof/>
          <w:lang w:val="fr-CA"/>
        </w:rPr>
        <w:t>entendre une argumentation complète sur la question »</w:t>
      </w:r>
      <w:r w:rsidRPr="004378FA">
        <w:rPr>
          <w:rFonts w:cs="Times New Roman"/>
          <w:noProof/>
          <w:lang w:val="fr-CA"/>
        </w:rPr>
        <w:t xml:space="preserve"> (par. 26). Avec égards, je ne partage pas son point de vue. Des observations orales et écrites ont été formulées au sujet de la possibilité d</w:t>
      </w:r>
      <w:r>
        <w:rPr>
          <w:rFonts w:cs="Times New Roman"/>
          <w:noProof/>
          <w:lang w:val="fr-CA"/>
        </w:rPr>
        <w:t>’</w:t>
      </w:r>
      <w:r w:rsidRPr="004378FA">
        <w:rPr>
          <w:rFonts w:cs="Times New Roman"/>
          <w:noProof/>
          <w:lang w:val="fr-CA"/>
        </w:rPr>
        <w:t>enregistrer un « jugement dérivé », bien que cette question ait été plaidée principalement au regard de l</w:t>
      </w:r>
      <w:r>
        <w:rPr>
          <w:rFonts w:cs="Times New Roman"/>
          <w:noProof/>
          <w:lang w:val="fr-CA"/>
        </w:rPr>
        <w:t>’</w:t>
      </w:r>
      <w:r w:rsidRPr="004378FA">
        <w:rPr>
          <w:rFonts w:cs="Times New Roman"/>
          <w:noProof/>
          <w:lang w:val="fr-CA"/>
        </w:rPr>
        <w:t xml:space="preserve">al. 3g) de la </w:t>
      </w:r>
      <w:r w:rsidRPr="004378FA">
        <w:rPr>
          <w:rFonts w:cs="Times New Roman"/>
          <w:i/>
          <w:noProof/>
          <w:lang w:val="fr-CA"/>
        </w:rPr>
        <w:t>LERJ</w:t>
      </w:r>
      <w:r w:rsidRPr="004378FA">
        <w:rPr>
          <w:rFonts w:cs="Times New Roman"/>
          <w:noProof/>
          <w:lang w:val="fr-CA"/>
        </w:rPr>
        <w:t xml:space="preserve"> plutôt qu</w:t>
      </w:r>
      <w:r>
        <w:rPr>
          <w:rFonts w:cs="Times New Roman"/>
          <w:noProof/>
          <w:lang w:val="fr-CA"/>
        </w:rPr>
        <w:t>’</w:t>
      </w:r>
      <w:r w:rsidRPr="004378FA">
        <w:rPr>
          <w:rFonts w:cs="Times New Roman"/>
          <w:noProof/>
          <w:lang w:val="fr-CA"/>
        </w:rPr>
        <w:t xml:space="preserve">à titre de question préliminaire. En fait, les expressions « jugements dérivés » et </w:t>
      </w:r>
      <w:r w:rsidRPr="00612DF7">
        <w:rPr>
          <w:rFonts w:cs="Times New Roman"/>
          <w:noProof/>
          <w:lang w:val="fr-CA"/>
        </w:rPr>
        <w:t>[</w:t>
      </w:r>
      <w:r w:rsidRPr="00612DF7">
        <w:rPr>
          <w:rFonts w:cs="Times New Roman"/>
          <w:smallCaps/>
          <w:noProof/>
          <w:lang w:val="fr-CA"/>
        </w:rPr>
        <w:t>traduction</w:t>
      </w:r>
      <w:r>
        <w:rPr>
          <w:rFonts w:cs="Times New Roman"/>
          <w:noProof/>
          <w:lang w:val="fr-CA"/>
        </w:rPr>
        <w:t xml:space="preserve">] </w:t>
      </w:r>
      <w:r w:rsidRPr="004378FA">
        <w:rPr>
          <w:rFonts w:cs="Times New Roman"/>
          <w:noProof/>
          <w:lang w:val="fr-CA"/>
        </w:rPr>
        <w:t>« jugements par ricochet » (comme Antigua les appelle) ont été employées en l</w:t>
      </w:r>
      <w:r>
        <w:rPr>
          <w:rFonts w:cs="Times New Roman"/>
          <w:noProof/>
          <w:lang w:val="fr-CA"/>
        </w:rPr>
        <w:t>’</w:t>
      </w:r>
      <w:r w:rsidRPr="004378FA">
        <w:rPr>
          <w:rFonts w:cs="Times New Roman"/>
          <w:noProof/>
          <w:lang w:val="fr-CA"/>
        </w:rPr>
        <w:t>espèce comme une figure de style dans le seul but de faire comprendre que ces jugements permettent de contourner l</w:t>
      </w:r>
      <w:r>
        <w:rPr>
          <w:rFonts w:cs="Times New Roman"/>
          <w:noProof/>
          <w:lang w:val="fr-CA"/>
        </w:rPr>
        <w:t>’</w:t>
      </w:r>
      <w:r w:rsidRPr="004378FA">
        <w:rPr>
          <w:rFonts w:cs="Times New Roman"/>
          <w:noProof/>
          <w:lang w:val="fr-CA"/>
        </w:rPr>
        <w:t xml:space="preserve">économie de la </w:t>
      </w:r>
      <w:r w:rsidRPr="004378FA">
        <w:rPr>
          <w:rFonts w:cs="Times New Roman"/>
          <w:i/>
          <w:noProof/>
          <w:lang w:val="fr-CA"/>
        </w:rPr>
        <w:t>LERJ</w:t>
      </w:r>
      <w:r w:rsidRPr="004378FA">
        <w:rPr>
          <w:rFonts w:cs="Times New Roman"/>
          <w:noProof/>
          <w:lang w:val="fr-CA"/>
        </w:rPr>
        <w:t xml:space="preserve">. En somme, la possibilité que les « jugements dérivés » soient enregistrés en vertu de la </w:t>
      </w:r>
      <w:r w:rsidRPr="004378FA">
        <w:rPr>
          <w:rFonts w:cs="Times New Roman"/>
          <w:i/>
          <w:noProof/>
          <w:lang w:val="fr-CA"/>
        </w:rPr>
        <w:t>LERJ</w:t>
      </w:r>
      <w:r w:rsidRPr="004378FA">
        <w:rPr>
          <w:rFonts w:cs="Times New Roman"/>
          <w:noProof/>
          <w:lang w:val="fr-CA"/>
        </w:rPr>
        <w:t xml:space="preserve"> a toujours été au cœur du débat dans la présente affaire.</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Mais il ne faut pas s</w:t>
      </w:r>
      <w:r>
        <w:rPr>
          <w:rFonts w:cs="Times New Roman"/>
          <w:noProof/>
          <w:lang w:val="fr-CA"/>
        </w:rPr>
        <w:t>’</w:t>
      </w:r>
      <w:r w:rsidRPr="004378FA">
        <w:rPr>
          <w:rFonts w:cs="Times New Roman"/>
          <w:noProof/>
          <w:lang w:val="fr-CA"/>
        </w:rPr>
        <w:t>étonner que les parties n</w:t>
      </w:r>
      <w:r>
        <w:rPr>
          <w:rFonts w:cs="Times New Roman"/>
          <w:noProof/>
          <w:lang w:val="fr-CA"/>
        </w:rPr>
        <w:t>’</w:t>
      </w:r>
      <w:r w:rsidRPr="004378FA">
        <w:rPr>
          <w:rFonts w:cs="Times New Roman"/>
          <w:noProof/>
          <w:lang w:val="fr-CA"/>
        </w:rPr>
        <w:t xml:space="preserve">aient pas </w:t>
      </w:r>
      <w:r>
        <w:rPr>
          <w:rFonts w:cs="Times New Roman"/>
          <w:noProof/>
          <w:lang w:val="fr-CA"/>
        </w:rPr>
        <w:t>« </w:t>
      </w:r>
      <w:r w:rsidRPr="004378FA">
        <w:rPr>
          <w:rFonts w:cs="Times New Roman"/>
          <w:noProof/>
          <w:lang w:val="fr-CA"/>
        </w:rPr>
        <w:t>pleinement débattu</w:t>
      </w:r>
      <w:r>
        <w:rPr>
          <w:rFonts w:cs="Times New Roman"/>
          <w:noProof/>
          <w:lang w:val="fr-CA"/>
        </w:rPr>
        <w:t> »</w:t>
      </w:r>
      <w:r w:rsidRPr="004378FA">
        <w:rPr>
          <w:rFonts w:cs="Times New Roman"/>
          <w:noProof/>
          <w:lang w:val="fr-CA"/>
        </w:rPr>
        <w:t xml:space="preserve"> de cette matière à titre de question préliminaire distincte, puisque notre Cour a expressément confirmé la possibilité d</w:t>
      </w:r>
      <w:r>
        <w:rPr>
          <w:rFonts w:cs="Times New Roman"/>
          <w:noProof/>
          <w:lang w:val="fr-CA"/>
        </w:rPr>
        <w:t>’</w:t>
      </w:r>
      <w:r w:rsidRPr="004378FA">
        <w:rPr>
          <w:rFonts w:cs="Times New Roman"/>
          <w:noProof/>
          <w:lang w:val="fr-CA"/>
        </w:rPr>
        <w:t>enregistrer un jugement de reconnaissance. En effet, il y a à peine six ans, une formation de sept juges de notre Cour a reconnu à l</w:t>
      </w:r>
      <w:r>
        <w:rPr>
          <w:rFonts w:cs="Times New Roman"/>
          <w:noProof/>
          <w:lang w:val="fr-CA"/>
        </w:rPr>
        <w:t>’</w:t>
      </w:r>
      <w:r w:rsidRPr="004378FA">
        <w:rPr>
          <w:rFonts w:cs="Times New Roman"/>
          <w:noProof/>
          <w:lang w:val="fr-CA"/>
        </w:rPr>
        <w:t>unanimité que, « selon la législation provinciale, un jugement en reconnaissance et en exécution rendu dans une province peut être susceptible d</w:t>
      </w:r>
      <w:r>
        <w:rPr>
          <w:rFonts w:cs="Times New Roman"/>
          <w:noProof/>
          <w:lang w:val="fr-CA"/>
        </w:rPr>
        <w:t>’</w:t>
      </w:r>
      <w:r w:rsidRPr="004378FA">
        <w:rPr>
          <w:rFonts w:cs="Times New Roman"/>
          <w:noProof/>
          <w:lang w:val="fr-CA"/>
        </w:rPr>
        <w:t>“enregistrement” dans une autre province, ce qui offre un certain avantage aux demandeurs qui ont déjà obtenu un jugement en reconnaissance et en exécution » (</w:t>
      </w:r>
      <w:r w:rsidRPr="004378FA">
        <w:rPr>
          <w:rFonts w:cs="Times New Roman"/>
          <w:i/>
          <w:noProof/>
          <w:lang w:val="fr-CA"/>
        </w:rPr>
        <w:t>Chevron Corp. c. Yaiguaje</w:t>
      </w:r>
      <w:r w:rsidRPr="004378FA">
        <w:rPr>
          <w:rFonts w:cs="Times New Roman"/>
          <w:noProof/>
          <w:lang w:val="fr-CA"/>
        </w:rPr>
        <w:t>, 2015 CSC 42, [2015] 3 R.C.S. 69, par. 49). Se dissocier de cette affirmation non équivoque créerait une incertitude juridique aussi importante qu</w:t>
      </w:r>
      <w:r>
        <w:rPr>
          <w:rFonts w:cs="Times New Roman"/>
          <w:noProof/>
          <w:lang w:val="fr-CA"/>
        </w:rPr>
        <w:t>’</w:t>
      </w:r>
      <w:r w:rsidRPr="004378FA">
        <w:rPr>
          <w:rFonts w:cs="Times New Roman"/>
          <w:noProof/>
          <w:lang w:val="fr-CA"/>
        </w:rPr>
        <w:t>inutile.</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Ces dernières années, notre Cour a souligné à maintes reprises l</w:t>
      </w:r>
      <w:r>
        <w:rPr>
          <w:rFonts w:cs="Times New Roman"/>
          <w:noProof/>
          <w:lang w:val="fr-CA"/>
        </w:rPr>
        <w:t>’</w:t>
      </w:r>
      <w:r w:rsidRPr="004378FA">
        <w:rPr>
          <w:rFonts w:cs="Times New Roman"/>
          <w:noProof/>
          <w:lang w:val="fr-CA"/>
        </w:rPr>
        <w:t>importance d</w:t>
      </w:r>
      <w:r>
        <w:rPr>
          <w:rFonts w:cs="Times New Roman"/>
          <w:noProof/>
          <w:lang w:val="fr-CA"/>
        </w:rPr>
        <w:t>’</w:t>
      </w:r>
      <w:r w:rsidRPr="004378FA">
        <w:rPr>
          <w:rFonts w:cs="Times New Roman"/>
          <w:noProof/>
          <w:lang w:val="fr-CA"/>
        </w:rPr>
        <w:t>éliminer les obstacles qui entravent l</w:t>
      </w:r>
      <w:r>
        <w:rPr>
          <w:rFonts w:cs="Times New Roman"/>
          <w:noProof/>
          <w:lang w:val="fr-CA"/>
        </w:rPr>
        <w:t>’</w:t>
      </w:r>
      <w:r w:rsidRPr="004378FA">
        <w:rPr>
          <w:rFonts w:cs="Times New Roman"/>
          <w:noProof/>
          <w:lang w:val="fr-CA"/>
        </w:rPr>
        <w:t>accès à la justice (</w:t>
      </w:r>
      <w:r w:rsidRPr="004378FA">
        <w:rPr>
          <w:rFonts w:cs="Times New Roman"/>
          <w:i/>
          <w:noProof/>
          <w:lang w:val="fr-CA"/>
        </w:rPr>
        <w:t>Hryniak c. Mauldin</w:t>
      </w:r>
      <w:r w:rsidRPr="004378FA">
        <w:rPr>
          <w:rFonts w:cs="Times New Roman"/>
          <w:noProof/>
          <w:lang w:val="fr-CA"/>
        </w:rPr>
        <w:t xml:space="preserve">, 2014 CSC 7, [2014] 1 R.C.S. 87, par. 1; </w:t>
      </w:r>
      <w:r w:rsidRPr="004378FA">
        <w:rPr>
          <w:rFonts w:cs="Times New Roman"/>
          <w:i/>
          <w:noProof/>
          <w:lang w:val="fr-CA"/>
        </w:rPr>
        <w:t>C.M. Callow Inc. c. Zollinger</w:t>
      </w:r>
      <w:r w:rsidRPr="004378FA">
        <w:rPr>
          <w:rFonts w:cs="Times New Roman"/>
          <w:noProof/>
          <w:lang w:val="fr-CA"/>
        </w:rPr>
        <w:t xml:space="preserve">, 2020 CSC 45, par. 170; </w:t>
      </w:r>
      <w:r w:rsidRPr="004378FA">
        <w:rPr>
          <w:rFonts w:cs="Times New Roman"/>
          <w:i/>
          <w:iCs/>
          <w:lang w:val="fr-CA"/>
        </w:rPr>
        <w:t xml:space="preserve">Renvoi relatif au </w:t>
      </w:r>
      <w:r>
        <w:rPr>
          <w:rFonts w:cs="Times New Roman"/>
          <w:i/>
          <w:iCs/>
          <w:lang w:val="fr-CA"/>
        </w:rPr>
        <w:t xml:space="preserve">Code de </w:t>
      </w:r>
      <w:r w:rsidRPr="00D216C1">
        <w:rPr>
          <w:i/>
        </w:rPr>
        <w:t xml:space="preserve">procédure civile </w:t>
      </w:r>
      <w:r w:rsidRPr="00D216C1">
        <w:rPr>
          <w:rFonts w:cs="Times New Roman"/>
          <w:i/>
          <w:iCs/>
          <w:lang w:val="fr-CA"/>
        </w:rPr>
        <w:t>(Qc),</w:t>
      </w:r>
      <w:r w:rsidRPr="004378FA">
        <w:rPr>
          <w:rFonts w:cs="Times New Roman"/>
          <w:i/>
          <w:iCs/>
          <w:lang w:val="fr-CA"/>
        </w:rPr>
        <w:t> art</w:t>
      </w:r>
      <w:bookmarkStart w:id="0" w:name="_GoBack"/>
      <w:bookmarkEnd w:id="0"/>
      <w:r w:rsidRPr="004378FA">
        <w:rPr>
          <w:rFonts w:cs="Times New Roman"/>
          <w:i/>
          <w:iCs/>
          <w:lang w:val="fr-CA"/>
        </w:rPr>
        <w:t>. 35</w:t>
      </w:r>
      <w:r w:rsidRPr="004378FA">
        <w:rPr>
          <w:rFonts w:cs="Times New Roman"/>
          <w:lang w:val="fr-CA"/>
        </w:rPr>
        <w:t>, 2021</w:t>
      </w:r>
      <w:r w:rsidRPr="004378FA">
        <w:rPr>
          <w:rFonts w:cs="Times New Roman"/>
          <w:noProof/>
          <w:lang w:val="fr-CA"/>
        </w:rPr>
        <w:t> CSC 27, par. 126). L</w:t>
      </w:r>
      <w:r>
        <w:rPr>
          <w:rFonts w:cs="Times New Roman"/>
          <w:noProof/>
          <w:lang w:val="fr-CA"/>
        </w:rPr>
        <w:t>’</w:t>
      </w:r>
      <w:r w:rsidRPr="004378FA">
        <w:rPr>
          <w:rFonts w:cs="Times New Roman"/>
          <w:noProof/>
          <w:lang w:val="fr-CA"/>
        </w:rPr>
        <w:t>accès à la justice commence par le respect de « la confiance que le lecteur doit pouvoir mettre dans le libellé du texte interprété à la lumière de son juste contexte » (</w:t>
      </w:r>
      <w:r w:rsidRPr="004378FA">
        <w:rPr>
          <w:rFonts w:cs="Times New Roman"/>
          <w:i/>
          <w:iCs/>
          <w:noProof/>
          <w:lang w:val="fr-CA"/>
        </w:rPr>
        <w:t>M</w:t>
      </w:r>
      <w:r>
        <w:rPr>
          <w:rFonts w:cs="Times New Roman"/>
          <w:i/>
          <w:iCs/>
          <w:noProof/>
          <w:lang w:val="fr-CA"/>
        </w:rPr>
        <w:t>é</w:t>
      </w:r>
      <w:r w:rsidRPr="004378FA">
        <w:rPr>
          <w:rFonts w:cs="Times New Roman"/>
          <w:i/>
          <w:iCs/>
          <w:noProof/>
          <w:lang w:val="fr-CA"/>
        </w:rPr>
        <w:t>diaQMI inc. c. Kamel</w:t>
      </w:r>
      <w:r w:rsidRPr="004378FA">
        <w:rPr>
          <w:rFonts w:cs="Times New Roman"/>
          <w:noProof/>
          <w:lang w:val="fr-CA"/>
        </w:rPr>
        <w:t>, 2021 CSC 23, par. 38, citant P.</w:t>
      </w:r>
      <w:r w:rsidRPr="004378FA">
        <w:rPr>
          <w:rFonts w:cs="Times New Roman"/>
          <w:noProof/>
          <w:lang w:val="fr-CA"/>
        </w:rPr>
        <w:noBreakHyphen/>
        <w:t>A.</w:t>
      </w:r>
      <w:r>
        <w:rPr>
          <w:rFonts w:cs="Times New Roman"/>
          <w:noProof/>
          <w:lang w:val="fr-CA"/>
        </w:rPr>
        <w:t xml:space="preserve"> Côté, en collaboration avec S. Beaulac et M. </w:t>
      </w:r>
      <w:r w:rsidRPr="004378FA">
        <w:rPr>
          <w:rFonts w:cs="Times New Roman"/>
          <w:noProof/>
          <w:lang w:val="fr-CA"/>
        </w:rPr>
        <w:t xml:space="preserve">Devinat, </w:t>
      </w:r>
      <w:r w:rsidRPr="004378FA">
        <w:rPr>
          <w:rFonts w:cs="Times New Roman"/>
          <w:i/>
          <w:noProof/>
          <w:lang w:val="fr-CA"/>
        </w:rPr>
        <w:t>Interprétation des lois</w:t>
      </w:r>
      <w:r w:rsidRPr="004378FA">
        <w:rPr>
          <w:rFonts w:cs="Times New Roman"/>
          <w:noProof/>
          <w:lang w:val="fr-CA"/>
        </w:rPr>
        <w:t xml:space="preserve"> (4</w:t>
      </w:r>
      <w:r w:rsidRPr="004378FA">
        <w:rPr>
          <w:rFonts w:cs="Times New Roman"/>
          <w:noProof/>
          <w:vertAlign w:val="superscript"/>
          <w:lang w:val="fr-CA"/>
        </w:rPr>
        <w:t>e</w:t>
      </w:r>
      <w:r w:rsidRPr="004378FA">
        <w:rPr>
          <w:rFonts w:cs="Times New Roman"/>
          <w:noProof/>
          <w:lang w:val="fr-CA"/>
        </w:rPr>
        <w:t xml:space="preserve"> éd. 2009), p. 507). Cela permet d</w:t>
      </w:r>
      <w:r>
        <w:rPr>
          <w:rFonts w:cs="Times New Roman"/>
          <w:noProof/>
          <w:lang w:val="fr-CA"/>
        </w:rPr>
        <w:t>’</w:t>
      </w:r>
      <w:r w:rsidRPr="004378FA">
        <w:rPr>
          <w:rFonts w:cs="Times New Roman"/>
          <w:noProof/>
          <w:lang w:val="fr-CA"/>
        </w:rPr>
        <w:t>éviter les litiges inutiles, de favoriser les règlements et de garantir que la justice ne devienne pas une affaire de divination. Bien que la loi ne soit pas toujours claire, on ne devrait pas chercher des moyens de l</w:t>
      </w:r>
      <w:r>
        <w:rPr>
          <w:rFonts w:cs="Times New Roman"/>
          <w:noProof/>
          <w:lang w:val="fr-CA"/>
        </w:rPr>
        <w:t>’</w:t>
      </w:r>
      <w:r w:rsidRPr="004378FA">
        <w:rPr>
          <w:rFonts w:cs="Times New Roman"/>
          <w:noProof/>
          <w:lang w:val="fr-CA"/>
        </w:rPr>
        <w:t>obscurcir en dissociant le texte du sens des dispositions.</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La présente affaire, par exemple, concerne une loi conçue pour aider les créanciers qui ont obtenu un jugement dans une province ou un territoire autre que l</w:t>
      </w:r>
      <w:r>
        <w:rPr>
          <w:rFonts w:cs="Times New Roman"/>
          <w:noProof/>
          <w:lang w:val="fr-CA"/>
        </w:rPr>
        <w:t>’</w:t>
      </w:r>
      <w:r w:rsidRPr="004378FA">
        <w:rPr>
          <w:rFonts w:cs="Times New Roman"/>
          <w:noProof/>
          <w:lang w:val="fr-CA"/>
        </w:rPr>
        <w:t xml:space="preserve">Ontario à recouvrer leur créance en Ontario, sans devoir intenter un nouveau procès. La </w:t>
      </w:r>
      <w:r w:rsidRPr="004378FA">
        <w:rPr>
          <w:rFonts w:cs="Times New Roman"/>
          <w:i/>
          <w:noProof/>
          <w:lang w:val="fr-CA"/>
        </w:rPr>
        <w:t xml:space="preserve">LERJ </w:t>
      </w:r>
      <w:r w:rsidRPr="004378FA">
        <w:rPr>
          <w:rFonts w:cs="Times New Roman"/>
          <w:noProof/>
          <w:lang w:val="fr-CA"/>
        </w:rPr>
        <w:t>prévoit un mécanisme pratique et peu coûteux pour l</w:t>
      </w:r>
      <w:r>
        <w:rPr>
          <w:rFonts w:cs="Times New Roman"/>
          <w:noProof/>
          <w:lang w:val="fr-CA"/>
        </w:rPr>
        <w:t>’</w:t>
      </w:r>
      <w:r w:rsidRPr="004378FA">
        <w:rPr>
          <w:rFonts w:cs="Times New Roman"/>
          <w:noProof/>
          <w:lang w:val="fr-CA"/>
        </w:rPr>
        <w:t>enregistrement des jugements étrangers qui permet aux créanciers et aux tribunaux d</w:t>
      </w:r>
      <w:r>
        <w:rPr>
          <w:rFonts w:cs="Times New Roman"/>
          <w:noProof/>
          <w:lang w:val="fr-CA"/>
        </w:rPr>
        <w:t>’</w:t>
      </w:r>
      <w:r w:rsidRPr="004378FA">
        <w:rPr>
          <w:rFonts w:cs="Times New Roman"/>
          <w:noProof/>
          <w:lang w:val="fr-CA"/>
        </w:rPr>
        <w:t xml:space="preserve">économiser du temps et des ressources. Ces avantages sont particulièrement précieux pour les créanciers en vertu du jugement, qui connaissent moins le contexte juridique ontarien. La </w:t>
      </w:r>
      <w:r w:rsidRPr="004378FA">
        <w:rPr>
          <w:rFonts w:cs="Times New Roman"/>
          <w:i/>
          <w:noProof/>
          <w:lang w:val="fr-CA"/>
        </w:rPr>
        <w:t>LERJ</w:t>
      </w:r>
      <w:r w:rsidRPr="004378FA">
        <w:rPr>
          <w:rFonts w:cs="Times New Roman"/>
          <w:noProof/>
          <w:lang w:val="fr-CA"/>
        </w:rPr>
        <w:t xml:space="preserve"> renferme une disposition rédigée en termes clairs et simples qui définit les jugements auxquels elle s</w:t>
      </w:r>
      <w:r>
        <w:rPr>
          <w:rFonts w:cs="Times New Roman"/>
          <w:noProof/>
          <w:lang w:val="fr-CA"/>
        </w:rPr>
        <w:t>’</w:t>
      </w:r>
      <w:r w:rsidRPr="004378FA">
        <w:rPr>
          <w:rFonts w:cs="Times New Roman"/>
          <w:noProof/>
          <w:lang w:val="fr-CA"/>
        </w:rPr>
        <w:t>applique. L</w:t>
      </w:r>
      <w:r>
        <w:rPr>
          <w:rFonts w:cs="Times New Roman"/>
          <w:noProof/>
          <w:lang w:val="fr-CA"/>
        </w:rPr>
        <w:t>’</w:t>
      </w:r>
      <w:r w:rsidRPr="004378FA">
        <w:rPr>
          <w:rFonts w:cs="Times New Roman"/>
          <w:noProof/>
          <w:lang w:val="fr-CA"/>
        </w:rPr>
        <w:t>ajout par interprétation d</w:t>
      </w:r>
      <w:r>
        <w:rPr>
          <w:rFonts w:cs="Times New Roman"/>
          <w:noProof/>
          <w:lang w:val="fr-CA"/>
        </w:rPr>
        <w:t>’</w:t>
      </w:r>
      <w:r w:rsidRPr="004378FA">
        <w:rPr>
          <w:rFonts w:cs="Times New Roman"/>
          <w:noProof/>
          <w:lang w:val="fr-CA"/>
        </w:rPr>
        <w:t>une exception au par. 1(1) s</w:t>
      </w:r>
      <w:r>
        <w:rPr>
          <w:rFonts w:cs="Times New Roman"/>
          <w:noProof/>
          <w:lang w:val="fr-CA"/>
        </w:rPr>
        <w:t>’</w:t>
      </w:r>
      <w:r w:rsidRPr="004378FA">
        <w:rPr>
          <w:rFonts w:cs="Times New Roman"/>
          <w:noProof/>
          <w:lang w:val="fr-CA"/>
        </w:rPr>
        <w:t>appliquant aux jugements « dérivés » ou « par ricochet » serait contre</w:t>
      </w:r>
      <w:r w:rsidRPr="004378FA">
        <w:rPr>
          <w:rFonts w:cs="Times New Roman"/>
          <w:noProof/>
          <w:lang w:val="fr-CA"/>
        </w:rPr>
        <w:noBreakHyphen/>
        <w:t>intuitif, en plus de n</w:t>
      </w:r>
      <w:r>
        <w:rPr>
          <w:rFonts w:cs="Times New Roman"/>
          <w:noProof/>
          <w:lang w:val="fr-CA"/>
        </w:rPr>
        <w:t>’</w:t>
      </w:r>
      <w:r w:rsidRPr="004378FA">
        <w:rPr>
          <w:rFonts w:cs="Times New Roman"/>
          <w:noProof/>
          <w:lang w:val="fr-CA"/>
        </w:rPr>
        <w:t>être justifié ni par le texte ni par les règles ordinaires d</w:t>
      </w:r>
      <w:r>
        <w:rPr>
          <w:rFonts w:cs="Times New Roman"/>
          <w:noProof/>
          <w:lang w:val="fr-CA"/>
        </w:rPr>
        <w:t>’</w:t>
      </w:r>
      <w:r w:rsidRPr="004378FA">
        <w:rPr>
          <w:rFonts w:cs="Times New Roman"/>
          <w:noProof/>
          <w:lang w:val="fr-CA"/>
        </w:rPr>
        <w:t>interprétation des lois. Le fait de s</w:t>
      </w:r>
      <w:r>
        <w:rPr>
          <w:rFonts w:cs="Times New Roman"/>
          <w:noProof/>
          <w:lang w:val="fr-CA"/>
        </w:rPr>
        <w:t>’</w:t>
      </w:r>
      <w:r w:rsidRPr="004378FA">
        <w:rPr>
          <w:rFonts w:cs="Times New Roman"/>
          <w:noProof/>
          <w:lang w:val="fr-CA"/>
        </w:rPr>
        <w:t>appuyer sur la notion juridiquement inexistante de jugements « dérivés » ou « par ricochet » n</w:t>
      </w:r>
      <w:r>
        <w:rPr>
          <w:rFonts w:cs="Times New Roman"/>
          <w:noProof/>
          <w:lang w:val="fr-CA"/>
        </w:rPr>
        <w:t>’</w:t>
      </w:r>
      <w:r w:rsidRPr="004378FA">
        <w:rPr>
          <w:rFonts w:cs="Times New Roman"/>
          <w:noProof/>
          <w:lang w:val="fr-CA"/>
        </w:rPr>
        <w:t xml:space="preserve">aide donc guère les créanciers en vertu du jugement à se prévaloir de ce mécanisme accessible et pratique de la </w:t>
      </w:r>
      <w:r w:rsidRPr="004378FA">
        <w:rPr>
          <w:rFonts w:cs="Times New Roman"/>
          <w:i/>
          <w:noProof/>
          <w:lang w:val="fr-CA"/>
        </w:rPr>
        <w:t>LERJ</w:t>
      </w:r>
      <w:r w:rsidRPr="004378FA">
        <w:rPr>
          <w:rFonts w:cs="Times New Roman"/>
          <w:noProof/>
          <w:lang w:val="fr-CA"/>
        </w:rPr>
        <w:t>.</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 xml:space="preserve">La question de savoir si la </w:t>
      </w:r>
      <w:r w:rsidRPr="004378FA">
        <w:rPr>
          <w:rFonts w:cs="Times New Roman"/>
          <w:i/>
          <w:noProof/>
          <w:lang w:val="fr-CA"/>
        </w:rPr>
        <w:t>LERJ</w:t>
      </w:r>
      <w:r w:rsidRPr="004378FA">
        <w:rPr>
          <w:rFonts w:cs="Times New Roman"/>
          <w:noProof/>
          <w:lang w:val="fr-CA"/>
        </w:rPr>
        <w:t xml:space="preserve"> s</w:t>
      </w:r>
      <w:r>
        <w:rPr>
          <w:rFonts w:cs="Times New Roman"/>
          <w:noProof/>
          <w:lang w:val="fr-CA"/>
        </w:rPr>
        <w:t>’</w:t>
      </w:r>
      <w:r w:rsidRPr="004378FA">
        <w:rPr>
          <w:rFonts w:cs="Times New Roman"/>
          <w:noProof/>
          <w:lang w:val="fr-CA"/>
        </w:rPr>
        <w:t>applique ou non aux « jugements dérivés » participe exclusivement de l</w:t>
      </w:r>
      <w:r>
        <w:rPr>
          <w:rFonts w:cs="Times New Roman"/>
          <w:noProof/>
          <w:lang w:val="fr-CA"/>
        </w:rPr>
        <w:t>’</w:t>
      </w:r>
      <w:r w:rsidRPr="004378FA">
        <w:rPr>
          <w:rFonts w:cs="Times New Roman"/>
          <w:noProof/>
          <w:lang w:val="fr-CA"/>
        </w:rPr>
        <w:t>interprétation des lois. Comme notre Cour l</w:t>
      </w:r>
      <w:r>
        <w:rPr>
          <w:rFonts w:cs="Times New Roman"/>
          <w:noProof/>
          <w:lang w:val="fr-CA"/>
        </w:rPr>
        <w:t>’</w:t>
      </w:r>
      <w:r w:rsidRPr="004378FA">
        <w:rPr>
          <w:rFonts w:cs="Times New Roman"/>
          <w:noProof/>
          <w:lang w:val="fr-CA"/>
        </w:rPr>
        <w:t>a déclaré, « l</w:t>
      </w:r>
      <w:r>
        <w:rPr>
          <w:rFonts w:cs="Times New Roman"/>
          <w:lang w:val="fr-CA"/>
        </w:rPr>
        <w:t>’</w:t>
      </w:r>
      <w:r w:rsidRPr="004378FA">
        <w:rPr>
          <w:rFonts w:cs="Times New Roman"/>
          <w:lang w:val="fr-CA"/>
        </w:rPr>
        <w:t>interprétation des lois consiste à dégager l</w:t>
      </w:r>
      <w:r>
        <w:rPr>
          <w:rFonts w:cs="Times New Roman"/>
          <w:lang w:val="fr-CA"/>
        </w:rPr>
        <w:t>’</w:t>
      </w:r>
      <w:r w:rsidRPr="004378FA">
        <w:rPr>
          <w:rFonts w:cs="Times New Roman"/>
          <w:lang w:val="fr-CA"/>
        </w:rPr>
        <w:t>intention du législateur en examinant les termes d</w:t>
      </w:r>
      <w:r>
        <w:rPr>
          <w:rFonts w:cs="Times New Roman"/>
          <w:lang w:val="fr-CA"/>
        </w:rPr>
        <w:t>’</w:t>
      </w:r>
      <w:r w:rsidRPr="004378FA">
        <w:rPr>
          <w:rFonts w:cs="Times New Roman"/>
          <w:lang w:val="fr-CA"/>
        </w:rPr>
        <w:t>une loi dans leur contexte global en suivant le sens ordinaire et grammatical qui s</w:t>
      </w:r>
      <w:r>
        <w:rPr>
          <w:rFonts w:cs="Times New Roman"/>
          <w:lang w:val="fr-CA"/>
        </w:rPr>
        <w:t>’</w:t>
      </w:r>
      <w:r w:rsidRPr="004378FA">
        <w:rPr>
          <w:rFonts w:cs="Times New Roman"/>
          <w:lang w:val="fr-CA"/>
        </w:rPr>
        <w:t>harmonise avec l</w:t>
      </w:r>
      <w:r>
        <w:rPr>
          <w:rFonts w:cs="Times New Roman"/>
          <w:lang w:val="fr-CA"/>
        </w:rPr>
        <w:t>’</w:t>
      </w:r>
      <w:r w:rsidRPr="004378FA">
        <w:rPr>
          <w:rFonts w:cs="Times New Roman"/>
          <w:lang w:val="fr-CA"/>
        </w:rPr>
        <w:t>économie et l</w:t>
      </w:r>
      <w:r>
        <w:rPr>
          <w:rFonts w:cs="Times New Roman"/>
          <w:lang w:val="fr-CA"/>
        </w:rPr>
        <w:t>’</w:t>
      </w:r>
      <w:r w:rsidRPr="004378FA">
        <w:rPr>
          <w:rFonts w:cs="Times New Roman"/>
          <w:lang w:val="fr-CA"/>
        </w:rPr>
        <w:t>objet de cette loi »</w:t>
      </w:r>
      <w:r w:rsidRPr="004378FA">
        <w:rPr>
          <w:rFonts w:cs="Times New Roman"/>
          <w:noProof/>
          <w:lang w:val="fr-CA"/>
        </w:rPr>
        <w:t xml:space="preserve"> (</w:t>
      </w:r>
      <w:r w:rsidRPr="004378FA">
        <w:rPr>
          <w:rFonts w:cs="Times New Roman"/>
          <w:i/>
          <w:noProof/>
          <w:lang w:val="fr-CA"/>
        </w:rPr>
        <w:t>Michel c. Graydon</w:t>
      </w:r>
      <w:r w:rsidRPr="004378FA">
        <w:rPr>
          <w:rFonts w:cs="Times New Roman"/>
          <w:noProof/>
          <w:lang w:val="fr-CA"/>
        </w:rPr>
        <w:t xml:space="preserve">, 2020 CSC 24, par. 21; </w:t>
      </w:r>
      <w:r w:rsidRPr="004378FA">
        <w:rPr>
          <w:rFonts w:cs="Times New Roman"/>
          <w:i/>
          <w:noProof/>
          <w:lang w:val="fr-CA"/>
        </w:rPr>
        <w:t>M</w:t>
      </w:r>
      <w:r>
        <w:rPr>
          <w:rFonts w:cs="Times New Roman"/>
          <w:i/>
          <w:noProof/>
          <w:lang w:val="fr-CA"/>
        </w:rPr>
        <w:t>é</w:t>
      </w:r>
      <w:r w:rsidRPr="004378FA">
        <w:rPr>
          <w:rFonts w:cs="Times New Roman"/>
          <w:i/>
          <w:noProof/>
          <w:lang w:val="fr-CA"/>
        </w:rPr>
        <w:t>diaQMI</w:t>
      </w:r>
      <w:r w:rsidRPr="004378FA">
        <w:rPr>
          <w:rFonts w:cs="Times New Roman"/>
          <w:noProof/>
          <w:lang w:val="fr-CA"/>
        </w:rPr>
        <w:t>, par. 37). Le nœud du débat concerne la définition large du mot « jugement » au par. 1(1) :</w:t>
      </w:r>
    </w:p>
    <w:p w:rsidR="009D2D7F" w:rsidRDefault="009D2D7F" w:rsidP="009D2D7F">
      <w:pPr>
        <w:pStyle w:val="Citation-AltC"/>
        <w:spacing w:after="240"/>
        <w:ind w:hanging="360"/>
        <w:contextualSpacing w:val="0"/>
        <w:rPr>
          <w:noProof/>
          <w:lang w:val="fr-CA"/>
        </w:rPr>
      </w:pPr>
      <w:r w:rsidRPr="004378FA">
        <w:rPr>
          <w:noProof/>
          <w:lang w:val="fr-CA"/>
        </w:rPr>
        <w:tab/>
        <w:t>Les définitions qui suivent s</w:t>
      </w:r>
      <w:r>
        <w:rPr>
          <w:noProof/>
          <w:lang w:val="fr-CA"/>
        </w:rPr>
        <w:t>’</w:t>
      </w:r>
      <w:r w:rsidRPr="004378FA">
        <w:rPr>
          <w:noProof/>
          <w:lang w:val="fr-CA"/>
        </w:rPr>
        <w:t>appliquent à la présente loi.</w:t>
      </w:r>
    </w:p>
    <w:p w:rsidR="009D2D7F" w:rsidRPr="004378FA" w:rsidRDefault="009D2D7F" w:rsidP="009D2D7F">
      <w:pPr>
        <w:pStyle w:val="Citation-AltC"/>
        <w:spacing w:after="240"/>
        <w:ind w:hanging="360"/>
        <w:contextualSpacing w:val="0"/>
        <w:jc w:val="center"/>
        <w:rPr>
          <w:noProof/>
          <w:lang w:val="fr-CA"/>
        </w:rPr>
      </w:pPr>
      <w:r>
        <w:rPr>
          <w:noProof/>
          <w:lang w:val="fr-CA"/>
        </w:rPr>
        <w:t>…</w:t>
      </w:r>
    </w:p>
    <w:p w:rsidR="009D2D7F" w:rsidRPr="004378FA" w:rsidRDefault="009D2D7F" w:rsidP="009D2D7F">
      <w:pPr>
        <w:pStyle w:val="Citation-AltC"/>
        <w:ind w:hanging="360"/>
        <w:contextualSpacing w:val="0"/>
        <w:rPr>
          <w:noProof/>
          <w:lang w:val="fr-CA"/>
        </w:rPr>
      </w:pPr>
      <w:r w:rsidRPr="004378FA">
        <w:rPr>
          <w:noProof/>
          <w:lang w:val="fr-CA"/>
        </w:rPr>
        <w:tab/>
        <w:t>« jugement » Jugement ou ordonnance d</w:t>
      </w:r>
      <w:r>
        <w:rPr>
          <w:noProof/>
          <w:lang w:val="fr-CA"/>
        </w:rPr>
        <w:t>’</w:t>
      </w:r>
      <w:r w:rsidRPr="004378FA">
        <w:rPr>
          <w:noProof/>
          <w:lang w:val="fr-CA"/>
        </w:rPr>
        <w:t>un tribunal dans une instance civile, portant condamnation au paiement d</w:t>
      </w:r>
      <w:r>
        <w:rPr>
          <w:noProof/>
          <w:lang w:val="fr-CA"/>
        </w:rPr>
        <w:t>’</w:t>
      </w:r>
      <w:r w:rsidRPr="004378FA">
        <w:rPr>
          <w:noProof/>
          <w:lang w:val="fr-CA"/>
        </w:rPr>
        <w:t>une somme d</w:t>
      </w:r>
      <w:r>
        <w:rPr>
          <w:noProof/>
          <w:lang w:val="fr-CA"/>
        </w:rPr>
        <w:t>’</w:t>
      </w:r>
      <w:r w:rsidRPr="004378FA">
        <w:rPr>
          <w:noProof/>
          <w:lang w:val="fr-CA"/>
        </w:rPr>
        <w:t>argent. S</w:t>
      </w:r>
      <w:r>
        <w:rPr>
          <w:noProof/>
          <w:lang w:val="fr-CA"/>
        </w:rPr>
        <w:t>’</w:t>
      </w:r>
      <w:r w:rsidRPr="004378FA">
        <w:rPr>
          <w:noProof/>
          <w:lang w:val="fr-CA"/>
        </w:rPr>
        <w:t>entend en outre d</w:t>
      </w:r>
      <w:r>
        <w:rPr>
          <w:noProof/>
          <w:lang w:val="fr-CA"/>
        </w:rPr>
        <w:t>’</w:t>
      </w:r>
      <w:r w:rsidRPr="004378FA">
        <w:rPr>
          <w:noProof/>
          <w:lang w:val="fr-CA"/>
        </w:rPr>
        <w:t>une sentence arbitrale qui, selon les lois de la province ou du territoire où elle a été rendue, est devenue exécutoire de la même manière qu</w:t>
      </w:r>
      <w:r>
        <w:rPr>
          <w:noProof/>
          <w:lang w:val="fr-CA"/>
        </w:rPr>
        <w:t>’</w:t>
      </w:r>
      <w:r w:rsidRPr="004378FA">
        <w:rPr>
          <w:noProof/>
          <w:lang w:val="fr-CA"/>
        </w:rPr>
        <w:t>un jugement rendu par un tribunal de cette province ou de ce territoire</w:t>
      </w:r>
      <w:r>
        <w:rPr>
          <w:noProof/>
          <w:lang w:val="fr-CA"/>
        </w:rPr>
        <w:t>.</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Si un jugement de reconnaissance tel que le jugement de la C.</w:t>
      </w:r>
      <w:r w:rsidRPr="004378FA">
        <w:rPr>
          <w:rFonts w:cs="Times New Roman"/>
          <w:noProof/>
          <w:lang w:val="fr-CA"/>
        </w:rPr>
        <w:noBreakHyphen/>
        <w:t xml:space="preserve">B. est visé par la définition de « jugement », il est alors possible de le faire enregistrer en vertu de la </w:t>
      </w:r>
      <w:r w:rsidRPr="004378FA">
        <w:rPr>
          <w:rFonts w:cs="Times New Roman"/>
          <w:i/>
          <w:noProof/>
          <w:lang w:val="fr-CA"/>
        </w:rPr>
        <w:t>LERJ</w:t>
      </w:r>
      <w:r w:rsidRPr="004378FA">
        <w:rPr>
          <w:rFonts w:cs="Times New Roman"/>
          <w:noProof/>
          <w:lang w:val="fr-CA"/>
        </w:rPr>
        <w:t>, pourvu que toutes les exigences de la loi soient satisfaites (ce qui, comme je l</w:t>
      </w:r>
      <w:r>
        <w:rPr>
          <w:rFonts w:cs="Times New Roman"/>
          <w:noProof/>
          <w:lang w:val="fr-CA"/>
        </w:rPr>
        <w:t>’</w:t>
      </w:r>
      <w:r w:rsidRPr="004378FA">
        <w:rPr>
          <w:rFonts w:cs="Times New Roman"/>
          <w:noProof/>
          <w:lang w:val="fr-CA"/>
        </w:rPr>
        <w:t>ai dit, n</w:t>
      </w:r>
      <w:r>
        <w:rPr>
          <w:rFonts w:cs="Times New Roman"/>
          <w:noProof/>
          <w:lang w:val="fr-CA"/>
        </w:rPr>
        <w:t>’</w:t>
      </w:r>
      <w:r w:rsidRPr="004378FA">
        <w:rPr>
          <w:rFonts w:cs="Times New Roman"/>
          <w:noProof/>
          <w:lang w:val="fr-CA"/>
        </w:rPr>
        <w:t>est pas le cas en l</w:t>
      </w:r>
      <w:r>
        <w:rPr>
          <w:rFonts w:cs="Times New Roman"/>
          <w:noProof/>
          <w:lang w:val="fr-CA"/>
        </w:rPr>
        <w:t>’</w:t>
      </w:r>
      <w:r w:rsidRPr="004378FA">
        <w:rPr>
          <w:rFonts w:cs="Times New Roman"/>
          <w:noProof/>
          <w:lang w:val="fr-CA"/>
        </w:rPr>
        <w:t xml:space="preserve">espèce). Interprétée selon son </w:t>
      </w:r>
      <w:r w:rsidRPr="004378FA">
        <w:rPr>
          <w:rFonts w:cs="Times New Roman"/>
          <w:lang w:val="fr-CA"/>
        </w:rPr>
        <w:t>sens ordinaire et grammatical</w:t>
      </w:r>
      <w:r w:rsidRPr="004378FA">
        <w:rPr>
          <w:rFonts w:cs="Times New Roman"/>
          <w:noProof/>
          <w:lang w:val="fr-CA"/>
        </w:rPr>
        <w:t>,</w:t>
      </w:r>
      <w:r w:rsidRPr="004378FA" w:rsidDel="00160FFB">
        <w:rPr>
          <w:rFonts w:cs="Times New Roman"/>
          <w:noProof/>
          <w:lang w:val="fr-CA"/>
        </w:rPr>
        <w:t xml:space="preserve"> </w:t>
      </w:r>
      <w:r w:rsidRPr="004378FA">
        <w:rPr>
          <w:rFonts w:cs="Times New Roman"/>
          <w:noProof/>
          <w:lang w:val="fr-CA"/>
        </w:rPr>
        <w:t>la définition du mot « jugement » englobe sans aucun doute le jugement de la C.</w:t>
      </w:r>
      <w:r w:rsidRPr="004378FA">
        <w:rPr>
          <w:rFonts w:cs="Times New Roman"/>
          <w:noProof/>
          <w:lang w:val="fr-CA"/>
        </w:rPr>
        <w:noBreakHyphen/>
        <w:t>B. Premièrement, il s</w:t>
      </w:r>
      <w:r>
        <w:rPr>
          <w:rFonts w:cs="Times New Roman"/>
          <w:noProof/>
          <w:lang w:val="fr-CA"/>
        </w:rPr>
        <w:t>’</w:t>
      </w:r>
      <w:r w:rsidRPr="004378FA">
        <w:rPr>
          <w:rFonts w:cs="Times New Roman"/>
          <w:noProof/>
          <w:lang w:val="fr-CA"/>
        </w:rPr>
        <w:t>agit d</w:t>
      </w:r>
      <w:r>
        <w:rPr>
          <w:rFonts w:cs="Times New Roman"/>
          <w:noProof/>
          <w:lang w:val="fr-CA"/>
        </w:rPr>
        <w:t>’</w:t>
      </w:r>
      <w:r w:rsidRPr="004378FA">
        <w:rPr>
          <w:rFonts w:cs="Times New Roman"/>
          <w:noProof/>
          <w:lang w:val="fr-CA"/>
        </w:rPr>
        <w:t>un « </w:t>
      </w:r>
      <w:r w:rsidRPr="00612DF7">
        <w:rPr>
          <w:rFonts w:cs="Times New Roman"/>
          <w:noProof/>
          <w:lang w:val="fr-CA"/>
        </w:rPr>
        <w:t>[</w:t>
      </w:r>
      <w:r w:rsidRPr="004378FA">
        <w:rPr>
          <w:rFonts w:cs="Times New Roman"/>
          <w:noProof/>
          <w:lang w:val="fr-CA"/>
        </w:rPr>
        <w:t>j</w:t>
      </w:r>
      <w:r>
        <w:rPr>
          <w:rFonts w:cs="Times New Roman"/>
          <w:noProof/>
          <w:lang w:val="fr-CA"/>
        </w:rPr>
        <w:t>]</w:t>
      </w:r>
      <w:r w:rsidRPr="004378FA">
        <w:rPr>
          <w:rFonts w:cs="Times New Roman"/>
          <w:noProof/>
          <w:lang w:val="fr-CA"/>
        </w:rPr>
        <w:t>ugement ou [d</w:t>
      </w:r>
      <w:r>
        <w:rPr>
          <w:rFonts w:cs="Times New Roman"/>
          <w:noProof/>
          <w:lang w:val="fr-CA"/>
        </w:rPr>
        <w:t>’</w:t>
      </w:r>
      <w:r w:rsidRPr="004378FA">
        <w:rPr>
          <w:rFonts w:cs="Times New Roman"/>
          <w:noProof/>
          <w:lang w:val="fr-CA"/>
        </w:rPr>
        <w:t>une] ordonnance d</w:t>
      </w:r>
      <w:r>
        <w:rPr>
          <w:rFonts w:cs="Times New Roman"/>
          <w:noProof/>
          <w:lang w:val="fr-CA"/>
        </w:rPr>
        <w:t>’</w:t>
      </w:r>
      <w:r w:rsidRPr="004378FA">
        <w:rPr>
          <w:rFonts w:cs="Times New Roman"/>
          <w:noProof/>
          <w:lang w:val="fr-CA"/>
        </w:rPr>
        <w:t>un tribunal », en l</w:t>
      </w:r>
      <w:r>
        <w:rPr>
          <w:rFonts w:cs="Times New Roman"/>
          <w:noProof/>
          <w:lang w:val="fr-CA"/>
        </w:rPr>
        <w:t>’</w:t>
      </w:r>
      <w:r w:rsidRPr="004378FA">
        <w:rPr>
          <w:rFonts w:cs="Times New Roman"/>
          <w:noProof/>
          <w:lang w:val="fr-CA"/>
        </w:rPr>
        <w:t>occurrence la Cour suprême de la Colombie</w:t>
      </w:r>
      <w:r w:rsidRPr="004378FA">
        <w:rPr>
          <w:rFonts w:cs="Times New Roman"/>
          <w:noProof/>
          <w:lang w:val="fr-CA"/>
        </w:rPr>
        <w:noBreakHyphen/>
        <w:t>Britannique. Deuxièmement, l</w:t>
      </w:r>
      <w:r>
        <w:rPr>
          <w:rFonts w:cs="Times New Roman"/>
          <w:noProof/>
          <w:lang w:val="fr-CA"/>
        </w:rPr>
        <w:t>’</w:t>
      </w:r>
      <w:r w:rsidRPr="004378FA">
        <w:rPr>
          <w:rFonts w:cs="Times New Roman"/>
          <w:noProof/>
          <w:lang w:val="fr-CA"/>
        </w:rPr>
        <w:t xml:space="preserve">action en common law intentée par H.M.B. </w:t>
      </w:r>
      <w:r w:rsidRPr="00612DF7">
        <w:rPr>
          <w:rFonts w:cs="Times New Roman"/>
          <w:noProof/>
          <w:lang w:val="fr-CA"/>
        </w:rPr>
        <w:t xml:space="preserve">Holdings Limited </w:t>
      </w:r>
      <w:r w:rsidRPr="004378FA">
        <w:rPr>
          <w:rFonts w:cs="Times New Roman"/>
          <w:noProof/>
          <w:lang w:val="fr-CA"/>
        </w:rPr>
        <w:t>pour faire reconnaître et exécuter l</w:t>
      </w:r>
      <w:r>
        <w:rPr>
          <w:rFonts w:cs="Times New Roman"/>
          <w:noProof/>
          <w:lang w:val="fr-CA"/>
        </w:rPr>
        <w:t>’</w:t>
      </w:r>
      <w:r w:rsidRPr="004378FA">
        <w:rPr>
          <w:rFonts w:cs="Times New Roman"/>
          <w:noProof/>
          <w:lang w:val="fr-CA"/>
        </w:rPr>
        <w:t>arrêt du Conseil privé, n</w:t>
      </w:r>
      <w:r w:rsidRPr="004378FA">
        <w:rPr>
          <w:rFonts w:cs="Times New Roman"/>
          <w:noProof/>
          <w:vertAlign w:val="superscript"/>
          <w:lang w:val="fr-CA"/>
        </w:rPr>
        <w:t>o</w:t>
      </w:r>
      <w:r>
        <w:rPr>
          <w:rFonts w:cs="Times New Roman"/>
          <w:noProof/>
          <w:lang w:val="fr-CA"/>
        </w:rPr>
        <w:t> 2013/0017, 27 </w:t>
      </w:r>
      <w:r w:rsidRPr="004378FA">
        <w:rPr>
          <w:rFonts w:cs="Times New Roman"/>
          <w:noProof/>
          <w:lang w:val="fr-CA"/>
        </w:rPr>
        <w:t>mai 2014, constituait une « instance civile ». Troisièmement, Antigua a été condamnée à payer une « somme d</w:t>
      </w:r>
      <w:r>
        <w:rPr>
          <w:rFonts w:cs="Times New Roman"/>
          <w:noProof/>
          <w:lang w:val="fr-CA"/>
        </w:rPr>
        <w:t>’</w:t>
      </w:r>
      <w:r w:rsidRPr="004378FA">
        <w:rPr>
          <w:rFonts w:cs="Times New Roman"/>
          <w:noProof/>
          <w:lang w:val="fr-CA"/>
        </w:rPr>
        <w:t>argent ». Incidemment, je note que dans l</w:t>
      </w:r>
      <w:r>
        <w:rPr>
          <w:rFonts w:cs="Times New Roman"/>
          <w:noProof/>
          <w:lang w:val="fr-CA"/>
        </w:rPr>
        <w:t>’</w:t>
      </w:r>
      <w:r w:rsidRPr="004378FA">
        <w:rPr>
          <w:rFonts w:cs="Times New Roman"/>
          <w:noProof/>
          <w:lang w:val="fr-CA"/>
        </w:rPr>
        <w:t xml:space="preserve">arrêt </w:t>
      </w:r>
      <w:r w:rsidRPr="004378FA">
        <w:rPr>
          <w:rFonts w:cs="Times New Roman"/>
          <w:i/>
          <w:noProof/>
          <w:lang w:val="fr-CA"/>
        </w:rPr>
        <w:t>Solehdin c. Stern Estate</w:t>
      </w:r>
      <w:r w:rsidRPr="004378FA">
        <w:rPr>
          <w:rFonts w:cs="Times New Roman"/>
          <w:noProof/>
          <w:lang w:val="fr-CA"/>
        </w:rPr>
        <w:t xml:space="preserve">, 2014 BCCA 482, 364 B.C.A.C. 128, la cour a également statué que le jugement de reconnaissance faisant suite à une action en common law pouvait être qualifié de </w:t>
      </w:r>
      <w:r>
        <w:rPr>
          <w:rFonts w:cs="Times New Roman"/>
          <w:noProof/>
          <w:lang w:val="fr-CA"/>
        </w:rPr>
        <w:t>[</w:t>
      </w:r>
      <w:r w:rsidRPr="00612DF7">
        <w:rPr>
          <w:rFonts w:cs="Times New Roman"/>
          <w:smallCaps/>
          <w:noProof/>
          <w:lang w:val="fr-CA"/>
        </w:rPr>
        <w:t>traduction</w:t>
      </w:r>
      <w:r>
        <w:rPr>
          <w:rFonts w:cs="Times New Roman"/>
          <w:noProof/>
          <w:lang w:val="fr-CA"/>
        </w:rPr>
        <w:t xml:space="preserve">] </w:t>
      </w:r>
      <w:r w:rsidRPr="004378FA">
        <w:rPr>
          <w:rFonts w:cs="Times New Roman"/>
          <w:noProof/>
          <w:lang w:val="fr-CA"/>
        </w:rPr>
        <w:t>« </w:t>
      </w:r>
      <w:r w:rsidRPr="004378FA">
        <w:rPr>
          <w:rFonts w:cs="Times New Roman"/>
          <w:noProof/>
          <w:szCs w:val="24"/>
          <w:lang w:val="fr-CA"/>
        </w:rPr>
        <w:t xml:space="preserve">jugement </w:t>
      </w:r>
      <w:r>
        <w:rPr>
          <w:rFonts w:cs="Times New Roman"/>
          <w:noProof/>
          <w:szCs w:val="24"/>
          <w:lang w:val="fr-CA"/>
        </w:rPr>
        <w:t xml:space="preserve">[…] </w:t>
      </w:r>
      <w:r w:rsidRPr="004378FA">
        <w:rPr>
          <w:rFonts w:cs="Times New Roman"/>
          <w:noProof/>
          <w:szCs w:val="24"/>
          <w:lang w:val="fr-CA"/>
        </w:rPr>
        <w:t>ou ordonnance d</w:t>
      </w:r>
      <w:r>
        <w:rPr>
          <w:rFonts w:cs="Times New Roman"/>
          <w:noProof/>
          <w:szCs w:val="24"/>
          <w:lang w:val="fr-CA"/>
        </w:rPr>
        <w:t>’</w:t>
      </w:r>
      <w:r w:rsidRPr="004378FA">
        <w:rPr>
          <w:rFonts w:cs="Times New Roman"/>
          <w:noProof/>
          <w:szCs w:val="24"/>
          <w:lang w:val="fr-CA"/>
        </w:rPr>
        <w:t>un tribunal dans une instance civile</w:t>
      </w:r>
      <w:r>
        <w:rPr>
          <w:rFonts w:cs="Times New Roman"/>
          <w:noProof/>
          <w:szCs w:val="24"/>
          <w:lang w:val="fr-CA"/>
        </w:rPr>
        <w:t xml:space="preserve"> […]</w:t>
      </w:r>
      <w:r w:rsidRPr="004378FA">
        <w:rPr>
          <w:rFonts w:cs="Times New Roman"/>
          <w:noProof/>
          <w:lang w:val="fr-CA"/>
        </w:rPr>
        <w:t xml:space="preserve"> </w:t>
      </w:r>
      <w:r w:rsidRPr="004378FA">
        <w:rPr>
          <w:rFonts w:cs="Times New Roman"/>
          <w:noProof/>
          <w:szCs w:val="24"/>
          <w:lang w:val="fr-CA"/>
        </w:rPr>
        <w:t>portant condamnation au paiement d</w:t>
      </w:r>
      <w:r>
        <w:rPr>
          <w:rFonts w:cs="Times New Roman"/>
          <w:noProof/>
          <w:szCs w:val="24"/>
          <w:lang w:val="fr-CA"/>
        </w:rPr>
        <w:t>’</w:t>
      </w:r>
      <w:r w:rsidRPr="004378FA">
        <w:rPr>
          <w:rFonts w:cs="Times New Roman"/>
          <w:noProof/>
          <w:szCs w:val="24"/>
          <w:lang w:val="fr-CA"/>
        </w:rPr>
        <w:t>une somme d</w:t>
      </w:r>
      <w:r>
        <w:rPr>
          <w:rFonts w:cs="Times New Roman"/>
          <w:noProof/>
          <w:szCs w:val="24"/>
          <w:lang w:val="fr-CA"/>
        </w:rPr>
        <w:t>’</w:t>
      </w:r>
      <w:r w:rsidRPr="004378FA">
        <w:rPr>
          <w:rFonts w:cs="Times New Roman"/>
          <w:noProof/>
          <w:szCs w:val="24"/>
          <w:lang w:val="fr-CA"/>
        </w:rPr>
        <w:t>argent »</w:t>
      </w:r>
      <w:r w:rsidRPr="004378FA">
        <w:rPr>
          <w:rFonts w:cs="Times New Roman"/>
          <w:noProof/>
          <w:lang w:val="fr-CA"/>
        </w:rPr>
        <w:t xml:space="preserve"> (par. 13 et 27, citant l</w:t>
      </w:r>
      <w:r>
        <w:rPr>
          <w:rFonts w:cs="Times New Roman"/>
          <w:noProof/>
          <w:lang w:val="fr-CA"/>
        </w:rPr>
        <w:t>’</w:t>
      </w:r>
      <w:r w:rsidRPr="004378FA">
        <w:rPr>
          <w:rFonts w:cs="Times New Roman"/>
          <w:i/>
          <w:noProof/>
          <w:lang w:val="fr-CA"/>
        </w:rPr>
        <w:t>Enforcement of Canadian Judgments and Decrees Act</w:t>
      </w:r>
      <w:r w:rsidRPr="004378FA">
        <w:rPr>
          <w:rFonts w:cs="Times New Roman"/>
          <w:noProof/>
          <w:lang w:val="fr-CA"/>
        </w:rPr>
        <w:t>, S.B.C. 2003, c. 29, par. 1(1) « jugement canadien »). C</w:t>
      </w:r>
      <w:r>
        <w:rPr>
          <w:rFonts w:cs="Times New Roman"/>
          <w:noProof/>
          <w:lang w:val="fr-CA"/>
        </w:rPr>
        <w:t>’</w:t>
      </w:r>
      <w:r w:rsidRPr="004378FA">
        <w:rPr>
          <w:rFonts w:cs="Times New Roman"/>
          <w:noProof/>
          <w:lang w:val="fr-CA"/>
        </w:rPr>
        <w:t>est manifestement ce qui ressort d</w:t>
      </w:r>
      <w:r>
        <w:rPr>
          <w:rFonts w:cs="Times New Roman"/>
          <w:noProof/>
          <w:lang w:val="fr-CA"/>
        </w:rPr>
        <w:t>’</w:t>
      </w:r>
      <w:r w:rsidRPr="004378FA">
        <w:rPr>
          <w:rFonts w:cs="Times New Roman"/>
          <w:noProof/>
          <w:lang w:val="fr-CA"/>
        </w:rPr>
        <w:t>une simple lecture du jugement de la C.</w:t>
      </w:r>
      <w:r w:rsidRPr="004378FA">
        <w:rPr>
          <w:rFonts w:cs="Times New Roman"/>
          <w:noProof/>
          <w:lang w:val="fr-CA"/>
        </w:rPr>
        <w:noBreakHyphen/>
        <w:t>B. :</w:t>
      </w:r>
    </w:p>
    <w:p w:rsidR="009D2D7F" w:rsidRPr="004378FA" w:rsidRDefault="009D2D7F" w:rsidP="009D2D7F">
      <w:pPr>
        <w:pStyle w:val="Citation-AltC"/>
        <w:spacing w:after="0"/>
        <w:ind w:hanging="360"/>
        <w:contextualSpacing w:val="0"/>
        <w:rPr>
          <w:noProof/>
          <w:lang w:val="fr-CA"/>
        </w:rPr>
      </w:pPr>
      <w:r w:rsidRPr="004378FA">
        <w:rPr>
          <w:noProof/>
          <w:lang w:val="fr-CA"/>
        </w:rPr>
        <w:tab/>
        <w:t>[</w:t>
      </w:r>
      <w:r w:rsidRPr="004378FA">
        <w:rPr>
          <w:smallCaps/>
          <w:noProof/>
          <w:lang w:val="fr-CA"/>
        </w:rPr>
        <w:t>traduction</w:t>
      </w:r>
      <w:r w:rsidRPr="004378FA">
        <w:rPr>
          <w:noProof/>
          <w:lang w:val="fr-CA"/>
        </w:rPr>
        <w:t>]</w:t>
      </w:r>
    </w:p>
    <w:p w:rsidR="009D2D7F" w:rsidRPr="004378FA" w:rsidRDefault="009D2D7F" w:rsidP="009D2D7F">
      <w:pPr>
        <w:pStyle w:val="Citation-AltC"/>
        <w:spacing w:after="240"/>
        <w:ind w:hanging="360"/>
        <w:contextualSpacing w:val="0"/>
        <w:rPr>
          <w:noProof/>
          <w:lang w:val="fr-CA"/>
        </w:rPr>
      </w:pPr>
      <w:r w:rsidRPr="004378FA">
        <w:rPr>
          <w:noProof/>
          <w:lang w:val="fr-CA"/>
        </w:rPr>
        <w:tab/>
        <w:t>LA COUR :</w:t>
      </w:r>
    </w:p>
    <w:p w:rsidR="009D2D7F" w:rsidRPr="004378FA" w:rsidRDefault="009D2D7F" w:rsidP="009D2D7F">
      <w:pPr>
        <w:pStyle w:val="Citation-AltC"/>
        <w:numPr>
          <w:ilvl w:val="6"/>
          <w:numId w:val="1"/>
        </w:numPr>
        <w:tabs>
          <w:tab w:val="left" w:pos="1440"/>
        </w:tabs>
        <w:spacing w:after="240"/>
        <w:ind w:left="1170" w:firstLine="0"/>
        <w:contextualSpacing w:val="0"/>
        <w:rPr>
          <w:noProof/>
          <w:lang w:val="fr-CA"/>
        </w:rPr>
      </w:pPr>
      <w:r w:rsidRPr="004378FA">
        <w:rPr>
          <w:noProof/>
          <w:lang w:val="fr-CA"/>
        </w:rPr>
        <w:t>CONDAMNE le défendeur, The Attorney General of Antigua and Barbuda, à payer à la demanderesse la somme de 28 765 975,41 $CDN, représentant le montant principal impayé;</w:t>
      </w:r>
    </w:p>
    <w:p w:rsidR="009D2D7F" w:rsidRPr="004378FA" w:rsidRDefault="009D2D7F" w:rsidP="009D2D7F">
      <w:pPr>
        <w:pStyle w:val="Citation-AltC"/>
        <w:numPr>
          <w:ilvl w:val="6"/>
          <w:numId w:val="1"/>
        </w:numPr>
        <w:tabs>
          <w:tab w:val="left" w:pos="1440"/>
        </w:tabs>
        <w:spacing w:after="240"/>
        <w:ind w:left="1170" w:firstLine="0"/>
        <w:contextualSpacing w:val="0"/>
        <w:rPr>
          <w:noProof/>
          <w:lang w:val="fr-CA"/>
        </w:rPr>
      </w:pPr>
      <w:r w:rsidRPr="004378FA">
        <w:rPr>
          <w:noProof/>
          <w:lang w:val="fr-CA"/>
        </w:rPr>
        <w:t>CONDAMNE le défendeur, The Attorney General of Antigua and Barbuda, à payer à la demanderesse la somme de 1 475 337,19 $CDN, représentant les intérêts sur le montant principal impayé au taux annuel de 4 % du 24 décembre 2015 au 6 avril 2017, conformément à l</w:t>
      </w:r>
      <w:r>
        <w:rPr>
          <w:noProof/>
          <w:lang w:val="fr-CA"/>
        </w:rPr>
        <w:t>’</w:t>
      </w:r>
      <w:r w:rsidRPr="004378FA">
        <w:rPr>
          <w:noProof/>
          <w:lang w:val="fr-CA"/>
        </w:rPr>
        <w:t>ordonnance du Conseil privé rendue le 27 mai 2014;</w:t>
      </w:r>
    </w:p>
    <w:p w:rsidR="009D2D7F" w:rsidRPr="004378FA" w:rsidRDefault="009D2D7F" w:rsidP="009D2D7F">
      <w:pPr>
        <w:pStyle w:val="Citation-AltC"/>
        <w:numPr>
          <w:ilvl w:val="6"/>
          <w:numId w:val="1"/>
        </w:numPr>
        <w:tabs>
          <w:tab w:val="left" w:pos="1440"/>
        </w:tabs>
        <w:spacing w:after="240"/>
        <w:ind w:left="1170" w:firstLine="0"/>
        <w:contextualSpacing w:val="0"/>
        <w:rPr>
          <w:noProof/>
          <w:lang w:val="fr-CA"/>
        </w:rPr>
      </w:pPr>
      <w:r w:rsidRPr="004378FA">
        <w:rPr>
          <w:noProof/>
          <w:lang w:val="fr-CA"/>
        </w:rPr>
        <w:t xml:space="preserve">DÉCLARE que la demanderesse a droit, en vertu de la </w:t>
      </w:r>
      <w:r w:rsidRPr="004378FA">
        <w:rPr>
          <w:i/>
          <w:iCs/>
          <w:noProof/>
          <w:lang w:val="fr-CA"/>
        </w:rPr>
        <w:t xml:space="preserve">Court Order Interest Act </w:t>
      </w:r>
      <w:r w:rsidRPr="004378FA">
        <w:rPr>
          <w:iCs/>
          <w:noProof/>
          <w:lang w:val="fr-CA"/>
        </w:rPr>
        <w:t>de la Colombie</w:t>
      </w:r>
      <w:r w:rsidRPr="004378FA">
        <w:rPr>
          <w:iCs/>
          <w:noProof/>
          <w:lang w:val="fr-CA"/>
        </w:rPr>
        <w:noBreakHyphen/>
        <w:t>Britannique</w:t>
      </w:r>
      <w:r w:rsidRPr="004378FA">
        <w:rPr>
          <w:noProof/>
          <w:lang w:val="fr-CA"/>
        </w:rPr>
        <w:t>, aux intérêts postérieurs au jugement sur le montant principal impayé entre le 7 avril 2017 et la date du paiement intégral.</w:t>
      </w:r>
    </w:p>
    <w:p w:rsidR="009D2D7F" w:rsidRPr="004378FA" w:rsidRDefault="009D2D7F" w:rsidP="009D2D7F">
      <w:pPr>
        <w:pStyle w:val="Citation-AltC"/>
        <w:ind w:hanging="356"/>
        <w:contextualSpacing w:val="0"/>
        <w:jc w:val="left"/>
        <w:rPr>
          <w:noProof/>
          <w:lang w:val="fr-CA"/>
        </w:rPr>
      </w:pPr>
      <w:r w:rsidRPr="004378FA">
        <w:rPr>
          <w:noProof/>
          <w:lang w:val="fr-CA"/>
        </w:rPr>
        <w:tab/>
        <w:t>(d.a., vol. II, p. 54</w:t>
      </w:r>
      <w:r w:rsidRPr="004378FA">
        <w:rPr>
          <w:noProof/>
          <w:lang w:val="fr-CA"/>
        </w:rPr>
        <w:noBreakHyphen/>
        <w:t>55)</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 xml:space="preserve">Le contexte législatif ne met nullement en doute cette conclusion. Au contraire, je constate que la </w:t>
      </w:r>
      <w:r w:rsidRPr="004378FA">
        <w:rPr>
          <w:rFonts w:cs="Times New Roman"/>
          <w:i/>
          <w:noProof/>
          <w:lang w:val="fr-CA"/>
        </w:rPr>
        <w:t>LERJ</w:t>
      </w:r>
      <w:r w:rsidRPr="004378FA">
        <w:rPr>
          <w:rFonts w:cs="Times New Roman"/>
          <w:noProof/>
          <w:lang w:val="fr-CA"/>
        </w:rPr>
        <w:t xml:space="preserve"> utilise systématiquement le terme « jugement » dans le sens que lui donne la définition qu</w:t>
      </w:r>
      <w:r>
        <w:rPr>
          <w:rFonts w:cs="Times New Roman"/>
          <w:noProof/>
          <w:lang w:val="fr-CA"/>
        </w:rPr>
        <w:t>’</w:t>
      </w:r>
      <w:r w:rsidRPr="004378FA">
        <w:rPr>
          <w:rFonts w:cs="Times New Roman"/>
          <w:noProof/>
          <w:lang w:val="fr-CA"/>
        </w:rPr>
        <w:t>on trouve au par. 1(1). Il n</w:t>
      </w:r>
      <w:r>
        <w:rPr>
          <w:rFonts w:cs="Times New Roman"/>
          <w:noProof/>
          <w:lang w:val="fr-CA"/>
        </w:rPr>
        <w:t>’</w:t>
      </w:r>
      <w:r w:rsidRPr="004378FA">
        <w:rPr>
          <w:rFonts w:cs="Times New Roman"/>
          <w:noProof/>
          <w:lang w:val="fr-CA"/>
        </w:rPr>
        <w:t>y a toutefois qu</w:t>
      </w:r>
      <w:r>
        <w:rPr>
          <w:rFonts w:cs="Times New Roman"/>
          <w:noProof/>
          <w:lang w:val="fr-CA"/>
        </w:rPr>
        <w:t>’</w:t>
      </w:r>
      <w:r w:rsidRPr="004378FA">
        <w:rPr>
          <w:rFonts w:cs="Times New Roman"/>
          <w:noProof/>
          <w:lang w:val="fr-CA"/>
        </w:rPr>
        <w:t>une seule occurrence du terme « jugement initial » (à l</w:t>
      </w:r>
      <w:r>
        <w:rPr>
          <w:rFonts w:cs="Times New Roman"/>
          <w:noProof/>
          <w:lang w:val="fr-CA"/>
        </w:rPr>
        <w:t>’</w:t>
      </w:r>
      <w:r w:rsidRPr="004378FA">
        <w:rPr>
          <w:rFonts w:cs="Times New Roman"/>
          <w:noProof/>
          <w:lang w:val="fr-CA"/>
        </w:rPr>
        <w:t xml:space="preserve">al. 3g)). </w:t>
      </w:r>
      <w:r w:rsidRPr="004378FA">
        <w:rPr>
          <w:rFonts w:cs="Times New Roman"/>
          <w:lang w:val="fr-CA"/>
        </w:rPr>
        <w:t>Selon la présomption d</w:t>
      </w:r>
      <w:r>
        <w:rPr>
          <w:rFonts w:cs="Times New Roman"/>
          <w:lang w:val="fr-CA"/>
        </w:rPr>
        <w:t>’</w:t>
      </w:r>
      <w:r w:rsidRPr="004378FA">
        <w:rPr>
          <w:rFonts w:cs="Times New Roman"/>
          <w:lang w:val="fr-CA"/>
        </w:rPr>
        <w:t>uniformité d</w:t>
      </w:r>
      <w:r>
        <w:rPr>
          <w:rFonts w:cs="Times New Roman"/>
          <w:lang w:val="fr-CA"/>
        </w:rPr>
        <w:t>’</w:t>
      </w:r>
      <w:r w:rsidRPr="004378FA">
        <w:rPr>
          <w:rFonts w:cs="Times New Roman"/>
          <w:lang w:val="fr-CA"/>
        </w:rPr>
        <w:t>expression, cette différence d</w:t>
      </w:r>
      <w:r>
        <w:rPr>
          <w:rFonts w:cs="Times New Roman"/>
          <w:lang w:val="fr-CA"/>
        </w:rPr>
        <w:t>’</w:t>
      </w:r>
      <w:r w:rsidRPr="004378FA">
        <w:rPr>
          <w:rFonts w:cs="Times New Roman"/>
          <w:lang w:val="fr-CA"/>
        </w:rPr>
        <w:t>ordre terminologique indique la présence d</w:t>
      </w:r>
      <w:r>
        <w:rPr>
          <w:rFonts w:cs="Times New Roman"/>
          <w:lang w:val="fr-CA"/>
        </w:rPr>
        <w:t>’</w:t>
      </w:r>
      <w:r w:rsidRPr="004378FA">
        <w:rPr>
          <w:rFonts w:cs="Times New Roman"/>
          <w:lang w:val="fr-CA"/>
        </w:rPr>
        <w:t>une différence sémantique</w:t>
      </w:r>
      <w:r>
        <w:rPr>
          <w:rFonts w:cs="Times New Roman"/>
          <w:lang w:val="fr-CA"/>
        </w:rPr>
        <w:t xml:space="preserve"> </w:t>
      </w:r>
      <w:r w:rsidRPr="004378FA">
        <w:rPr>
          <w:rFonts w:cs="Times New Roman"/>
          <w:lang w:val="fr-CA"/>
        </w:rPr>
        <w:t>(</w:t>
      </w:r>
      <w:proofErr w:type="spellStart"/>
      <w:r w:rsidRPr="004378FA">
        <w:rPr>
          <w:rFonts w:cs="Times New Roman"/>
          <w:i/>
          <w:noProof/>
          <w:lang w:val="fr-CA"/>
        </w:rPr>
        <w:t>Agraira</w:t>
      </w:r>
      <w:proofErr w:type="spellEnd"/>
      <w:r w:rsidRPr="004378FA">
        <w:rPr>
          <w:rFonts w:cs="Times New Roman"/>
          <w:i/>
          <w:noProof/>
          <w:lang w:val="fr-CA"/>
        </w:rPr>
        <w:t xml:space="preserve"> c. Canada (Sécurité publique et Protection civile)</w:t>
      </w:r>
      <w:r w:rsidRPr="004378FA">
        <w:rPr>
          <w:rFonts w:cs="Times New Roman"/>
          <w:noProof/>
          <w:lang w:val="fr-CA"/>
        </w:rPr>
        <w:t>, 2013 CSC 36, [2013] 2 R.C.S. 559, par. 81</w:t>
      </w:r>
      <w:r>
        <w:rPr>
          <w:rFonts w:cs="Times New Roman"/>
          <w:noProof/>
          <w:lang w:val="fr-CA"/>
        </w:rPr>
        <w:t>)</w:t>
      </w:r>
      <w:r w:rsidRPr="004378FA">
        <w:rPr>
          <w:rFonts w:cs="Times New Roman"/>
          <w:noProof/>
          <w:lang w:val="fr-CA"/>
        </w:rPr>
        <w:t>. Au mieux, l</w:t>
      </w:r>
      <w:r>
        <w:rPr>
          <w:rFonts w:cs="Times New Roman"/>
          <w:noProof/>
          <w:lang w:val="fr-CA"/>
        </w:rPr>
        <w:t>’</w:t>
      </w:r>
      <w:r w:rsidRPr="004378FA">
        <w:rPr>
          <w:rFonts w:cs="Times New Roman"/>
          <w:noProof/>
          <w:lang w:val="fr-CA"/>
        </w:rPr>
        <w:t>ajout de l</w:t>
      </w:r>
      <w:r>
        <w:rPr>
          <w:rFonts w:cs="Times New Roman"/>
          <w:noProof/>
          <w:lang w:val="fr-CA"/>
        </w:rPr>
        <w:t>’</w:t>
      </w:r>
      <w:r w:rsidRPr="004378FA">
        <w:rPr>
          <w:rFonts w:cs="Times New Roman"/>
          <w:noProof/>
          <w:lang w:val="fr-CA"/>
        </w:rPr>
        <w:t>épithète « initial » à l</w:t>
      </w:r>
      <w:r>
        <w:rPr>
          <w:rFonts w:cs="Times New Roman"/>
          <w:noProof/>
          <w:lang w:val="fr-CA"/>
        </w:rPr>
        <w:t>’</w:t>
      </w:r>
      <w:r w:rsidRPr="004378FA">
        <w:rPr>
          <w:rFonts w:cs="Times New Roman"/>
          <w:noProof/>
          <w:lang w:val="fr-CA"/>
        </w:rPr>
        <w:t>al. 3g) implique qu</w:t>
      </w:r>
      <w:r>
        <w:rPr>
          <w:rFonts w:cs="Times New Roman"/>
          <w:noProof/>
          <w:lang w:val="fr-CA"/>
        </w:rPr>
        <w:t>’</w:t>
      </w:r>
      <w:r w:rsidRPr="004378FA">
        <w:rPr>
          <w:rFonts w:cs="Times New Roman"/>
          <w:noProof/>
          <w:lang w:val="fr-CA"/>
        </w:rPr>
        <w:t xml:space="preserve">un jugement intermédiaire comme un jugement de reconnaissance répond à la définition de « jugement » dans la </w:t>
      </w:r>
      <w:r w:rsidRPr="004378FA">
        <w:rPr>
          <w:rFonts w:cs="Times New Roman"/>
          <w:i/>
          <w:noProof/>
          <w:lang w:val="fr-CA"/>
        </w:rPr>
        <w:t>LERJ</w:t>
      </w:r>
      <w:r w:rsidRPr="004378FA">
        <w:rPr>
          <w:rFonts w:cs="Times New Roman"/>
          <w:noProof/>
          <w:lang w:val="fr-CA"/>
        </w:rPr>
        <w:t>. Au pire, la différence est insignifiante. Dans un cas comme dans l</w:t>
      </w:r>
      <w:r>
        <w:rPr>
          <w:rFonts w:cs="Times New Roman"/>
          <w:noProof/>
          <w:lang w:val="fr-CA"/>
        </w:rPr>
        <w:t>’</w:t>
      </w:r>
      <w:r w:rsidRPr="004378FA">
        <w:rPr>
          <w:rFonts w:cs="Times New Roman"/>
          <w:noProof/>
          <w:lang w:val="fr-CA"/>
        </w:rPr>
        <w:t>autre, l</w:t>
      </w:r>
      <w:r>
        <w:rPr>
          <w:rFonts w:cs="Times New Roman"/>
          <w:noProof/>
          <w:lang w:val="fr-CA"/>
        </w:rPr>
        <w:t>’</w:t>
      </w:r>
      <w:r w:rsidRPr="004378FA">
        <w:rPr>
          <w:rFonts w:cs="Times New Roman"/>
          <w:noProof/>
          <w:lang w:val="fr-CA"/>
        </w:rPr>
        <w:t>al. 3g) ne peut que renforcer mon interprétation, et non l</w:t>
      </w:r>
      <w:r>
        <w:rPr>
          <w:rFonts w:cs="Times New Roman"/>
          <w:noProof/>
          <w:lang w:val="fr-CA"/>
        </w:rPr>
        <w:t>’</w:t>
      </w:r>
      <w:r w:rsidRPr="004378FA">
        <w:rPr>
          <w:rFonts w:cs="Times New Roman"/>
          <w:noProof/>
          <w:lang w:val="fr-CA"/>
        </w:rPr>
        <w:t>affaiblir. De plus, je constate que l</w:t>
      </w:r>
      <w:r>
        <w:rPr>
          <w:rFonts w:cs="Times New Roman"/>
          <w:noProof/>
          <w:lang w:val="fr-CA"/>
        </w:rPr>
        <w:t>’</w:t>
      </w:r>
      <w:r w:rsidRPr="004378FA">
        <w:rPr>
          <w:rFonts w:cs="Times New Roman"/>
          <w:noProof/>
          <w:lang w:val="fr-CA"/>
        </w:rPr>
        <w:t xml:space="preserve">art. 8 reconnaît expressément au </w:t>
      </w:r>
      <w:r w:rsidRPr="004378FA">
        <w:rPr>
          <w:rFonts w:cs="Times New Roman"/>
          <w:szCs w:val="24"/>
          <w:lang w:val="fr-CA"/>
        </w:rPr>
        <w:t>créancier en vertu du jugement le droit d</w:t>
      </w:r>
      <w:r>
        <w:rPr>
          <w:rFonts w:cs="Times New Roman"/>
          <w:szCs w:val="24"/>
          <w:lang w:val="fr-CA"/>
        </w:rPr>
        <w:t>’</w:t>
      </w:r>
      <w:r w:rsidRPr="004378FA">
        <w:rPr>
          <w:rFonts w:cs="Times New Roman"/>
          <w:szCs w:val="24"/>
          <w:lang w:val="fr-CA"/>
        </w:rPr>
        <w:t xml:space="preserve">intenter une action </w:t>
      </w:r>
      <w:r w:rsidRPr="004378FA">
        <w:rPr>
          <w:rFonts w:cs="Times New Roman"/>
          <w:noProof/>
          <w:lang w:val="fr-CA"/>
        </w:rPr>
        <w:t>en common law en vue de faire reconnaître et exécuter un jugement étranger. Comme la législature était consciente de cette possibilité, elle aurait pu exclure de la vaste portée de cette définition le jugement qui résulte de cette action. Or, elle ne l</w:t>
      </w:r>
      <w:r>
        <w:rPr>
          <w:rFonts w:cs="Times New Roman"/>
          <w:noProof/>
          <w:lang w:val="fr-CA"/>
        </w:rPr>
        <w:t>’</w:t>
      </w:r>
      <w:r w:rsidRPr="004378FA">
        <w:rPr>
          <w:rFonts w:cs="Times New Roman"/>
          <w:noProof/>
          <w:lang w:val="fr-CA"/>
        </w:rPr>
        <w:t xml:space="preserve">a pas fait. En somme, aucun indice contextuel ne permet de douter que la </w:t>
      </w:r>
      <w:r w:rsidRPr="004378FA">
        <w:rPr>
          <w:rFonts w:cs="Times New Roman"/>
          <w:i/>
          <w:noProof/>
          <w:lang w:val="fr-CA"/>
        </w:rPr>
        <w:t>LERJ</w:t>
      </w:r>
      <w:r w:rsidRPr="004378FA">
        <w:rPr>
          <w:rFonts w:cs="Times New Roman"/>
          <w:noProof/>
          <w:lang w:val="fr-CA"/>
        </w:rPr>
        <w:t xml:space="preserve"> s</w:t>
      </w:r>
      <w:r>
        <w:rPr>
          <w:rFonts w:cs="Times New Roman"/>
          <w:noProof/>
          <w:lang w:val="fr-CA"/>
        </w:rPr>
        <w:t>’</w:t>
      </w:r>
      <w:r w:rsidRPr="004378FA">
        <w:rPr>
          <w:rFonts w:cs="Times New Roman"/>
          <w:noProof/>
          <w:lang w:val="fr-CA"/>
        </w:rPr>
        <w:t>applique au jugement de la C.</w:t>
      </w:r>
      <w:r w:rsidRPr="004378FA">
        <w:rPr>
          <w:rFonts w:cs="Times New Roman"/>
          <w:noProof/>
          <w:lang w:val="fr-CA"/>
        </w:rPr>
        <w:noBreakHyphen/>
        <w:t>B. et à d</w:t>
      </w:r>
      <w:r>
        <w:rPr>
          <w:rFonts w:cs="Times New Roman"/>
          <w:noProof/>
          <w:lang w:val="fr-CA"/>
        </w:rPr>
        <w:t>’</w:t>
      </w:r>
      <w:r w:rsidRPr="004378FA">
        <w:rPr>
          <w:rFonts w:cs="Times New Roman"/>
          <w:noProof/>
          <w:lang w:val="fr-CA"/>
        </w:rPr>
        <w:t>autres jugements de reconnaissance.</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Une mise en garde importante s</w:t>
      </w:r>
      <w:r>
        <w:rPr>
          <w:rFonts w:cs="Times New Roman"/>
          <w:noProof/>
          <w:lang w:val="fr-CA"/>
        </w:rPr>
        <w:t>’</w:t>
      </w:r>
      <w:r w:rsidRPr="004378FA">
        <w:rPr>
          <w:rFonts w:cs="Times New Roman"/>
          <w:noProof/>
          <w:lang w:val="fr-CA"/>
        </w:rPr>
        <w:t xml:space="preserve">impose toutefois. Si la </w:t>
      </w:r>
      <w:r w:rsidRPr="004378FA">
        <w:rPr>
          <w:rFonts w:cs="Times New Roman"/>
          <w:i/>
          <w:noProof/>
          <w:lang w:val="fr-CA"/>
        </w:rPr>
        <w:t xml:space="preserve">LERJ </w:t>
      </w:r>
      <w:r w:rsidRPr="004378FA">
        <w:rPr>
          <w:rFonts w:cs="Times New Roman"/>
          <w:noProof/>
          <w:lang w:val="fr-CA"/>
        </w:rPr>
        <w:t>autorise l</w:t>
      </w:r>
      <w:r>
        <w:rPr>
          <w:rFonts w:cs="Times New Roman"/>
          <w:noProof/>
          <w:lang w:val="fr-CA"/>
        </w:rPr>
        <w:t>’</w:t>
      </w:r>
      <w:r w:rsidRPr="004378FA">
        <w:rPr>
          <w:rFonts w:cs="Times New Roman"/>
          <w:noProof/>
          <w:lang w:val="fr-CA"/>
        </w:rPr>
        <w:t>enregistrement d</w:t>
      </w:r>
      <w:r>
        <w:rPr>
          <w:rFonts w:cs="Times New Roman"/>
          <w:noProof/>
          <w:lang w:val="fr-CA"/>
        </w:rPr>
        <w:t>’</w:t>
      </w:r>
      <w:r w:rsidRPr="004378FA">
        <w:rPr>
          <w:rFonts w:cs="Times New Roman"/>
          <w:noProof/>
          <w:lang w:val="fr-CA"/>
        </w:rPr>
        <w:t>un jugement de reconnaissance, elle interdit l</w:t>
      </w:r>
      <w:r>
        <w:rPr>
          <w:rFonts w:cs="Times New Roman"/>
          <w:noProof/>
          <w:lang w:val="fr-CA"/>
        </w:rPr>
        <w:t>’</w:t>
      </w:r>
      <w:r w:rsidRPr="004378FA">
        <w:rPr>
          <w:rFonts w:cs="Times New Roman"/>
          <w:noProof/>
          <w:lang w:val="fr-CA"/>
        </w:rPr>
        <w:t>enregistrement d</w:t>
      </w:r>
      <w:r>
        <w:rPr>
          <w:rFonts w:cs="Times New Roman"/>
          <w:noProof/>
          <w:lang w:val="fr-CA"/>
        </w:rPr>
        <w:t>’</w:t>
      </w:r>
      <w:r w:rsidRPr="004378FA">
        <w:rPr>
          <w:rFonts w:cs="Times New Roman"/>
          <w:noProof/>
          <w:lang w:val="fr-CA"/>
        </w:rPr>
        <w:t>un jugement qui a lui</w:t>
      </w:r>
      <w:r w:rsidRPr="004378FA">
        <w:rPr>
          <w:rFonts w:cs="Times New Roman"/>
          <w:noProof/>
          <w:lang w:val="fr-CA"/>
        </w:rPr>
        <w:noBreakHyphen/>
        <w:t>même été enregistré.</w:t>
      </w:r>
      <w:r w:rsidRPr="004378FA" w:rsidDel="002328D4">
        <w:rPr>
          <w:rFonts w:cs="Times New Roman"/>
          <w:noProof/>
          <w:lang w:val="fr-CA"/>
        </w:rPr>
        <w:t xml:space="preserve"> </w:t>
      </w:r>
      <w:r w:rsidRPr="004378FA">
        <w:rPr>
          <w:rFonts w:cs="Times New Roman"/>
          <w:noProof/>
          <w:lang w:val="fr-CA"/>
        </w:rPr>
        <w:t>Cette interdiction s</w:t>
      </w:r>
      <w:r>
        <w:rPr>
          <w:rFonts w:cs="Times New Roman"/>
          <w:noProof/>
          <w:lang w:val="fr-CA"/>
        </w:rPr>
        <w:t>’</w:t>
      </w:r>
      <w:r w:rsidRPr="004378FA">
        <w:rPr>
          <w:rFonts w:cs="Times New Roman"/>
          <w:noProof/>
          <w:lang w:val="fr-CA"/>
        </w:rPr>
        <w:t>explique par le fait que, dans ce dernier cas, le jugement ne porte pas condamnation au paiement d</w:t>
      </w:r>
      <w:r>
        <w:rPr>
          <w:rFonts w:cs="Times New Roman"/>
          <w:noProof/>
          <w:lang w:val="fr-CA"/>
        </w:rPr>
        <w:t>’</w:t>
      </w:r>
      <w:r w:rsidRPr="004378FA">
        <w:rPr>
          <w:rFonts w:cs="Times New Roman"/>
          <w:noProof/>
          <w:lang w:val="fr-CA"/>
        </w:rPr>
        <w:t>une somme d</w:t>
      </w:r>
      <w:r>
        <w:rPr>
          <w:rFonts w:cs="Times New Roman"/>
          <w:noProof/>
          <w:lang w:val="fr-CA"/>
        </w:rPr>
        <w:t>’</w:t>
      </w:r>
      <w:r w:rsidRPr="004378FA">
        <w:rPr>
          <w:rFonts w:cs="Times New Roman"/>
          <w:noProof/>
          <w:lang w:val="fr-CA"/>
        </w:rPr>
        <w:t>argent (</w:t>
      </w:r>
      <w:r w:rsidRPr="004378FA">
        <w:rPr>
          <w:rFonts w:cs="Times New Roman"/>
          <w:i/>
          <w:noProof/>
          <w:lang w:val="fr-CA"/>
        </w:rPr>
        <w:t>Owen c. Rocketinfo</w:t>
      </w:r>
      <w:r w:rsidRPr="004378FA">
        <w:rPr>
          <w:rFonts w:cs="Times New Roman"/>
          <w:noProof/>
          <w:lang w:val="fr-CA"/>
        </w:rPr>
        <w:t xml:space="preserve"> </w:t>
      </w:r>
      <w:r w:rsidRPr="004378FA">
        <w:rPr>
          <w:rFonts w:cs="Times New Roman"/>
          <w:i/>
          <w:noProof/>
          <w:lang w:val="fr-CA"/>
        </w:rPr>
        <w:t>Inc</w:t>
      </w:r>
      <w:r w:rsidRPr="00FF6D53">
        <w:rPr>
          <w:rFonts w:cs="Times New Roman"/>
          <w:i/>
          <w:noProof/>
          <w:lang w:val="fr-CA"/>
        </w:rPr>
        <w:t>.</w:t>
      </w:r>
      <w:r w:rsidRPr="004378FA">
        <w:rPr>
          <w:rFonts w:cs="Times New Roman"/>
          <w:noProof/>
          <w:lang w:val="fr-CA"/>
        </w:rPr>
        <w:t>, 2008 BCCA 502, 86 B.C.L.R. (4th) 64, par. 13</w:t>
      </w:r>
      <w:r w:rsidRPr="004378FA">
        <w:rPr>
          <w:rFonts w:cs="Times New Roman"/>
          <w:noProof/>
          <w:lang w:val="fr-CA"/>
        </w:rPr>
        <w:noBreakHyphen/>
        <w:t xml:space="preserve">14; voir aussi </w:t>
      </w:r>
      <w:r w:rsidRPr="004378FA">
        <w:rPr>
          <w:rFonts w:cs="Times New Roman"/>
          <w:i/>
          <w:noProof/>
          <w:lang w:val="fr-CA"/>
        </w:rPr>
        <w:t>Solehdin</w:t>
      </w:r>
      <w:r w:rsidRPr="004378FA">
        <w:rPr>
          <w:rFonts w:cs="Times New Roman"/>
          <w:noProof/>
          <w:lang w:val="fr-CA"/>
        </w:rPr>
        <w:t xml:space="preserve">, par. 20). Sous le régime de la </w:t>
      </w:r>
      <w:r w:rsidRPr="004378FA">
        <w:rPr>
          <w:rFonts w:cs="Times New Roman"/>
          <w:i/>
          <w:noProof/>
          <w:lang w:val="fr-CA"/>
        </w:rPr>
        <w:t>LERJ</w:t>
      </w:r>
      <w:r w:rsidRPr="004378FA">
        <w:rPr>
          <w:rFonts w:cs="Times New Roman"/>
          <w:noProof/>
          <w:lang w:val="fr-CA"/>
        </w:rPr>
        <w:t>, le tribunal d</w:t>
      </w:r>
      <w:r>
        <w:rPr>
          <w:rFonts w:cs="Times New Roman"/>
          <w:noProof/>
          <w:lang w:val="fr-CA"/>
        </w:rPr>
        <w:t>’</w:t>
      </w:r>
      <w:r w:rsidRPr="004378FA">
        <w:rPr>
          <w:rFonts w:cs="Times New Roman"/>
          <w:noProof/>
          <w:lang w:val="fr-CA"/>
        </w:rPr>
        <w:t>enregistrement ne fait que convertir le jugement étranger portant condamnation au paiement d</w:t>
      </w:r>
      <w:r>
        <w:rPr>
          <w:rFonts w:cs="Times New Roman"/>
          <w:noProof/>
          <w:lang w:val="fr-CA"/>
        </w:rPr>
        <w:t>’</w:t>
      </w:r>
      <w:r w:rsidRPr="004378FA">
        <w:rPr>
          <w:rFonts w:cs="Times New Roman"/>
          <w:noProof/>
          <w:lang w:val="fr-CA"/>
        </w:rPr>
        <w:t>une somme d</w:t>
      </w:r>
      <w:r>
        <w:rPr>
          <w:rFonts w:cs="Times New Roman"/>
          <w:noProof/>
          <w:lang w:val="fr-CA"/>
        </w:rPr>
        <w:t>’</w:t>
      </w:r>
      <w:r w:rsidRPr="004378FA">
        <w:rPr>
          <w:rFonts w:cs="Times New Roman"/>
          <w:noProof/>
          <w:lang w:val="fr-CA"/>
        </w:rPr>
        <w:t>argent en un jugement local en ordonnant son enregistrement (art. 2 et 4). L</w:t>
      </w:r>
      <w:r>
        <w:rPr>
          <w:rFonts w:cs="Times New Roman"/>
          <w:noProof/>
          <w:lang w:val="fr-CA"/>
        </w:rPr>
        <w:t>’</w:t>
      </w:r>
      <w:r w:rsidRPr="004378FA">
        <w:rPr>
          <w:rFonts w:cs="Times New Roman"/>
          <w:noProof/>
          <w:lang w:val="fr-CA"/>
        </w:rPr>
        <w:t>ordonnance d</w:t>
      </w:r>
      <w:r>
        <w:rPr>
          <w:rFonts w:cs="Times New Roman"/>
          <w:noProof/>
          <w:lang w:val="fr-CA"/>
        </w:rPr>
        <w:t>’</w:t>
      </w:r>
      <w:r w:rsidRPr="004378FA">
        <w:rPr>
          <w:rFonts w:cs="Times New Roman"/>
          <w:noProof/>
          <w:lang w:val="fr-CA"/>
        </w:rPr>
        <w:t>enregistrement n</w:t>
      </w:r>
      <w:r>
        <w:rPr>
          <w:rFonts w:cs="Times New Roman"/>
          <w:noProof/>
          <w:lang w:val="fr-CA"/>
        </w:rPr>
        <w:t>’</w:t>
      </w:r>
      <w:r w:rsidRPr="004378FA">
        <w:rPr>
          <w:rFonts w:cs="Times New Roman"/>
          <w:noProof/>
          <w:lang w:val="fr-CA"/>
        </w:rPr>
        <w:t>est rien de plus qu</w:t>
      </w:r>
      <w:r>
        <w:rPr>
          <w:rFonts w:cs="Times New Roman"/>
          <w:noProof/>
          <w:lang w:val="fr-CA"/>
        </w:rPr>
        <w:t>’</w:t>
      </w:r>
      <w:r w:rsidRPr="004378FA">
        <w:rPr>
          <w:rFonts w:cs="Times New Roman"/>
          <w:noProof/>
          <w:lang w:val="fr-CA"/>
        </w:rPr>
        <w:t>une ordonnance portant enregistrement d</w:t>
      </w:r>
      <w:r>
        <w:rPr>
          <w:rFonts w:cs="Times New Roman"/>
          <w:noProof/>
          <w:lang w:val="fr-CA"/>
        </w:rPr>
        <w:t>’</w:t>
      </w:r>
      <w:r w:rsidRPr="004378FA">
        <w:rPr>
          <w:rFonts w:cs="Times New Roman"/>
          <w:noProof/>
          <w:lang w:val="fr-CA"/>
        </w:rPr>
        <w:t>un jugement; elle n</w:t>
      </w:r>
      <w:r>
        <w:rPr>
          <w:rFonts w:cs="Times New Roman"/>
          <w:noProof/>
          <w:lang w:val="fr-CA"/>
        </w:rPr>
        <w:t>’</w:t>
      </w:r>
      <w:r w:rsidRPr="004378FA">
        <w:rPr>
          <w:rFonts w:cs="Times New Roman"/>
          <w:noProof/>
          <w:lang w:val="fr-CA"/>
        </w:rPr>
        <w:t>est pas une ordonnance portant condamnation au paiement d</w:t>
      </w:r>
      <w:r>
        <w:rPr>
          <w:rFonts w:cs="Times New Roman"/>
          <w:noProof/>
          <w:lang w:val="fr-CA"/>
        </w:rPr>
        <w:t>’</w:t>
      </w:r>
      <w:r w:rsidRPr="004378FA">
        <w:rPr>
          <w:rFonts w:cs="Times New Roman"/>
          <w:noProof/>
          <w:lang w:val="fr-CA"/>
        </w:rPr>
        <w:t>une somme d</w:t>
      </w:r>
      <w:r>
        <w:rPr>
          <w:rFonts w:cs="Times New Roman"/>
          <w:noProof/>
          <w:lang w:val="fr-CA"/>
        </w:rPr>
        <w:t>’</w:t>
      </w:r>
      <w:r w:rsidRPr="004378FA">
        <w:rPr>
          <w:rFonts w:cs="Times New Roman"/>
          <w:noProof/>
          <w:lang w:val="fr-CA"/>
        </w:rPr>
        <w:t>argent. En revanche, le jugement de reconnaissance ne transforme pas le jugement étranger portant condamnation à une somme d</w:t>
      </w:r>
      <w:r>
        <w:rPr>
          <w:rFonts w:cs="Times New Roman"/>
          <w:noProof/>
          <w:lang w:val="fr-CA"/>
        </w:rPr>
        <w:t>’</w:t>
      </w:r>
      <w:r w:rsidRPr="004378FA">
        <w:rPr>
          <w:rFonts w:cs="Times New Roman"/>
          <w:noProof/>
          <w:lang w:val="fr-CA"/>
        </w:rPr>
        <w:t>argent en un jugement local.</w:t>
      </w:r>
      <w:r>
        <w:rPr>
          <w:rFonts w:cs="Times New Roman"/>
          <w:noProof/>
          <w:lang w:val="fr-CA"/>
        </w:rPr>
        <w:t xml:space="preserve"> </w:t>
      </w:r>
      <w:r w:rsidRPr="004378FA">
        <w:rPr>
          <w:rFonts w:cs="Times New Roman"/>
          <w:noProof/>
          <w:lang w:val="fr-CA"/>
        </w:rPr>
        <w:t>Le tribunal d</w:t>
      </w:r>
      <w:r>
        <w:rPr>
          <w:rFonts w:cs="Times New Roman"/>
          <w:noProof/>
          <w:lang w:val="fr-CA"/>
        </w:rPr>
        <w:t>’</w:t>
      </w:r>
      <w:r w:rsidRPr="004378FA">
        <w:rPr>
          <w:rFonts w:cs="Times New Roman"/>
          <w:noProof/>
          <w:lang w:val="fr-CA"/>
        </w:rPr>
        <w:t>exécution considère que le jugement étranger atteste une dette, s</w:t>
      </w:r>
      <w:r>
        <w:rPr>
          <w:rFonts w:cs="Times New Roman"/>
          <w:noProof/>
          <w:lang w:val="fr-CA"/>
        </w:rPr>
        <w:t>’</w:t>
      </w:r>
      <w:r w:rsidRPr="004378FA">
        <w:rPr>
          <w:rFonts w:cs="Times New Roman"/>
          <w:noProof/>
          <w:lang w:val="fr-CA"/>
        </w:rPr>
        <w:t>assure que cette dette est exigible, puis rend un jugement qui porte condamnation au paiement d</w:t>
      </w:r>
      <w:r>
        <w:rPr>
          <w:rFonts w:cs="Times New Roman"/>
          <w:noProof/>
          <w:lang w:val="fr-CA"/>
        </w:rPr>
        <w:t>’</w:t>
      </w:r>
      <w:r w:rsidRPr="004378FA">
        <w:rPr>
          <w:rFonts w:cs="Times New Roman"/>
          <w:noProof/>
          <w:lang w:val="fr-CA"/>
        </w:rPr>
        <w:t>une somme d</w:t>
      </w:r>
      <w:r>
        <w:rPr>
          <w:rFonts w:cs="Times New Roman"/>
          <w:noProof/>
          <w:lang w:val="fr-CA"/>
        </w:rPr>
        <w:t>’</w:t>
      </w:r>
      <w:r w:rsidRPr="004378FA">
        <w:rPr>
          <w:rFonts w:cs="Times New Roman"/>
          <w:noProof/>
          <w:lang w:val="fr-CA"/>
        </w:rPr>
        <w:t>argent (</w:t>
      </w:r>
      <w:r w:rsidRPr="004378FA">
        <w:rPr>
          <w:rFonts w:cs="Times New Roman"/>
          <w:i/>
          <w:noProof/>
          <w:lang w:val="fr-CA"/>
        </w:rPr>
        <w:t>Pro Swing Inc. c. Elta Golf Inc.</w:t>
      </w:r>
      <w:r w:rsidRPr="004378FA">
        <w:rPr>
          <w:rFonts w:cs="Times New Roman"/>
          <w:noProof/>
          <w:lang w:val="fr-CA"/>
        </w:rPr>
        <w:t xml:space="preserve">, 2006 CSC 52, [2006] 2 R.C.S. 612, par. 11; </w:t>
      </w:r>
      <w:r w:rsidRPr="004378FA">
        <w:rPr>
          <w:rFonts w:cs="Times New Roman"/>
          <w:i/>
          <w:noProof/>
          <w:lang w:val="fr-CA"/>
        </w:rPr>
        <w:t>Chevron</w:t>
      </w:r>
      <w:r w:rsidRPr="004378FA">
        <w:rPr>
          <w:rFonts w:cs="Times New Roman"/>
          <w:noProof/>
          <w:lang w:val="fr-CA"/>
        </w:rPr>
        <w:t>, par. 43).</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De plus, la distinction que je fais entre un jugement qui a lui</w:t>
      </w:r>
      <w:r w:rsidRPr="004378FA">
        <w:rPr>
          <w:rFonts w:cs="Times New Roman"/>
          <w:noProof/>
          <w:lang w:val="fr-CA"/>
        </w:rPr>
        <w:noBreakHyphen/>
        <w:t>même été enregistré et un jugement de reconnaissance est conforme à l</w:t>
      </w:r>
      <w:r>
        <w:rPr>
          <w:rFonts w:cs="Times New Roman"/>
          <w:noProof/>
          <w:lang w:val="fr-CA"/>
        </w:rPr>
        <w:t>’</w:t>
      </w:r>
      <w:r w:rsidRPr="004378FA">
        <w:rPr>
          <w:rFonts w:cs="Times New Roman"/>
          <w:noProof/>
          <w:lang w:val="fr-CA"/>
        </w:rPr>
        <w:t xml:space="preserve">économie de la </w:t>
      </w:r>
      <w:r w:rsidRPr="004378FA">
        <w:rPr>
          <w:rFonts w:cs="Times New Roman"/>
          <w:i/>
          <w:noProof/>
          <w:lang w:val="fr-CA"/>
        </w:rPr>
        <w:t>LERJ</w:t>
      </w:r>
      <w:r w:rsidRPr="004378FA">
        <w:rPr>
          <w:rFonts w:cs="Times New Roman"/>
          <w:noProof/>
          <w:lang w:val="fr-CA"/>
        </w:rPr>
        <w:t>. Permettre l</w:t>
      </w:r>
      <w:r>
        <w:rPr>
          <w:rFonts w:cs="Times New Roman"/>
          <w:noProof/>
          <w:lang w:val="fr-CA"/>
        </w:rPr>
        <w:t>’</w:t>
      </w:r>
      <w:r w:rsidRPr="004378FA">
        <w:rPr>
          <w:rFonts w:cs="Times New Roman"/>
          <w:noProof/>
          <w:lang w:val="fr-CA"/>
        </w:rPr>
        <w:t>enregistrement de jugements qui ont eux</w:t>
      </w:r>
      <w:r w:rsidRPr="004378FA">
        <w:rPr>
          <w:rFonts w:cs="Times New Roman"/>
          <w:noProof/>
          <w:lang w:val="fr-CA"/>
        </w:rPr>
        <w:noBreakHyphen/>
        <w:t>mêmes déjà été enregistrés priverait le lieutenant</w:t>
      </w:r>
      <w:r w:rsidRPr="004378FA">
        <w:rPr>
          <w:rFonts w:cs="Times New Roman"/>
          <w:noProof/>
          <w:lang w:val="fr-CA"/>
        </w:rPr>
        <w:noBreakHyphen/>
        <w:t>gouverneur du pouvoir d</w:t>
      </w:r>
      <w:r>
        <w:rPr>
          <w:rFonts w:cs="Times New Roman"/>
          <w:noProof/>
          <w:lang w:val="fr-CA"/>
        </w:rPr>
        <w:t>’</w:t>
      </w:r>
      <w:r w:rsidRPr="004378FA">
        <w:rPr>
          <w:rFonts w:cs="Times New Roman"/>
          <w:noProof/>
          <w:lang w:val="fr-CA"/>
        </w:rPr>
        <w:t xml:space="preserve">ordonner que la </w:t>
      </w:r>
      <w:r w:rsidRPr="004378FA">
        <w:rPr>
          <w:rFonts w:cs="Times New Roman"/>
          <w:i/>
          <w:noProof/>
          <w:lang w:val="fr-CA"/>
        </w:rPr>
        <w:t>LERJ</w:t>
      </w:r>
      <w:r w:rsidRPr="004378FA">
        <w:rPr>
          <w:rFonts w:cs="Times New Roman"/>
          <w:noProof/>
          <w:lang w:val="fr-CA"/>
        </w:rPr>
        <w:t xml:space="preserve"> s</w:t>
      </w:r>
      <w:r>
        <w:rPr>
          <w:rFonts w:cs="Times New Roman"/>
          <w:noProof/>
          <w:lang w:val="fr-CA"/>
        </w:rPr>
        <w:t>’</w:t>
      </w:r>
      <w:r w:rsidRPr="004378FA">
        <w:rPr>
          <w:rFonts w:cs="Times New Roman"/>
          <w:noProof/>
          <w:lang w:val="fr-CA"/>
        </w:rPr>
        <w:t>applique à la province ou au territoire accordant la réciprocité au titre de l</w:t>
      </w:r>
      <w:r>
        <w:rPr>
          <w:rFonts w:cs="Times New Roman"/>
          <w:noProof/>
          <w:lang w:val="fr-CA"/>
        </w:rPr>
        <w:t>’</w:t>
      </w:r>
      <w:r w:rsidRPr="004378FA">
        <w:rPr>
          <w:rFonts w:cs="Times New Roman"/>
          <w:noProof/>
          <w:lang w:val="fr-CA"/>
        </w:rPr>
        <w:t>art. 7. Cela créerait une faille dans le régime et ferait échec au principe de réciprocité à la base de cette disposition. S</w:t>
      </w:r>
      <w:r>
        <w:rPr>
          <w:rFonts w:cs="Times New Roman"/>
          <w:noProof/>
          <w:lang w:val="fr-CA"/>
        </w:rPr>
        <w:t>’</w:t>
      </w:r>
      <w:r w:rsidRPr="004378FA">
        <w:rPr>
          <w:rFonts w:cs="Times New Roman"/>
          <w:noProof/>
          <w:lang w:val="fr-CA"/>
        </w:rPr>
        <w:t>ils pouvaient passer d</w:t>
      </w:r>
      <w:r>
        <w:rPr>
          <w:rFonts w:cs="Times New Roman"/>
          <w:noProof/>
          <w:lang w:val="fr-CA"/>
        </w:rPr>
        <w:t>’</w:t>
      </w:r>
      <w:r w:rsidRPr="004378FA">
        <w:rPr>
          <w:rFonts w:cs="Times New Roman"/>
          <w:noProof/>
          <w:lang w:val="fr-CA"/>
        </w:rPr>
        <w:t>un ressort à l</w:t>
      </w:r>
      <w:r>
        <w:rPr>
          <w:rFonts w:cs="Times New Roman"/>
          <w:noProof/>
          <w:lang w:val="fr-CA"/>
        </w:rPr>
        <w:t>’</w:t>
      </w:r>
      <w:r w:rsidRPr="004378FA">
        <w:rPr>
          <w:rFonts w:cs="Times New Roman"/>
          <w:noProof/>
          <w:lang w:val="fr-CA"/>
        </w:rPr>
        <w:t>autre et enchaîner les enregistrements en se prévalant des lois sur l</w:t>
      </w:r>
      <w:r>
        <w:rPr>
          <w:rFonts w:cs="Times New Roman"/>
          <w:noProof/>
          <w:lang w:val="fr-CA"/>
        </w:rPr>
        <w:t>’</w:t>
      </w:r>
      <w:r w:rsidRPr="004378FA">
        <w:rPr>
          <w:rFonts w:cs="Times New Roman"/>
          <w:noProof/>
          <w:lang w:val="fr-CA"/>
        </w:rPr>
        <w:t>exécution réciproque, les créanciers pourraient faire enregistrer des jugements rendus dans des États qui n</w:t>
      </w:r>
      <w:r>
        <w:rPr>
          <w:rFonts w:cs="Times New Roman"/>
          <w:noProof/>
          <w:lang w:val="fr-CA"/>
        </w:rPr>
        <w:t>’</w:t>
      </w:r>
      <w:r w:rsidRPr="004378FA">
        <w:rPr>
          <w:rFonts w:cs="Times New Roman"/>
          <w:noProof/>
          <w:lang w:val="fr-CA"/>
        </w:rPr>
        <w:t xml:space="preserve">accordent pas la réciprocité par un moyen indirect, ce que la </w:t>
      </w:r>
      <w:r w:rsidRPr="004378FA">
        <w:rPr>
          <w:rFonts w:cs="Times New Roman"/>
          <w:i/>
          <w:noProof/>
          <w:lang w:val="fr-CA"/>
        </w:rPr>
        <w:t>LERJ</w:t>
      </w:r>
      <w:r w:rsidRPr="004378FA">
        <w:rPr>
          <w:rFonts w:cs="Times New Roman"/>
          <w:noProof/>
          <w:lang w:val="fr-CA"/>
        </w:rPr>
        <w:t xml:space="preserve"> leur interdit de faire directement (</w:t>
      </w:r>
      <w:r w:rsidRPr="004378FA">
        <w:rPr>
          <w:rFonts w:cs="Times New Roman"/>
          <w:i/>
          <w:iCs/>
          <w:noProof/>
          <w:lang w:val="fr-CA"/>
        </w:rPr>
        <w:t>Owen</w:t>
      </w:r>
      <w:r w:rsidRPr="004378FA">
        <w:rPr>
          <w:rFonts w:cs="Times New Roman"/>
          <w:noProof/>
          <w:lang w:val="fr-CA"/>
        </w:rPr>
        <w:t>, par. 21). En d</w:t>
      </w:r>
      <w:r>
        <w:rPr>
          <w:rFonts w:cs="Times New Roman"/>
          <w:noProof/>
          <w:lang w:val="fr-CA"/>
        </w:rPr>
        <w:t>’</w:t>
      </w:r>
      <w:r w:rsidRPr="004378FA">
        <w:rPr>
          <w:rFonts w:cs="Times New Roman"/>
          <w:noProof/>
          <w:lang w:val="fr-CA"/>
        </w:rPr>
        <w:t>autres termes, cela allongerait la liste des ressorts auxquels s</w:t>
      </w:r>
      <w:r>
        <w:rPr>
          <w:rFonts w:cs="Times New Roman"/>
          <w:noProof/>
          <w:lang w:val="fr-CA"/>
        </w:rPr>
        <w:t>’</w:t>
      </w:r>
      <w:r w:rsidRPr="004378FA">
        <w:rPr>
          <w:rFonts w:cs="Times New Roman"/>
          <w:noProof/>
          <w:lang w:val="fr-CA"/>
        </w:rPr>
        <w:t xml:space="preserve">applique la </w:t>
      </w:r>
      <w:r w:rsidRPr="004378FA">
        <w:rPr>
          <w:rFonts w:cs="Times New Roman"/>
          <w:i/>
          <w:noProof/>
          <w:lang w:val="fr-CA"/>
        </w:rPr>
        <w:t>LERJ</w:t>
      </w:r>
      <w:r w:rsidRPr="004378FA">
        <w:rPr>
          <w:rFonts w:cs="Times New Roman"/>
          <w:noProof/>
          <w:lang w:val="fr-CA"/>
        </w:rPr>
        <w:t xml:space="preserve"> en incluant tous les ressorts accordant la réciprocité aux ressorts désignés par le lieutenant</w:t>
      </w:r>
      <w:r w:rsidRPr="004378FA">
        <w:rPr>
          <w:rFonts w:cs="Times New Roman"/>
          <w:noProof/>
          <w:lang w:val="fr-CA"/>
        </w:rPr>
        <w:noBreakHyphen/>
        <w:t>gouverneur (par exemple, tous les ressorts déclarés être des ressorts accordant la réciprocité par la Colombie</w:t>
      </w:r>
      <w:r w:rsidRPr="004378FA">
        <w:rPr>
          <w:rFonts w:cs="Times New Roman"/>
          <w:noProof/>
          <w:lang w:val="fr-CA"/>
        </w:rPr>
        <w:noBreakHyphen/>
        <w:t>Britannique deviendraient indirectement des États accordant la réciprocité à l</w:t>
      </w:r>
      <w:r>
        <w:rPr>
          <w:rFonts w:cs="Times New Roman"/>
          <w:noProof/>
          <w:lang w:val="fr-CA"/>
        </w:rPr>
        <w:t>’</w:t>
      </w:r>
      <w:r w:rsidRPr="004378FA">
        <w:rPr>
          <w:rFonts w:cs="Times New Roman"/>
          <w:noProof/>
          <w:lang w:val="fr-CA"/>
        </w:rPr>
        <w:t>Ontario).</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En comparaison, le lieutenant</w:t>
      </w:r>
      <w:r w:rsidRPr="004378FA">
        <w:rPr>
          <w:rFonts w:cs="Times New Roman"/>
          <w:noProof/>
          <w:lang w:val="fr-CA"/>
        </w:rPr>
        <w:noBreakHyphen/>
        <w:t>gouverneur n</w:t>
      </w:r>
      <w:r>
        <w:rPr>
          <w:rFonts w:cs="Times New Roman"/>
          <w:noProof/>
          <w:lang w:val="fr-CA"/>
        </w:rPr>
        <w:t>’</w:t>
      </w:r>
      <w:r w:rsidRPr="004378FA">
        <w:rPr>
          <w:rFonts w:cs="Times New Roman"/>
          <w:noProof/>
          <w:lang w:val="fr-CA"/>
        </w:rPr>
        <w:t>est pas privé de son pouvoir lorsqu</w:t>
      </w:r>
      <w:r>
        <w:rPr>
          <w:rFonts w:cs="Times New Roman"/>
          <w:noProof/>
          <w:lang w:val="fr-CA"/>
        </w:rPr>
        <w:t>’</w:t>
      </w:r>
      <w:r w:rsidRPr="004378FA">
        <w:rPr>
          <w:rFonts w:cs="Times New Roman"/>
          <w:noProof/>
          <w:lang w:val="fr-CA"/>
        </w:rPr>
        <w:t>un créancier enregistre un jugement de reconnaissance qui a été rendu dans un ressort accordant la réciprocité. Bien qu</w:t>
      </w:r>
      <w:r>
        <w:rPr>
          <w:rFonts w:cs="Times New Roman"/>
          <w:noProof/>
          <w:lang w:val="fr-CA"/>
        </w:rPr>
        <w:t>’</w:t>
      </w:r>
      <w:r w:rsidRPr="004378FA">
        <w:rPr>
          <w:rFonts w:cs="Times New Roman"/>
          <w:noProof/>
          <w:lang w:val="fr-CA"/>
        </w:rPr>
        <w:t>un tel jugement ne tranche pas le fond du litige, cela n</w:t>
      </w:r>
      <w:r>
        <w:rPr>
          <w:rFonts w:cs="Times New Roman"/>
          <w:noProof/>
          <w:lang w:val="fr-CA"/>
        </w:rPr>
        <w:t>’</w:t>
      </w:r>
      <w:r w:rsidRPr="004378FA">
        <w:rPr>
          <w:rFonts w:cs="Times New Roman"/>
          <w:noProof/>
          <w:lang w:val="fr-CA"/>
        </w:rPr>
        <w:t xml:space="preserve">a aucune pertinence au regard de la vaste portée de la </w:t>
      </w:r>
      <w:r w:rsidRPr="004378FA">
        <w:rPr>
          <w:rFonts w:cs="Times New Roman"/>
          <w:i/>
          <w:noProof/>
          <w:lang w:val="fr-CA"/>
        </w:rPr>
        <w:t>LERJ</w:t>
      </w:r>
      <w:r w:rsidRPr="004378FA">
        <w:rPr>
          <w:rFonts w:cs="Times New Roman"/>
          <w:noProof/>
          <w:lang w:val="fr-CA"/>
        </w:rPr>
        <w:t>. Ce jugement résulte tout de même de la procédure de vérification du tribunal d</w:t>
      </w:r>
      <w:r>
        <w:rPr>
          <w:rFonts w:cs="Times New Roman"/>
          <w:noProof/>
          <w:lang w:val="fr-CA"/>
        </w:rPr>
        <w:t>’</w:t>
      </w:r>
      <w:r w:rsidRPr="004378FA">
        <w:rPr>
          <w:rFonts w:cs="Times New Roman"/>
          <w:noProof/>
          <w:lang w:val="fr-CA"/>
        </w:rPr>
        <w:t>une province ou d</w:t>
      </w:r>
      <w:r>
        <w:rPr>
          <w:rFonts w:cs="Times New Roman"/>
          <w:noProof/>
          <w:lang w:val="fr-CA"/>
        </w:rPr>
        <w:t>’</w:t>
      </w:r>
      <w:r w:rsidRPr="004378FA">
        <w:rPr>
          <w:rFonts w:cs="Times New Roman"/>
          <w:noProof/>
          <w:lang w:val="fr-CA"/>
        </w:rPr>
        <w:t>un territoire que le lieutenant</w:t>
      </w:r>
      <w:r w:rsidRPr="004378FA">
        <w:rPr>
          <w:rFonts w:cs="Times New Roman"/>
          <w:noProof/>
          <w:lang w:val="fr-CA"/>
        </w:rPr>
        <w:noBreakHyphen/>
        <w:t>gouverneur considère déjà comme accordant la réciprocité, et son enregistrement ne donne donc pas lieu à l</w:t>
      </w:r>
      <w:r>
        <w:rPr>
          <w:rFonts w:cs="Times New Roman"/>
          <w:noProof/>
          <w:lang w:val="fr-CA"/>
        </w:rPr>
        <w:t>’</w:t>
      </w:r>
      <w:r w:rsidRPr="004378FA">
        <w:rPr>
          <w:rFonts w:cs="Times New Roman"/>
          <w:noProof/>
          <w:lang w:val="fr-CA"/>
        </w:rPr>
        <w:t>allongement de la liste. De plus, le fait de permettre l</w:t>
      </w:r>
      <w:r>
        <w:rPr>
          <w:rFonts w:cs="Times New Roman"/>
          <w:noProof/>
          <w:lang w:val="fr-CA"/>
        </w:rPr>
        <w:t>’</w:t>
      </w:r>
      <w:r w:rsidRPr="004378FA">
        <w:rPr>
          <w:rFonts w:cs="Times New Roman"/>
          <w:noProof/>
          <w:lang w:val="fr-CA"/>
        </w:rPr>
        <w:t>enregistrement d</w:t>
      </w:r>
      <w:r>
        <w:rPr>
          <w:rFonts w:cs="Times New Roman"/>
          <w:noProof/>
          <w:lang w:val="fr-CA"/>
        </w:rPr>
        <w:t>’</w:t>
      </w:r>
      <w:r w:rsidRPr="004378FA">
        <w:rPr>
          <w:rFonts w:cs="Times New Roman"/>
          <w:noProof/>
          <w:lang w:val="fr-CA"/>
        </w:rPr>
        <w:t>un jugement de reconnaissance n</w:t>
      </w:r>
      <w:r>
        <w:rPr>
          <w:rFonts w:cs="Times New Roman"/>
          <w:noProof/>
          <w:lang w:val="fr-CA"/>
        </w:rPr>
        <w:t>’</w:t>
      </w:r>
      <w:r w:rsidRPr="004378FA">
        <w:rPr>
          <w:rFonts w:cs="Times New Roman"/>
          <w:noProof/>
          <w:lang w:val="fr-CA"/>
        </w:rPr>
        <w:t>empêche pas les exigences énoncées à l</w:t>
      </w:r>
      <w:r>
        <w:rPr>
          <w:rFonts w:cs="Times New Roman"/>
          <w:noProof/>
          <w:lang w:val="fr-CA"/>
        </w:rPr>
        <w:t>’</w:t>
      </w:r>
      <w:r w:rsidRPr="004378FA">
        <w:rPr>
          <w:rFonts w:cs="Times New Roman"/>
          <w:noProof/>
          <w:lang w:val="fr-CA"/>
        </w:rPr>
        <w:t>art. 3 de jouer un rôle utile. Je suis donc convaincue que l</w:t>
      </w:r>
      <w:r>
        <w:rPr>
          <w:rFonts w:cs="Times New Roman"/>
          <w:noProof/>
          <w:lang w:val="fr-CA"/>
        </w:rPr>
        <w:t>’</w:t>
      </w:r>
      <w:r w:rsidRPr="004378FA">
        <w:rPr>
          <w:rFonts w:cs="Times New Roman"/>
          <w:noProof/>
          <w:lang w:val="fr-CA"/>
        </w:rPr>
        <w:t>interprétation voulant que la définition du mot « jugement » englobe les jugements de reconnaissance s</w:t>
      </w:r>
      <w:r>
        <w:rPr>
          <w:rFonts w:cs="Times New Roman"/>
          <w:noProof/>
          <w:lang w:val="fr-CA"/>
        </w:rPr>
        <w:t>’</w:t>
      </w:r>
      <w:r w:rsidRPr="004378FA">
        <w:rPr>
          <w:rFonts w:cs="Times New Roman"/>
          <w:noProof/>
          <w:lang w:val="fr-CA"/>
        </w:rPr>
        <w:t>harmonise avec l</w:t>
      </w:r>
      <w:r>
        <w:rPr>
          <w:rFonts w:cs="Times New Roman"/>
          <w:noProof/>
          <w:lang w:val="fr-CA"/>
        </w:rPr>
        <w:t>’</w:t>
      </w:r>
      <w:r w:rsidRPr="004378FA">
        <w:rPr>
          <w:rFonts w:cs="Times New Roman"/>
          <w:noProof/>
          <w:lang w:val="fr-CA"/>
        </w:rPr>
        <w:t xml:space="preserve">économie de la </w:t>
      </w:r>
      <w:r w:rsidRPr="004378FA">
        <w:rPr>
          <w:rFonts w:cs="Times New Roman"/>
          <w:i/>
          <w:noProof/>
          <w:lang w:val="fr-CA"/>
        </w:rPr>
        <w:t>LERJ</w:t>
      </w:r>
      <w:r w:rsidRPr="004378FA">
        <w:rPr>
          <w:rFonts w:cs="Times New Roman"/>
          <w:noProof/>
          <w:lang w:val="fr-CA"/>
        </w:rPr>
        <w:t>.</w:t>
      </w:r>
    </w:p>
    <w:p w:rsidR="009D2D7F" w:rsidRPr="004378FA" w:rsidRDefault="009D2D7F" w:rsidP="009D2D7F">
      <w:pPr>
        <w:pStyle w:val="ParaNoNdepar-AltN"/>
        <w:spacing w:before="0"/>
        <w:rPr>
          <w:rFonts w:cs="Times New Roman"/>
          <w:noProof/>
          <w:szCs w:val="24"/>
          <w:lang w:val="fr-CA"/>
        </w:rPr>
      </w:pPr>
      <w:r w:rsidRPr="004378FA">
        <w:rPr>
          <w:rFonts w:cs="Times New Roman"/>
          <w:noProof/>
          <w:lang w:val="fr-CA"/>
        </w:rPr>
        <w:t>L</w:t>
      </w:r>
      <w:r>
        <w:rPr>
          <w:rFonts w:cs="Times New Roman"/>
          <w:noProof/>
          <w:lang w:val="fr-CA"/>
        </w:rPr>
        <w:t>’</w:t>
      </w:r>
      <w:r w:rsidRPr="004378FA">
        <w:rPr>
          <w:rFonts w:cs="Times New Roman"/>
          <w:noProof/>
          <w:lang w:val="fr-CA"/>
        </w:rPr>
        <w:t>enregistrement des jugements de reconnaissance favorise la réalisation de l</w:t>
      </w:r>
      <w:r>
        <w:rPr>
          <w:rFonts w:cs="Times New Roman"/>
          <w:noProof/>
          <w:lang w:val="fr-CA"/>
        </w:rPr>
        <w:t>’</w:t>
      </w:r>
      <w:r w:rsidRPr="004378FA">
        <w:rPr>
          <w:rFonts w:cs="Times New Roman"/>
          <w:noProof/>
          <w:lang w:val="fr-CA"/>
        </w:rPr>
        <w:t xml:space="preserve">objet de la </w:t>
      </w:r>
      <w:r w:rsidRPr="004378FA">
        <w:rPr>
          <w:rFonts w:cs="Times New Roman"/>
          <w:i/>
          <w:noProof/>
          <w:lang w:val="fr-CA"/>
        </w:rPr>
        <w:t>LERJ</w:t>
      </w:r>
      <w:r w:rsidRPr="004378FA">
        <w:rPr>
          <w:rFonts w:cs="Times New Roman"/>
          <w:noProof/>
          <w:lang w:val="fr-CA"/>
        </w:rPr>
        <w:t>, lequel consiste à offrir aux créanciers en vertu de jugements rendus dans d</w:t>
      </w:r>
      <w:r>
        <w:rPr>
          <w:rFonts w:cs="Times New Roman"/>
          <w:noProof/>
          <w:lang w:val="fr-CA"/>
        </w:rPr>
        <w:t>’</w:t>
      </w:r>
      <w:r w:rsidRPr="004378FA">
        <w:rPr>
          <w:rFonts w:cs="Times New Roman"/>
          <w:noProof/>
          <w:lang w:val="fr-CA"/>
        </w:rPr>
        <w:t>autres provinces et territoires un mécanisme permettant l</w:t>
      </w:r>
      <w:r>
        <w:rPr>
          <w:rFonts w:cs="Times New Roman"/>
          <w:noProof/>
          <w:lang w:val="fr-CA"/>
        </w:rPr>
        <w:t>’</w:t>
      </w:r>
      <w:r w:rsidRPr="004378FA">
        <w:rPr>
          <w:rFonts w:cs="Times New Roman"/>
          <w:noProof/>
          <w:lang w:val="fr-CA"/>
        </w:rPr>
        <w:t>exécution du jugement de façon plus rapide et plus pratique que les voies de reconnaissance et d</w:t>
      </w:r>
      <w:r>
        <w:rPr>
          <w:rFonts w:cs="Times New Roman"/>
          <w:noProof/>
          <w:lang w:val="fr-CA"/>
        </w:rPr>
        <w:t>’</w:t>
      </w:r>
      <w:r w:rsidRPr="004378FA">
        <w:rPr>
          <w:rFonts w:cs="Times New Roman"/>
          <w:noProof/>
          <w:lang w:val="fr-CA"/>
        </w:rPr>
        <w:t>exécution reconnues en common law (</w:t>
      </w:r>
      <w:r w:rsidRPr="004378FA">
        <w:rPr>
          <w:rFonts w:cs="Times New Roman"/>
          <w:i/>
          <w:noProof/>
          <w:lang w:val="fr-CA"/>
        </w:rPr>
        <w:t>Morguard Investments Ltd. c. De Savoye</w:t>
      </w:r>
      <w:r w:rsidRPr="004378FA">
        <w:rPr>
          <w:rFonts w:cs="Times New Roman"/>
          <w:noProof/>
          <w:lang w:val="fr-CA"/>
        </w:rPr>
        <w:t xml:space="preserve">, [1990] 3 R.C.S. 1077, p. 1111; </w:t>
      </w:r>
      <w:r w:rsidRPr="004378FA">
        <w:rPr>
          <w:rFonts w:cs="Times New Roman"/>
          <w:i/>
          <w:noProof/>
          <w:lang w:val="fr-CA"/>
        </w:rPr>
        <w:t>Chevron</w:t>
      </w:r>
      <w:r w:rsidRPr="004378FA">
        <w:rPr>
          <w:rFonts w:cs="Times New Roman"/>
          <w:noProof/>
          <w:lang w:val="fr-CA"/>
        </w:rPr>
        <w:t xml:space="preserve">, par. 71; J. Walker, </w:t>
      </w:r>
      <w:r w:rsidRPr="004378FA">
        <w:rPr>
          <w:rFonts w:cs="Times New Roman"/>
          <w:i/>
          <w:noProof/>
          <w:lang w:val="fr-CA"/>
        </w:rPr>
        <w:t>Halsbury</w:t>
      </w:r>
      <w:r>
        <w:rPr>
          <w:rFonts w:cs="Times New Roman"/>
          <w:i/>
          <w:noProof/>
          <w:lang w:val="fr-CA"/>
        </w:rPr>
        <w:t>’</w:t>
      </w:r>
      <w:r w:rsidRPr="004378FA">
        <w:rPr>
          <w:rFonts w:cs="Times New Roman"/>
          <w:i/>
          <w:noProof/>
          <w:lang w:val="fr-CA"/>
        </w:rPr>
        <w:t>s Laws of Canada</w:t>
      </w:r>
      <w:r>
        <w:rPr>
          <w:rFonts w:cs="Times New Roman"/>
          <w:i/>
          <w:noProof/>
          <w:lang w:val="fr-CA"/>
        </w:rPr>
        <w:t xml:space="preserve"> </w:t>
      </w:r>
      <w:r w:rsidRPr="004378FA">
        <w:rPr>
          <w:rFonts w:cs="Times New Roman"/>
          <w:i/>
          <w:noProof/>
          <w:lang w:val="fr-CA"/>
        </w:rPr>
        <w:t>—</w:t>
      </w:r>
      <w:r>
        <w:rPr>
          <w:rFonts w:cs="Times New Roman"/>
          <w:i/>
          <w:noProof/>
          <w:lang w:val="fr-CA"/>
        </w:rPr>
        <w:t xml:space="preserve"> </w:t>
      </w:r>
      <w:r w:rsidRPr="004378FA">
        <w:rPr>
          <w:rFonts w:cs="Times New Roman"/>
          <w:i/>
          <w:noProof/>
          <w:lang w:val="fr-CA"/>
        </w:rPr>
        <w:t xml:space="preserve">Conflict of Laws </w:t>
      </w:r>
      <w:r w:rsidRPr="004378FA">
        <w:rPr>
          <w:rFonts w:cs="Times New Roman"/>
          <w:noProof/>
          <w:lang w:val="fr-CA"/>
        </w:rPr>
        <w:t>(1</w:t>
      </w:r>
      <w:r w:rsidRPr="004378FA">
        <w:rPr>
          <w:rFonts w:cs="Times New Roman"/>
          <w:noProof/>
          <w:vertAlign w:val="superscript"/>
          <w:lang w:val="fr-CA"/>
        </w:rPr>
        <w:t>re</w:t>
      </w:r>
      <w:r w:rsidRPr="004378FA">
        <w:rPr>
          <w:rFonts w:cs="Times New Roman"/>
          <w:noProof/>
          <w:lang w:val="fr-CA"/>
        </w:rPr>
        <w:t xml:space="preserve"> éd.</w:t>
      </w:r>
      <w:r>
        <w:rPr>
          <w:rFonts w:cs="Times New Roman"/>
          <w:noProof/>
          <w:lang w:val="fr-CA"/>
        </w:rPr>
        <w:t>,</w:t>
      </w:r>
      <w:r w:rsidRPr="004378FA">
        <w:rPr>
          <w:rFonts w:cs="Times New Roman"/>
          <w:noProof/>
          <w:lang w:val="fr-CA"/>
        </w:rPr>
        <w:t xml:space="preserve"> réédition 2020), HCF</w:t>
      </w:r>
      <w:r w:rsidRPr="004378FA">
        <w:rPr>
          <w:rFonts w:cs="Times New Roman"/>
          <w:noProof/>
          <w:lang w:val="fr-CA"/>
        </w:rPr>
        <w:noBreakHyphen/>
        <w:t>96; S.</w:t>
      </w:r>
      <w:r>
        <w:rPr>
          <w:rFonts w:cs="Times New Roman"/>
          <w:noProof/>
          <w:lang w:val="fr-CA"/>
        </w:rPr>
        <w:t> </w:t>
      </w:r>
      <w:r w:rsidRPr="004378FA">
        <w:rPr>
          <w:rFonts w:cs="Times New Roman"/>
          <w:noProof/>
          <w:lang w:val="fr-CA"/>
        </w:rPr>
        <w:t xml:space="preserve">G. A. Pitel et N. S. Rafferty, </w:t>
      </w:r>
      <w:r w:rsidRPr="004378FA">
        <w:rPr>
          <w:rFonts w:cs="Times New Roman"/>
          <w:i/>
          <w:noProof/>
          <w:lang w:val="fr-CA"/>
        </w:rPr>
        <w:t xml:space="preserve">Conflict of Laws </w:t>
      </w:r>
      <w:r w:rsidRPr="004378FA">
        <w:rPr>
          <w:rFonts w:cs="Times New Roman"/>
          <w:noProof/>
          <w:lang w:val="fr-CA"/>
        </w:rPr>
        <w:t>(2</w:t>
      </w:r>
      <w:r w:rsidRPr="004378FA">
        <w:rPr>
          <w:rFonts w:cs="Times New Roman"/>
          <w:noProof/>
          <w:vertAlign w:val="superscript"/>
          <w:lang w:val="fr-CA"/>
        </w:rPr>
        <w:t>e</w:t>
      </w:r>
      <w:r w:rsidRPr="004378FA">
        <w:rPr>
          <w:rFonts w:cs="Times New Roman"/>
          <w:noProof/>
          <w:lang w:val="fr-CA"/>
        </w:rPr>
        <w:t xml:space="preserve"> éd. 2016), p. 201). Le principal avantage de ce mécanisme est qu</w:t>
      </w:r>
      <w:r>
        <w:rPr>
          <w:rFonts w:cs="Times New Roman"/>
          <w:noProof/>
          <w:lang w:val="fr-CA"/>
        </w:rPr>
        <w:t>’</w:t>
      </w:r>
      <w:r w:rsidRPr="004378FA">
        <w:rPr>
          <w:rFonts w:cs="Times New Roman"/>
          <w:noProof/>
          <w:lang w:val="fr-CA"/>
        </w:rPr>
        <w:t>il inverse le fardeau du procès en permettant l</w:t>
      </w:r>
      <w:r>
        <w:rPr>
          <w:rFonts w:cs="Times New Roman"/>
          <w:noProof/>
          <w:lang w:val="fr-CA"/>
        </w:rPr>
        <w:t>’</w:t>
      </w:r>
      <w:r w:rsidRPr="004378FA">
        <w:rPr>
          <w:rFonts w:cs="Times New Roman"/>
          <w:noProof/>
          <w:lang w:val="fr-CA"/>
        </w:rPr>
        <w:t>enregistrement, à moins que le débiteur n</w:t>
      </w:r>
      <w:r>
        <w:rPr>
          <w:rFonts w:cs="Times New Roman"/>
          <w:noProof/>
          <w:lang w:val="fr-CA"/>
        </w:rPr>
        <w:t>’</w:t>
      </w:r>
      <w:r w:rsidRPr="004378FA">
        <w:rPr>
          <w:rFonts w:cs="Times New Roman"/>
          <w:noProof/>
          <w:lang w:val="fr-CA"/>
        </w:rPr>
        <w:t>obtienne gain de cause dans une action visant à l</w:t>
      </w:r>
      <w:r>
        <w:rPr>
          <w:rFonts w:cs="Times New Roman"/>
          <w:noProof/>
          <w:lang w:val="fr-CA"/>
        </w:rPr>
        <w:t>’</w:t>
      </w:r>
      <w:r w:rsidRPr="004378FA">
        <w:rPr>
          <w:rFonts w:cs="Times New Roman"/>
          <w:noProof/>
          <w:lang w:val="fr-CA"/>
        </w:rPr>
        <w:t xml:space="preserve">annuler (J. Walker, </w:t>
      </w:r>
      <w:r w:rsidRPr="004378FA">
        <w:rPr>
          <w:rFonts w:cs="Times New Roman"/>
          <w:i/>
          <w:noProof/>
          <w:lang w:val="fr-CA"/>
        </w:rPr>
        <w:t>Castel &amp; Walker</w:t>
      </w:r>
      <w:r>
        <w:rPr>
          <w:rFonts w:cs="Times New Roman"/>
          <w:i/>
          <w:noProof/>
          <w:lang w:val="fr-CA"/>
        </w:rPr>
        <w:t> </w:t>
      </w:r>
      <w:r w:rsidRPr="004378FA">
        <w:rPr>
          <w:rFonts w:cs="Times New Roman"/>
          <w:i/>
          <w:noProof/>
          <w:lang w:val="fr-CA"/>
        </w:rPr>
        <w:t>:</w:t>
      </w:r>
      <w:r w:rsidRPr="004378FA">
        <w:rPr>
          <w:rFonts w:cs="Times New Roman"/>
          <w:noProof/>
          <w:lang w:val="fr-CA"/>
        </w:rPr>
        <w:t xml:space="preserve"> </w:t>
      </w:r>
      <w:r w:rsidRPr="004378FA">
        <w:rPr>
          <w:rFonts w:cs="Times New Roman"/>
          <w:i/>
          <w:noProof/>
          <w:lang w:val="fr-CA"/>
        </w:rPr>
        <w:t>Canadian Conflict of Laws</w:t>
      </w:r>
      <w:r w:rsidRPr="004378FA">
        <w:rPr>
          <w:rFonts w:cs="Times New Roman"/>
          <w:noProof/>
          <w:lang w:val="fr-CA"/>
        </w:rPr>
        <w:t xml:space="preserve"> (6</w:t>
      </w:r>
      <w:r w:rsidRPr="004378FA">
        <w:rPr>
          <w:rFonts w:cs="Times New Roman"/>
          <w:noProof/>
          <w:vertAlign w:val="superscript"/>
          <w:lang w:val="fr-CA"/>
        </w:rPr>
        <w:t>e</w:t>
      </w:r>
      <w:r w:rsidRPr="004378FA">
        <w:rPr>
          <w:rFonts w:cs="Times New Roman"/>
          <w:noProof/>
          <w:lang w:val="fr-CA"/>
        </w:rPr>
        <w:t> éd. (feuilles mobiles</w:t>
      </w:r>
      <w:r>
        <w:rPr>
          <w:rFonts w:cs="Times New Roman"/>
          <w:noProof/>
          <w:lang w:val="fr-CA"/>
        </w:rPr>
        <w:t>))</w:t>
      </w:r>
      <w:r w:rsidRPr="004378FA">
        <w:rPr>
          <w:rFonts w:cs="Times New Roman"/>
          <w:noProof/>
          <w:lang w:val="fr-CA"/>
        </w:rPr>
        <w:t>,</w:t>
      </w:r>
      <w:r>
        <w:rPr>
          <w:rFonts w:cs="Times New Roman"/>
          <w:i/>
          <w:noProof/>
          <w:lang w:val="fr-CA"/>
        </w:rPr>
        <w:t xml:space="preserve"> </w:t>
      </w:r>
      <w:r w:rsidRPr="004378FA">
        <w:rPr>
          <w:rFonts w:cs="Times New Roman"/>
          <w:noProof/>
          <w:lang w:val="fr-CA"/>
        </w:rPr>
        <w:t>§</w:t>
      </w:r>
      <w:r>
        <w:rPr>
          <w:rFonts w:cs="Times New Roman"/>
          <w:noProof/>
          <w:lang w:val="fr-CA"/>
        </w:rPr>
        <w:t> 1</w:t>
      </w:r>
      <w:r w:rsidRPr="004378FA">
        <w:rPr>
          <w:rFonts w:cs="Times New Roman"/>
          <w:noProof/>
          <w:lang w:val="fr-CA"/>
        </w:rPr>
        <w:t>4.24; Pitel et Rafferty, p. 202). La courtoisie entre les ressorts accordant la réciprocité est essentielle pour atteindre cet objectif. D</w:t>
      </w:r>
      <w:r>
        <w:rPr>
          <w:rFonts w:cs="Times New Roman"/>
          <w:noProof/>
          <w:lang w:val="fr-CA"/>
        </w:rPr>
        <w:t>’</w:t>
      </w:r>
      <w:r w:rsidRPr="004378FA">
        <w:rPr>
          <w:rFonts w:cs="Times New Roman"/>
          <w:noProof/>
          <w:lang w:val="fr-CA"/>
        </w:rPr>
        <w:t xml:space="preserve">ailleurs, la plupart des lois équivalentes à la </w:t>
      </w:r>
      <w:r w:rsidRPr="004378FA">
        <w:rPr>
          <w:rFonts w:cs="Times New Roman"/>
          <w:i/>
          <w:noProof/>
          <w:lang w:val="fr-CA"/>
        </w:rPr>
        <w:t xml:space="preserve">LERJ </w:t>
      </w:r>
      <w:r w:rsidRPr="004378FA">
        <w:rPr>
          <w:rFonts w:cs="Times New Roman"/>
          <w:noProof/>
          <w:lang w:val="fr-CA"/>
        </w:rPr>
        <w:t>qui ont été adoptées dans d</w:t>
      </w:r>
      <w:r>
        <w:rPr>
          <w:rFonts w:cs="Times New Roman"/>
          <w:noProof/>
          <w:lang w:val="fr-CA"/>
        </w:rPr>
        <w:t>’</w:t>
      </w:r>
      <w:r w:rsidRPr="004378FA">
        <w:rPr>
          <w:rFonts w:cs="Times New Roman"/>
          <w:noProof/>
          <w:lang w:val="fr-CA"/>
        </w:rPr>
        <w:t>autres provinces et territoires s</w:t>
      </w:r>
      <w:r>
        <w:rPr>
          <w:rFonts w:cs="Times New Roman"/>
          <w:noProof/>
          <w:lang w:val="fr-CA"/>
        </w:rPr>
        <w:t>’</w:t>
      </w:r>
      <w:r w:rsidRPr="004378FA">
        <w:rPr>
          <w:rFonts w:cs="Times New Roman"/>
          <w:noProof/>
          <w:lang w:val="fr-CA"/>
        </w:rPr>
        <w:t>inspirent du modèle proposé par la Conférence pour l</w:t>
      </w:r>
      <w:r>
        <w:rPr>
          <w:rFonts w:cs="Times New Roman"/>
          <w:noProof/>
          <w:lang w:val="fr-CA"/>
        </w:rPr>
        <w:t>’</w:t>
      </w:r>
      <w:r w:rsidRPr="004378FA">
        <w:rPr>
          <w:rFonts w:cs="Times New Roman"/>
          <w:noProof/>
          <w:lang w:val="fr-CA"/>
        </w:rPr>
        <w:t>uniformisation des lois au Canada, et la plupart des provinces et territoires de common law pratiquent la réciprocité (</w:t>
      </w:r>
      <w:r w:rsidRPr="004378FA">
        <w:rPr>
          <w:rFonts w:cs="Times New Roman"/>
          <w:i/>
          <w:noProof/>
          <w:lang w:val="fr-CA"/>
        </w:rPr>
        <w:t>Proceedings of the Seventh Annual Meeting of the Conference of Commissioners on Uniformity of Legislation in Canada</w:t>
      </w:r>
      <w:r w:rsidRPr="004378FA">
        <w:rPr>
          <w:rFonts w:cs="Times New Roman"/>
          <w:noProof/>
          <w:lang w:val="fr-CA"/>
        </w:rPr>
        <w:t xml:space="preserve">, </w:t>
      </w:r>
      <w:r>
        <w:rPr>
          <w:rFonts w:cs="Times New Roman"/>
          <w:noProof/>
          <w:lang w:val="fr-CA"/>
        </w:rPr>
        <w:t>ann</w:t>
      </w:r>
      <w:r w:rsidRPr="004378FA">
        <w:rPr>
          <w:rFonts w:cs="Times New Roman"/>
          <w:noProof/>
          <w:lang w:val="fr-CA"/>
        </w:rPr>
        <w:t>. </w:t>
      </w:r>
      <w:r>
        <w:rPr>
          <w:rFonts w:cs="Times New Roman"/>
          <w:noProof/>
          <w:lang w:val="fr-CA"/>
        </w:rPr>
        <w:t>G,</w:t>
      </w:r>
      <w:r w:rsidRPr="004378FA">
        <w:rPr>
          <w:rFonts w:cs="Times New Roman"/>
          <w:noProof/>
          <w:lang w:val="fr-CA"/>
        </w:rPr>
        <w:t xml:space="preserve"> </w:t>
      </w:r>
      <w:r w:rsidRPr="004378FA">
        <w:rPr>
          <w:rFonts w:cs="Times New Roman"/>
          <w:i/>
          <w:noProof/>
          <w:lang w:val="fr-CA"/>
        </w:rPr>
        <w:t xml:space="preserve">The Reciprocal Enforcement of Judgments Act </w:t>
      </w:r>
      <w:r w:rsidRPr="004378FA">
        <w:rPr>
          <w:rFonts w:cs="Times New Roman"/>
          <w:noProof/>
          <w:lang w:val="fr-CA"/>
        </w:rPr>
        <w:t>(1924)).</w:t>
      </w:r>
      <w:r w:rsidRPr="004378FA">
        <w:rPr>
          <w:rFonts w:cs="Times New Roman"/>
          <w:i/>
          <w:noProof/>
          <w:lang w:val="fr-CA"/>
        </w:rPr>
        <w:t xml:space="preserve"> </w:t>
      </w:r>
      <w:r w:rsidRPr="004378FA">
        <w:rPr>
          <w:rFonts w:cs="Times New Roman"/>
          <w:noProof/>
          <w:lang w:val="fr-CA"/>
        </w:rPr>
        <w:t xml:space="preserve">La </w:t>
      </w:r>
      <w:r w:rsidRPr="004378FA">
        <w:rPr>
          <w:rFonts w:cs="Times New Roman"/>
          <w:i/>
          <w:noProof/>
          <w:lang w:val="fr-CA"/>
        </w:rPr>
        <w:t xml:space="preserve">LERJ </w:t>
      </w:r>
      <w:r w:rsidRPr="004378FA">
        <w:rPr>
          <w:rFonts w:cs="Times New Roman"/>
          <w:iCs/>
          <w:noProof/>
          <w:lang w:val="fr-CA"/>
        </w:rPr>
        <w:t>ne pourrait pas s</w:t>
      </w:r>
      <w:r>
        <w:rPr>
          <w:rFonts w:cs="Times New Roman"/>
          <w:iCs/>
          <w:noProof/>
          <w:lang w:val="fr-CA"/>
        </w:rPr>
        <w:t>’</w:t>
      </w:r>
      <w:r w:rsidRPr="004378FA">
        <w:rPr>
          <w:rFonts w:cs="Times New Roman"/>
          <w:iCs/>
          <w:noProof/>
          <w:lang w:val="fr-CA"/>
        </w:rPr>
        <w:t xml:space="preserve">appliquer comme prévu </w:t>
      </w:r>
      <w:r w:rsidRPr="004378FA">
        <w:rPr>
          <w:rFonts w:cs="Times New Roman"/>
          <w:iCs/>
          <w:noProof/>
          <w:szCs w:val="24"/>
          <w:lang w:val="fr-CA"/>
        </w:rPr>
        <w:t>sans pareils déférence et respect à l</w:t>
      </w:r>
      <w:r>
        <w:rPr>
          <w:rFonts w:cs="Times New Roman"/>
          <w:iCs/>
          <w:noProof/>
          <w:szCs w:val="24"/>
          <w:lang w:val="fr-CA"/>
        </w:rPr>
        <w:t>’</w:t>
      </w:r>
      <w:r w:rsidRPr="004378FA">
        <w:rPr>
          <w:rFonts w:cs="Times New Roman"/>
          <w:iCs/>
          <w:noProof/>
          <w:szCs w:val="24"/>
          <w:lang w:val="fr-CA"/>
        </w:rPr>
        <w:t xml:space="preserve">égard des actes judiciaires légitimes émanant </w:t>
      </w:r>
      <w:r w:rsidRPr="004378FA">
        <w:rPr>
          <w:rFonts w:cs="Times New Roman"/>
          <w:szCs w:val="24"/>
          <w:lang w:val="fr-CA"/>
        </w:rPr>
        <w:t>de ces autres ressorts. L</w:t>
      </w:r>
      <w:r>
        <w:rPr>
          <w:rFonts w:cs="Times New Roman"/>
          <w:szCs w:val="24"/>
          <w:lang w:val="fr-CA"/>
        </w:rPr>
        <w:t>’</w:t>
      </w:r>
      <w:r w:rsidRPr="004378FA">
        <w:rPr>
          <w:rFonts w:cs="Times New Roman"/>
          <w:szCs w:val="24"/>
          <w:lang w:val="fr-CA"/>
        </w:rPr>
        <w:t xml:space="preserve">absence de courtoisie entraverait la circulation transfrontalière des richesses et des personnes et </w:t>
      </w:r>
      <w:r w:rsidRPr="004378FA">
        <w:rPr>
          <w:rFonts w:cs="Times New Roman"/>
          <w:iCs/>
          <w:noProof/>
          <w:szCs w:val="24"/>
          <w:lang w:val="fr-CA"/>
        </w:rPr>
        <w:t xml:space="preserve">contrecarrerait la poursuite du bien commun </w:t>
      </w:r>
      <w:r w:rsidRPr="004378FA">
        <w:rPr>
          <w:rFonts w:cs="Times New Roman"/>
          <w:noProof/>
          <w:szCs w:val="24"/>
          <w:lang w:val="fr-CA"/>
        </w:rPr>
        <w:t xml:space="preserve">(voir </w:t>
      </w:r>
      <w:r w:rsidRPr="004378FA">
        <w:rPr>
          <w:rFonts w:cs="Times New Roman"/>
          <w:i/>
          <w:noProof/>
          <w:szCs w:val="24"/>
          <w:lang w:val="fr-CA"/>
        </w:rPr>
        <w:t>Morguard</w:t>
      </w:r>
      <w:r w:rsidRPr="004378FA">
        <w:rPr>
          <w:rFonts w:cs="Times New Roman"/>
          <w:noProof/>
          <w:szCs w:val="24"/>
          <w:lang w:val="fr-CA"/>
        </w:rPr>
        <w:t>, p. 1095</w:t>
      </w:r>
      <w:r w:rsidRPr="004378FA">
        <w:rPr>
          <w:rFonts w:cs="Times New Roman"/>
          <w:noProof/>
          <w:szCs w:val="24"/>
          <w:lang w:val="fr-CA"/>
        </w:rPr>
        <w:noBreakHyphen/>
        <w:t xml:space="preserve">1096; </w:t>
      </w:r>
      <w:r w:rsidRPr="004378FA">
        <w:rPr>
          <w:rFonts w:cs="Times New Roman"/>
          <w:i/>
          <w:noProof/>
          <w:szCs w:val="24"/>
          <w:lang w:val="fr-CA"/>
        </w:rPr>
        <w:t>Beals c. Saldanha</w:t>
      </w:r>
      <w:r w:rsidRPr="004378FA">
        <w:rPr>
          <w:rFonts w:cs="Times New Roman"/>
          <w:noProof/>
          <w:szCs w:val="24"/>
          <w:lang w:val="fr-CA"/>
        </w:rPr>
        <w:t>, 2003 CSC 72, [2003] </w:t>
      </w:r>
      <w:r w:rsidRPr="004378FA">
        <w:rPr>
          <w:rFonts w:cs="Times New Roman"/>
          <w:szCs w:val="24"/>
          <w:lang w:val="fr-CA"/>
        </w:rPr>
        <w:t>3 R</w:t>
      </w:r>
      <w:r w:rsidRPr="004378FA">
        <w:rPr>
          <w:rFonts w:cs="Times New Roman"/>
          <w:noProof/>
          <w:szCs w:val="24"/>
          <w:lang w:val="fr-CA"/>
        </w:rPr>
        <w:t>.C.S. 416, par. 20</w:t>
      </w:r>
      <w:r w:rsidRPr="004378FA">
        <w:rPr>
          <w:rFonts w:cs="Times New Roman"/>
          <w:noProof/>
          <w:szCs w:val="24"/>
          <w:lang w:val="fr-CA"/>
        </w:rPr>
        <w:noBreakHyphen/>
        <w:t xml:space="preserve">21; </w:t>
      </w:r>
      <w:r w:rsidRPr="004378FA">
        <w:rPr>
          <w:rFonts w:cs="Times New Roman"/>
          <w:i/>
          <w:noProof/>
          <w:szCs w:val="24"/>
          <w:lang w:val="fr-CA"/>
        </w:rPr>
        <w:t>Chevron</w:t>
      </w:r>
      <w:r w:rsidRPr="004378FA">
        <w:rPr>
          <w:rFonts w:cs="Times New Roman"/>
          <w:noProof/>
          <w:szCs w:val="24"/>
          <w:lang w:val="fr-CA"/>
        </w:rPr>
        <w:t>, par. 52).</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 xml:space="preserve">À mon avis, les objectifs poursuivis par la </w:t>
      </w:r>
      <w:r w:rsidRPr="004378FA">
        <w:rPr>
          <w:rFonts w:cs="Times New Roman"/>
          <w:i/>
          <w:noProof/>
          <w:lang w:val="fr-CA"/>
        </w:rPr>
        <w:t>LERJ</w:t>
      </w:r>
      <w:r w:rsidRPr="004378FA">
        <w:rPr>
          <w:rFonts w:cs="Times New Roman"/>
          <w:noProof/>
          <w:lang w:val="fr-CA"/>
        </w:rPr>
        <w:t xml:space="preserve"> ne sont nullement compromis lorsque le tribunal d</w:t>
      </w:r>
      <w:r>
        <w:rPr>
          <w:rFonts w:cs="Times New Roman"/>
          <w:noProof/>
          <w:lang w:val="fr-CA"/>
        </w:rPr>
        <w:t>’</w:t>
      </w:r>
      <w:r w:rsidRPr="004378FA">
        <w:rPr>
          <w:rFonts w:cs="Times New Roman"/>
          <w:noProof/>
          <w:lang w:val="fr-CA"/>
        </w:rPr>
        <w:t>enregistrement s</w:t>
      </w:r>
      <w:r>
        <w:rPr>
          <w:rFonts w:cs="Times New Roman"/>
          <w:noProof/>
          <w:lang w:val="fr-CA"/>
        </w:rPr>
        <w:t>’</w:t>
      </w:r>
      <w:r w:rsidRPr="004378FA">
        <w:rPr>
          <w:rFonts w:cs="Times New Roman"/>
          <w:noProof/>
          <w:lang w:val="fr-CA"/>
        </w:rPr>
        <w:t>en remet à la décision du tribunal accordant la réciprocité de reconnaître l</w:t>
      </w:r>
      <w:r>
        <w:rPr>
          <w:rFonts w:cs="Times New Roman"/>
          <w:noProof/>
          <w:lang w:val="fr-CA"/>
        </w:rPr>
        <w:t>’</w:t>
      </w:r>
      <w:r w:rsidRPr="004378FA">
        <w:rPr>
          <w:rFonts w:cs="Times New Roman"/>
          <w:noProof/>
          <w:lang w:val="fr-CA"/>
        </w:rPr>
        <w:t>existence d</w:t>
      </w:r>
      <w:r>
        <w:rPr>
          <w:rFonts w:cs="Times New Roman"/>
          <w:noProof/>
          <w:lang w:val="fr-CA"/>
        </w:rPr>
        <w:t>’</w:t>
      </w:r>
      <w:r w:rsidRPr="004378FA">
        <w:rPr>
          <w:rFonts w:cs="Times New Roman"/>
          <w:noProof/>
          <w:lang w:val="fr-CA"/>
        </w:rPr>
        <w:t>une créance. Je ne peux concevoir aucune raison juridique ou politique valable pour exiger que le tribunal d</w:t>
      </w:r>
      <w:r>
        <w:rPr>
          <w:rFonts w:cs="Times New Roman"/>
          <w:noProof/>
          <w:lang w:val="fr-CA"/>
        </w:rPr>
        <w:t>’</w:t>
      </w:r>
      <w:r w:rsidRPr="004378FA">
        <w:rPr>
          <w:rFonts w:cs="Times New Roman"/>
          <w:noProof/>
          <w:lang w:val="fr-CA"/>
        </w:rPr>
        <w:t>exécution réévalue le travail effectué par le tribunal d</w:t>
      </w:r>
      <w:r>
        <w:rPr>
          <w:rFonts w:cs="Times New Roman"/>
          <w:noProof/>
          <w:lang w:val="fr-CA"/>
        </w:rPr>
        <w:t>’</w:t>
      </w:r>
      <w:r w:rsidRPr="004378FA">
        <w:rPr>
          <w:rFonts w:cs="Times New Roman"/>
          <w:noProof/>
          <w:lang w:val="fr-CA"/>
        </w:rPr>
        <w:t>un État accordant la réciprocité. Au contraire, la déférence favorise à la fois la commodité et la certitude commerciale. Une fois qu</w:t>
      </w:r>
      <w:r>
        <w:rPr>
          <w:rFonts w:cs="Times New Roman"/>
          <w:noProof/>
          <w:lang w:val="fr-CA"/>
        </w:rPr>
        <w:t>’</w:t>
      </w:r>
      <w:r w:rsidRPr="004378FA">
        <w:rPr>
          <w:rFonts w:cs="Times New Roman"/>
          <w:noProof/>
          <w:lang w:val="fr-CA"/>
        </w:rPr>
        <w:t>un jugement de reconnaissance a été rendu dans un ressort accordant la réciprocité, le créancier en vertu du jugement est dispensé d</w:t>
      </w:r>
      <w:r>
        <w:rPr>
          <w:rFonts w:cs="Times New Roman"/>
          <w:noProof/>
          <w:lang w:val="fr-CA"/>
        </w:rPr>
        <w:t>’</w:t>
      </w:r>
      <w:r w:rsidRPr="004378FA">
        <w:rPr>
          <w:rFonts w:cs="Times New Roman"/>
          <w:noProof/>
          <w:lang w:val="fr-CA"/>
        </w:rPr>
        <w:t>avoir à intenter une série d</w:t>
      </w:r>
      <w:r>
        <w:rPr>
          <w:rFonts w:cs="Times New Roman"/>
          <w:noProof/>
          <w:lang w:val="fr-CA"/>
        </w:rPr>
        <w:t>’</w:t>
      </w:r>
      <w:r w:rsidRPr="004378FA">
        <w:rPr>
          <w:rFonts w:cs="Times New Roman"/>
          <w:noProof/>
          <w:lang w:val="fr-CA"/>
        </w:rPr>
        <w:t xml:space="preserve">actions en common law dans les divers ressorts où </w:t>
      </w:r>
      <w:r w:rsidRPr="004378FA">
        <w:rPr>
          <w:rFonts w:cs="Times New Roman"/>
          <w:lang w:val="fr-CA"/>
        </w:rPr>
        <w:t>les biens de son débiteur « peuvent se trouver ou sont susceptibles de se retrouver un jour »</w:t>
      </w:r>
      <w:r w:rsidRPr="004378FA">
        <w:rPr>
          <w:rFonts w:cs="Times New Roman"/>
          <w:noProof/>
          <w:lang w:val="fr-CA"/>
        </w:rPr>
        <w:t xml:space="preserve"> (</w:t>
      </w:r>
      <w:r w:rsidRPr="004378FA">
        <w:rPr>
          <w:rFonts w:cs="Times New Roman"/>
          <w:i/>
          <w:noProof/>
          <w:lang w:val="fr-CA"/>
        </w:rPr>
        <w:t>Chevron</w:t>
      </w:r>
      <w:r w:rsidRPr="004378FA">
        <w:rPr>
          <w:rFonts w:cs="Times New Roman"/>
          <w:noProof/>
          <w:lang w:val="fr-CA"/>
        </w:rPr>
        <w:t>, par. 68). Cela permet d</w:t>
      </w:r>
      <w:r>
        <w:rPr>
          <w:rFonts w:cs="Times New Roman"/>
          <w:noProof/>
          <w:lang w:val="fr-CA"/>
        </w:rPr>
        <w:t>’</w:t>
      </w:r>
      <w:r w:rsidRPr="004378FA">
        <w:rPr>
          <w:rFonts w:cs="Times New Roman"/>
          <w:noProof/>
          <w:lang w:val="fr-CA"/>
        </w:rPr>
        <w:t>économiser les ressources judiciaires partout au pays, d</w:t>
      </w:r>
      <w:r>
        <w:rPr>
          <w:rFonts w:cs="Times New Roman"/>
          <w:noProof/>
          <w:lang w:val="fr-CA"/>
        </w:rPr>
        <w:t>’</w:t>
      </w:r>
      <w:r w:rsidRPr="004378FA">
        <w:rPr>
          <w:rFonts w:cs="Times New Roman"/>
          <w:noProof/>
          <w:lang w:val="fr-CA"/>
        </w:rPr>
        <w:t>éviter le risque de jugements de reconnaissance contradictoires dans différentes provinces ou différents territoires et d</w:t>
      </w:r>
      <w:r>
        <w:rPr>
          <w:rFonts w:cs="Times New Roman"/>
          <w:noProof/>
          <w:lang w:val="fr-CA"/>
        </w:rPr>
        <w:t>’</w:t>
      </w:r>
      <w:r w:rsidRPr="004378FA">
        <w:rPr>
          <w:rFonts w:cs="Times New Roman"/>
          <w:noProof/>
          <w:lang w:val="fr-CA"/>
        </w:rPr>
        <w:t>assurer une force exécutoire maximale à la créance.</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Après avoir examiné la définition du mot « jugement » dans son contexte global et en harmonie avec l</w:t>
      </w:r>
      <w:r>
        <w:rPr>
          <w:rFonts w:cs="Times New Roman"/>
          <w:noProof/>
          <w:lang w:val="fr-CA"/>
        </w:rPr>
        <w:t>’</w:t>
      </w:r>
      <w:r w:rsidRPr="004378FA">
        <w:rPr>
          <w:rFonts w:cs="Times New Roman"/>
          <w:noProof/>
          <w:lang w:val="fr-CA"/>
        </w:rPr>
        <w:t xml:space="preserve">économie et les objets de la </w:t>
      </w:r>
      <w:r w:rsidRPr="004378FA">
        <w:rPr>
          <w:rFonts w:cs="Times New Roman"/>
          <w:i/>
          <w:noProof/>
          <w:lang w:val="fr-CA"/>
        </w:rPr>
        <w:t>LERJ</w:t>
      </w:r>
      <w:r w:rsidRPr="004378FA">
        <w:rPr>
          <w:rFonts w:cs="Times New Roman"/>
          <w:noProof/>
          <w:lang w:val="fr-CA"/>
        </w:rPr>
        <w:t>, j</w:t>
      </w:r>
      <w:r>
        <w:rPr>
          <w:rFonts w:cs="Times New Roman"/>
          <w:noProof/>
          <w:lang w:val="fr-CA"/>
        </w:rPr>
        <w:t>’</w:t>
      </w:r>
      <w:r w:rsidRPr="004378FA">
        <w:rPr>
          <w:rFonts w:cs="Times New Roman"/>
          <w:noProof/>
          <w:lang w:val="fr-CA"/>
        </w:rPr>
        <w:t xml:space="preserve">estime que le jugement de reconnaissance rendu dans un ressort accordant la réciprocité peut être enregistré en vertu de la </w:t>
      </w:r>
      <w:r w:rsidRPr="004378FA">
        <w:rPr>
          <w:rFonts w:cs="Times New Roman"/>
          <w:i/>
          <w:noProof/>
          <w:lang w:val="fr-CA"/>
        </w:rPr>
        <w:t>LERJ</w:t>
      </w:r>
      <w:r w:rsidRPr="004378FA">
        <w:rPr>
          <w:rFonts w:cs="Times New Roman"/>
          <w:noProof/>
          <w:lang w:val="fr-CA"/>
        </w:rPr>
        <w:t>, à condition que toutes les exigences de la loi soient respectées. Mon interprétation satisfait à la norme de la certitude commerciale énoncée dans l</w:t>
      </w:r>
      <w:r>
        <w:rPr>
          <w:rFonts w:cs="Times New Roman"/>
          <w:noProof/>
          <w:lang w:val="fr-CA"/>
        </w:rPr>
        <w:t>’</w:t>
      </w:r>
      <w:r w:rsidRPr="004378FA">
        <w:rPr>
          <w:rFonts w:cs="Times New Roman"/>
          <w:noProof/>
          <w:lang w:val="fr-CA"/>
        </w:rPr>
        <w:t xml:space="preserve">arrêt </w:t>
      </w:r>
      <w:r w:rsidRPr="004378FA">
        <w:rPr>
          <w:rFonts w:cs="Times New Roman"/>
          <w:i/>
          <w:noProof/>
          <w:lang w:val="fr-CA"/>
        </w:rPr>
        <w:t>Chevron</w:t>
      </w:r>
      <w:r w:rsidRPr="004378FA">
        <w:rPr>
          <w:rFonts w:cs="Times New Roman"/>
          <w:noProof/>
          <w:lang w:val="fr-CA"/>
        </w:rPr>
        <w:t>, laquelle exige que « [les] règles [. . .] de reconnaissance et d</w:t>
      </w:r>
      <w:r>
        <w:rPr>
          <w:rFonts w:cs="Times New Roman"/>
          <w:noProof/>
          <w:lang w:val="fr-CA"/>
        </w:rPr>
        <w:t>’</w:t>
      </w:r>
      <w:r w:rsidRPr="004378FA">
        <w:rPr>
          <w:rFonts w:cs="Times New Roman"/>
          <w:noProof/>
          <w:lang w:val="fr-CA"/>
        </w:rPr>
        <w:t>exécution des jugements étrangers » soient « </w:t>
      </w:r>
      <w:r w:rsidRPr="004378FA">
        <w:rPr>
          <w:rFonts w:cs="Times New Roman"/>
          <w:lang w:val="fr-CA"/>
        </w:rPr>
        <w:t xml:space="preserve">claires, libérales et simples » </w:t>
      </w:r>
      <w:r w:rsidRPr="004378FA">
        <w:rPr>
          <w:rFonts w:cs="Times New Roman"/>
          <w:noProof/>
          <w:lang w:val="fr-CA"/>
        </w:rPr>
        <w:t>(par. 68). Elle est par ailleurs conforme à la reconnaissance récente par notre Cour, dans l</w:t>
      </w:r>
      <w:r>
        <w:rPr>
          <w:rFonts w:cs="Times New Roman"/>
          <w:noProof/>
          <w:lang w:val="fr-CA"/>
        </w:rPr>
        <w:t>’</w:t>
      </w:r>
      <w:r w:rsidRPr="004378FA">
        <w:rPr>
          <w:rFonts w:cs="Times New Roman"/>
          <w:noProof/>
          <w:lang w:val="fr-CA"/>
        </w:rPr>
        <w:t xml:space="preserve">arrêt </w:t>
      </w:r>
      <w:r w:rsidRPr="004378FA">
        <w:rPr>
          <w:rFonts w:cs="Times New Roman"/>
          <w:i/>
          <w:iCs/>
          <w:noProof/>
          <w:lang w:val="fr-CA"/>
        </w:rPr>
        <w:t>Chevron</w:t>
      </w:r>
      <w:r w:rsidRPr="004378FA">
        <w:rPr>
          <w:rFonts w:cs="Times New Roman"/>
          <w:noProof/>
          <w:lang w:val="fr-CA"/>
        </w:rPr>
        <w:t>, de la possibilité que le</w:t>
      </w:r>
      <w:r w:rsidRPr="004378FA">
        <w:rPr>
          <w:rFonts w:cs="Times New Roman"/>
          <w:lang w:val="fr-CA"/>
        </w:rPr>
        <w:t xml:space="preserve"> jugement de reconnaissance rendu dans une province soit enregistré dans une autre province</w:t>
      </w:r>
      <w:r w:rsidRPr="004378FA">
        <w:rPr>
          <w:rFonts w:cs="Times New Roman"/>
          <w:noProof/>
          <w:lang w:val="fr-CA"/>
        </w:rPr>
        <w:t xml:space="preserve"> (par. 49).</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Mon collègue le juge en chef s</w:t>
      </w:r>
      <w:r>
        <w:rPr>
          <w:rFonts w:cs="Times New Roman"/>
          <w:noProof/>
          <w:lang w:val="fr-CA"/>
        </w:rPr>
        <w:t>’</w:t>
      </w:r>
      <w:r w:rsidRPr="004378FA">
        <w:rPr>
          <w:rFonts w:cs="Times New Roman"/>
          <w:noProof/>
          <w:lang w:val="fr-CA"/>
        </w:rPr>
        <w:t xml:space="preserve">appuie sur les arrêts </w:t>
      </w:r>
      <w:r w:rsidRPr="004378FA">
        <w:rPr>
          <w:rFonts w:cs="Times New Roman"/>
          <w:i/>
          <w:noProof/>
          <w:lang w:val="fr-CA"/>
        </w:rPr>
        <w:t xml:space="preserve">Owen </w:t>
      </w:r>
      <w:r w:rsidRPr="004378FA">
        <w:rPr>
          <w:rFonts w:cs="Times New Roman"/>
          <w:noProof/>
          <w:lang w:val="fr-CA"/>
        </w:rPr>
        <w:t xml:space="preserve">et </w:t>
      </w:r>
      <w:r w:rsidRPr="004378FA">
        <w:rPr>
          <w:rFonts w:cs="Times New Roman"/>
          <w:i/>
          <w:iCs/>
          <w:noProof/>
          <w:lang w:val="fr-CA"/>
        </w:rPr>
        <w:t>Strategic Technologies Pte Ltd. c. Procurement Bureau of the Republic of China Ministry of National Defence</w:t>
      </w:r>
      <w:r w:rsidRPr="004378FA">
        <w:rPr>
          <w:rFonts w:cs="Times New Roman"/>
          <w:noProof/>
          <w:lang w:val="fr-CA"/>
        </w:rPr>
        <w:t>, [2020] EWCA Civ 1604, [2021] 2 W.L.R. 4</w:t>
      </w:r>
      <w:r>
        <w:rPr>
          <w:rFonts w:cs="Times New Roman"/>
          <w:noProof/>
          <w:lang w:val="fr-CA"/>
        </w:rPr>
        <w:t>4</w:t>
      </w:r>
      <w:r w:rsidRPr="004378FA">
        <w:rPr>
          <w:rFonts w:cs="Times New Roman"/>
          <w:noProof/>
          <w:lang w:val="fr-CA"/>
        </w:rPr>
        <w:t>8, pour remettre en question le bien</w:t>
      </w:r>
      <w:r w:rsidRPr="004378FA">
        <w:rPr>
          <w:rFonts w:cs="Times New Roman"/>
          <w:noProof/>
          <w:lang w:val="fr-CA"/>
        </w:rPr>
        <w:noBreakHyphen/>
        <w:t>fondé de l</w:t>
      </w:r>
      <w:r>
        <w:rPr>
          <w:rFonts w:cs="Times New Roman"/>
          <w:noProof/>
          <w:lang w:val="fr-CA"/>
        </w:rPr>
        <w:t>’</w:t>
      </w:r>
      <w:r w:rsidRPr="004378FA">
        <w:rPr>
          <w:rFonts w:cs="Times New Roman"/>
          <w:noProof/>
          <w:lang w:val="fr-CA"/>
        </w:rPr>
        <w:t>affirmation faite dans l</w:t>
      </w:r>
      <w:r>
        <w:rPr>
          <w:rFonts w:cs="Times New Roman"/>
          <w:noProof/>
          <w:lang w:val="fr-CA"/>
        </w:rPr>
        <w:t>’</w:t>
      </w:r>
      <w:r w:rsidRPr="004378FA">
        <w:rPr>
          <w:rFonts w:cs="Times New Roman"/>
          <w:noProof/>
          <w:lang w:val="fr-CA"/>
        </w:rPr>
        <w:t xml:space="preserve">arrêt </w:t>
      </w:r>
      <w:r w:rsidRPr="004378FA">
        <w:rPr>
          <w:rFonts w:cs="Times New Roman"/>
          <w:i/>
          <w:noProof/>
          <w:lang w:val="fr-CA"/>
        </w:rPr>
        <w:t>Chevron</w:t>
      </w:r>
      <w:r w:rsidRPr="004378FA">
        <w:rPr>
          <w:rFonts w:cs="Times New Roman"/>
          <w:noProof/>
          <w:lang w:val="fr-CA"/>
        </w:rPr>
        <w:t>. On peut établir une distinction entre l</w:t>
      </w:r>
      <w:r>
        <w:rPr>
          <w:rFonts w:cs="Times New Roman"/>
          <w:noProof/>
          <w:lang w:val="fr-CA"/>
        </w:rPr>
        <w:t>’</w:t>
      </w:r>
      <w:r w:rsidRPr="004378FA">
        <w:rPr>
          <w:rFonts w:cs="Times New Roman"/>
          <w:noProof/>
          <w:lang w:val="fr-CA"/>
        </w:rPr>
        <w:t xml:space="preserve">affaire </w:t>
      </w:r>
      <w:r w:rsidRPr="004378FA">
        <w:rPr>
          <w:rFonts w:cs="Times New Roman"/>
          <w:i/>
          <w:noProof/>
          <w:lang w:val="fr-CA"/>
        </w:rPr>
        <w:t>Owen</w:t>
      </w:r>
      <w:r w:rsidRPr="004378FA">
        <w:rPr>
          <w:rFonts w:cs="Times New Roman"/>
          <w:noProof/>
          <w:lang w:val="fr-CA"/>
        </w:rPr>
        <w:t xml:space="preserve"> et la présente espèce, car elle porte sur un jugement ayant lui</w:t>
      </w:r>
      <w:r w:rsidRPr="004378FA">
        <w:rPr>
          <w:rFonts w:cs="Times New Roman"/>
          <w:noProof/>
          <w:lang w:val="fr-CA"/>
        </w:rPr>
        <w:noBreakHyphen/>
        <w:t>même été enregistré et non sur un jugement de reconnaissance. Bien que l</w:t>
      </w:r>
      <w:r>
        <w:rPr>
          <w:rFonts w:cs="Times New Roman"/>
          <w:noProof/>
          <w:lang w:val="fr-CA"/>
        </w:rPr>
        <w:t>’</w:t>
      </w:r>
      <w:r w:rsidRPr="004378FA">
        <w:rPr>
          <w:rFonts w:cs="Times New Roman"/>
          <w:noProof/>
          <w:lang w:val="fr-CA"/>
        </w:rPr>
        <w:t xml:space="preserve">arrêt </w:t>
      </w:r>
      <w:r w:rsidRPr="004378FA">
        <w:rPr>
          <w:rFonts w:cs="Times New Roman"/>
          <w:i/>
          <w:noProof/>
          <w:lang w:val="fr-CA"/>
        </w:rPr>
        <w:t xml:space="preserve">Strategic Technologies </w:t>
      </w:r>
      <w:r w:rsidRPr="004378FA">
        <w:rPr>
          <w:rFonts w:cs="Times New Roman"/>
          <w:noProof/>
          <w:lang w:val="fr-CA"/>
        </w:rPr>
        <w:t>soit plus pertinent, je ne trouve pas son raisonnement convaincant.</w:t>
      </w:r>
    </w:p>
    <w:p w:rsidR="009D2D7F" w:rsidRPr="00FF6D53" w:rsidRDefault="009D2D7F" w:rsidP="009D2D7F">
      <w:pPr>
        <w:pStyle w:val="ParaNoNdepar-AltN"/>
        <w:spacing w:before="0"/>
        <w:rPr>
          <w:rFonts w:cs="Times New Roman"/>
          <w:noProof/>
          <w:lang w:val="fr-CA"/>
        </w:rPr>
      </w:pPr>
      <w:r w:rsidRPr="004378FA">
        <w:rPr>
          <w:rFonts w:cs="Times New Roman"/>
          <w:noProof/>
          <w:lang w:val="fr-CA"/>
        </w:rPr>
        <w:t>Tout d</w:t>
      </w:r>
      <w:r>
        <w:rPr>
          <w:rFonts w:cs="Times New Roman"/>
          <w:noProof/>
          <w:lang w:val="fr-CA"/>
        </w:rPr>
        <w:t>’</w:t>
      </w:r>
      <w:r w:rsidRPr="004378FA">
        <w:rPr>
          <w:rFonts w:cs="Times New Roman"/>
          <w:noProof/>
          <w:lang w:val="fr-CA"/>
        </w:rPr>
        <w:t>abord, l</w:t>
      </w:r>
      <w:r>
        <w:rPr>
          <w:rFonts w:cs="Times New Roman"/>
          <w:noProof/>
          <w:lang w:val="fr-CA"/>
        </w:rPr>
        <w:t>’</w:t>
      </w:r>
      <w:r w:rsidRPr="004378FA">
        <w:rPr>
          <w:rFonts w:cs="Times New Roman"/>
          <w:noProof/>
          <w:lang w:val="fr-CA"/>
        </w:rPr>
        <w:t xml:space="preserve">arrêt </w:t>
      </w:r>
      <w:r w:rsidRPr="004378FA">
        <w:rPr>
          <w:rFonts w:cs="Times New Roman"/>
          <w:i/>
          <w:noProof/>
          <w:lang w:val="fr-CA"/>
        </w:rPr>
        <w:t>Strategic Technologies</w:t>
      </w:r>
      <w:r w:rsidRPr="004378FA">
        <w:rPr>
          <w:rFonts w:cs="Times New Roman"/>
          <w:noProof/>
          <w:lang w:val="fr-CA"/>
        </w:rPr>
        <w:t xml:space="preserve"> se fonde à tort sur l</w:t>
      </w:r>
      <w:r>
        <w:rPr>
          <w:rFonts w:cs="Times New Roman"/>
          <w:noProof/>
          <w:lang w:val="fr-CA"/>
        </w:rPr>
        <w:t>’</w:t>
      </w:r>
      <w:r w:rsidRPr="004378FA">
        <w:rPr>
          <w:rFonts w:cs="Times New Roman"/>
          <w:noProof/>
          <w:lang w:val="fr-CA"/>
        </w:rPr>
        <w:t xml:space="preserve">arrêt </w:t>
      </w:r>
      <w:r w:rsidRPr="004378FA">
        <w:rPr>
          <w:rFonts w:cs="Times New Roman"/>
          <w:i/>
          <w:noProof/>
          <w:lang w:val="fr-CA"/>
        </w:rPr>
        <w:t>Owen</w:t>
      </w:r>
      <w:r w:rsidRPr="004378FA">
        <w:rPr>
          <w:rFonts w:cs="Times New Roman"/>
          <w:noProof/>
          <w:lang w:val="fr-CA"/>
        </w:rPr>
        <w:t xml:space="preserve"> sans tenir compte de la jurisprudence canadienne pertinente. La même cour que celle ayant tranché l</w:t>
      </w:r>
      <w:r>
        <w:rPr>
          <w:rFonts w:cs="Times New Roman"/>
          <w:noProof/>
          <w:lang w:val="fr-CA"/>
        </w:rPr>
        <w:t>’</w:t>
      </w:r>
      <w:r w:rsidRPr="004378FA">
        <w:rPr>
          <w:rFonts w:cs="Times New Roman"/>
          <w:noProof/>
          <w:lang w:val="fr-CA"/>
        </w:rPr>
        <w:t xml:space="preserve">affaire </w:t>
      </w:r>
      <w:r w:rsidRPr="004378FA">
        <w:rPr>
          <w:rFonts w:cs="Times New Roman"/>
          <w:i/>
          <w:noProof/>
          <w:lang w:val="fr-CA"/>
        </w:rPr>
        <w:t xml:space="preserve">Owen </w:t>
      </w:r>
      <w:r w:rsidRPr="004378FA">
        <w:rPr>
          <w:rFonts w:cs="Times New Roman"/>
          <w:noProof/>
          <w:lang w:val="fr-CA"/>
        </w:rPr>
        <w:t>a établi une distinction avec son précédent dans l</w:t>
      </w:r>
      <w:r>
        <w:rPr>
          <w:rFonts w:cs="Times New Roman"/>
          <w:noProof/>
          <w:lang w:val="fr-CA"/>
        </w:rPr>
        <w:t>’</w:t>
      </w:r>
      <w:r w:rsidRPr="004378FA">
        <w:rPr>
          <w:rFonts w:cs="Times New Roman"/>
          <w:noProof/>
          <w:lang w:val="fr-CA"/>
        </w:rPr>
        <w:t xml:space="preserve">affaire </w:t>
      </w:r>
      <w:r w:rsidRPr="004378FA">
        <w:rPr>
          <w:rFonts w:cs="Times New Roman"/>
          <w:i/>
          <w:noProof/>
          <w:lang w:val="fr-CA"/>
        </w:rPr>
        <w:t>Solehdin</w:t>
      </w:r>
      <w:r w:rsidRPr="004378FA">
        <w:rPr>
          <w:rFonts w:cs="Times New Roman"/>
          <w:noProof/>
          <w:lang w:val="fr-CA"/>
        </w:rPr>
        <w:t xml:space="preserve"> en limitant l</w:t>
      </w:r>
      <w:r>
        <w:rPr>
          <w:rFonts w:cs="Times New Roman"/>
          <w:noProof/>
          <w:lang w:val="fr-CA"/>
        </w:rPr>
        <w:t>’</w:t>
      </w:r>
      <w:r w:rsidRPr="004378FA">
        <w:rPr>
          <w:rFonts w:cs="Times New Roman"/>
          <w:noProof/>
          <w:lang w:val="fr-CA"/>
        </w:rPr>
        <w:t>application aux jugements ayant eux</w:t>
      </w:r>
      <w:r w:rsidRPr="004378FA">
        <w:rPr>
          <w:rFonts w:cs="Times New Roman"/>
          <w:noProof/>
          <w:lang w:val="fr-CA"/>
        </w:rPr>
        <w:noBreakHyphen/>
        <w:t xml:space="preserve">mêmes </w:t>
      </w:r>
      <w:r w:rsidRPr="00FF6D53">
        <w:rPr>
          <w:rFonts w:cs="Times New Roman"/>
          <w:noProof/>
          <w:lang w:val="fr-CA"/>
        </w:rPr>
        <w:t xml:space="preserve">déjà </w:t>
      </w:r>
      <w:r w:rsidRPr="004378FA">
        <w:rPr>
          <w:rFonts w:cs="Times New Roman"/>
          <w:noProof/>
          <w:lang w:val="fr-CA"/>
        </w:rPr>
        <w:t>été enregistrés par le biais d</w:t>
      </w:r>
      <w:r>
        <w:rPr>
          <w:rFonts w:cs="Times New Roman"/>
          <w:noProof/>
          <w:lang w:val="fr-CA"/>
        </w:rPr>
        <w:t>’</w:t>
      </w:r>
      <w:r w:rsidRPr="004378FA">
        <w:rPr>
          <w:rFonts w:cs="Times New Roman"/>
          <w:noProof/>
          <w:lang w:val="fr-CA"/>
        </w:rPr>
        <w:t>un mécanisme de dépôt de documents (par. 18</w:t>
      </w:r>
      <w:r w:rsidRPr="004378FA">
        <w:rPr>
          <w:rFonts w:cs="Times New Roman"/>
          <w:noProof/>
          <w:lang w:val="fr-CA"/>
        </w:rPr>
        <w:noBreakHyphen/>
        <w:t>21). Par ailleurs, l</w:t>
      </w:r>
      <w:r>
        <w:rPr>
          <w:rFonts w:cs="Times New Roman"/>
          <w:noProof/>
          <w:lang w:val="fr-CA"/>
        </w:rPr>
        <w:t>’</w:t>
      </w:r>
      <w:r w:rsidRPr="004378FA">
        <w:rPr>
          <w:rFonts w:cs="Times New Roman"/>
          <w:noProof/>
          <w:lang w:val="fr-CA"/>
        </w:rPr>
        <w:t>affirmation faite au par. 49 de l</w:t>
      </w:r>
      <w:r>
        <w:rPr>
          <w:rFonts w:cs="Times New Roman"/>
          <w:noProof/>
          <w:lang w:val="fr-CA"/>
        </w:rPr>
        <w:t>’</w:t>
      </w:r>
      <w:r w:rsidRPr="004378FA">
        <w:rPr>
          <w:rFonts w:cs="Times New Roman"/>
          <w:noProof/>
          <w:lang w:val="fr-CA"/>
        </w:rPr>
        <w:t xml:space="preserve">arrêt </w:t>
      </w:r>
      <w:r w:rsidRPr="004378FA">
        <w:rPr>
          <w:rFonts w:cs="Times New Roman"/>
          <w:i/>
          <w:noProof/>
          <w:lang w:val="fr-CA"/>
        </w:rPr>
        <w:t xml:space="preserve">Chevron </w:t>
      </w:r>
      <w:r w:rsidRPr="004378FA">
        <w:rPr>
          <w:rFonts w:cs="Times New Roman"/>
          <w:noProof/>
          <w:lang w:val="fr-CA"/>
        </w:rPr>
        <w:t>brille par son absence. L</w:t>
      </w:r>
      <w:r>
        <w:rPr>
          <w:rFonts w:cs="Times New Roman"/>
          <w:noProof/>
          <w:lang w:val="fr-CA"/>
        </w:rPr>
        <w:t>’</w:t>
      </w:r>
      <w:r w:rsidRPr="004378FA">
        <w:rPr>
          <w:rFonts w:cs="Times New Roman"/>
          <w:noProof/>
          <w:lang w:val="fr-CA"/>
        </w:rPr>
        <w:t xml:space="preserve">arrêt </w:t>
      </w:r>
      <w:r w:rsidRPr="004378FA">
        <w:rPr>
          <w:rFonts w:cs="Times New Roman"/>
          <w:i/>
          <w:noProof/>
          <w:lang w:val="fr-CA"/>
        </w:rPr>
        <w:t>Strategic Technologies</w:t>
      </w:r>
      <w:r w:rsidRPr="004378FA">
        <w:rPr>
          <w:rFonts w:cs="Times New Roman"/>
          <w:noProof/>
          <w:lang w:val="fr-CA"/>
        </w:rPr>
        <w:t xml:space="preserve"> ignore également d</w:t>
      </w:r>
      <w:r>
        <w:rPr>
          <w:rFonts w:cs="Times New Roman"/>
          <w:noProof/>
          <w:lang w:val="fr-CA"/>
        </w:rPr>
        <w:t>’</w:t>
      </w:r>
      <w:r w:rsidRPr="004378FA">
        <w:rPr>
          <w:rFonts w:cs="Times New Roman"/>
          <w:noProof/>
          <w:lang w:val="fr-CA"/>
        </w:rPr>
        <w:t>autres décisions canadiennes dans lesquelles un jugement de reconnaissance a été enregistré (par ex.</w:t>
      </w:r>
      <w:r>
        <w:rPr>
          <w:rFonts w:cs="Times New Roman"/>
          <w:noProof/>
          <w:lang w:val="fr-CA"/>
        </w:rPr>
        <w:t>,</w:t>
      </w:r>
      <w:r w:rsidRPr="004378FA">
        <w:rPr>
          <w:rFonts w:cs="Times New Roman"/>
          <w:noProof/>
          <w:lang w:val="fr-CA"/>
        </w:rPr>
        <w:t xml:space="preserve"> </w:t>
      </w:r>
      <w:r w:rsidRPr="00FF6D53">
        <w:rPr>
          <w:rFonts w:cs="Times New Roman"/>
          <w:i/>
          <w:noProof/>
          <w:lang w:val="fr-CA"/>
        </w:rPr>
        <w:t>Girsberger c. Kresz</w:t>
      </w:r>
      <w:r w:rsidRPr="00FF6D53">
        <w:rPr>
          <w:rFonts w:cs="Times New Roman"/>
          <w:noProof/>
          <w:lang w:val="fr-CA"/>
        </w:rPr>
        <w:t xml:space="preserve">, [1999] 7 W.W.R. 761 (B.R. Man.), conf. par </w:t>
      </w:r>
      <w:r w:rsidRPr="00FF6D53">
        <w:rPr>
          <w:rStyle w:val="ssleftalign"/>
          <w:rFonts w:cs="Times New Roman"/>
          <w:noProof/>
          <w:lang w:val="fr-CA"/>
        </w:rPr>
        <w:t xml:space="preserve">[2000] 1 W.W.R. 101 (C.A.); </w:t>
      </w:r>
      <w:r w:rsidRPr="00FF6D53">
        <w:rPr>
          <w:rStyle w:val="ssleftalign"/>
          <w:rFonts w:cs="Times New Roman"/>
          <w:i/>
          <w:noProof/>
          <w:lang w:val="fr-CA"/>
        </w:rPr>
        <w:t>Tracy (Litigation guardian of) c. Iranian Ministry of Information and Security</w:t>
      </w:r>
      <w:r w:rsidRPr="00FF6D53">
        <w:rPr>
          <w:rStyle w:val="ssleftalign"/>
          <w:rFonts w:cs="Times New Roman"/>
          <w:noProof/>
          <w:lang w:val="fr-CA"/>
        </w:rPr>
        <w:t xml:space="preserve">, 2016 ONSC 3759, </w:t>
      </w:r>
      <w:r>
        <w:rPr>
          <w:rStyle w:val="ssleftalign"/>
          <w:rFonts w:cs="Times New Roman"/>
          <w:noProof/>
          <w:lang w:val="fr-CA"/>
        </w:rPr>
        <w:t>400 </w:t>
      </w:r>
      <w:r w:rsidRPr="00FF6D53">
        <w:rPr>
          <w:rStyle w:val="ssleftalign"/>
          <w:rFonts w:cs="Times New Roman"/>
          <w:noProof/>
          <w:lang w:val="fr-CA"/>
        </w:rPr>
        <w:t>D.L.R. (4th) 670, par. 177, conf. par 2017 ONCA 549, 415 D.L.R. (4th) 314, par. 121</w:t>
      </w:r>
      <w:r w:rsidRPr="00FF6D53">
        <w:rPr>
          <w:rStyle w:val="ssleftalign"/>
          <w:rFonts w:cs="Times New Roman"/>
          <w:noProof/>
          <w:lang w:val="fr-CA"/>
        </w:rPr>
        <w:noBreakHyphen/>
        <w:t>129).</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Ensuite, l</w:t>
      </w:r>
      <w:r>
        <w:rPr>
          <w:rFonts w:cs="Times New Roman"/>
          <w:noProof/>
          <w:lang w:val="fr-CA"/>
        </w:rPr>
        <w:t>’</w:t>
      </w:r>
      <w:r w:rsidRPr="004378FA">
        <w:rPr>
          <w:rFonts w:cs="Times New Roman"/>
          <w:noProof/>
          <w:lang w:val="fr-CA"/>
        </w:rPr>
        <w:t xml:space="preserve">arrêt </w:t>
      </w:r>
      <w:r w:rsidRPr="004378FA">
        <w:rPr>
          <w:rFonts w:cs="Times New Roman"/>
          <w:i/>
          <w:noProof/>
          <w:lang w:val="fr-CA"/>
        </w:rPr>
        <w:t xml:space="preserve">Strategic Technologies </w:t>
      </w:r>
      <w:r w:rsidRPr="004378FA">
        <w:rPr>
          <w:rFonts w:cs="Times New Roman"/>
          <w:noProof/>
          <w:lang w:val="fr-CA"/>
        </w:rPr>
        <w:t>n</w:t>
      </w:r>
      <w:r>
        <w:rPr>
          <w:rFonts w:cs="Times New Roman"/>
          <w:noProof/>
          <w:lang w:val="fr-CA"/>
        </w:rPr>
        <w:t>’</w:t>
      </w:r>
      <w:r w:rsidRPr="004378FA">
        <w:rPr>
          <w:rFonts w:cs="Times New Roman"/>
          <w:noProof/>
          <w:lang w:val="fr-CA"/>
        </w:rPr>
        <w:t>est pas conforme aux principes canadiens d</w:t>
      </w:r>
      <w:r>
        <w:rPr>
          <w:rFonts w:cs="Times New Roman"/>
          <w:noProof/>
          <w:lang w:val="fr-CA"/>
        </w:rPr>
        <w:t>’</w:t>
      </w:r>
      <w:r w:rsidRPr="004378FA">
        <w:rPr>
          <w:rFonts w:cs="Times New Roman"/>
          <w:noProof/>
          <w:lang w:val="fr-CA"/>
        </w:rPr>
        <w:t>interprétation des lois. Au lieu de chercher à harmoniser le texte, l</w:t>
      </w:r>
      <w:r>
        <w:rPr>
          <w:rFonts w:cs="Times New Roman"/>
          <w:noProof/>
          <w:lang w:val="fr-CA"/>
        </w:rPr>
        <w:t>’</w:t>
      </w:r>
      <w:r w:rsidRPr="004378FA">
        <w:rPr>
          <w:rFonts w:cs="Times New Roman"/>
          <w:noProof/>
          <w:lang w:val="fr-CA"/>
        </w:rPr>
        <w:t>économie et l</w:t>
      </w:r>
      <w:r>
        <w:rPr>
          <w:rFonts w:cs="Times New Roman"/>
          <w:noProof/>
          <w:lang w:val="fr-CA"/>
        </w:rPr>
        <w:t>’</w:t>
      </w:r>
      <w:r w:rsidRPr="004378FA">
        <w:rPr>
          <w:rFonts w:cs="Times New Roman"/>
          <w:noProof/>
          <w:lang w:val="fr-CA"/>
        </w:rPr>
        <w:t>objet de la loi, la cour saisie de l</w:t>
      </w:r>
      <w:r>
        <w:rPr>
          <w:rFonts w:cs="Times New Roman"/>
          <w:noProof/>
          <w:lang w:val="fr-CA"/>
        </w:rPr>
        <w:t>’</w:t>
      </w:r>
      <w:r w:rsidRPr="004378FA">
        <w:rPr>
          <w:rFonts w:cs="Times New Roman"/>
          <w:noProof/>
          <w:lang w:val="fr-CA"/>
        </w:rPr>
        <w:t xml:space="preserve">affaire </w:t>
      </w:r>
      <w:r w:rsidRPr="004378FA">
        <w:rPr>
          <w:rFonts w:cs="Times New Roman"/>
          <w:i/>
          <w:noProof/>
          <w:lang w:val="fr-CA"/>
        </w:rPr>
        <w:t>Strategic Technologies</w:t>
      </w:r>
      <w:r w:rsidRPr="004378FA">
        <w:rPr>
          <w:rFonts w:cs="Times New Roman"/>
          <w:noProof/>
          <w:lang w:val="fr-CA"/>
        </w:rPr>
        <w:t xml:space="preserve"> a balayé du revers de la main la définition large donné au terme « jugement » dans la loi applicable et s</w:t>
      </w:r>
      <w:r>
        <w:rPr>
          <w:rFonts w:cs="Times New Roman"/>
          <w:noProof/>
          <w:lang w:val="fr-CA"/>
        </w:rPr>
        <w:t>’</w:t>
      </w:r>
      <w:r w:rsidRPr="004378FA">
        <w:rPr>
          <w:rFonts w:cs="Times New Roman"/>
          <w:noProof/>
          <w:lang w:val="fr-CA"/>
        </w:rPr>
        <w:t>est indûment concentrée sur l</w:t>
      </w:r>
      <w:r>
        <w:rPr>
          <w:rFonts w:cs="Times New Roman"/>
          <w:noProof/>
          <w:lang w:val="fr-CA"/>
        </w:rPr>
        <w:t>’</w:t>
      </w:r>
      <w:r w:rsidRPr="004378FA">
        <w:rPr>
          <w:rFonts w:cs="Times New Roman"/>
          <w:noProof/>
          <w:lang w:val="fr-CA"/>
        </w:rPr>
        <w:t>opportunité d</w:t>
      </w:r>
      <w:r>
        <w:rPr>
          <w:rFonts w:cs="Times New Roman"/>
          <w:noProof/>
          <w:lang w:val="fr-CA"/>
        </w:rPr>
        <w:t>’</w:t>
      </w:r>
      <w:r w:rsidRPr="004378FA">
        <w:rPr>
          <w:rFonts w:cs="Times New Roman"/>
          <w:noProof/>
          <w:lang w:val="fr-CA"/>
        </w:rPr>
        <w:t>appliquer des exigences légales semblables à celles énoncées à l</w:t>
      </w:r>
      <w:r>
        <w:rPr>
          <w:rFonts w:cs="Times New Roman"/>
          <w:noProof/>
          <w:lang w:val="fr-CA"/>
        </w:rPr>
        <w:t>’</w:t>
      </w:r>
      <w:r w:rsidRPr="004378FA">
        <w:rPr>
          <w:rFonts w:cs="Times New Roman"/>
          <w:noProof/>
          <w:lang w:val="fr-CA"/>
        </w:rPr>
        <w:t xml:space="preserve">art. 3 de la </w:t>
      </w:r>
      <w:r w:rsidRPr="004378FA">
        <w:rPr>
          <w:rFonts w:cs="Times New Roman"/>
          <w:i/>
          <w:noProof/>
          <w:lang w:val="fr-CA"/>
        </w:rPr>
        <w:t>LERJ</w:t>
      </w:r>
      <w:r w:rsidRPr="004378FA">
        <w:rPr>
          <w:rFonts w:cs="Times New Roman"/>
          <w:noProof/>
          <w:lang w:val="fr-CA"/>
        </w:rPr>
        <w:t xml:space="preserve"> à un jugement de première instance plutôt qu</w:t>
      </w:r>
      <w:r>
        <w:rPr>
          <w:rFonts w:cs="Times New Roman"/>
          <w:noProof/>
          <w:lang w:val="fr-CA"/>
        </w:rPr>
        <w:t>’</w:t>
      </w:r>
      <w:r w:rsidRPr="004378FA">
        <w:rPr>
          <w:rFonts w:cs="Times New Roman"/>
          <w:noProof/>
          <w:lang w:val="fr-CA"/>
        </w:rPr>
        <w:t>à un</w:t>
      </w:r>
      <w:r>
        <w:rPr>
          <w:rFonts w:cs="Times New Roman"/>
          <w:noProof/>
          <w:lang w:val="fr-CA"/>
        </w:rPr>
        <w:t xml:space="preserve"> </w:t>
      </w:r>
      <w:r w:rsidRPr="00317A2D">
        <w:rPr>
          <w:rFonts w:cs="Times New Roman"/>
          <w:noProof/>
          <w:lang w:val="fr-CA"/>
        </w:rPr>
        <w:t>[</w:t>
      </w:r>
      <w:r w:rsidRPr="00317A2D">
        <w:rPr>
          <w:rFonts w:cs="Times New Roman"/>
          <w:smallCaps/>
          <w:noProof/>
          <w:lang w:val="fr-CA"/>
        </w:rPr>
        <w:t>traduction</w:t>
      </w:r>
      <w:r>
        <w:rPr>
          <w:rFonts w:cs="Times New Roman"/>
          <w:noProof/>
          <w:lang w:val="fr-CA"/>
        </w:rPr>
        <w:t>]</w:t>
      </w:r>
      <w:r w:rsidRPr="004378FA">
        <w:rPr>
          <w:rFonts w:cs="Times New Roman"/>
          <w:noProof/>
          <w:lang w:val="fr-CA"/>
        </w:rPr>
        <w:t xml:space="preserve"> « jugement sur un jugement » (par. 58</w:t>
      </w:r>
      <w:r w:rsidRPr="004378FA">
        <w:rPr>
          <w:rFonts w:cs="Times New Roman"/>
          <w:noProof/>
          <w:lang w:val="fr-CA"/>
        </w:rPr>
        <w:noBreakHyphen/>
        <w:t>59). La cour a reconnu que la loi pouvait justifier une interprétation supposant l</w:t>
      </w:r>
      <w:r>
        <w:rPr>
          <w:rFonts w:cs="Times New Roman"/>
          <w:noProof/>
          <w:lang w:val="fr-CA"/>
        </w:rPr>
        <w:t>’</w:t>
      </w:r>
      <w:r w:rsidRPr="004378FA">
        <w:rPr>
          <w:rFonts w:cs="Times New Roman"/>
          <w:noProof/>
          <w:lang w:val="fr-CA"/>
        </w:rPr>
        <w:t>existence d</w:t>
      </w:r>
      <w:r>
        <w:rPr>
          <w:rFonts w:cs="Times New Roman"/>
          <w:noProof/>
          <w:lang w:val="fr-CA"/>
        </w:rPr>
        <w:t>’</w:t>
      </w:r>
      <w:r w:rsidRPr="004378FA">
        <w:rPr>
          <w:rFonts w:cs="Times New Roman"/>
          <w:noProof/>
          <w:lang w:val="fr-CA"/>
        </w:rPr>
        <w:t>une juridiction de reconnaissance intermédiaire, mais elle s</w:t>
      </w:r>
      <w:r>
        <w:rPr>
          <w:rFonts w:cs="Times New Roman"/>
          <w:noProof/>
          <w:lang w:val="fr-CA"/>
        </w:rPr>
        <w:t>’</w:t>
      </w:r>
      <w:r w:rsidRPr="004378FA">
        <w:rPr>
          <w:rFonts w:cs="Times New Roman"/>
          <w:noProof/>
          <w:lang w:val="fr-CA"/>
        </w:rPr>
        <w:t>est empressée d</w:t>
      </w:r>
      <w:r>
        <w:rPr>
          <w:rFonts w:cs="Times New Roman"/>
          <w:noProof/>
          <w:lang w:val="fr-CA"/>
        </w:rPr>
        <w:t>’</w:t>
      </w:r>
      <w:r w:rsidRPr="004378FA">
        <w:rPr>
          <w:rFonts w:cs="Times New Roman"/>
          <w:noProof/>
          <w:lang w:val="fr-CA"/>
        </w:rPr>
        <w:t>écarter cette interprétation au motif qu</w:t>
      </w:r>
      <w:r>
        <w:rPr>
          <w:rFonts w:cs="Times New Roman"/>
          <w:noProof/>
          <w:lang w:val="fr-CA"/>
        </w:rPr>
        <w:t>’</w:t>
      </w:r>
      <w:r w:rsidRPr="004378FA">
        <w:rPr>
          <w:rFonts w:cs="Times New Roman"/>
          <w:noProof/>
          <w:lang w:val="fr-CA"/>
        </w:rPr>
        <w:t>il était [</w:t>
      </w:r>
      <w:r w:rsidRPr="004378FA">
        <w:rPr>
          <w:rFonts w:cs="Times New Roman"/>
          <w:smallCaps/>
          <w:noProof/>
          <w:lang w:val="fr-CA"/>
        </w:rPr>
        <w:t>traduction</w:t>
      </w:r>
      <w:r w:rsidRPr="004378FA">
        <w:rPr>
          <w:rFonts w:cs="Times New Roman"/>
          <w:noProof/>
          <w:lang w:val="fr-CA"/>
        </w:rPr>
        <w:t>] « peu probable que le législateur ait eu à l</w:t>
      </w:r>
      <w:r>
        <w:rPr>
          <w:rFonts w:cs="Times New Roman"/>
          <w:noProof/>
          <w:lang w:val="fr-CA"/>
        </w:rPr>
        <w:t>’</w:t>
      </w:r>
      <w:r w:rsidRPr="004378FA">
        <w:rPr>
          <w:rFonts w:cs="Times New Roman"/>
          <w:noProof/>
          <w:lang w:val="fr-CA"/>
        </w:rPr>
        <w:t>esprit la possibilité de faire exécuter un jugement sur un jugement » (par. 58). Avec égards, conjecturer quant à l</w:t>
      </w:r>
      <w:r>
        <w:rPr>
          <w:rFonts w:cs="Times New Roman"/>
          <w:noProof/>
          <w:lang w:val="fr-CA"/>
        </w:rPr>
        <w:t>’</w:t>
      </w:r>
      <w:r w:rsidRPr="004378FA">
        <w:rPr>
          <w:rFonts w:cs="Times New Roman"/>
          <w:noProof/>
          <w:lang w:val="fr-CA"/>
        </w:rPr>
        <w:t>opinion que la législature aurait pu avoir dans le passé à propos d</w:t>
      </w:r>
      <w:r>
        <w:rPr>
          <w:rFonts w:cs="Times New Roman"/>
          <w:noProof/>
          <w:lang w:val="fr-CA"/>
        </w:rPr>
        <w:t>’</w:t>
      </w:r>
      <w:r w:rsidRPr="004378FA">
        <w:rPr>
          <w:rFonts w:cs="Times New Roman"/>
          <w:noProof/>
          <w:lang w:val="fr-CA"/>
        </w:rPr>
        <w:t>une situation qu</w:t>
      </w:r>
      <w:r>
        <w:rPr>
          <w:rFonts w:cs="Times New Roman"/>
          <w:noProof/>
          <w:lang w:val="fr-CA"/>
        </w:rPr>
        <w:t>’</w:t>
      </w:r>
      <w:r w:rsidRPr="004378FA">
        <w:rPr>
          <w:rFonts w:cs="Times New Roman"/>
          <w:noProof/>
          <w:lang w:val="fr-CA"/>
        </w:rPr>
        <w:t>elle n</w:t>
      </w:r>
      <w:r>
        <w:rPr>
          <w:rFonts w:cs="Times New Roman"/>
          <w:noProof/>
          <w:lang w:val="fr-CA"/>
        </w:rPr>
        <w:t>’</w:t>
      </w:r>
      <w:r w:rsidRPr="004378FA">
        <w:rPr>
          <w:rFonts w:cs="Times New Roman"/>
          <w:noProof/>
          <w:lang w:val="fr-CA"/>
        </w:rPr>
        <w:t>a peut</w:t>
      </w:r>
      <w:r w:rsidRPr="004378FA">
        <w:rPr>
          <w:rFonts w:cs="Times New Roman"/>
          <w:noProof/>
          <w:lang w:val="fr-CA"/>
        </w:rPr>
        <w:noBreakHyphen/>
        <w:t>être pas envisagée ne relève pas de l</w:t>
      </w:r>
      <w:r>
        <w:rPr>
          <w:rFonts w:cs="Times New Roman"/>
          <w:noProof/>
          <w:lang w:val="fr-CA"/>
        </w:rPr>
        <w:t>’</w:t>
      </w:r>
      <w:r w:rsidRPr="004378FA">
        <w:rPr>
          <w:rFonts w:cs="Times New Roman"/>
          <w:noProof/>
          <w:lang w:val="fr-CA"/>
        </w:rPr>
        <w:t>interprétation législative, mais s</w:t>
      </w:r>
      <w:r>
        <w:rPr>
          <w:rFonts w:cs="Times New Roman"/>
          <w:noProof/>
          <w:lang w:val="fr-CA"/>
        </w:rPr>
        <w:t>’</w:t>
      </w:r>
      <w:r w:rsidRPr="004378FA">
        <w:rPr>
          <w:rFonts w:cs="Times New Roman"/>
          <w:noProof/>
          <w:lang w:val="fr-CA"/>
        </w:rPr>
        <w:t>apparente plutôt à une tentative de [</w:t>
      </w:r>
      <w:r w:rsidRPr="004378FA">
        <w:rPr>
          <w:rFonts w:cs="Times New Roman"/>
          <w:smallCaps/>
          <w:noProof/>
          <w:lang w:val="fr-CA"/>
        </w:rPr>
        <w:t>traduction</w:t>
      </w:r>
      <w:r w:rsidRPr="004378FA">
        <w:rPr>
          <w:rFonts w:cs="Times New Roman"/>
          <w:noProof/>
          <w:lang w:val="fr-CA"/>
        </w:rPr>
        <w:t xml:space="preserve">] « voyager dans le temps par télépathie et de légiférer en collaboration » (A. Scalia et B. A. Garner, </w:t>
      </w:r>
      <w:r w:rsidRPr="004378FA">
        <w:rPr>
          <w:rFonts w:cs="Times New Roman"/>
          <w:i/>
          <w:noProof/>
          <w:lang w:val="fr-CA"/>
        </w:rPr>
        <w:t>Reading Law</w:t>
      </w:r>
      <w:r>
        <w:rPr>
          <w:rFonts w:cs="Times New Roman"/>
          <w:i/>
          <w:noProof/>
          <w:lang w:val="fr-CA"/>
        </w:rPr>
        <w:t> </w:t>
      </w:r>
      <w:r w:rsidRPr="004378FA">
        <w:rPr>
          <w:rFonts w:cs="Times New Roman"/>
          <w:i/>
          <w:noProof/>
          <w:lang w:val="fr-CA"/>
        </w:rPr>
        <w:t xml:space="preserve">: The Interpretation of Legal Texts </w:t>
      </w:r>
      <w:r w:rsidRPr="004378FA">
        <w:rPr>
          <w:rFonts w:cs="Times New Roman"/>
          <w:noProof/>
          <w:lang w:val="fr-CA"/>
        </w:rPr>
        <w:t>(2012), p. 350). Et, comme notre Cour l</w:t>
      </w:r>
      <w:r>
        <w:rPr>
          <w:rFonts w:cs="Times New Roman"/>
          <w:noProof/>
          <w:lang w:val="fr-CA"/>
        </w:rPr>
        <w:t>’</w:t>
      </w:r>
      <w:r w:rsidRPr="004378FA">
        <w:rPr>
          <w:rFonts w:cs="Times New Roman"/>
          <w:noProof/>
          <w:lang w:val="fr-CA"/>
        </w:rPr>
        <w:t>a récemment rappelé, « </w:t>
      </w:r>
      <w:r w:rsidRPr="004378FA">
        <w:rPr>
          <w:rFonts w:cs="Times New Roman"/>
          <w:lang w:val="fr-CA"/>
        </w:rPr>
        <w:t>[l]a Constitution n</w:t>
      </w:r>
      <w:r>
        <w:rPr>
          <w:rFonts w:cs="Times New Roman"/>
          <w:lang w:val="fr-CA"/>
        </w:rPr>
        <w:t>’</w:t>
      </w:r>
      <w:r w:rsidRPr="004378FA">
        <w:rPr>
          <w:rFonts w:cs="Times New Roman"/>
          <w:lang w:val="fr-CA"/>
        </w:rPr>
        <w:t>envisage qu</w:t>
      </w:r>
      <w:r>
        <w:rPr>
          <w:rFonts w:cs="Times New Roman"/>
          <w:lang w:val="fr-CA"/>
        </w:rPr>
        <w:t>’</w:t>
      </w:r>
      <w:r w:rsidRPr="004378FA">
        <w:rPr>
          <w:rFonts w:cs="Times New Roman"/>
          <w:lang w:val="fr-CA"/>
        </w:rPr>
        <w:t xml:space="preserve">un seul système pour faire les lois » </w:t>
      </w:r>
      <w:r w:rsidRPr="004378FA">
        <w:rPr>
          <w:rFonts w:cs="Times New Roman"/>
          <w:noProof/>
          <w:lang w:val="fr-CA"/>
        </w:rPr>
        <w:t>(</w:t>
      </w:r>
      <w:r w:rsidRPr="004378FA">
        <w:rPr>
          <w:rFonts w:cs="Times New Roman"/>
          <w:i/>
          <w:noProof/>
          <w:lang w:val="fr-CA"/>
        </w:rPr>
        <w:t>M</w:t>
      </w:r>
      <w:r>
        <w:rPr>
          <w:rFonts w:cs="Times New Roman"/>
          <w:i/>
          <w:noProof/>
          <w:lang w:val="fr-CA"/>
        </w:rPr>
        <w:t>é</w:t>
      </w:r>
      <w:r w:rsidRPr="004378FA">
        <w:rPr>
          <w:rFonts w:cs="Times New Roman"/>
          <w:i/>
          <w:noProof/>
          <w:lang w:val="fr-CA"/>
        </w:rPr>
        <w:t>diaQMI</w:t>
      </w:r>
      <w:r w:rsidRPr="004378FA">
        <w:rPr>
          <w:rFonts w:cs="Times New Roman"/>
          <w:noProof/>
          <w:lang w:val="fr-CA"/>
        </w:rPr>
        <w:t xml:space="preserve">, par. 20, citant G. Fauteux, </w:t>
      </w:r>
      <w:r w:rsidRPr="004378FA">
        <w:rPr>
          <w:rFonts w:cs="Times New Roman"/>
          <w:i/>
          <w:noProof/>
          <w:lang w:val="fr-CA"/>
        </w:rPr>
        <w:t xml:space="preserve">Le livre du magistrat </w:t>
      </w:r>
      <w:r w:rsidRPr="004378FA">
        <w:rPr>
          <w:rFonts w:cs="Times New Roman"/>
          <w:noProof/>
          <w:lang w:val="fr-CA"/>
        </w:rPr>
        <w:t>(1980), p. 125).</w:t>
      </w:r>
    </w:p>
    <w:p w:rsidR="009D2D7F" w:rsidRPr="004378FA" w:rsidRDefault="009D2D7F" w:rsidP="009D2D7F">
      <w:pPr>
        <w:pStyle w:val="ParaNoNdepar-AltN"/>
        <w:spacing w:before="0"/>
        <w:rPr>
          <w:rFonts w:cs="Times New Roman"/>
          <w:noProof/>
          <w:lang w:val="fr-CA"/>
        </w:rPr>
      </w:pPr>
      <w:r w:rsidRPr="004378FA">
        <w:rPr>
          <w:rFonts w:cs="Times New Roman"/>
          <w:noProof/>
          <w:lang w:val="fr-CA"/>
        </w:rPr>
        <w:t>En somme, j</w:t>
      </w:r>
      <w:r>
        <w:rPr>
          <w:rFonts w:cs="Times New Roman"/>
          <w:noProof/>
          <w:lang w:val="fr-CA"/>
        </w:rPr>
        <w:t>’</w:t>
      </w:r>
      <w:r w:rsidRPr="004378FA">
        <w:rPr>
          <w:rFonts w:cs="Times New Roman"/>
          <w:noProof/>
          <w:lang w:val="fr-CA"/>
        </w:rPr>
        <w:t xml:space="preserve">estime que le libellé du par. 1(1) de la </w:t>
      </w:r>
      <w:r w:rsidRPr="004378FA">
        <w:rPr>
          <w:rFonts w:cs="Times New Roman"/>
          <w:i/>
          <w:noProof/>
          <w:lang w:val="fr-CA"/>
        </w:rPr>
        <w:t xml:space="preserve">LERJ </w:t>
      </w:r>
      <w:r w:rsidRPr="004378FA">
        <w:rPr>
          <w:rFonts w:cs="Times New Roman"/>
          <w:noProof/>
          <w:lang w:val="fr-CA"/>
        </w:rPr>
        <w:t>parle de lui</w:t>
      </w:r>
      <w:r w:rsidRPr="004378FA">
        <w:rPr>
          <w:rFonts w:cs="Times New Roman"/>
          <w:noProof/>
          <w:lang w:val="fr-CA"/>
        </w:rPr>
        <w:noBreakHyphen/>
        <w:t>même. Rien ne justifie de s</w:t>
      </w:r>
      <w:r>
        <w:rPr>
          <w:rFonts w:cs="Times New Roman"/>
          <w:noProof/>
          <w:lang w:val="fr-CA"/>
        </w:rPr>
        <w:t>’</w:t>
      </w:r>
      <w:r w:rsidRPr="004378FA">
        <w:rPr>
          <w:rFonts w:cs="Times New Roman"/>
          <w:noProof/>
          <w:lang w:val="fr-CA"/>
        </w:rPr>
        <w:t>écarter de la tradition d</w:t>
      </w:r>
      <w:r>
        <w:rPr>
          <w:rFonts w:cs="Times New Roman"/>
          <w:noProof/>
          <w:lang w:val="fr-CA"/>
        </w:rPr>
        <w:t>’</w:t>
      </w:r>
      <w:r w:rsidRPr="004378FA">
        <w:rPr>
          <w:rFonts w:cs="Times New Roman"/>
          <w:noProof/>
          <w:lang w:val="fr-CA"/>
        </w:rPr>
        <w:t>appeler les choses par leur nom. Un jugement de reconnaissance tel que le jugement de la C.</w:t>
      </w:r>
      <w:r w:rsidRPr="004378FA">
        <w:rPr>
          <w:rFonts w:cs="Times New Roman"/>
          <w:noProof/>
          <w:lang w:val="fr-CA"/>
        </w:rPr>
        <w:noBreakHyphen/>
        <w:t>B. peut être enregistré parce que c</w:t>
      </w:r>
      <w:r>
        <w:rPr>
          <w:rFonts w:cs="Times New Roman"/>
          <w:noProof/>
          <w:lang w:val="fr-CA"/>
        </w:rPr>
        <w:t>’</w:t>
      </w:r>
      <w:r w:rsidRPr="004378FA">
        <w:rPr>
          <w:rFonts w:cs="Times New Roman"/>
          <w:noProof/>
          <w:lang w:val="fr-CA"/>
        </w:rPr>
        <w:t>est un « jugement ». Si la législature voit les choses autrement, libre à elle de modifier sa loi. En attendant, les principes d</w:t>
      </w:r>
      <w:r>
        <w:rPr>
          <w:rFonts w:cs="Times New Roman"/>
          <w:noProof/>
          <w:lang w:val="fr-CA"/>
        </w:rPr>
        <w:t>’</w:t>
      </w:r>
      <w:r w:rsidRPr="004378FA">
        <w:rPr>
          <w:rFonts w:cs="Times New Roman"/>
          <w:noProof/>
          <w:lang w:val="fr-CA"/>
        </w:rPr>
        <w:t>interprétation des lois rendent cette conclusion inéluctable.</w:t>
      </w:r>
    </w:p>
    <w:p w:rsidR="009D2D7F" w:rsidRPr="004378FA" w:rsidRDefault="009D2D7F" w:rsidP="009D2D7F">
      <w:pPr>
        <w:pStyle w:val="ParaNoNdepar-AltN"/>
        <w:spacing w:before="0"/>
        <w:rPr>
          <w:rFonts w:cs="Times New Roman"/>
          <w:noProof/>
          <w:lang w:val="fr-CA"/>
        </w:rPr>
      </w:pPr>
      <w:r w:rsidRPr="004378FA">
        <w:rPr>
          <w:rFonts w:cs="Times New Roman"/>
          <w:lang w:val="fr-CA"/>
        </w:rPr>
        <w:t>Malgré cette conclusion, pour les raisons évoquées par mon collègue, l</w:t>
      </w:r>
      <w:r>
        <w:rPr>
          <w:rFonts w:cs="Times New Roman"/>
          <w:lang w:val="fr-CA"/>
        </w:rPr>
        <w:t>’</w:t>
      </w:r>
      <w:r w:rsidRPr="004378FA">
        <w:rPr>
          <w:rFonts w:cs="Times New Roman"/>
          <w:lang w:val="fr-CA"/>
        </w:rPr>
        <w:t xml:space="preserve">al. 3b) de la </w:t>
      </w:r>
      <w:r w:rsidRPr="004378FA">
        <w:rPr>
          <w:rFonts w:cs="Times New Roman"/>
          <w:i/>
          <w:lang w:val="fr-CA"/>
        </w:rPr>
        <w:t>LERJ</w:t>
      </w:r>
      <w:r w:rsidRPr="004378FA">
        <w:rPr>
          <w:rFonts w:cs="Times New Roman"/>
          <w:lang w:val="fr-CA"/>
        </w:rPr>
        <w:t xml:space="preserve"> interdit l</w:t>
      </w:r>
      <w:r>
        <w:rPr>
          <w:rFonts w:cs="Times New Roman"/>
          <w:lang w:val="fr-CA"/>
        </w:rPr>
        <w:t>’</w:t>
      </w:r>
      <w:r w:rsidRPr="004378FA">
        <w:rPr>
          <w:rFonts w:cs="Times New Roman"/>
          <w:lang w:val="fr-CA"/>
        </w:rPr>
        <w:t>enregistrement du jugement de la Colombie</w:t>
      </w:r>
      <w:r w:rsidRPr="004378FA">
        <w:rPr>
          <w:rFonts w:cs="Times New Roman"/>
          <w:lang w:val="fr-CA"/>
        </w:rPr>
        <w:noBreakHyphen/>
        <w:t>Britannique en Ontario dans les circonstances de l</w:t>
      </w:r>
      <w:r>
        <w:rPr>
          <w:rFonts w:cs="Times New Roman"/>
          <w:lang w:val="fr-CA"/>
        </w:rPr>
        <w:t>’</w:t>
      </w:r>
      <w:r w:rsidRPr="004378FA">
        <w:rPr>
          <w:rFonts w:cs="Times New Roman"/>
          <w:lang w:val="fr-CA"/>
        </w:rPr>
        <w:t>espèce. Je suis donc d</w:t>
      </w:r>
      <w:r>
        <w:rPr>
          <w:rFonts w:cs="Times New Roman"/>
          <w:lang w:val="fr-CA"/>
        </w:rPr>
        <w:t>’</w:t>
      </w:r>
      <w:r w:rsidRPr="004378FA">
        <w:rPr>
          <w:rFonts w:cs="Times New Roman"/>
          <w:lang w:val="fr-CA"/>
        </w:rPr>
        <w:t>avis de rejeter le pourvoi avec dépens.</w:t>
      </w:r>
    </w:p>
    <w:p w:rsidR="009D2D7F" w:rsidRDefault="009D2D7F" w:rsidP="009D2D7F">
      <w:pPr>
        <w:pStyle w:val="SCCNormalDoubleSpacing"/>
        <w:spacing w:after="480"/>
        <w:rPr>
          <w:lang w:val="fr-CA"/>
        </w:rPr>
      </w:pPr>
    </w:p>
    <w:p w:rsidR="004D7D95" w:rsidRPr="00B21FF6" w:rsidRDefault="005A34FC" w:rsidP="00843D5F">
      <w:pPr>
        <w:pStyle w:val="SCCNormalDoubleSpacing"/>
        <w:spacing w:after="480"/>
        <w:rPr>
          <w:lang w:val="fr-CA"/>
        </w:rPr>
      </w:pPr>
      <w:r w:rsidRPr="00B21FF6">
        <w:rPr>
          <w:lang w:val="fr-CA"/>
        </w:rPr>
        <w:tab/>
      </w:r>
      <w:r w:rsidRPr="00B21FF6">
        <w:rPr>
          <w:i/>
          <w:lang w:val="fr-CA"/>
        </w:rPr>
        <w:t>Pourvoi</w:t>
      </w:r>
      <w:r w:rsidR="00F05E66" w:rsidRPr="00B21FF6">
        <w:rPr>
          <w:i/>
          <w:lang w:val="fr-CA"/>
        </w:rPr>
        <w:t xml:space="preserve"> rejeté</w:t>
      </w:r>
      <w:r w:rsidR="00FE0F3A" w:rsidRPr="00B21FF6">
        <w:rPr>
          <w:i/>
          <w:lang w:val="fr-CA"/>
        </w:rPr>
        <w:t xml:space="preserve"> </w:t>
      </w:r>
      <w:r w:rsidR="00FE0F3A" w:rsidRPr="000626FC">
        <w:rPr>
          <w:i/>
          <w:lang w:val="fr-CA"/>
        </w:rPr>
        <w:t xml:space="preserve">avec </w:t>
      </w:r>
      <w:r w:rsidR="00FE0F3A" w:rsidRPr="00B21FF6">
        <w:rPr>
          <w:i/>
          <w:lang w:val="fr-CA"/>
        </w:rPr>
        <w:t>dépens</w:t>
      </w:r>
      <w:r w:rsidR="00F05E66" w:rsidRPr="00B21FF6">
        <w:rPr>
          <w:i/>
          <w:lang w:val="fr-CA"/>
        </w:rPr>
        <w:t>.</w:t>
      </w:r>
    </w:p>
    <w:p w:rsidR="001C1A25" w:rsidRPr="00B21FF6" w:rsidRDefault="005A34FC" w:rsidP="00843D5F">
      <w:pPr>
        <w:pStyle w:val="SCCLawFirm"/>
        <w:spacing w:after="480"/>
        <w:rPr>
          <w:lang w:val="fr-CA"/>
        </w:rPr>
      </w:pPr>
      <w:r w:rsidRPr="00B21FF6">
        <w:rPr>
          <w:lang w:val="fr-CA"/>
        </w:rPr>
        <w:tab/>
        <w:t>Procureurs</w:t>
      </w:r>
      <w:r w:rsidR="003D7F3C" w:rsidRPr="00B21FF6">
        <w:rPr>
          <w:lang w:val="fr-CA"/>
        </w:rPr>
        <w:t xml:space="preserve"> de l</w:t>
      </w:r>
      <w:r w:rsidR="00C522BC" w:rsidRPr="00B21FF6">
        <w:rPr>
          <w:lang w:val="fr-CA"/>
        </w:rPr>
        <w:t>’appelante</w:t>
      </w:r>
      <w:r w:rsidR="00B21FF6" w:rsidRPr="00B21FF6">
        <w:rPr>
          <w:lang w:val="fr-CA"/>
        </w:rPr>
        <w:t> :</w:t>
      </w:r>
      <w:r w:rsidR="00843D5F" w:rsidRPr="00B21FF6">
        <w:rPr>
          <w:lang w:val="fr-CA"/>
        </w:rPr>
        <w:t> </w:t>
      </w:r>
      <w:r w:rsidRPr="00B21FF6">
        <w:rPr>
          <w:lang w:val="fr-CA"/>
        </w:rPr>
        <w:t>Bennett Jones</w:t>
      </w:r>
      <w:r w:rsidR="003D7F3C" w:rsidRPr="00B21FF6">
        <w:rPr>
          <w:lang w:val="fr-CA"/>
        </w:rPr>
        <w:t>, Toronto.</w:t>
      </w:r>
    </w:p>
    <w:p w:rsidR="001C1A25" w:rsidRPr="00B21FF6" w:rsidRDefault="005A34FC">
      <w:pPr>
        <w:pStyle w:val="SCCLawFirm"/>
        <w:rPr>
          <w:lang w:val="fr-CA"/>
        </w:rPr>
      </w:pPr>
      <w:r w:rsidRPr="00B21FF6">
        <w:rPr>
          <w:lang w:val="fr-CA"/>
        </w:rPr>
        <w:tab/>
        <w:t>Procureurs</w:t>
      </w:r>
      <w:r w:rsidR="003D7F3C" w:rsidRPr="00B21FF6">
        <w:rPr>
          <w:lang w:val="fr-CA"/>
        </w:rPr>
        <w:t xml:space="preserve"> de l</w:t>
      </w:r>
      <w:r w:rsidR="00C522BC" w:rsidRPr="00B21FF6">
        <w:rPr>
          <w:lang w:val="fr-CA"/>
        </w:rPr>
        <w:t>’intimé</w:t>
      </w:r>
      <w:r w:rsidR="00B21FF6" w:rsidRPr="00B21FF6">
        <w:rPr>
          <w:lang w:val="fr-CA"/>
        </w:rPr>
        <w:t> :</w:t>
      </w:r>
      <w:r w:rsidR="00843D5F" w:rsidRPr="00B21FF6">
        <w:rPr>
          <w:lang w:val="fr-CA"/>
        </w:rPr>
        <w:t> </w:t>
      </w:r>
      <w:r w:rsidRPr="00B21FF6">
        <w:rPr>
          <w:lang w:val="fr-CA"/>
        </w:rPr>
        <w:t>Aird &amp; Berlis</w:t>
      </w:r>
      <w:r w:rsidR="003D7F3C" w:rsidRPr="00B21FF6">
        <w:rPr>
          <w:lang w:val="fr-CA"/>
        </w:rPr>
        <w:t>, Toronto.</w:t>
      </w:r>
    </w:p>
    <w:sectPr w:rsidR="001C1A25" w:rsidRPr="00B21FF6"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EFD" w:rsidRDefault="00D94EFD">
      <w:r>
        <w:separator/>
      </w:r>
    </w:p>
  </w:endnote>
  <w:endnote w:type="continuationSeparator" w:id="0">
    <w:p w:rsidR="00D94EFD" w:rsidRDefault="00D9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EFD" w:rsidRDefault="00D94EFD">
      <w:r>
        <w:separator/>
      </w:r>
    </w:p>
  </w:footnote>
  <w:footnote w:type="continuationSeparator" w:id="0">
    <w:p w:rsidR="00D94EFD" w:rsidRDefault="00D94EFD">
      <w:r>
        <w:continuationSeparator/>
      </w:r>
    </w:p>
  </w:footnote>
  <w:footnote w:id="1">
    <w:p w:rsidR="009D2D7F" w:rsidRPr="00D8153D" w:rsidRDefault="009D2D7F" w:rsidP="009D2D7F">
      <w:pPr>
        <w:pStyle w:val="FootnoteText"/>
      </w:pPr>
      <w:r>
        <w:rPr>
          <w:rStyle w:val="FootnoteReference"/>
        </w:rPr>
        <w:footnoteRef/>
      </w:r>
      <w:r>
        <w:t xml:space="preserve"> </w:t>
      </w:r>
      <w:r w:rsidRPr="00D8153D">
        <w:t>En fait, H.M.B. a effectivement aussi introduit une action en common law pour faire exécuter le jugement de la Colombie-Britannique, mais cette instance n’est p</w:t>
      </w:r>
      <w:r>
        <w:t>as en litige devant notre Cour (</w:t>
      </w:r>
      <w:r w:rsidRPr="00D8153D">
        <w:rPr>
          <w:i/>
        </w:rPr>
        <w:t>H.M.B. Holdings Ltd. c. Attorney General of Antigua and Barbuda</w:t>
      </w:r>
      <w:r w:rsidRPr="00D8153D">
        <w:t>, 2021 ONSC 2307</w:t>
      </w:r>
      <w:r>
        <w:t>)</w:t>
      </w:r>
      <w:r w:rsidRPr="00D8153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004"/>
    <w:multiLevelType w:val="multilevel"/>
    <w:tmpl w:val="F1E22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5DB241C"/>
    <w:multiLevelType w:val="multilevel"/>
    <w:tmpl w:val="3810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22032"/>
    <w:multiLevelType w:val="multilevel"/>
    <w:tmpl w:val="89DC23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A5AAB"/>
    <w:multiLevelType w:val="hybridMultilevel"/>
    <w:tmpl w:val="3C782866"/>
    <w:lvl w:ilvl="0" w:tplc="0F626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531146"/>
    <w:multiLevelType w:val="multilevel"/>
    <w:tmpl w:val="A94E9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727472F"/>
    <w:multiLevelType w:val="hybridMultilevel"/>
    <w:tmpl w:val="0FCEC73C"/>
    <w:lvl w:ilvl="0" w:tplc="E17C1874">
      <w:start w:val="1"/>
      <w:numFmt w:val="decimal"/>
      <w:lvlText w:val="%1."/>
      <w:lvlJc w:val="left"/>
      <w:pPr>
        <w:ind w:left="720" w:hanging="360"/>
      </w:pPr>
    </w:lvl>
    <w:lvl w:ilvl="1" w:tplc="5C440B0C">
      <w:start w:val="1"/>
      <w:numFmt w:val="lowerLetter"/>
      <w:lvlText w:val="%2."/>
      <w:lvlJc w:val="left"/>
      <w:pPr>
        <w:ind w:left="1440" w:hanging="360"/>
      </w:pPr>
    </w:lvl>
    <w:lvl w:ilvl="2" w:tplc="3E20E276">
      <w:start w:val="1"/>
      <w:numFmt w:val="lowerRoman"/>
      <w:lvlText w:val="%3."/>
      <w:lvlJc w:val="right"/>
      <w:pPr>
        <w:ind w:left="2160" w:hanging="180"/>
      </w:pPr>
    </w:lvl>
    <w:lvl w:ilvl="3" w:tplc="82C420E2">
      <w:start w:val="1"/>
      <w:numFmt w:val="decimal"/>
      <w:lvlText w:val="%4."/>
      <w:lvlJc w:val="left"/>
      <w:pPr>
        <w:ind w:left="2880" w:hanging="360"/>
      </w:pPr>
    </w:lvl>
    <w:lvl w:ilvl="4" w:tplc="D98ED386">
      <w:start w:val="1"/>
      <w:numFmt w:val="lowerLetter"/>
      <w:lvlText w:val="%5."/>
      <w:lvlJc w:val="left"/>
      <w:pPr>
        <w:ind w:left="3600" w:hanging="360"/>
      </w:pPr>
    </w:lvl>
    <w:lvl w:ilvl="5" w:tplc="46A0DCCE">
      <w:start w:val="1"/>
      <w:numFmt w:val="lowerRoman"/>
      <w:lvlText w:val="%6."/>
      <w:lvlJc w:val="right"/>
      <w:pPr>
        <w:ind w:left="4320" w:hanging="180"/>
      </w:pPr>
    </w:lvl>
    <w:lvl w:ilvl="6" w:tplc="45AC3194">
      <w:start w:val="1"/>
      <w:numFmt w:val="decimal"/>
      <w:lvlText w:val="%7."/>
      <w:lvlJc w:val="left"/>
      <w:pPr>
        <w:ind w:left="5040" w:hanging="360"/>
      </w:pPr>
    </w:lvl>
    <w:lvl w:ilvl="7" w:tplc="43CA0E12">
      <w:start w:val="1"/>
      <w:numFmt w:val="lowerLetter"/>
      <w:lvlText w:val="%8."/>
      <w:lvlJc w:val="left"/>
      <w:pPr>
        <w:ind w:left="5760" w:hanging="360"/>
      </w:pPr>
    </w:lvl>
    <w:lvl w:ilvl="8" w:tplc="3AFEABE8">
      <w:start w:val="1"/>
      <w:numFmt w:val="lowerRoman"/>
      <w:lvlText w:val="%9."/>
      <w:lvlJc w:val="right"/>
      <w:pPr>
        <w:ind w:left="6480" w:hanging="180"/>
      </w:pPr>
    </w:lvl>
  </w:abstractNum>
  <w:abstractNum w:abstractNumId="8" w15:restartNumberingAfterBreak="0">
    <w:nsid w:val="2C4C116B"/>
    <w:multiLevelType w:val="hybridMultilevel"/>
    <w:tmpl w:val="E432E5F8"/>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9" w15:restartNumberingAfterBreak="0">
    <w:nsid w:val="3082394C"/>
    <w:multiLevelType w:val="multilevel"/>
    <w:tmpl w:val="B3DC71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53353"/>
    <w:multiLevelType w:val="hybridMultilevel"/>
    <w:tmpl w:val="7E8092F0"/>
    <w:lvl w:ilvl="0" w:tplc="94529878">
      <w:start w:val="1"/>
      <w:numFmt w:val="bullet"/>
      <w:lvlText w:val=""/>
      <w:lvlJc w:val="left"/>
      <w:pPr>
        <w:ind w:left="720" w:hanging="360"/>
      </w:pPr>
      <w:rPr>
        <w:rFonts w:ascii="Symbol" w:hAnsi="Symbol" w:hint="default"/>
      </w:rPr>
    </w:lvl>
    <w:lvl w:ilvl="1" w:tplc="D79E72B4">
      <w:start w:val="1"/>
      <w:numFmt w:val="bullet"/>
      <w:lvlText w:val="o"/>
      <w:lvlJc w:val="left"/>
      <w:pPr>
        <w:ind w:left="1440" w:hanging="360"/>
      </w:pPr>
      <w:rPr>
        <w:rFonts w:ascii="&quot;Courier New&quot;" w:hAnsi="&quot;Courier New&quot;" w:hint="default"/>
      </w:rPr>
    </w:lvl>
    <w:lvl w:ilvl="2" w:tplc="DC345902">
      <w:start w:val="1"/>
      <w:numFmt w:val="bullet"/>
      <w:lvlText w:val=""/>
      <w:lvlJc w:val="left"/>
      <w:pPr>
        <w:ind w:left="2160" w:hanging="360"/>
      </w:pPr>
      <w:rPr>
        <w:rFonts w:ascii="Wingdings" w:hAnsi="Wingdings" w:hint="default"/>
      </w:rPr>
    </w:lvl>
    <w:lvl w:ilvl="3" w:tplc="30BC15A6">
      <w:start w:val="1"/>
      <w:numFmt w:val="bullet"/>
      <w:lvlText w:val=""/>
      <w:lvlJc w:val="left"/>
      <w:pPr>
        <w:ind w:left="2880" w:hanging="360"/>
      </w:pPr>
      <w:rPr>
        <w:rFonts w:ascii="Symbol" w:hAnsi="Symbol" w:hint="default"/>
      </w:rPr>
    </w:lvl>
    <w:lvl w:ilvl="4" w:tplc="CC5ED38A">
      <w:start w:val="1"/>
      <w:numFmt w:val="bullet"/>
      <w:lvlText w:val="o"/>
      <w:lvlJc w:val="left"/>
      <w:pPr>
        <w:ind w:left="3600" w:hanging="360"/>
      </w:pPr>
      <w:rPr>
        <w:rFonts w:ascii="Courier New" w:hAnsi="Courier New" w:hint="default"/>
      </w:rPr>
    </w:lvl>
    <w:lvl w:ilvl="5" w:tplc="DFEA95FE">
      <w:start w:val="1"/>
      <w:numFmt w:val="bullet"/>
      <w:lvlText w:val=""/>
      <w:lvlJc w:val="left"/>
      <w:pPr>
        <w:ind w:left="4320" w:hanging="360"/>
      </w:pPr>
      <w:rPr>
        <w:rFonts w:ascii="Wingdings" w:hAnsi="Wingdings" w:hint="default"/>
      </w:rPr>
    </w:lvl>
    <w:lvl w:ilvl="6" w:tplc="CE5E61DA">
      <w:start w:val="1"/>
      <w:numFmt w:val="bullet"/>
      <w:lvlText w:val=""/>
      <w:lvlJc w:val="left"/>
      <w:pPr>
        <w:ind w:left="5040" w:hanging="360"/>
      </w:pPr>
      <w:rPr>
        <w:rFonts w:ascii="Symbol" w:hAnsi="Symbol" w:hint="default"/>
      </w:rPr>
    </w:lvl>
    <w:lvl w:ilvl="7" w:tplc="3BE62F60">
      <w:start w:val="1"/>
      <w:numFmt w:val="bullet"/>
      <w:lvlText w:val="o"/>
      <w:lvlJc w:val="left"/>
      <w:pPr>
        <w:ind w:left="5760" w:hanging="360"/>
      </w:pPr>
      <w:rPr>
        <w:rFonts w:ascii="Courier New" w:hAnsi="Courier New" w:hint="default"/>
      </w:rPr>
    </w:lvl>
    <w:lvl w:ilvl="8" w:tplc="03DA20AC">
      <w:start w:val="1"/>
      <w:numFmt w:val="bullet"/>
      <w:lvlText w:val=""/>
      <w:lvlJc w:val="left"/>
      <w:pPr>
        <w:ind w:left="6480" w:hanging="360"/>
      </w:pPr>
      <w:rPr>
        <w:rFonts w:ascii="Wingdings" w:hAnsi="Wingdings" w:hint="default"/>
      </w:rPr>
    </w:lvl>
  </w:abstractNum>
  <w:abstractNum w:abstractNumId="11" w15:restartNumberingAfterBreak="0">
    <w:nsid w:val="359600F8"/>
    <w:multiLevelType w:val="hybridMultilevel"/>
    <w:tmpl w:val="3C782866"/>
    <w:lvl w:ilvl="0" w:tplc="0F626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35057"/>
    <w:multiLevelType w:val="hybridMultilevel"/>
    <w:tmpl w:val="900A3920"/>
    <w:lvl w:ilvl="0" w:tplc="989AF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B0021"/>
    <w:multiLevelType w:val="hybridMultilevel"/>
    <w:tmpl w:val="2B50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34EF2"/>
    <w:multiLevelType w:val="hybridMultilevel"/>
    <w:tmpl w:val="E2EC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6" w15:restartNumberingAfterBreak="0">
    <w:nsid w:val="46E218FD"/>
    <w:multiLevelType w:val="hybridMultilevel"/>
    <w:tmpl w:val="D4FC629C"/>
    <w:lvl w:ilvl="0" w:tplc="04090017">
      <w:start w:val="1"/>
      <w:numFmt w:val="lowerLetter"/>
      <w:lvlText w:val="%1)"/>
      <w:lvlJc w:val="left"/>
      <w:pPr>
        <w:ind w:left="1888" w:hanging="360"/>
      </w:pPr>
    </w:lvl>
    <w:lvl w:ilvl="1" w:tplc="0C0C0019" w:tentative="1">
      <w:start w:val="1"/>
      <w:numFmt w:val="lowerLetter"/>
      <w:lvlText w:val="%2."/>
      <w:lvlJc w:val="left"/>
      <w:pPr>
        <w:ind w:left="2608" w:hanging="360"/>
      </w:pPr>
    </w:lvl>
    <w:lvl w:ilvl="2" w:tplc="0C0C001B" w:tentative="1">
      <w:start w:val="1"/>
      <w:numFmt w:val="lowerRoman"/>
      <w:lvlText w:val="%3."/>
      <w:lvlJc w:val="right"/>
      <w:pPr>
        <w:ind w:left="3328" w:hanging="180"/>
      </w:pPr>
    </w:lvl>
    <w:lvl w:ilvl="3" w:tplc="0C0C000F" w:tentative="1">
      <w:start w:val="1"/>
      <w:numFmt w:val="decimal"/>
      <w:lvlText w:val="%4."/>
      <w:lvlJc w:val="left"/>
      <w:pPr>
        <w:ind w:left="4048" w:hanging="360"/>
      </w:pPr>
    </w:lvl>
    <w:lvl w:ilvl="4" w:tplc="0C0C0019" w:tentative="1">
      <w:start w:val="1"/>
      <w:numFmt w:val="lowerLetter"/>
      <w:lvlText w:val="%5."/>
      <w:lvlJc w:val="left"/>
      <w:pPr>
        <w:ind w:left="4768" w:hanging="360"/>
      </w:pPr>
    </w:lvl>
    <w:lvl w:ilvl="5" w:tplc="0C0C001B" w:tentative="1">
      <w:start w:val="1"/>
      <w:numFmt w:val="lowerRoman"/>
      <w:lvlText w:val="%6."/>
      <w:lvlJc w:val="right"/>
      <w:pPr>
        <w:ind w:left="5488" w:hanging="180"/>
      </w:pPr>
    </w:lvl>
    <w:lvl w:ilvl="6" w:tplc="0C0C000F" w:tentative="1">
      <w:start w:val="1"/>
      <w:numFmt w:val="decimal"/>
      <w:lvlText w:val="%7."/>
      <w:lvlJc w:val="left"/>
      <w:pPr>
        <w:ind w:left="6208" w:hanging="360"/>
      </w:pPr>
    </w:lvl>
    <w:lvl w:ilvl="7" w:tplc="0C0C0019" w:tentative="1">
      <w:start w:val="1"/>
      <w:numFmt w:val="lowerLetter"/>
      <w:lvlText w:val="%8."/>
      <w:lvlJc w:val="left"/>
      <w:pPr>
        <w:ind w:left="6928" w:hanging="360"/>
      </w:pPr>
    </w:lvl>
    <w:lvl w:ilvl="8" w:tplc="0C0C001B" w:tentative="1">
      <w:start w:val="1"/>
      <w:numFmt w:val="lowerRoman"/>
      <w:lvlText w:val="%9."/>
      <w:lvlJc w:val="right"/>
      <w:pPr>
        <w:ind w:left="7648" w:hanging="180"/>
      </w:pPr>
    </w:lvl>
  </w:abstractNum>
  <w:abstractNum w:abstractNumId="17" w15:restartNumberingAfterBreak="0">
    <w:nsid w:val="48EA6FE3"/>
    <w:multiLevelType w:val="multilevel"/>
    <w:tmpl w:val="6D7808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9"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D8F3446"/>
    <w:multiLevelType w:val="multilevel"/>
    <w:tmpl w:val="3810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8F1824"/>
    <w:multiLevelType w:val="multilevel"/>
    <w:tmpl w:val="8C74AD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C645F0"/>
    <w:multiLevelType w:val="hybridMultilevel"/>
    <w:tmpl w:val="A0681D76"/>
    <w:lvl w:ilvl="0" w:tplc="BFB2CAB6">
      <w:start w:val="1"/>
      <w:numFmt w:val="decimal"/>
      <w:lvlText w:val="%1."/>
      <w:lvlJc w:val="left"/>
      <w:pPr>
        <w:ind w:left="720" w:hanging="360"/>
      </w:pPr>
    </w:lvl>
    <w:lvl w:ilvl="1" w:tplc="3CF88020">
      <w:start w:val="1"/>
      <w:numFmt w:val="lowerLetter"/>
      <w:lvlText w:val="%2."/>
      <w:lvlJc w:val="left"/>
      <w:pPr>
        <w:ind w:left="1440" w:hanging="360"/>
      </w:pPr>
    </w:lvl>
    <w:lvl w:ilvl="2" w:tplc="C334432E">
      <w:start w:val="1"/>
      <w:numFmt w:val="lowerRoman"/>
      <w:lvlText w:val="%3."/>
      <w:lvlJc w:val="right"/>
      <w:pPr>
        <w:ind w:left="2160" w:hanging="180"/>
      </w:pPr>
    </w:lvl>
    <w:lvl w:ilvl="3" w:tplc="8F563F96">
      <w:start w:val="1"/>
      <w:numFmt w:val="decimal"/>
      <w:lvlText w:val="%4."/>
      <w:lvlJc w:val="left"/>
      <w:pPr>
        <w:ind w:left="2880" w:hanging="360"/>
      </w:pPr>
    </w:lvl>
    <w:lvl w:ilvl="4" w:tplc="B41ADBDA">
      <w:start w:val="1"/>
      <w:numFmt w:val="lowerLetter"/>
      <w:lvlText w:val="%5."/>
      <w:lvlJc w:val="left"/>
      <w:pPr>
        <w:ind w:left="3600" w:hanging="360"/>
      </w:pPr>
    </w:lvl>
    <w:lvl w:ilvl="5" w:tplc="B6DCAD20">
      <w:start w:val="1"/>
      <w:numFmt w:val="lowerRoman"/>
      <w:lvlText w:val="%6."/>
      <w:lvlJc w:val="right"/>
      <w:pPr>
        <w:ind w:left="4320" w:hanging="180"/>
      </w:pPr>
    </w:lvl>
    <w:lvl w:ilvl="6" w:tplc="39C81028">
      <w:start w:val="1"/>
      <w:numFmt w:val="decimal"/>
      <w:lvlText w:val="%7."/>
      <w:lvlJc w:val="left"/>
      <w:pPr>
        <w:ind w:left="5040" w:hanging="360"/>
      </w:pPr>
    </w:lvl>
    <w:lvl w:ilvl="7" w:tplc="2F22B3F2">
      <w:start w:val="1"/>
      <w:numFmt w:val="lowerLetter"/>
      <w:lvlText w:val="%8."/>
      <w:lvlJc w:val="left"/>
      <w:pPr>
        <w:ind w:left="5760" w:hanging="360"/>
      </w:pPr>
    </w:lvl>
    <w:lvl w:ilvl="8" w:tplc="DE6A431C">
      <w:start w:val="1"/>
      <w:numFmt w:val="lowerRoman"/>
      <w:lvlText w:val="%9."/>
      <w:lvlJc w:val="right"/>
      <w:pPr>
        <w:ind w:left="6480" w:hanging="180"/>
      </w:pPr>
    </w:lvl>
  </w:abstractNum>
  <w:abstractNum w:abstractNumId="23" w15:restartNumberingAfterBreak="0">
    <w:nsid w:val="54283EE8"/>
    <w:multiLevelType w:val="hybridMultilevel"/>
    <w:tmpl w:val="0E1221A2"/>
    <w:lvl w:ilvl="0" w:tplc="DE04CFA6">
      <w:start w:val="1"/>
      <w:numFmt w:val="decimal"/>
      <w:pStyle w:val="ParaNoNdepar-AltN"/>
      <w:lvlText w:val="[%1]"/>
      <w:lvlJc w:val="left"/>
      <w:pPr>
        <w:tabs>
          <w:tab w:val="num" w:pos="1152"/>
        </w:tabs>
        <w:ind w:left="0" w:firstLine="0"/>
      </w:pPr>
      <w:rPr>
        <w:sz w:val="24"/>
      </w:rPr>
    </w:lvl>
    <w:lvl w:ilvl="1" w:tplc="A60819D8">
      <w:start w:val="1"/>
      <w:numFmt w:val="lowerLetter"/>
      <w:lvlText w:val="(%2)"/>
      <w:lvlJc w:val="left"/>
      <w:pPr>
        <w:ind w:left="720" w:hanging="360"/>
      </w:pPr>
      <w:rPr>
        <w:rFonts w:hint="default"/>
      </w:rPr>
    </w:lvl>
    <w:lvl w:ilvl="2" w:tplc="80607AB8">
      <w:start w:val="1"/>
      <w:numFmt w:val="lowerRoman"/>
      <w:lvlText w:val="%3)"/>
      <w:lvlJc w:val="left"/>
      <w:pPr>
        <w:ind w:left="1080" w:hanging="360"/>
      </w:pPr>
    </w:lvl>
    <w:lvl w:ilvl="3" w:tplc="406A8FA6">
      <w:start w:val="1"/>
      <w:numFmt w:val="decimal"/>
      <w:lvlText w:val="(%4)"/>
      <w:lvlJc w:val="left"/>
      <w:pPr>
        <w:ind w:left="1440" w:hanging="360"/>
      </w:pPr>
    </w:lvl>
    <w:lvl w:ilvl="4" w:tplc="7C9023EC">
      <w:start w:val="1"/>
      <w:numFmt w:val="lowerLetter"/>
      <w:lvlText w:val="(%5)"/>
      <w:lvlJc w:val="left"/>
      <w:pPr>
        <w:ind w:left="1800" w:hanging="360"/>
      </w:pPr>
    </w:lvl>
    <w:lvl w:ilvl="5" w:tplc="6D3AAF52">
      <w:start w:val="1"/>
      <w:numFmt w:val="lowerRoman"/>
      <w:lvlText w:val="(%6)"/>
      <w:lvlJc w:val="left"/>
      <w:pPr>
        <w:ind w:left="2160" w:hanging="360"/>
      </w:pPr>
    </w:lvl>
    <w:lvl w:ilvl="6" w:tplc="708AF414">
      <w:start w:val="1"/>
      <w:numFmt w:val="decimal"/>
      <w:lvlText w:val="%7."/>
      <w:lvlJc w:val="left"/>
      <w:pPr>
        <w:ind w:left="2520" w:hanging="360"/>
      </w:pPr>
    </w:lvl>
    <w:lvl w:ilvl="7" w:tplc="357E9E4A">
      <w:start w:val="1"/>
      <w:numFmt w:val="lowerLetter"/>
      <w:lvlText w:val="%8."/>
      <w:lvlJc w:val="left"/>
      <w:pPr>
        <w:ind w:left="2880" w:hanging="360"/>
      </w:pPr>
    </w:lvl>
    <w:lvl w:ilvl="8" w:tplc="0882D09A">
      <w:start w:val="1"/>
      <w:numFmt w:val="lowerRoman"/>
      <w:lvlText w:val="%9."/>
      <w:lvlJc w:val="left"/>
      <w:pPr>
        <w:ind w:left="3240" w:hanging="360"/>
      </w:pPr>
    </w:lvl>
  </w:abstractNum>
  <w:abstractNum w:abstractNumId="24" w15:restartNumberingAfterBreak="0">
    <w:nsid w:val="54CF4B35"/>
    <w:multiLevelType w:val="hybridMultilevel"/>
    <w:tmpl w:val="CC821438"/>
    <w:lvl w:ilvl="0" w:tplc="FB50F472">
      <w:start w:val="1"/>
      <w:numFmt w:val="decimal"/>
      <w:lvlText w:val="[%1]"/>
      <w:lvlJc w:val="left"/>
      <w:pPr>
        <w:ind w:left="720" w:hanging="360"/>
      </w:pPr>
    </w:lvl>
    <w:lvl w:ilvl="1" w:tplc="6414C8FE">
      <w:start w:val="1"/>
      <w:numFmt w:val="lowerLetter"/>
      <w:lvlText w:val="%2."/>
      <w:lvlJc w:val="left"/>
      <w:pPr>
        <w:ind w:left="1440" w:hanging="360"/>
      </w:pPr>
    </w:lvl>
    <w:lvl w:ilvl="2" w:tplc="2E2E0456">
      <w:start w:val="1"/>
      <w:numFmt w:val="lowerRoman"/>
      <w:lvlText w:val="%3."/>
      <w:lvlJc w:val="right"/>
      <w:pPr>
        <w:ind w:left="2160" w:hanging="180"/>
      </w:pPr>
    </w:lvl>
    <w:lvl w:ilvl="3" w:tplc="D07807CA">
      <w:start w:val="1"/>
      <w:numFmt w:val="decimal"/>
      <w:lvlText w:val="%4."/>
      <w:lvlJc w:val="left"/>
      <w:pPr>
        <w:ind w:left="2880" w:hanging="360"/>
      </w:pPr>
    </w:lvl>
    <w:lvl w:ilvl="4" w:tplc="39107248">
      <w:start w:val="1"/>
      <w:numFmt w:val="lowerLetter"/>
      <w:lvlText w:val="%5."/>
      <w:lvlJc w:val="left"/>
      <w:pPr>
        <w:ind w:left="3600" w:hanging="360"/>
      </w:pPr>
    </w:lvl>
    <w:lvl w:ilvl="5" w:tplc="9208DBE0">
      <w:start w:val="1"/>
      <w:numFmt w:val="lowerRoman"/>
      <w:lvlText w:val="%6."/>
      <w:lvlJc w:val="right"/>
      <w:pPr>
        <w:ind w:left="4320" w:hanging="180"/>
      </w:pPr>
    </w:lvl>
    <w:lvl w:ilvl="6" w:tplc="D9C63D36">
      <w:start w:val="1"/>
      <w:numFmt w:val="decimal"/>
      <w:lvlText w:val="%7."/>
      <w:lvlJc w:val="left"/>
      <w:pPr>
        <w:ind w:left="5040" w:hanging="360"/>
      </w:pPr>
    </w:lvl>
    <w:lvl w:ilvl="7" w:tplc="B1964FA0">
      <w:start w:val="1"/>
      <w:numFmt w:val="lowerLetter"/>
      <w:lvlText w:val="%8."/>
      <w:lvlJc w:val="left"/>
      <w:pPr>
        <w:ind w:left="5760" w:hanging="360"/>
      </w:pPr>
    </w:lvl>
    <w:lvl w:ilvl="8" w:tplc="148A490C">
      <w:start w:val="1"/>
      <w:numFmt w:val="lowerRoman"/>
      <w:lvlText w:val="%9."/>
      <w:lvlJc w:val="right"/>
      <w:pPr>
        <w:ind w:left="6480" w:hanging="180"/>
      </w:pPr>
    </w:lvl>
  </w:abstractNum>
  <w:abstractNum w:abstractNumId="25" w15:restartNumberingAfterBreak="0">
    <w:nsid w:val="559C07BB"/>
    <w:multiLevelType w:val="multilevel"/>
    <w:tmpl w:val="993E4A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513371"/>
    <w:multiLevelType w:val="hybridMultilevel"/>
    <w:tmpl w:val="84CE7576"/>
    <w:lvl w:ilvl="0" w:tplc="8D102FA0">
      <w:start w:val="1"/>
      <w:numFmt w:val="decimal"/>
      <w:lvlText w:val="[%1]"/>
      <w:lvlJc w:val="left"/>
      <w:pPr>
        <w:ind w:left="720" w:hanging="360"/>
      </w:pPr>
    </w:lvl>
    <w:lvl w:ilvl="1" w:tplc="6EB22D68">
      <w:start w:val="1"/>
      <w:numFmt w:val="lowerLetter"/>
      <w:lvlText w:val="%2."/>
      <w:lvlJc w:val="left"/>
      <w:pPr>
        <w:ind w:left="1440" w:hanging="360"/>
      </w:pPr>
    </w:lvl>
    <w:lvl w:ilvl="2" w:tplc="699AD930">
      <w:start w:val="1"/>
      <w:numFmt w:val="lowerRoman"/>
      <w:lvlText w:val="%3."/>
      <w:lvlJc w:val="right"/>
      <w:pPr>
        <w:ind w:left="2160" w:hanging="180"/>
      </w:pPr>
    </w:lvl>
    <w:lvl w:ilvl="3" w:tplc="C26C63F2">
      <w:start w:val="1"/>
      <w:numFmt w:val="decimal"/>
      <w:lvlText w:val="%4."/>
      <w:lvlJc w:val="left"/>
      <w:pPr>
        <w:ind w:left="2880" w:hanging="360"/>
      </w:pPr>
    </w:lvl>
    <w:lvl w:ilvl="4" w:tplc="DA62739C">
      <w:start w:val="1"/>
      <w:numFmt w:val="lowerLetter"/>
      <w:lvlText w:val="%5."/>
      <w:lvlJc w:val="left"/>
      <w:pPr>
        <w:ind w:left="3600" w:hanging="360"/>
      </w:pPr>
    </w:lvl>
    <w:lvl w:ilvl="5" w:tplc="914A27A8">
      <w:start w:val="1"/>
      <w:numFmt w:val="lowerRoman"/>
      <w:lvlText w:val="%6."/>
      <w:lvlJc w:val="right"/>
      <w:pPr>
        <w:ind w:left="4320" w:hanging="180"/>
      </w:pPr>
    </w:lvl>
    <w:lvl w:ilvl="6" w:tplc="BDDE834A">
      <w:start w:val="1"/>
      <w:numFmt w:val="decimal"/>
      <w:lvlText w:val="%7."/>
      <w:lvlJc w:val="left"/>
      <w:pPr>
        <w:ind w:left="5040" w:hanging="360"/>
      </w:pPr>
    </w:lvl>
    <w:lvl w:ilvl="7" w:tplc="147C5808">
      <w:start w:val="1"/>
      <w:numFmt w:val="lowerLetter"/>
      <w:lvlText w:val="%8."/>
      <w:lvlJc w:val="left"/>
      <w:pPr>
        <w:ind w:left="5760" w:hanging="360"/>
      </w:pPr>
    </w:lvl>
    <w:lvl w:ilvl="8" w:tplc="9A1C9EC6">
      <w:start w:val="1"/>
      <w:numFmt w:val="lowerRoman"/>
      <w:lvlText w:val="%9."/>
      <w:lvlJc w:val="right"/>
      <w:pPr>
        <w:ind w:left="6480" w:hanging="180"/>
      </w:pPr>
    </w:lvl>
  </w:abstractNum>
  <w:abstractNum w:abstractNumId="27" w15:restartNumberingAfterBreak="0">
    <w:nsid w:val="58FB5237"/>
    <w:multiLevelType w:val="hybridMultilevel"/>
    <w:tmpl w:val="B2EE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76C2F"/>
    <w:multiLevelType w:val="multilevel"/>
    <w:tmpl w:val="39A4D8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534EA7"/>
    <w:multiLevelType w:val="multilevel"/>
    <w:tmpl w:val="211EF8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F62827"/>
    <w:multiLevelType w:val="multilevel"/>
    <w:tmpl w:val="1FDA6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D503F6"/>
    <w:multiLevelType w:val="multilevel"/>
    <w:tmpl w:val="41A257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D050FD"/>
    <w:multiLevelType w:val="multilevel"/>
    <w:tmpl w:val="88886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5A5873"/>
    <w:multiLevelType w:val="multilevel"/>
    <w:tmpl w:val="120A7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BF0850"/>
    <w:multiLevelType w:val="hybridMultilevel"/>
    <w:tmpl w:val="55F069F4"/>
    <w:lvl w:ilvl="0" w:tplc="E8362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4216C"/>
    <w:multiLevelType w:val="hybridMultilevel"/>
    <w:tmpl w:val="A398AC2A"/>
    <w:lvl w:ilvl="0" w:tplc="1F0C83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629E3"/>
    <w:multiLevelType w:val="multilevel"/>
    <w:tmpl w:val="2A1028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7"/>
  </w:num>
  <w:num w:numId="3">
    <w:abstractNumId w:val="10"/>
  </w:num>
  <w:num w:numId="4">
    <w:abstractNumId w:val="26"/>
  </w:num>
  <w:num w:numId="5">
    <w:abstractNumId w:val="24"/>
  </w:num>
  <w:num w:numId="6">
    <w:abstractNumId w:val="22"/>
  </w:num>
  <w:num w:numId="7">
    <w:abstractNumId w:val="32"/>
  </w:num>
  <w:num w:numId="8">
    <w:abstractNumId w:val="5"/>
  </w:num>
  <w:num w:numId="9">
    <w:abstractNumId w:val="1"/>
  </w:num>
  <w:num w:numId="10">
    <w:abstractNumId w:val="18"/>
  </w:num>
  <w:num w:numId="11">
    <w:abstractNumId w:val="19"/>
  </w:num>
  <w:num w:numId="12">
    <w:abstractNumId w:val="15"/>
  </w:num>
  <w:num w:numId="13">
    <w:abstractNumId w:val="1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3"/>
  </w:num>
  <w:num w:numId="15">
    <w:abstractNumId w:val="27"/>
  </w:num>
  <w:num w:numId="16">
    <w:abstractNumId w:val="36"/>
  </w:num>
  <w:num w:numId="17">
    <w:abstractNumId w:val="12"/>
  </w:num>
  <w:num w:numId="18">
    <w:abstractNumId w:val="11"/>
  </w:num>
  <w:num w:numId="19">
    <w:abstractNumId w:val="4"/>
  </w:num>
  <w:num w:numId="20">
    <w:abstractNumId w:val="35"/>
  </w:num>
  <w:num w:numId="21">
    <w:abstractNumId w:val="14"/>
  </w:num>
  <w:num w:numId="22">
    <w:abstractNumId w:val="20"/>
    <w:lvlOverride w:ilvl="0">
      <w:startOverride w:val="58"/>
    </w:lvlOverride>
  </w:num>
  <w:num w:numId="23">
    <w:abstractNumId w:val="20"/>
    <w:lvlOverride w:ilvl="0">
      <w:startOverride w:val="59"/>
    </w:lvlOverride>
  </w:num>
  <w:num w:numId="24">
    <w:abstractNumId w:val="2"/>
  </w:num>
  <w:num w:numId="25">
    <w:abstractNumId w:val="34"/>
  </w:num>
  <w:num w:numId="26">
    <w:abstractNumId w:val="9"/>
  </w:num>
  <w:num w:numId="27">
    <w:abstractNumId w:val="30"/>
  </w:num>
  <w:num w:numId="28">
    <w:abstractNumId w:val="3"/>
  </w:num>
  <w:num w:numId="29">
    <w:abstractNumId w:val="37"/>
  </w:num>
  <w:num w:numId="30">
    <w:abstractNumId w:val="33"/>
  </w:num>
  <w:num w:numId="31">
    <w:abstractNumId w:val="21"/>
  </w:num>
  <w:num w:numId="32">
    <w:abstractNumId w:val="31"/>
  </w:num>
  <w:num w:numId="33">
    <w:abstractNumId w:val="28"/>
  </w:num>
  <w:num w:numId="34">
    <w:abstractNumId w:val="2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6"/>
  </w:num>
  <w:num w:numId="40">
    <w:abstractNumId w:val="8"/>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1F6E"/>
    <w:rsid w:val="00023FC7"/>
    <w:rsid w:val="000245F6"/>
    <w:rsid w:val="00025198"/>
    <w:rsid w:val="00036D9D"/>
    <w:rsid w:val="000578A3"/>
    <w:rsid w:val="000626FC"/>
    <w:rsid w:val="000648CC"/>
    <w:rsid w:val="000679E7"/>
    <w:rsid w:val="0007606D"/>
    <w:rsid w:val="00090BA1"/>
    <w:rsid w:val="0009266B"/>
    <w:rsid w:val="000B0A9D"/>
    <w:rsid w:val="000C59B8"/>
    <w:rsid w:val="000C6AF0"/>
    <w:rsid w:val="000D0A77"/>
    <w:rsid w:val="000F7993"/>
    <w:rsid w:val="00104F33"/>
    <w:rsid w:val="00111DE2"/>
    <w:rsid w:val="00116B38"/>
    <w:rsid w:val="00120F47"/>
    <w:rsid w:val="00135406"/>
    <w:rsid w:val="00135972"/>
    <w:rsid w:val="001426A9"/>
    <w:rsid w:val="00154D7C"/>
    <w:rsid w:val="001570B0"/>
    <w:rsid w:val="0015752C"/>
    <w:rsid w:val="00157737"/>
    <w:rsid w:val="00165277"/>
    <w:rsid w:val="00170592"/>
    <w:rsid w:val="001720F7"/>
    <w:rsid w:val="00194E02"/>
    <w:rsid w:val="00195D83"/>
    <w:rsid w:val="001A00C1"/>
    <w:rsid w:val="001B33E0"/>
    <w:rsid w:val="001B4573"/>
    <w:rsid w:val="001C18A7"/>
    <w:rsid w:val="001C1A25"/>
    <w:rsid w:val="001C2A78"/>
    <w:rsid w:val="001C779F"/>
    <w:rsid w:val="001D2AC1"/>
    <w:rsid w:val="001D4E88"/>
    <w:rsid w:val="001F773C"/>
    <w:rsid w:val="00220FC2"/>
    <w:rsid w:val="002222F4"/>
    <w:rsid w:val="00224FC0"/>
    <w:rsid w:val="00225EA4"/>
    <w:rsid w:val="00226EAF"/>
    <w:rsid w:val="00231F3A"/>
    <w:rsid w:val="002406EE"/>
    <w:rsid w:val="00243EC8"/>
    <w:rsid w:val="00270D93"/>
    <w:rsid w:val="002745CC"/>
    <w:rsid w:val="00281496"/>
    <w:rsid w:val="002B068D"/>
    <w:rsid w:val="002B6FBE"/>
    <w:rsid w:val="002B7924"/>
    <w:rsid w:val="002C10A6"/>
    <w:rsid w:val="002D28C3"/>
    <w:rsid w:val="002D39A4"/>
    <w:rsid w:val="002E6705"/>
    <w:rsid w:val="002F073D"/>
    <w:rsid w:val="0030329A"/>
    <w:rsid w:val="0031086F"/>
    <w:rsid w:val="0031414C"/>
    <w:rsid w:val="00314E01"/>
    <w:rsid w:val="0032089D"/>
    <w:rsid w:val="003310DE"/>
    <w:rsid w:val="003323B0"/>
    <w:rsid w:val="00340A49"/>
    <w:rsid w:val="00347D65"/>
    <w:rsid w:val="00350CF8"/>
    <w:rsid w:val="0035169A"/>
    <w:rsid w:val="0035259D"/>
    <w:rsid w:val="00364B18"/>
    <w:rsid w:val="00367D36"/>
    <w:rsid w:val="003A125D"/>
    <w:rsid w:val="003A4C70"/>
    <w:rsid w:val="003B215F"/>
    <w:rsid w:val="003C2DAB"/>
    <w:rsid w:val="003C799C"/>
    <w:rsid w:val="003D0399"/>
    <w:rsid w:val="003D7F3C"/>
    <w:rsid w:val="003E1C71"/>
    <w:rsid w:val="003F327B"/>
    <w:rsid w:val="00406166"/>
    <w:rsid w:val="0040704B"/>
    <w:rsid w:val="00410A55"/>
    <w:rsid w:val="00411300"/>
    <w:rsid w:val="00411D7E"/>
    <w:rsid w:val="00413F17"/>
    <w:rsid w:val="00415417"/>
    <w:rsid w:val="00426659"/>
    <w:rsid w:val="00435FAB"/>
    <w:rsid w:val="00450352"/>
    <w:rsid w:val="00454BDB"/>
    <w:rsid w:val="004553B3"/>
    <w:rsid w:val="00465132"/>
    <w:rsid w:val="00477C1C"/>
    <w:rsid w:val="00480C90"/>
    <w:rsid w:val="004818A6"/>
    <w:rsid w:val="0048396F"/>
    <w:rsid w:val="00485C78"/>
    <w:rsid w:val="00493C18"/>
    <w:rsid w:val="004A600C"/>
    <w:rsid w:val="004A6118"/>
    <w:rsid w:val="004C478D"/>
    <w:rsid w:val="004D7D95"/>
    <w:rsid w:val="004E2C26"/>
    <w:rsid w:val="005023C8"/>
    <w:rsid w:val="005125A8"/>
    <w:rsid w:val="00517549"/>
    <w:rsid w:val="00520ABC"/>
    <w:rsid w:val="00521AE8"/>
    <w:rsid w:val="00527180"/>
    <w:rsid w:val="00555291"/>
    <w:rsid w:val="00566AD1"/>
    <w:rsid w:val="00567D57"/>
    <w:rsid w:val="0058168E"/>
    <w:rsid w:val="00583EDE"/>
    <w:rsid w:val="005A34FC"/>
    <w:rsid w:val="005A3DBE"/>
    <w:rsid w:val="005A6079"/>
    <w:rsid w:val="005B2194"/>
    <w:rsid w:val="005B5153"/>
    <w:rsid w:val="005D40A0"/>
    <w:rsid w:val="005E4698"/>
    <w:rsid w:val="00603924"/>
    <w:rsid w:val="00610539"/>
    <w:rsid w:val="00613969"/>
    <w:rsid w:val="00615C10"/>
    <w:rsid w:val="00625C35"/>
    <w:rsid w:val="00647E49"/>
    <w:rsid w:val="00656313"/>
    <w:rsid w:val="006565F4"/>
    <w:rsid w:val="00684EEA"/>
    <w:rsid w:val="00686648"/>
    <w:rsid w:val="0069689B"/>
    <w:rsid w:val="006B5FF5"/>
    <w:rsid w:val="006F26CA"/>
    <w:rsid w:val="006F30AF"/>
    <w:rsid w:val="006F7AE0"/>
    <w:rsid w:val="00701759"/>
    <w:rsid w:val="00705C15"/>
    <w:rsid w:val="007110F6"/>
    <w:rsid w:val="007208D1"/>
    <w:rsid w:val="0072663C"/>
    <w:rsid w:val="00744518"/>
    <w:rsid w:val="00747288"/>
    <w:rsid w:val="00747DD3"/>
    <w:rsid w:val="007549C8"/>
    <w:rsid w:val="00766D14"/>
    <w:rsid w:val="00767A0F"/>
    <w:rsid w:val="00787899"/>
    <w:rsid w:val="00791272"/>
    <w:rsid w:val="0079337D"/>
    <w:rsid w:val="007A05F6"/>
    <w:rsid w:val="007B6F4A"/>
    <w:rsid w:val="007E1C47"/>
    <w:rsid w:val="007E337A"/>
    <w:rsid w:val="007E5C70"/>
    <w:rsid w:val="007F2FF5"/>
    <w:rsid w:val="007F3F08"/>
    <w:rsid w:val="00804CC6"/>
    <w:rsid w:val="008121E6"/>
    <w:rsid w:val="00817190"/>
    <w:rsid w:val="008260E2"/>
    <w:rsid w:val="008322BD"/>
    <w:rsid w:val="00834F73"/>
    <w:rsid w:val="00843D5F"/>
    <w:rsid w:val="00854B4F"/>
    <w:rsid w:val="00856C14"/>
    <w:rsid w:val="00864C8A"/>
    <w:rsid w:val="00864CF8"/>
    <w:rsid w:val="00874914"/>
    <w:rsid w:val="00891422"/>
    <w:rsid w:val="00892E1A"/>
    <w:rsid w:val="00893327"/>
    <w:rsid w:val="008A50FC"/>
    <w:rsid w:val="008B660A"/>
    <w:rsid w:val="008C01DA"/>
    <w:rsid w:val="008F2674"/>
    <w:rsid w:val="008F78E9"/>
    <w:rsid w:val="009179F9"/>
    <w:rsid w:val="00917C7A"/>
    <w:rsid w:val="009317AB"/>
    <w:rsid w:val="00933945"/>
    <w:rsid w:val="00933E5E"/>
    <w:rsid w:val="00935218"/>
    <w:rsid w:val="00937C52"/>
    <w:rsid w:val="009403F3"/>
    <w:rsid w:val="009555B7"/>
    <w:rsid w:val="009567AA"/>
    <w:rsid w:val="009602C9"/>
    <w:rsid w:val="00966F21"/>
    <w:rsid w:val="00967374"/>
    <w:rsid w:val="0096779A"/>
    <w:rsid w:val="009752CA"/>
    <w:rsid w:val="009A343A"/>
    <w:rsid w:val="009A5D85"/>
    <w:rsid w:val="009B2F23"/>
    <w:rsid w:val="009B57B3"/>
    <w:rsid w:val="009C2930"/>
    <w:rsid w:val="009D2920"/>
    <w:rsid w:val="009D2D7F"/>
    <w:rsid w:val="009D5AEB"/>
    <w:rsid w:val="009F0E33"/>
    <w:rsid w:val="00A149DF"/>
    <w:rsid w:val="00A1755C"/>
    <w:rsid w:val="00A21B90"/>
    <w:rsid w:val="00A22AAC"/>
    <w:rsid w:val="00A41805"/>
    <w:rsid w:val="00A51882"/>
    <w:rsid w:val="00A51C78"/>
    <w:rsid w:val="00A52AFB"/>
    <w:rsid w:val="00A548CB"/>
    <w:rsid w:val="00A5521C"/>
    <w:rsid w:val="00A562B4"/>
    <w:rsid w:val="00A643E7"/>
    <w:rsid w:val="00A73C38"/>
    <w:rsid w:val="00A8080F"/>
    <w:rsid w:val="00A921A7"/>
    <w:rsid w:val="00AA0A42"/>
    <w:rsid w:val="00AB4A02"/>
    <w:rsid w:val="00AB509C"/>
    <w:rsid w:val="00AB670D"/>
    <w:rsid w:val="00AD00D7"/>
    <w:rsid w:val="00AF03C5"/>
    <w:rsid w:val="00B000D8"/>
    <w:rsid w:val="00B00675"/>
    <w:rsid w:val="00B00F75"/>
    <w:rsid w:val="00B12705"/>
    <w:rsid w:val="00B145B6"/>
    <w:rsid w:val="00B21FF6"/>
    <w:rsid w:val="00B279EB"/>
    <w:rsid w:val="00B50C81"/>
    <w:rsid w:val="00B55047"/>
    <w:rsid w:val="00B557F8"/>
    <w:rsid w:val="00B815FC"/>
    <w:rsid w:val="00B93FBC"/>
    <w:rsid w:val="00BA09E0"/>
    <w:rsid w:val="00BA7DA0"/>
    <w:rsid w:val="00BB2EE4"/>
    <w:rsid w:val="00BB4C92"/>
    <w:rsid w:val="00BC2108"/>
    <w:rsid w:val="00BD0E9E"/>
    <w:rsid w:val="00BD1BEC"/>
    <w:rsid w:val="00BD32FF"/>
    <w:rsid w:val="00BF6FE9"/>
    <w:rsid w:val="00BF75A9"/>
    <w:rsid w:val="00C02092"/>
    <w:rsid w:val="00C0618D"/>
    <w:rsid w:val="00C16DA0"/>
    <w:rsid w:val="00C23893"/>
    <w:rsid w:val="00C24D91"/>
    <w:rsid w:val="00C26DB2"/>
    <w:rsid w:val="00C31369"/>
    <w:rsid w:val="00C46DA0"/>
    <w:rsid w:val="00C522BC"/>
    <w:rsid w:val="00C53F14"/>
    <w:rsid w:val="00C600CF"/>
    <w:rsid w:val="00C6084F"/>
    <w:rsid w:val="00C62A66"/>
    <w:rsid w:val="00C641D5"/>
    <w:rsid w:val="00C66359"/>
    <w:rsid w:val="00C71458"/>
    <w:rsid w:val="00C77613"/>
    <w:rsid w:val="00C80050"/>
    <w:rsid w:val="00C828E7"/>
    <w:rsid w:val="00C86719"/>
    <w:rsid w:val="00C921DD"/>
    <w:rsid w:val="00CA6391"/>
    <w:rsid w:val="00CC3B4D"/>
    <w:rsid w:val="00CD54E9"/>
    <w:rsid w:val="00CE036E"/>
    <w:rsid w:val="00CE3171"/>
    <w:rsid w:val="00CF1601"/>
    <w:rsid w:val="00D0172F"/>
    <w:rsid w:val="00D01E33"/>
    <w:rsid w:val="00D068A7"/>
    <w:rsid w:val="00D17476"/>
    <w:rsid w:val="00D17B0E"/>
    <w:rsid w:val="00D216C1"/>
    <w:rsid w:val="00D32086"/>
    <w:rsid w:val="00D37A3F"/>
    <w:rsid w:val="00D4431D"/>
    <w:rsid w:val="00D4667A"/>
    <w:rsid w:val="00D46ECC"/>
    <w:rsid w:val="00D5517F"/>
    <w:rsid w:val="00D5526A"/>
    <w:rsid w:val="00D63A1C"/>
    <w:rsid w:val="00D71C08"/>
    <w:rsid w:val="00D7516F"/>
    <w:rsid w:val="00D94EFD"/>
    <w:rsid w:val="00D95F8E"/>
    <w:rsid w:val="00DA0590"/>
    <w:rsid w:val="00DC1739"/>
    <w:rsid w:val="00DC1788"/>
    <w:rsid w:val="00DE319C"/>
    <w:rsid w:val="00DF0CA8"/>
    <w:rsid w:val="00DF2B48"/>
    <w:rsid w:val="00DF49A7"/>
    <w:rsid w:val="00E07EE2"/>
    <w:rsid w:val="00E07FD1"/>
    <w:rsid w:val="00E1561C"/>
    <w:rsid w:val="00E24573"/>
    <w:rsid w:val="00E25E1E"/>
    <w:rsid w:val="00E274F7"/>
    <w:rsid w:val="00E27EE7"/>
    <w:rsid w:val="00E35404"/>
    <w:rsid w:val="00E45109"/>
    <w:rsid w:val="00E47B7A"/>
    <w:rsid w:val="00E531C5"/>
    <w:rsid w:val="00E56A44"/>
    <w:rsid w:val="00E60269"/>
    <w:rsid w:val="00E814E6"/>
    <w:rsid w:val="00E91DEA"/>
    <w:rsid w:val="00E97830"/>
    <w:rsid w:val="00EA2C76"/>
    <w:rsid w:val="00EA7EB7"/>
    <w:rsid w:val="00ED46DE"/>
    <w:rsid w:val="00EE0830"/>
    <w:rsid w:val="00EE0DAA"/>
    <w:rsid w:val="00EE6CB8"/>
    <w:rsid w:val="00EF0683"/>
    <w:rsid w:val="00EF0C47"/>
    <w:rsid w:val="00F0070C"/>
    <w:rsid w:val="00F00EB7"/>
    <w:rsid w:val="00F024D7"/>
    <w:rsid w:val="00F05E66"/>
    <w:rsid w:val="00F36AB6"/>
    <w:rsid w:val="00F37A09"/>
    <w:rsid w:val="00F409CE"/>
    <w:rsid w:val="00F4379D"/>
    <w:rsid w:val="00F50D2D"/>
    <w:rsid w:val="00F56C8B"/>
    <w:rsid w:val="00F62639"/>
    <w:rsid w:val="00F63C12"/>
    <w:rsid w:val="00F66810"/>
    <w:rsid w:val="00F83A4A"/>
    <w:rsid w:val="00F84DF4"/>
    <w:rsid w:val="00F85C97"/>
    <w:rsid w:val="00F903B8"/>
    <w:rsid w:val="00FB37D2"/>
    <w:rsid w:val="00FC4EFB"/>
    <w:rsid w:val="00FD068D"/>
    <w:rsid w:val="00FD4F28"/>
    <w:rsid w:val="00FE0F3A"/>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6C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9D2D7F"/>
    <w:pPr>
      <w:keepNext/>
      <w:keepLines/>
      <w:spacing w:before="40"/>
      <w:outlineLvl w:val="3"/>
    </w:pPr>
    <w:rPr>
      <w:rFonts w:asciiTheme="majorHAnsi" w:eastAsiaTheme="majorEastAsia" w:hAnsiTheme="majorHAnsi" w:cstheme="majorBidi"/>
      <w:i/>
      <w:iCs/>
      <w:noProof/>
      <w:color w:val="365F91" w:themeColor="accent1" w:themeShade="BF"/>
      <w:szCs w:val="24"/>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sleftalign">
    <w:name w:val="ss_leftalign"/>
    <w:basedOn w:val="DefaultParagraphFont"/>
    <w:rsid w:val="005023C8"/>
  </w:style>
  <w:style w:type="character" w:styleId="CommentReference">
    <w:name w:val="annotation reference"/>
    <w:basedOn w:val="DefaultParagraphFont"/>
    <w:uiPriority w:val="99"/>
    <w:semiHidden/>
    <w:unhideWhenUsed/>
    <w:rsid w:val="00615C10"/>
    <w:rPr>
      <w:sz w:val="16"/>
      <w:szCs w:val="16"/>
    </w:rPr>
  </w:style>
  <w:style w:type="paragraph" w:styleId="CommentText">
    <w:name w:val="annotation text"/>
    <w:basedOn w:val="Normal"/>
    <w:link w:val="CommentTextChar"/>
    <w:uiPriority w:val="99"/>
    <w:unhideWhenUsed/>
    <w:rsid w:val="00615C10"/>
    <w:rPr>
      <w:sz w:val="20"/>
    </w:rPr>
  </w:style>
  <w:style w:type="character" w:customStyle="1" w:styleId="CommentTextChar">
    <w:name w:val="Comment Text Char"/>
    <w:basedOn w:val="DefaultParagraphFont"/>
    <w:link w:val="CommentText"/>
    <w:uiPriority w:val="99"/>
    <w:rsid w:val="00615C10"/>
  </w:style>
  <w:style w:type="character" w:styleId="Hyperlink">
    <w:name w:val="Hyperlink"/>
    <w:basedOn w:val="DefaultParagraphFont"/>
    <w:uiPriority w:val="99"/>
    <w:unhideWhenUsed/>
    <w:rsid w:val="00686648"/>
    <w:rPr>
      <w:color w:val="0000FF" w:themeColor="hyperlink"/>
      <w:u w:val="single"/>
    </w:rPr>
  </w:style>
  <w:style w:type="character" w:customStyle="1" w:styleId="normaltextrun">
    <w:name w:val="normaltextrun"/>
    <w:basedOn w:val="DefaultParagraphFont"/>
    <w:rsid w:val="00E531C5"/>
  </w:style>
  <w:style w:type="paragraph" w:customStyle="1" w:styleId="ParaNoNdepar-AltN">
    <w:name w:val="Para. No. / Nº de par. - Alt N"/>
    <w:link w:val="ParaNoNdepar-AltNChar"/>
    <w:qFormat/>
    <w:rsid w:val="00E531C5"/>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E531C5"/>
    <w:rPr>
      <w:rFonts w:eastAsiaTheme="minorEastAsia" w:cstheme="minorBidi"/>
      <w:sz w:val="24"/>
      <w:szCs w:val="22"/>
      <w:lang w:eastAsia="en-US"/>
    </w:rPr>
  </w:style>
  <w:style w:type="paragraph" w:customStyle="1" w:styleId="SCCCoram">
    <w:name w:val="SCC.Coram"/>
    <w:basedOn w:val="Normal"/>
    <w:next w:val="Normal"/>
    <w:link w:val="SCCCoramChar"/>
    <w:rsid w:val="00E531C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531C5"/>
    <w:rPr>
      <w:rFonts w:eastAsiaTheme="minorHAnsi" w:cstheme="minorBidi"/>
      <w:sz w:val="24"/>
      <w:szCs w:val="22"/>
      <w:lang w:eastAsia="en-US"/>
    </w:rPr>
  </w:style>
  <w:style w:type="character" w:customStyle="1" w:styleId="Heading4Char">
    <w:name w:val="Heading 4 Char"/>
    <w:basedOn w:val="DefaultParagraphFont"/>
    <w:link w:val="Heading4"/>
    <w:uiPriority w:val="9"/>
    <w:semiHidden/>
    <w:rsid w:val="009D2D7F"/>
    <w:rPr>
      <w:rFonts w:asciiTheme="majorHAnsi" w:eastAsiaTheme="majorEastAsia" w:hAnsiTheme="majorHAnsi" w:cstheme="majorBidi"/>
      <w:i/>
      <w:iCs/>
      <w:noProof/>
      <w:color w:val="365F91" w:themeColor="accent1" w:themeShade="BF"/>
      <w:sz w:val="24"/>
      <w:szCs w:val="24"/>
      <w:lang w:val="fr-CA"/>
    </w:rPr>
  </w:style>
  <w:style w:type="paragraph" w:customStyle="1" w:styleId="SCCLsocOtherPartyRoleSeparator">
    <w:name w:val="SCC.Lsoc.OtherPartyRoleSeparator"/>
    <w:basedOn w:val="Normal"/>
    <w:next w:val="Normal"/>
    <w:link w:val="SCCLsocOtherPartyRoleSeparatorChar"/>
    <w:rsid w:val="009D2D7F"/>
    <w:pPr>
      <w:spacing w:after="480"/>
    </w:pPr>
    <w:rPr>
      <w:rFonts w:eastAsiaTheme="minorHAnsi" w:cstheme="minorBidi"/>
      <w:noProof/>
      <w:szCs w:val="22"/>
      <w:lang w:val="fr-CA" w:eastAsia="en-US"/>
    </w:rPr>
  </w:style>
  <w:style w:type="character" w:customStyle="1" w:styleId="SCCLsocOtherPartyRoleSeparatorChar">
    <w:name w:val="SCC.Lsoc.OtherPartyRoleSeparator Char"/>
    <w:basedOn w:val="DefaultParagraphFont"/>
    <w:link w:val="SCCLsocOtherPartyRoleSeparator"/>
    <w:rsid w:val="009D2D7F"/>
    <w:rPr>
      <w:rFonts w:eastAsiaTheme="minorHAnsi" w:cstheme="minorBidi"/>
      <w:noProof/>
      <w:sz w:val="24"/>
      <w:szCs w:val="22"/>
      <w:lang w:val="fr-CA" w:eastAsia="en-US"/>
    </w:rPr>
  </w:style>
  <w:style w:type="character" w:customStyle="1" w:styleId="SCCBanSummaryChar">
    <w:name w:val="SCC.BanSummary Char"/>
    <w:basedOn w:val="DefaultParagraphFont"/>
    <w:link w:val="SCCBanSummary"/>
    <w:rsid w:val="009D2D7F"/>
    <w:rPr>
      <w:b/>
      <w:sz w:val="24"/>
    </w:rPr>
  </w:style>
  <w:style w:type="table" w:styleId="TableGrid">
    <w:name w:val="Table Grid"/>
    <w:basedOn w:val="TableNormal"/>
    <w:uiPriority w:val="59"/>
    <w:rsid w:val="009D2D7F"/>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D2D7F"/>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9D2D7F"/>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9D2D7F"/>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D2D7F"/>
    <w:pPr>
      <w:numPr>
        <w:numId w:val="1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D2D7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D2D7F"/>
    <w:pPr>
      <w:numPr>
        <w:ilvl w:val="2"/>
      </w:numPr>
      <w:outlineLvl w:val="2"/>
    </w:pPr>
  </w:style>
  <w:style w:type="paragraph" w:customStyle="1" w:styleId="Title4LevelTitre4Niveau">
    <w:name w:val="Title 4 Level / Titre 4 Niveau"/>
    <w:basedOn w:val="Title3LevelTitre3Niveau"/>
    <w:next w:val="ParaNoNdepar-AltN"/>
    <w:uiPriority w:val="4"/>
    <w:qFormat/>
    <w:rsid w:val="009D2D7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D2D7F"/>
    <w:pPr>
      <w:numPr>
        <w:ilvl w:val="4"/>
      </w:numPr>
      <w:outlineLvl w:val="4"/>
    </w:pPr>
  </w:style>
  <w:style w:type="paragraph" w:styleId="TOC1">
    <w:name w:val="toc 1"/>
    <w:basedOn w:val="Normal"/>
    <w:next w:val="Normal"/>
    <w:autoRedefine/>
    <w:uiPriority w:val="39"/>
    <w:unhideWhenUsed/>
    <w:rsid w:val="009D2D7F"/>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9D2D7F"/>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9D2D7F"/>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9D2D7F"/>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9D2D7F"/>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9D2D7F"/>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9D2D7F"/>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D2D7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D2D7F"/>
    <w:pPr>
      <w:numPr>
        <w:ilvl w:val="5"/>
      </w:numPr>
      <w:outlineLvl w:val="5"/>
    </w:pPr>
    <w:rPr>
      <w:i/>
      <w:u w:val="none"/>
    </w:rPr>
  </w:style>
  <w:style w:type="paragraph" w:styleId="FootnoteText">
    <w:name w:val="footnote text"/>
    <w:basedOn w:val="Normal"/>
    <w:link w:val="FootnoteTextChar"/>
    <w:uiPriority w:val="99"/>
    <w:unhideWhenUsed/>
    <w:rsid w:val="009D2D7F"/>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9D2D7F"/>
    <w:rPr>
      <w:noProof/>
      <w:lang w:val="fr-CA"/>
    </w:rPr>
  </w:style>
  <w:style w:type="character" w:styleId="FootnoteReference">
    <w:name w:val="footnote reference"/>
    <w:basedOn w:val="DefaultParagraphFont"/>
    <w:uiPriority w:val="99"/>
    <w:semiHidden/>
    <w:unhideWhenUsed/>
    <w:rsid w:val="009D2D7F"/>
    <w:rPr>
      <w:vertAlign w:val="superscript"/>
    </w:rPr>
  </w:style>
  <w:style w:type="paragraph" w:styleId="CommentSubject">
    <w:name w:val="annotation subject"/>
    <w:basedOn w:val="CommentText"/>
    <w:next w:val="CommentText"/>
    <w:link w:val="CommentSubjectChar"/>
    <w:uiPriority w:val="99"/>
    <w:semiHidden/>
    <w:unhideWhenUsed/>
    <w:rsid w:val="009D2D7F"/>
    <w:rPr>
      <w:b/>
      <w:bCs/>
      <w:noProof/>
      <w:lang w:val="fr-CA"/>
    </w:rPr>
  </w:style>
  <w:style w:type="character" w:customStyle="1" w:styleId="CommentSubjectChar">
    <w:name w:val="Comment Subject Char"/>
    <w:basedOn w:val="CommentTextChar"/>
    <w:link w:val="CommentSubject"/>
    <w:uiPriority w:val="99"/>
    <w:semiHidden/>
    <w:rsid w:val="009D2D7F"/>
    <w:rPr>
      <w:b/>
      <w:bCs/>
      <w:noProof/>
      <w:lang w:val="fr-CA"/>
    </w:rPr>
  </w:style>
  <w:style w:type="character" w:styleId="SubtleEmphasis">
    <w:name w:val="Subtle Emphasis"/>
    <w:basedOn w:val="DefaultParagraphFont"/>
    <w:uiPriority w:val="19"/>
    <w:rsid w:val="009D2D7F"/>
    <w:rPr>
      <w:i/>
      <w:iCs/>
      <w:color w:val="808080" w:themeColor="text1" w:themeTint="7F"/>
    </w:rPr>
  </w:style>
  <w:style w:type="paragraph" w:customStyle="1" w:styleId="aparanumbering">
    <w:name w:val="aparanumbering"/>
    <w:basedOn w:val="Normal"/>
    <w:rsid w:val="009D2D7F"/>
    <w:pPr>
      <w:spacing w:before="100" w:beforeAutospacing="1" w:after="100" w:afterAutospacing="1"/>
    </w:pPr>
    <w:rPr>
      <w:noProof/>
      <w:szCs w:val="24"/>
      <w:lang w:val="en-US" w:eastAsia="en-US"/>
    </w:rPr>
  </w:style>
  <w:style w:type="paragraph" w:styleId="Revision">
    <w:name w:val="Revision"/>
    <w:hidden/>
    <w:uiPriority w:val="99"/>
    <w:semiHidden/>
    <w:rsid w:val="009D2D7F"/>
    <w:rPr>
      <w:sz w:val="24"/>
      <w:szCs w:val="24"/>
    </w:rPr>
  </w:style>
  <w:style w:type="paragraph" w:customStyle="1" w:styleId="paragraph">
    <w:name w:val="paragraph"/>
    <w:basedOn w:val="Normal"/>
    <w:rsid w:val="009D2D7F"/>
    <w:pPr>
      <w:spacing w:before="100" w:beforeAutospacing="1" w:after="100" w:afterAutospacing="1"/>
    </w:pPr>
    <w:rPr>
      <w:rFonts w:eastAsiaTheme="minorHAnsi"/>
      <w:noProof/>
      <w:szCs w:val="24"/>
      <w:lang w:val="en-US" w:eastAsia="en-US"/>
    </w:rPr>
  </w:style>
  <w:style w:type="character" w:customStyle="1" w:styleId="eop">
    <w:name w:val="eop"/>
    <w:basedOn w:val="DefaultParagraphFont"/>
    <w:rsid w:val="009D2D7F"/>
  </w:style>
  <w:style w:type="paragraph" w:styleId="NormalWeb">
    <w:name w:val="Normal (Web)"/>
    <w:basedOn w:val="Normal"/>
    <w:uiPriority w:val="99"/>
    <w:semiHidden/>
    <w:unhideWhenUsed/>
    <w:rsid w:val="009D2D7F"/>
    <w:rPr>
      <w:noProof/>
      <w:szCs w:val="24"/>
      <w:lang w:val="fr-CA"/>
    </w:rPr>
  </w:style>
  <w:style w:type="character" w:customStyle="1" w:styleId="solexhl">
    <w:name w:val="solexhl"/>
    <w:basedOn w:val="DefaultParagraphFont"/>
    <w:rsid w:val="009D2D7F"/>
  </w:style>
  <w:style w:type="character" w:customStyle="1" w:styleId="reflex">
    <w:name w:val="reflex"/>
    <w:basedOn w:val="DefaultParagraphFont"/>
    <w:rsid w:val="009D2D7F"/>
  </w:style>
  <w:style w:type="paragraph" w:styleId="ListParagraph">
    <w:name w:val="List Paragraph"/>
    <w:basedOn w:val="Normal"/>
    <w:uiPriority w:val="34"/>
    <w:rsid w:val="009D2D7F"/>
    <w:pPr>
      <w:ind w:left="720"/>
      <w:contextualSpacing/>
    </w:pPr>
    <w:rPr>
      <w:noProof/>
      <w:szCs w:val="24"/>
      <w:lang w:val="fr-CA"/>
    </w:rPr>
  </w:style>
  <w:style w:type="character" w:customStyle="1" w:styleId="reflex2-link">
    <w:name w:val="reflex2-link"/>
    <w:basedOn w:val="DefaultParagraphFont"/>
    <w:rsid w:val="009D2D7F"/>
  </w:style>
  <w:style w:type="character" w:styleId="Emphasis">
    <w:name w:val="Emphasis"/>
    <w:basedOn w:val="DefaultParagraphFont"/>
    <w:uiPriority w:val="20"/>
    <w:qFormat/>
    <w:rsid w:val="009D2D7F"/>
    <w:rPr>
      <w:i/>
      <w:iCs/>
    </w:rPr>
  </w:style>
  <w:style w:type="table" w:customStyle="1" w:styleId="TableGrid2">
    <w:name w:val="Table Grid2"/>
    <w:basedOn w:val="TableNormal"/>
    <w:next w:val="TableGrid"/>
    <w:uiPriority w:val="59"/>
    <w:rsid w:val="009D2D7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13394</Words>
  <Characters>69843</Characters>
  <Application>Microsoft Office Word</Application>
  <DocSecurity>0</DocSecurity>
  <Lines>582</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2021-11-04T01:24:00Z</dcterms:created>
  <dcterms:modified xsi:type="dcterms:W3CDTF">2021-11-04T01:29:00Z</dcterms:modified>
</cp:coreProperties>
</file>