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52"/>
        <w:gridCol w:w="1628"/>
        <w:gridCol w:w="4186"/>
        <w:gridCol w:w="20"/>
      </w:tblGrid>
      <w:tr w:rsidR="002909F6" w:rsidRPr="002C52EA" w:rsidTr="00796207">
        <w:trPr>
          <w:trHeight w:val="1786"/>
        </w:trPr>
        <w:tc>
          <w:tcPr>
            <w:tcW w:w="5000" w:type="pct"/>
            <w:gridSpan w:val="4"/>
          </w:tcPr>
          <w:p w:rsidR="002909F6" w:rsidRPr="002C52EA" w:rsidRDefault="00820223" w:rsidP="00E92347">
            <w:pPr>
              <w:jc w:val="center"/>
            </w:pPr>
            <w:r w:rsidRPr="002C52EA">
              <w:rPr>
                <w:noProof/>
                <w:lang w:val="en-US" w:eastAsia="en-US"/>
              </w:rPr>
              <w:drawing>
                <wp:inline distT="0" distB="0" distL="0" distR="0" wp14:anchorId="7BB4B827" wp14:editId="5F099E2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2909F6" w:rsidRPr="002C52EA" w:rsidRDefault="002909F6" w:rsidP="00D22128">
            <w:pPr>
              <w:spacing w:before="120" w:after="100" w:afterAutospacing="1"/>
              <w:jc w:val="center"/>
              <w:rPr>
                <w:rFonts w:eastAsia="Calibri"/>
              </w:rPr>
            </w:pPr>
            <w:r w:rsidRPr="002C52EA">
              <w:rPr>
                <w:rFonts w:eastAsia="Calibri"/>
                <w:b/>
                <w:szCs w:val="24"/>
                <w:lang w:eastAsia="en-US"/>
              </w:rPr>
              <w:t>COUR SUPRÊME DU CANADA</w:t>
            </w:r>
          </w:p>
        </w:tc>
      </w:tr>
      <w:tr w:rsidR="002909F6" w:rsidRPr="002C52EA" w:rsidTr="002C52EA">
        <w:trPr>
          <w:gridAfter w:val="1"/>
          <w:wAfter w:w="10" w:type="pct"/>
        </w:trPr>
        <w:tc>
          <w:tcPr>
            <w:tcW w:w="2108" w:type="pct"/>
            <w:tcMar>
              <w:top w:w="284" w:type="dxa"/>
            </w:tcMar>
          </w:tcPr>
          <w:p w:rsidR="002909F6" w:rsidRPr="002C52EA" w:rsidRDefault="002909F6" w:rsidP="009956D6">
            <w:pPr>
              <w:spacing w:before="100" w:beforeAutospacing="1"/>
              <w:rPr>
                <w:rFonts w:eastAsia="Calibri"/>
                <w:lang w:val="fr-CA"/>
              </w:rPr>
            </w:pPr>
            <w:r w:rsidRPr="002C52EA">
              <w:rPr>
                <w:b/>
                <w:smallCaps/>
                <w:lang w:val="fr-CA"/>
              </w:rPr>
              <w:t>Référence :</w:t>
            </w:r>
            <w:r w:rsidRPr="002C52EA">
              <w:rPr>
                <w:lang w:val="fr-CA"/>
              </w:rPr>
              <w:t xml:space="preserve"> </w:t>
            </w:r>
            <w:r w:rsidR="009956D6" w:rsidRPr="002C52EA">
              <w:rPr>
                <w:lang w:val="fr-CA"/>
              </w:rPr>
              <w:t>Kreke</w:t>
            </w:r>
            <w:r w:rsidR="00575FF2" w:rsidRPr="002C52EA">
              <w:rPr>
                <w:lang w:val="fr-CA"/>
              </w:rPr>
              <w:t xml:space="preserve"> </w:t>
            </w:r>
            <w:r w:rsidR="00575FF2" w:rsidRPr="002C52EA">
              <w:rPr>
                <w:i/>
                <w:lang w:val="fr-CA"/>
              </w:rPr>
              <w:t>c.</w:t>
            </w:r>
            <w:r w:rsidR="009956D6" w:rsidRPr="002C52EA">
              <w:rPr>
                <w:lang w:val="fr-CA"/>
              </w:rPr>
              <w:t xml:space="preserve"> Alansari</w:t>
            </w:r>
            <w:r w:rsidR="00B0409C" w:rsidRPr="002C52EA">
              <w:rPr>
                <w:lang w:val="fr-CA"/>
              </w:rPr>
              <w:t xml:space="preserve">, 2021 CSC </w:t>
            </w:r>
            <w:r w:rsidR="009956D6" w:rsidRPr="002C52EA">
              <w:rPr>
                <w:lang w:val="fr-CA"/>
              </w:rPr>
              <w:t>50</w:t>
            </w:r>
          </w:p>
        </w:tc>
        <w:tc>
          <w:tcPr>
            <w:tcW w:w="807" w:type="pct"/>
          </w:tcPr>
          <w:p w:rsidR="002909F6" w:rsidRPr="002C52EA" w:rsidRDefault="002909F6" w:rsidP="00CB5B04">
            <w:pPr>
              <w:rPr>
                <w:b/>
                <w:smallCaps/>
                <w:lang w:val="fr-CA"/>
              </w:rPr>
            </w:pPr>
          </w:p>
        </w:tc>
        <w:tc>
          <w:tcPr>
            <w:tcW w:w="2075" w:type="pct"/>
            <w:tcMar>
              <w:top w:w="284" w:type="dxa"/>
            </w:tcMar>
          </w:tcPr>
          <w:p w:rsidR="002909F6" w:rsidRPr="002C52EA" w:rsidRDefault="002909F6" w:rsidP="00CB5B04">
            <w:pPr>
              <w:rPr>
                <w:lang w:val="fr-CA"/>
              </w:rPr>
            </w:pPr>
            <w:r w:rsidRPr="002C52EA">
              <w:rPr>
                <w:b/>
                <w:smallCaps/>
                <w:lang w:val="fr-CA"/>
              </w:rPr>
              <w:t>Appel entendu :</w:t>
            </w:r>
            <w:r w:rsidRPr="002C52EA">
              <w:rPr>
                <w:lang w:val="fr-CA"/>
              </w:rPr>
              <w:t xml:space="preserve"> </w:t>
            </w:r>
            <w:r w:rsidR="00C46168" w:rsidRPr="002C52EA">
              <w:rPr>
                <w:lang w:val="fr-CA"/>
              </w:rPr>
              <w:t>1</w:t>
            </w:r>
            <w:r w:rsidR="00C46168" w:rsidRPr="002C52EA">
              <w:rPr>
                <w:vertAlign w:val="superscript"/>
                <w:lang w:val="fr-CA"/>
              </w:rPr>
              <w:t>er</w:t>
            </w:r>
            <w:r w:rsidR="001A220E" w:rsidRPr="002C52EA">
              <w:rPr>
                <w:vertAlign w:val="superscript"/>
                <w:lang w:val="fr-CA"/>
              </w:rPr>
              <w:t xml:space="preserve"> </w:t>
            </w:r>
            <w:r w:rsidR="001A220E" w:rsidRPr="002C52EA">
              <w:rPr>
                <w:lang w:val="fr-CA"/>
              </w:rPr>
              <w:t>et</w:t>
            </w:r>
            <w:r w:rsidR="00C46168" w:rsidRPr="002C52EA">
              <w:rPr>
                <w:lang w:val="fr-CA"/>
              </w:rPr>
              <w:t xml:space="preserve"> 2</w:t>
            </w:r>
            <w:r w:rsidR="00B0409C" w:rsidRPr="002C52EA">
              <w:rPr>
                <w:lang w:val="fr-CA"/>
              </w:rPr>
              <w:t xml:space="preserve"> décembre</w:t>
            </w:r>
            <w:r w:rsidR="00575FF2" w:rsidRPr="002C52EA">
              <w:rPr>
                <w:lang w:val="fr-CA"/>
              </w:rPr>
              <w:t xml:space="preserve"> 2021</w:t>
            </w:r>
          </w:p>
          <w:p w:rsidR="002909F6" w:rsidRPr="002C52EA" w:rsidRDefault="002909F6" w:rsidP="00CB5B04">
            <w:pPr>
              <w:rPr>
                <w:b/>
                <w:smallCaps/>
                <w:lang w:val="fr-CA"/>
              </w:rPr>
            </w:pPr>
            <w:r w:rsidRPr="002C52EA">
              <w:rPr>
                <w:b/>
                <w:smallCaps/>
                <w:lang w:val="fr-CA"/>
              </w:rPr>
              <w:t xml:space="preserve">Jugement rendu : </w:t>
            </w:r>
            <w:r w:rsidR="009956D6" w:rsidRPr="002C52EA">
              <w:rPr>
                <w:lang w:val="fr-CA"/>
              </w:rPr>
              <w:t>2</w:t>
            </w:r>
            <w:r w:rsidR="00B0409C" w:rsidRPr="002C52EA">
              <w:rPr>
                <w:lang w:val="fr-CA"/>
              </w:rPr>
              <w:t xml:space="preserve"> décembre </w:t>
            </w:r>
            <w:r w:rsidR="00575FF2" w:rsidRPr="002C52EA">
              <w:rPr>
                <w:lang w:val="fr-CA"/>
              </w:rPr>
              <w:t>2021</w:t>
            </w:r>
          </w:p>
          <w:p w:rsidR="002909F6" w:rsidRPr="002C52EA" w:rsidRDefault="002909F6" w:rsidP="00C31D39">
            <w:pPr>
              <w:rPr>
                <w:rFonts w:eastAsia="Calibri"/>
                <w:lang w:val="fr-CA"/>
              </w:rPr>
            </w:pPr>
            <w:r w:rsidRPr="002C52EA">
              <w:rPr>
                <w:b/>
                <w:smallCaps/>
                <w:lang w:val="fr-CA"/>
              </w:rPr>
              <w:t>Dossier :</w:t>
            </w:r>
            <w:r w:rsidRPr="002C52EA">
              <w:rPr>
                <w:lang w:val="fr-CA"/>
              </w:rPr>
              <w:t xml:space="preserve"> </w:t>
            </w:r>
            <w:r w:rsidR="009956D6" w:rsidRPr="002C52EA">
              <w:rPr>
                <w:lang w:val="fr-CA"/>
              </w:rPr>
              <w:t>39567</w:t>
            </w:r>
          </w:p>
        </w:tc>
      </w:tr>
      <w:tr w:rsidR="002909F6" w:rsidRPr="002C52EA" w:rsidTr="00B1431F">
        <w:tc>
          <w:tcPr>
            <w:tcW w:w="5000" w:type="pct"/>
            <w:gridSpan w:val="4"/>
          </w:tcPr>
          <w:p w:rsidR="00506A78" w:rsidRPr="002C52EA" w:rsidRDefault="00506A78" w:rsidP="00883F8A">
            <w:pPr>
              <w:rPr>
                <w:rFonts w:eastAsiaTheme="minorHAnsi" w:cstheme="minorBidi"/>
                <w:b/>
                <w:smallCaps/>
                <w:szCs w:val="24"/>
                <w:lang w:val="fr-CA" w:eastAsia="en-US"/>
              </w:rPr>
            </w:pPr>
          </w:p>
          <w:p w:rsidR="00883F8A" w:rsidRPr="002C52EA" w:rsidRDefault="00B0409C" w:rsidP="00883F8A">
            <w:pPr>
              <w:rPr>
                <w:rFonts w:eastAsiaTheme="minorHAnsi" w:cstheme="minorBidi"/>
                <w:b/>
                <w:smallCaps/>
                <w:szCs w:val="24"/>
                <w:lang w:val="fr-CA" w:eastAsia="en-US"/>
              </w:rPr>
            </w:pPr>
            <w:r w:rsidRPr="002C52EA">
              <w:rPr>
                <w:rFonts w:eastAsiaTheme="minorHAnsi" w:cstheme="minorBidi"/>
                <w:b/>
                <w:smallCaps/>
                <w:szCs w:val="24"/>
                <w:lang w:val="fr-CA" w:eastAsia="en-US"/>
              </w:rPr>
              <w:t>Entre </w:t>
            </w:r>
            <w:r w:rsidR="00883F8A" w:rsidRPr="002C52EA">
              <w:rPr>
                <w:rFonts w:eastAsiaTheme="minorHAnsi" w:cstheme="minorBidi"/>
                <w:b/>
                <w:smallCaps/>
                <w:szCs w:val="24"/>
                <w:lang w:val="fr-CA" w:eastAsia="en-US"/>
              </w:rPr>
              <w:t>:</w:t>
            </w:r>
          </w:p>
          <w:p w:rsidR="00005C4C" w:rsidRPr="002C52EA" w:rsidRDefault="00005C4C" w:rsidP="00883F8A">
            <w:pPr>
              <w:jc w:val="center"/>
              <w:rPr>
                <w:rFonts w:eastAsiaTheme="minorHAnsi" w:cstheme="minorBidi"/>
                <w:b/>
                <w:szCs w:val="24"/>
                <w:lang w:val="fr-CA" w:eastAsia="en-US"/>
              </w:rPr>
            </w:pPr>
          </w:p>
          <w:p w:rsidR="00B0409C" w:rsidRPr="002C52EA" w:rsidRDefault="009956D6" w:rsidP="00883F8A">
            <w:pPr>
              <w:jc w:val="center"/>
              <w:rPr>
                <w:rFonts w:eastAsiaTheme="minorHAnsi" w:cstheme="minorBidi"/>
                <w:b/>
                <w:szCs w:val="24"/>
                <w:lang w:val="fr-CA" w:eastAsia="en-US"/>
              </w:rPr>
            </w:pPr>
            <w:r w:rsidRPr="002C52EA">
              <w:rPr>
                <w:rFonts w:eastAsiaTheme="minorHAnsi" w:cstheme="minorBidi"/>
                <w:b/>
                <w:szCs w:val="24"/>
                <w:lang w:val="fr-CA" w:eastAsia="en-US"/>
              </w:rPr>
              <w:t>Tiffany Jo Kreke</w:t>
            </w:r>
          </w:p>
          <w:p w:rsidR="00883F8A" w:rsidRPr="002C52EA" w:rsidRDefault="00883F8A" w:rsidP="00883F8A">
            <w:pPr>
              <w:jc w:val="center"/>
              <w:rPr>
                <w:rFonts w:eastAsiaTheme="minorHAnsi" w:cstheme="minorBidi"/>
                <w:szCs w:val="24"/>
                <w:lang w:val="fr-CA" w:eastAsia="en-US"/>
              </w:rPr>
            </w:pPr>
            <w:r w:rsidRPr="002C52EA">
              <w:rPr>
                <w:rFonts w:eastAsiaTheme="minorHAnsi" w:cstheme="minorBidi"/>
                <w:szCs w:val="24"/>
                <w:lang w:val="fr-CA" w:eastAsia="en-US"/>
              </w:rPr>
              <w:t>Appelant</w:t>
            </w:r>
            <w:r w:rsidR="00B0409C" w:rsidRPr="002C52EA">
              <w:rPr>
                <w:rFonts w:eastAsiaTheme="minorHAnsi" w:cstheme="minorBidi"/>
                <w:szCs w:val="24"/>
                <w:lang w:val="fr-CA" w:eastAsia="en-US"/>
              </w:rPr>
              <w:t>e</w:t>
            </w:r>
          </w:p>
          <w:p w:rsidR="00883F8A" w:rsidRPr="002C52EA" w:rsidRDefault="00883F8A" w:rsidP="00883F8A">
            <w:pPr>
              <w:jc w:val="center"/>
              <w:rPr>
                <w:rFonts w:eastAsiaTheme="minorHAnsi" w:cstheme="minorBidi"/>
                <w:szCs w:val="24"/>
                <w:lang w:val="fr-CA" w:eastAsia="en-US"/>
              </w:rPr>
            </w:pPr>
          </w:p>
          <w:p w:rsidR="00883F8A" w:rsidRPr="002C52EA" w:rsidRDefault="00883F8A" w:rsidP="00883F8A">
            <w:pPr>
              <w:jc w:val="center"/>
              <w:rPr>
                <w:rFonts w:eastAsiaTheme="minorHAnsi" w:cstheme="minorBidi"/>
                <w:szCs w:val="24"/>
                <w:lang w:val="fr-CA" w:eastAsia="en-US"/>
              </w:rPr>
            </w:pPr>
            <w:r w:rsidRPr="002C52EA">
              <w:rPr>
                <w:rFonts w:eastAsiaTheme="minorHAnsi" w:cstheme="minorBidi"/>
                <w:szCs w:val="24"/>
                <w:lang w:val="fr-CA" w:eastAsia="en-US"/>
              </w:rPr>
              <w:t>et</w:t>
            </w:r>
          </w:p>
          <w:p w:rsidR="00883F8A" w:rsidRPr="002C52EA" w:rsidRDefault="00883F8A" w:rsidP="00883F8A">
            <w:pPr>
              <w:jc w:val="center"/>
              <w:rPr>
                <w:rFonts w:eastAsiaTheme="minorHAnsi" w:cstheme="minorBidi"/>
                <w:szCs w:val="24"/>
                <w:lang w:val="fr-CA" w:eastAsia="en-US"/>
              </w:rPr>
            </w:pPr>
          </w:p>
          <w:p w:rsidR="00883F8A" w:rsidRPr="002C52EA" w:rsidRDefault="009956D6" w:rsidP="00883F8A">
            <w:pPr>
              <w:jc w:val="center"/>
              <w:rPr>
                <w:rFonts w:eastAsiaTheme="minorHAnsi" w:cstheme="minorBidi"/>
                <w:b/>
                <w:szCs w:val="24"/>
                <w:lang w:val="fr-CA" w:eastAsia="en-US"/>
              </w:rPr>
            </w:pPr>
            <w:r w:rsidRPr="002C52EA">
              <w:rPr>
                <w:rStyle w:val="Strong"/>
                <w:rFonts w:ascii="Helvetica Neue" w:eastAsiaTheme="majorEastAsia" w:hAnsi="Helvetica Neue"/>
                <w:color w:val="333333"/>
                <w:shd w:val="clear" w:color="auto" w:fill="FFFFFF"/>
                <w:lang w:val="fr-CA"/>
              </w:rPr>
              <w:t>Amro Abdullah M</w:t>
            </w:r>
            <w:r w:rsidR="00536615" w:rsidRPr="002C52EA">
              <w:rPr>
                <w:rStyle w:val="Strong"/>
                <w:rFonts w:ascii="Helvetica Neue" w:eastAsiaTheme="majorEastAsia" w:hAnsi="Helvetica Neue"/>
                <w:color w:val="333333"/>
                <w:shd w:val="clear" w:color="auto" w:fill="FFFFFF"/>
                <w:lang w:val="fr-CA"/>
              </w:rPr>
              <w:t>.</w:t>
            </w:r>
            <w:r w:rsidRPr="002C52EA">
              <w:rPr>
                <w:rStyle w:val="Strong"/>
                <w:rFonts w:ascii="Helvetica Neue" w:eastAsiaTheme="majorEastAsia" w:hAnsi="Helvetica Neue"/>
                <w:color w:val="333333"/>
                <w:shd w:val="clear" w:color="auto" w:fill="FFFFFF"/>
                <w:lang w:val="fr-CA"/>
              </w:rPr>
              <w:t xml:space="preserve"> Alansari</w:t>
            </w:r>
          </w:p>
          <w:p w:rsidR="002909F6" w:rsidRPr="002C52EA" w:rsidRDefault="00022F2E" w:rsidP="006F7FA0">
            <w:pPr>
              <w:jc w:val="center"/>
              <w:rPr>
                <w:rFonts w:eastAsiaTheme="minorHAnsi" w:cstheme="minorBidi"/>
                <w:szCs w:val="24"/>
                <w:lang w:val="fr-CA" w:eastAsia="en-US"/>
              </w:rPr>
            </w:pPr>
            <w:r w:rsidRPr="002C52EA">
              <w:rPr>
                <w:rFonts w:eastAsiaTheme="minorHAnsi" w:cstheme="minorBidi"/>
                <w:szCs w:val="24"/>
                <w:lang w:val="fr-CA" w:eastAsia="en-US"/>
              </w:rPr>
              <w:t>Intimé</w:t>
            </w:r>
          </w:p>
          <w:p w:rsidR="006F7FA0" w:rsidRPr="002C52EA" w:rsidRDefault="006F7FA0" w:rsidP="00425158">
            <w:pPr>
              <w:rPr>
                <w:rFonts w:eastAsiaTheme="minorHAnsi" w:cstheme="minorBidi"/>
                <w:szCs w:val="24"/>
                <w:lang w:val="fr-CA" w:eastAsia="en-US"/>
              </w:rPr>
            </w:pPr>
          </w:p>
          <w:p w:rsidR="00E1000C" w:rsidRPr="002C52EA" w:rsidRDefault="00E1000C" w:rsidP="006F7FA0">
            <w:pPr>
              <w:jc w:val="center"/>
              <w:rPr>
                <w:rFonts w:eastAsiaTheme="minorHAnsi" w:cstheme="minorBidi"/>
                <w:szCs w:val="24"/>
                <w:lang w:val="fr-CA" w:eastAsia="en-US"/>
              </w:rPr>
            </w:pPr>
          </w:p>
          <w:p w:rsidR="00E1000C" w:rsidRPr="002C52EA" w:rsidRDefault="00E1000C" w:rsidP="006F7FA0">
            <w:pPr>
              <w:jc w:val="center"/>
              <w:rPr>
                <w:rFonts w:eastAsiaTheme="minorHAnsi" w:cstheme="minorBidi"/>
                <w:szCs w:val="24"/>
                <w:lang w:val="fr-CA" w:eastAsia="en-US"/>
              </w:rPr>
            </w:pPr>
            <w:r w:rsidRPr="002C52EA">
              <w:rPr>
                <w:b/>
                <w:smallCaps/>
                <w:lang w:val="fr-CA"/>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411"/>
        <w:gridCol w:w="7653"/>
        <w:gridCol w:w="22"/>
      </w:tblGrid>
      <w:tr w:rsidR="00E92347" w:rsidRPr="002C52EA" w:rsidTr="00E92347">
        <w:trPr>
          <w:cantSplit/>
          <w:trHeight w:val="508"/>
        </w:trPr>
        <w:tc>
          <w:tcPr>
            <w:tcW w:w="5000" w:type="pct"/>
            <w:gridSpan w:val="3"/>
            <w:tcMar>
              <w:top w:w="284" w:type="dxa"/>
              <w:bottom w:w="57" w:type="dxa"/>
            </w:tcMar>
            <w:vAlign w:val="center"/>
          </w:tcPr>
          <w:p w:rsidR="00E92347" w:rsidRPr="002C52EA" w:rsidRDefault="00CB5B04" w:rsidP="00E1000C">
            <w:pPr>
              <w:rPr>
                <w:lang w:val="fr-CA"/>
              </w:rPr>
            </w:pPr>
            <w:r w:rsidRPr="002C52EA">
              <w:rPr>
                <w:b/>
                <w:smallCaps/>
                <w:lang w:val="fr-CA"/>
              </w:rPr>
              <w:t>Coram :</w:t>
            </w:r>
            <w:r w:rsidRPr="002C52EA">
              <w:rPr>
                <w:lang w:val="fr-CA"/>
              </w:rPr>
              <w:t xml:space="preserve"> </w:t>
            </w:r>
            <w:r w:rsidR="009021D3" w:rsidRPr="002C52EA">
              <w:rPr>
                <w:lang w:val="fr-CA"/>
              </w:rPr>
              <w:t>Le juge en chef Wagner et les juges Moldaver, Karakatsanis, Côté, Brown, Rowe, Martin, Kasirer et Jamal</w:t>
            </w:r>
          </w:p>
        </w:tc>
      </w:tr>
      <w:tr w:rsidR="005966EF" w:rsidRPr="002C52EA" w:rsidTr="0026412B">
        <w:trPr>
          <w:gridAfter w:val="1"/>
          <w:wAfter w:w="11" w:type="pct"/>
          <w:cantSplit/>
        </w:trPr>
        <w:tc>
          <w:tcPr>
            <w:tcW w:w="1195" w:type="pct"/>
            <w:tcMar>
              <w:top w:w="284" w:type="dxa"/>
              <w:bottom w:w="57" w:type="dxa"/>
            </w:tcMar>
            <w:vAlign w:val="center"/>
          </w:tcPr>
          <w:p w:rsidR="005966EF" w:rsidRPr="002C52EA" w:rsidRDefault="005966EF" w:rsidP="0026412B">
            <w:pPr>
              <w:rPr>
                <w:b/>
                <w:smallCaps/>
                <w:lang w:val="fr-CA"/>
              </w:rPr>
            </w:pPr>
            <w:r w:rsidRPr="002C52EA">
              <w:rPr>
                <w:b/>
                <w:smallCaps/>
                <w:lang w:val="fr-CA"/>
              </w:rPr>
              <w:t>Jugement</w:t>
            </w:r>
            <w:r w:rsidR="00AB59C4" w:rsidRPr="002C52EA">
              <w:rPr>
                <w:b/>
                <w:smallCaps/>
                <w:lang w:val="fr-CA"/>
              </w:rPr>
              <w:t xml:space="preserve"> lu par :</w:t>
            </w:r>
            <w:r w:rsidRPr="002C52EA">
              <w:rPr>
                <w:b/>
                <w:smallCaps/>
                <w:lang w:val="fr-CA"/>
              </w:rPr>
              <w:t xml:space="preserve"> </w:t>
            </w:r>
          </w:p>
          <w:p w:rsidR="005966EF" w:rsidRPr="002C52EA" w:rsidRDefault="005966EF" w:rsidP="00147F95">
            <w:pPr>
              <w:rPr>
                <w:b/>
                <w:smallCaps/>
                <w:lang w:val="fr-CA"/>
              </w:rPr>
            </w:pPr>
            <w:r w:rsidRPr="002C52EA">
              <w:rPr>
                <w:lang w:val="fr-CA"/>
              </w:rPr>
              <w:t>(</w:t>
            </w:r>
            <w:r w:rsidR="002D3505" w:rsidRPr="002C52EA">
              <w:rPr>
                <w:lang w:val="fr-CA"/>
              </w:rPr>
              <w:t>par. </w:t>
            </w:r>
            <w:r w:rsidR="00EB0D87" w:rsidRPr="002C52EA">
              <w:rPr>
                <w:lang w:val="fr-CA"/>
              </w:rPr>
              <w:t>1</w:t>
            </w:r>
            <w:r w:rsidR="00B838B8" w:rsidRPr="002C52EA">
              <w:rPr>
                <w:lang w:val="fr-CA"/>
              </w:rPr>
              <w:t xml:space="preserve"> à </w:t>
            </w:r>
            <w:r w:rsidR="00147F95" w:rsidRPr="002C52EA">
              <w:rPr>
                <w:lang w:val="fr-CA"/>
              </w:rPr>
              <w:t>3</w:t>
            </w:r>
            <w:r w:rsidRPr="002C52EA">
              <w:rPr>
                <w:lang w:val="fr-CA"/>
              </w:rPr>
              <w:t>)</w:t>
            </w:r>
          </w:p>
        </w:tc>
        <w:tc>
          <w:tcPr>
            <w:tcW w:w="3794" w:type="pct"/>
            <w:tcMar>
              <w:top w:w="284" w:type="dxa"/>
            </w:tcMar>
            <w:vAlign w:val="center"/>
          </w:tcPr>
          <w:p w:rsidR="00B1431F" w:rsidRPr="002C52EA" w:rsidRDefault="003F797B" w:rsidP="005C617A">
            <w:pPr>
              <w:rPr>
                <w:b/>
                <w:smallCaps/>
                <w:lang w:val="fr-CA"/>
              </w:rPr>
            </w:pPr>
            <w:r w:rsidRPr="002C52EA">
              <w:rPr>
                <w:lang w:val="fr-CA"/>
              </w:rPr>
              <w:t>Le juge en chef Wagner</w:t>
            </w:r>
          </w:p>
        </w:tc>
      </w:tr>
      <w:tr w:rsidR="00381C49" w:rsidRPr="002C52EA" w:rsidTr="0026412B">
        <w:trPr>
          <w:gridAfter w:val="1"/>
          <w:wAfter w:w="11" w:type="pct"/>
          <w:cantSplit/>
        </w:trPr>
        <w:tc>
          <w:tcPr>
            <w:tcW w:w="1195" w:type="pct"/>
            <w:tcMar>
              <w:top w:w="284" w:type="dxa"/>
              <w:bottom w:w="57" w:type="dxa"/>
            </w:tcMar>
            <w:vAlign w:val="center"/>
          </w:tcPr>
          <w:p w:rsidR="00381C49" w:rsidRPr="002C52EA" w:rsidRDefault="00381C49" w:rsidP="0026412B">
            <w:pPr>
              <w:rPr>
                <w:b/>
                <w:smallCaps/>
                <w:lang w:val="fr-CA"/>
              </w:rPr>
            </w:pPr>
            <w:r w:rsidRPr="002C52EA">
              <w:rPr>
                <w:b/>
                <w:smallCaps/>
                <w:lang w:val="fr-CA"/>
              </w:rPr>
              <w:t>Majorité :</w:t>
            </w:r>
          </w:p>
        </w:tc>
        <w:tc>
          <w:tcPr>
            <w:tcW w:w="3794" w:type="pct"/>
            <w:tcMar>
              <w:top w:w="284" w:type="dxa"/>
            </w:tcMar>
            <w:vAlign w:val="center"/>
          </w:tcPr>
          <w:p w:rsidR="00381C49" w:rsidRPr="002C52EA" w:rsidRDefault="003F797B" w:rsidP="0026412B">
            <w:pPr>
              <w:rPr>
                <w:lang w:val="fr-CA"/>
              </w:rPr>
            </w:pPr>
            <w:r w:rsidRPr="002C52EA">
              <w:rPr>
                <w:lang w:val="fr-CA"/>
              </w:rPr>
              <w:t>Le juge en chef Wagner et les juges Moldaver, Karakatsanis, Brown, Rowe, Martin, Kasirer et Jamal</w:t>
            </w:r>
          </w:p>
        </w:tc>
      </w:tr>
      <w:tr w:rsidR="00381C49" w:rsidRPr="002C52EA" w:rsidTr="0026412B">
        <w:trPr>
          <w:gridAfter w:val="1"/>
          <w:wAfter w:w="11" w:type="pct"/>
          <w:cantSplit/>
        </w:trPr>
        <w:tc>
          <w:tcPr>
            <w:tcW w:w="1195" w:type="pct"/>
            <w:tcMar>
              <w:top w:w="284" w:type="dxa"/>
              <w:bottom w:w="57" w:type="dxa"/>
            </w:tcMar>
            <w:vAlign w:val="center"/>
          </w:tcPr>
          <w:p w:rsidR="00381C49" w:rsidRPr="002C52EA" w:rsidRDefault="00381C49" w:rsidP="0026412B">
            <w:pPr>
              <w:rPr>
                <w:b/>
                <w:smallCaps/>
                <w:lang w:val="fr-CA"/>
              </w:rPr>
            </w:pPr>
            <w:r w:rsidRPr="002C52EA">
              <w:rPr>
                <w:b/>
                <w:smallCaps/>
                <w:lang w:val="fr-CA"/>
              </w:rPr>
              <w:t>Dissidence :</w:t>
            </w:r>
          </w:p>
        </w:tc>
        <w:tc>
          <w:tcPr>
            <w:tcW w:w="3794" w:type="pct"/>
            <w:tcMar>
              <w:top w:w="284" w:type="dxa"/>
            </w:tcMar>
            <w:vAlign w:val="center"/>
          </w:tcPr>
          <w:p w:rsidR="00983AF6" w:rsidRPr="002C52EA" w:rsidRDefault="003F797B" w:rsidP="0026412B">
            <w:pPr>
              <w:rPr>
                <w:lang w:val="fr-CA"/>
              </w:rPr>
            </w:pPr>
            <w:r w:rsidRPr="002C52EA">
              <w:rPr>
                <w:lang w:val="fr-CA"/>
              </w:rPr>
              <w:t>La juge Côté</w:t>
            </w:r>
          </w:p>
        </w:tc>
      </w:tr>
    </w:tbl>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0080"/>
      </w:tblGrid>
      <w:tr w:rsidR="00F43876" w:rsidRPr="002C52EA" w:rsidTr="00F43876">
        <w:tc>
          <w:tcPr>
            <w:tcW w:w="10080" w:type="dxa"/>
          </w:tcPr>
          <w:p w:rsidR="00801B60" w:rsidRPr="002C52EA" w:rsidRDefault="00801B60" w:rsidP="0097525A">
            <w:pPr>
              <w:jc w:val="both"/>
              <w:rPr>
                <w:lang w:val="fr-CA"/>
              </w:rPr>
            </w:pPr>
          </w:p>
        </w:tc>
      </w:tr>
    </w:tbl>
    <w:p w:rsidR="007B3D74" w:rsidRPr="002C52EA" w:rsidRDefault="00A9085B" w:rsidP="007B3D74">
      <w:pPr>
        <w:spacing w:before="100" w:beforeAutospacing="1"/>
        <w:rPr>
          <w:rFonts w:eastAsia="Calibri"/>
          <w:szCs w:val="24"/>
          <w:lang w:val="fr-CA" w:eastAsia="en-US"/>
        </w:rPr>
      </w:pPr>
      <w:r w:rsidRPr="002C52EA">
        <w:rPr>
          <w:rFonts w:eastAsia="Calibri"/>
          <w:b/>
          <w:smallCaps/>
          <w:szCs w:val="24"/>
          <w:lang w:val="fr-CA" w:eastAsia="en-US"/>
        </w:rPr>
        <w:t>Note :</w:t>
      </w:r>
      <w:r w:rsidR="00C22905" w:rsidRPr="002C52EA">
        <w:rPr>
          <w:rFonts w:eastAsia="Calibri"/>
          <w:szCs w:val="24"/>
          <w:lang w:val="fr-CA" w:eastAsia="en-US"/>
        </w:rPr>
        <w:t xml:space="preserve"> </w:t>
      </w:r>
      <w:r w:rsidRPr="002C52EA">
        <w:rPr>
          <w:lang w:val="fr-CA"/>
        </w:rPr>
        <w:t xml:space="preserve">Ce document fera l’objet de retouches de forme avant la parution de sa version définitive dans le </w:t>
      </w:r>
      <w:r w:rsidRPr="002C52EA">
        <w:rPr>
          <w:i/>
          <w:lang w:val="fr-CA"/>
        </w:rPr>
        <w:t>Recueil des arrêts de la Cour suprême du Canada</w:t>
      </w:r>
      <w:r w:rsidRPr="002C52EA">
        <w:rPr>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7B3D74" w:rsidRPr="002C52EA" w:rsidTr="00653AAD">
        <w:tc>
          <w:tcPr>
            <w:tcW w:w="1500" w:type="pct"/>
            <w:tcMar>
              <w:top w:w="284" w:type="dxa"/>
            </w:tcMar>
          </w:tcPr>
          <w:p w:rsidR="007B3D74" w:rsidRPr="002C52EA" w:rsidRDefault="007B3D74" w:rsidP="00653AAD">
            <w:pPr>
              <w:rPr>
                <w:rFonts w:eastAsia="Calibri"/>
                <w:szCs w:val="24"/>
                <w:lang w:val="fr-CA" w:eastAsia="en-US"/>
              </w:rPr>
            </w:pPr>
          </w:p>
        </w:tc>
        <w:tc>
          <w:tcPr>
            <w:tcW w:w="2000" w:type="pct"/>
            <w:tcBorders>
              <w:bottom w:val="single" w:sz="4" w:space="0" w:color="auto"/>
            </w:tcBorders>
            <w:tcMar>
              <w:top w:w="284" w:type="dxa"/>
            </w:tcMar>
          </w:tcPr>
          <w:p w:rsidR="007B3D74" w:rsidRPr="002C52EA" w:rsidRDefault="007B3D74" w:rsidP="00653AAD">
            <w:pPr>
              <w:rPr>
                <w:rFonts w:eastAsia="Calibri"/>
                <w:szCs w:val="24"/>
                <w:lang w:val="fr-CA" w:eastAsia="en-US"/>
              </w:rPr>
            </w:pPr>
          </w:p>
        </w:tc>
        <w:tc>
          <w:tcPr>
            <w:tcW w:w="1500" w:type="pct"/>
            <w:tcMar>
              <w:top w:w="284" w:type="dxa"/>
            </w:tcMar>
          </w:tcPr>
          <w:p w:rsidR="007B3D74" w:rsidRPr="002C52EA" w:rsidRDefault="007B3D74" w:rsidP="00653AAD">
            <w:pPr>
              <w:rPr>
                <w:rFonts w:eastAsia="Calibri"/>
                <w:szCs w:val="24"/>
                <w:lang w:val="fr-CA" w:eastAsia="en-US"/>
              </w:rPr>
            </w:pPr>
          </w:p>
        </w:tc>
      </w:tr>
    </w:tbl>
    <w:p w:rsidR="007B3D74" w:rsidRPr="002C52EA" w:rsidRDefault="007B3D74" w:rsidP="007B3D74">
      <w:pPr>
        <w:rPr>
          <w:rFonts w:eastAsia="Calibri"/>
          <w:szCs w:val="24"/>
          <w:lang w:val="fr-CA" w:eastAsia="en-US"/>
        </w:rPr>
        <w:sectPr w:rsidR="007B3D74" w:rsidRPr="002C52EA" w:rsidSect="00E92347">
          <w:headerReference w:type="even" r:id="rId10"/>
          <w:headerReference w:type="default" r:id="rId11"/>
          <w:footerReference w:type="even" r:id="rId12"/>
          <w:footerReference w:type="default" r:id="rId13"/>
          <w:headerReference w:type="first" r:id="rId14"/>
          <w:footerReference w:type="first" r:id="rId15"/>
          <w:pgSz w:w="12240" w:h="15840"/>
          <w:pgMar w:top="1134" w:right="1077" w:bottom="1134" w:left="1077" w:header="1803" w:footer="720" w:gutter="0"/>
          <w:cols w:space="720"/>
          <w:docGrid w:linePitch="326"/>
        </w:sectPr>
      </w:pPr>
    </w:p>
    <w:p w:rsidR="002C52EA" w:rsidRPr="002C52EA" w:rsidRDefault="002C52EA" w:rsidP="002C52EA">
      <w:pPr>
        <w:pStyle w:val="SCCLsocLastPartyInRole"/>
        <w:rPr>
          <w:lang w:val="fr-CA"/>
        </w:rPr>
      </w:pPr>
      <w:r w:rsidRPr="002C52EA">
        <w:rPr>
          <w:bCs/>
          <w:lang w:val="fr-CA"/>
        </w:rPr>
        <w:lastRenderedPageBreak/>
        <w:t>Tiffany Jo Kreke</w:t>
      </w:r>
      <w:r w:rsidRPr="002C52EA">
        <w:rPr>
          <w:rStyle w:val="SCCLsocPartyRole"/>
          <w:lang w:val="fr-CA"/>
        </w:rPr>
        <w:tab/>
        <w:t>Appelante</w:t>
      </w:r>
    </w:p>
    <w:p w:rsidR="002C52EA" w:rsidRPr="002C52EA" w:rsidRDefault="002C52EA" w:rsidP="002C52EA">
      <w:pPr>
        <w:pStyle w:val="SCCLsocVersus"/>
        <w:rPr>
          <w:lang w:val="fr-CA"/>
        </w:rPr>
      </w:pPr>
      <w:proofErr w:type="gramStart"/>
      <w:r w:rsidRPr="002C52EA">
        <w:rPr>
          <w:lang w:val="fr-CA"/>
        </w:rPr>
        <w:t>c</w:t>
      </w:r>
      <w:proofErr w:type="gramEnd"/>
      <w:r w:rsidRPr="002C52EA">
        <w:rPr>
          <w:lang w:val="fr-CA"/>
        </w:rPr>
        <w:t>.</w:t>
      </w:r>
    </w:p>
    <w:p w:rsidR="002C52EA" w:rsidRPr="002C52EA" w:rsidRDefault="002C52EA" w:rsidP="002C52EA">
      <w:pPr>
        <w:pStyle w:val="SCCLsocLastPartyInRole"/>
        <w:rPr>
          <w:lang w:val="fr-CA"/>
        </w:rPr>
      </w:pPr>
      <w:r w:rsidRPr="002C52EA">
        <w:rPr>
          <w:bCs/>
          <w:lang w:val="fr-CA"/>
        </w:rPr>
        <w:t>Amro Abdullah M. Alansari</w:t>
      </w:r>
      <w:r w:rsidRPr="002C52EA">
        <w:rPr>
          <w:rStyle w:val="SCCLsocPartyRole"/>
          <w:lang w:val="fr-CA"/>
        </w:rPr>
        <w:tab/>
        <w:t>Intimé</w:t>
      </w:r>
    </w:p>
    <w:p w:rsidR="002C52EA" w:rsidRPr="002C52EA" w:rsidRDefault="002C52EA" w:rsidP="002C52EA">
      <w:pPr>
        <w:spacing w:after="720"/>
        <w:jc w:val="both"/>
        <w:rPr>
          <w:b/>
          <w:lang w:val="fr-CA"/>
        </w:rPr>
      </w:pPr>
      <w:r w:rsidRPr="002C52EA">
        <w:rPr>
          <w:b/>
          <w:lang w:val="fr-CA"/>
        </w:rPr>
        <w:t xml:space="preserve">Répertorié : Kreke </w:t>
      </w:r>
      <w:r w:rsidRPr="002C52EA">
        <w:rPr>
          <w:b/>
          <w:i/>
          <w:iCs/>
          <w:lang w:val="fr-CA"/>
        </w:rPr>
        <w:t>c.</w:t>
      </w:r>
      <w:r w:rsidRPr="002C52EA">
        <w:rPr>
          <w:b/>
          <w:lang w:val="fr-CA"/>
        </w:rPr>
        <w:t xml:space="preserve"> Alansari</w:t>
      </w:r>
    </w:p>
    <w:p w:rsidR="002C52EA" w:rsidRPr="002C52EA" w:rsidRDefault="002C52EA" w:rsidP="002C52EA">
      <w:pPr>
        <w:pStyle w:val="SCCSystemYear"/>
        <w:spacing w:after="720"/>
        <w:jc w:val="both"/>
        <w:rPr>
          <w:lang w:val="fr-CA"/>
        </w:rPr>
      </w:pPr>
      <w:r w:rsidRPr="002C52EA">
        <w:rPr>
          <w:lang w:val="fr-CA"/>
        </w:rPr>
        <w:t>2021 CSC 5</w:t>
      </w:r>
      <w:r w:rsidRPr="002C52EA">
        <w:rPr>
          <w:rFonts w:ascii="Helvetica Neue" w:hAnsi="Helvetica Neue"/>
          <w:color w:val="333333"/>
          <w:shd w:val="clear" w:color="auto" w:fill="FFFFFF"/>
          <w:lang w:val="fr-CA"/>
        </w:rPr>
        <w:t>0</w:t>
      </w:r>
    </w:p>
    <w:p w:rsidR="002C52EA" w:rsidRPr="002C52EA" w:rsidRDefault="002C52EA" w:rsidP="002C52EA">
      <w:pPr>
        <w:spacing w:after="720"/>
        <w:jc w:val="both"/>
        <w:rPr>
          <w:lang w:val="fr-CA"/>
        </w:rPr>
      </w:pPr>
      <w:r w:rsidRPr="002C52EA">
        <w:rPr>
          <w:lang w:val="fr-CA"/>
        </w:rPr>
        <w:t>N</w:t>
      </w:r>
      <w:r w:rsidRPr="002C52EA">
        <w:rPr>
          <w:vertAlign w:val="superscript"/>
          <w:lang w:val="fr-CA"/>
        </w:rPr>
        <w:t>o</w:t>
      </w:r>
      <w:r w:rsidRPr="002C52EA">
        <w:rPr>
          <w:lang w:val="fr-CA"/>
        </w:rPr>
        <w:t xml:space="preserve"> du greffe : </w:t>
      </w:r>
      <w:r w:rsidRPr="002C52EA">
        <w:rPr>
          <w:color w:val="000000"/>
          <w:lang w:val="fr-CA"/>
        </w:rPr>
        <w:t>39567</w:t>
      </w:r>
      <w:r w:rsidRPr="002C52EA">
        <w:rPr>
          <w:lang w:val="fr-CA"/>
        </w:rPr>
        <w:t>.</w:t>
      </w:r>
    </w:p>
    <w:p w:rsidR="002C52EA" w:rsidRPr="002C52EA" w:rsidRDefault="002C52EA" w:rsidP="002C52EA">
      <w:pPr>
        <w:spacing w:after="720"/>
        <w:jc w:val="both"/>
        <w:rPr>
          <w:lang w:val="fr-CA"/>
        </w:rPr>
      </w:pPr>
      <w:r w:rsidRPr="002C52EA">
        <w:rPr>
          <w:lang w:val="fr-CA"/>
        </w:rPr>
        <w:t xml:space="preserve">2021 : </w:t>
      </w:r>
      <w:r w:rsidRPr="002C52EA">
        <w:rPr>
          <w:color w:val="000000"/>
          <w:lang w:val="fr-CA"/>
        </w:rPr>
        <w:t>1</w:t>
      </w:r>
      <w:r w:rsidRPr="002C52EA">
        <w:rPr>
          <w:color w:val="000000"/>
          <w:vertAlign w:val="superscript"/>
          <w:lang w:val="fr-CA"/>
        </w:rPr>
        <w:t>er</w:t>
      </w:r>
      <w:r w:rsidRPr="002C52EA">
        <w:rPr>
          <w:color w:val="000000"/>
          <w:lang w:val="fr-CA"/>
        </w:rPr>
        <w:t xml:space="preserve">, 2 décembre; </w:t>
      </w:r>
      <w:r w:rsidRPr="002C52EA">
        <w:rPr>
          <w:lang w:val="fr-CA"/>
        </w:rPr>
        <w:t xml:space="preserve">2021 : </w:t>
      </w:r>
      <w:r w:rsidRPr="002C52EA">
        <w:rPr>
          <w:color w:val="000000"/>
          <w:lang w:val="fr-CA"/>
        </w:rPr>
        <w:t>2 décembre</w:t>
      </w:r>
      <w:r w:rsidRPr="002C52EA">
        <w:rPr>
          <w:lang w:val="fr-CA"/>
        </w:rPr>
        <w:t>.</w:t>
      </w:r>
    </w:p>
    <w:p w:rsidR="002C52EA" w:rsidRPr="002C52EA" w:rsidRDefault="002C52EA" w:rsidP="002C52EA">
      <w:pPr>
        <w:spacing w:after="720"/>
        <w:jc w:val="both"/>
        <w:rPr>
          <w:lang w:val="fr-CA"/>
        </w:rPr>
      </w:pPr>
      <w:r w:rsidRPr="002C52EA">
        <w:rPr>
          <w:lang w:val="fr-CA"/>
        </w:rPr>
        <w:t xml:space="preserve">Présents : </w:t>
      </w:r>
      <w:r w:rsidRPr="002C52EA">
        <w:rPr>
          <w:color w:val="000000"/>
          <w:lang w:val="fr-CA"/>
        </w:rPr>
        <w:t>Le juge en chef Wagner et les juges Moldaver, Karakatsanis, Côté, Brown, Rowe, Martin, Kasirer et Jamal.</w:t>
      </w:r>
    </w:p>
    <w:p w:rsidR="002C52EA" w:rsidRPr="002C52EA" w:rsidRDefault="002C52EA" w:rsidP="002C52EA">
      <w:pPr>
        <w:spacing w:after="720"/>
        <w:jc w:val="both"/>
        <w:rPr>
          <w:smallCaps/>
          <w:lang w:val="fr-CA"/>
        </w:rPr>
      </w:pPr>
      <w:r w:rsidRPr="002C52EA">
        <w:rPr>
          <w:smallCaps/>
          <w:lang w:val="fr-CA"/>
        </w:rPr>
        <w:t xml:space="preserve">en appel de la cour d’appel de la </w:t>
      </w:r>
      <w:proofErr w:type="spellStart"/>
      <w:r w:rsidRPr="002C52EA">
        <w:rPr>
          <w:smallCaps/>
          <w:lang w:val="fr-CA"/>
        </w:rPr>
        <w:t>saskatchewan</w:t>
      </w:r>
      <w:proofErr w:type="spellEnd"/>
    </w:p>
    <w:p w:rsidR="002C52EA" w:rsidRPr="002C52EA" w:rsidRDefault="002C52EA" w:rsidP="002C52EA">
      <w:pPr>
        <w:pStyle w:val="SCCNormalDoubleSpacing"/>
        <w:spacing w:after="480"/>
        <w:rPr>
          <w:i/>
          <w:lang w:val="fr-CA"/>
        </w:rPr>
      </w:pPr>
      <w:r w:rsidRPr="002C52EA">
        <w:rPr>
          <w:lang w:val="fr-CA"/>
        </w:rPr>
        <w:tab/>
      </w:r>
      <w:r w:rsidRPr="002C52EA">
        <w:rPr>
          <w:i/>
          <w:lang w:val="fr-CA"/>
        </w:rPr>
        <w:t>Droit de la famille — Garde — Changement du lieu de résidence — Intérêt de l’enfant — Demande de la mère sollicitant la permission de déménager avec l’enfant accueillie par la juge de première instance — Conclusion de la Cour d’appel portant que la juge de première instance a donné une interprétation erronée de la preuve qui a influencé sa décision selon laquelle le déménagement était dans l’intérêt de l’enfant et que la juge a omis de prendre en compte ou a fait abstraction de facteurs pertinents pour les besoins de cette décision — Arrêt de la Cour d’appel annulant les ordonnances rendues par la juge de première instance relativement à la mobilité, à la garde et aux arrangements parentaux et intimant la tenue d’un nouveau procès — Absence d’erreur susceptible de révision commise par la juge de première instance — Ordonnances de la juge de première instance rétablies.</w:t>
      </w:r>
    </w:p>
    <w:p w:rsidR="002C52EA" w:rsidRPr="002C52EA" w:rsidRDefault="002C52EA" w:rsidP="002C52EA">
      <w:pPr>
        <w:pStyle w:val="SCCNormalDoubleSpacing"/>
        <w:spacing w:after="480"/>
        <w:rPr>
          <w:lang w:val="fr-CA"/>
        </w:rPr>
      </w:pPr>
      <w:r w:rsidRPr="002C52EA">
        <w:rPr>
          <w:i/>
          <w:lang w:val="fr-CA"/>
        </w:rPr>
        <w:tab/>
        <w:t>Droit de la famille — Aliments — Pension alimentaire pour le conjoint —Revenus attribués à la mère par la juge de première instance aux fins de calcul de la pension alimentaire pour conjoint payable par le père — Conclusion de la Cour d’appel portant que la juge de première instance a mal interprété la preuve concernant la situation d’emploi de la mère et ses perspectives d’emploi — Arrêt de la Cour d’appel annulant l’ordonnance de la juge de première instance relative à la pension alimentaire pour conjoint, attribuant un revenu plus élevé à la mère et réduisant les versements mensuels de pension alimentaire pour conjoint — Absence d’erreur susceptible de révision commise par la juge de première instance — Ordonnance de la juge de première instance rétablie.</w:t>
      </w:r>
    </w:p>
    <w:p w:rsidR="002C52EA" w:rsidRPr="002C52EA" w:rsidRDefault="002C52EA" w:rsidP="002C52EA">
      <w:pPr>
        <w:pStyle w:val="SCCNormalDoubleSpacing"/>
        <w:spacing w:after="480"/>
        <w:rPr>
          <w:lang w:val="fr-CA"/>
        </w:rPr>
      </w:pPr>
      <w:r w:rsidRPr="002C52EA">
        <w:rPr>
          <w:lang w:val="fr-CA"/>
        </w:rPr>
        <w:tab/>
        <w:t xml:space="preserve">POURVOI contre un arrêt de la Cour d’appel </w:t>
      </w:r>
      <w:r w:rsidRPr="002C52EA">
        <w:rPr>
          <w:color w:val="000000"/>
          <w:lang w:val="fr-CA"/>
        </w:rPr>
        <w:t>de la Saskatchewan</w:t>
      </w:r>
      <w:r w:rsidRPr="002C52EA">
        <w:rPr>
          <w:lang w:val="fr-CA"/>
        </w:rPr>
        <w:t xml:space="preserve"> (les juges Caldwell, Whitmore et Barrington</w:t>
      </w:r>
      <w:r w:rsidRPr="002C52EA">
        <w:rPr>
          <w:lang w:val="fr-CA"/>
        </w:rPr>
        <w:noBreakHyphen/>
        <w:t xml:space="preserve">Foote), </w:t>
      </w:r>
      <w:hyperlink r:id="rId16" w:history="1">
        <w:r w:rsidRPr="002C52EA">
          <w:rPr>
            <w:rStyle w:val="Hyperlink"/>
            <w:u w:val="none"/>
            <w:lang w:val="fr-CA"/>
          </w:rPr>
          <w:t>2020 SKCA 122</w:t>
        </w:r>
      </w:hyperlink>
      <w:r w:rsidRPr="002C52EA">
        <w:rPr>
          <w:color w:val="000000"/>
          <w:lang w:val="fr-CA"/>
        </w:rPr>
        <w:t xml:space="preserve">, 464 D.L.R. (4th) 453, [2020] S.J. No. 404 (QL), 2020 CarswellSask 522 (WL), qui a annulé les ordonnances de la juge Wilson de la Cour du Banc de la Reine datées du 4 juillet 2019 et du 17 juillet 2019, DIV No. 423 de 2018, rendu une ordonnance définitive en matière de pension alimentaire pour conjoint et ordonné la tenue d’un nouveau procès à l’égard des questions relatives à la mobilité, à la garde, à l’accès, à la résidence principale et au rôle parental. </w:t>
      </w:r>
      <w:r w:rsidRPr="002C52EA">
        <w:rPr>
          <w:bCs/>
          <w:lang w:val="fr-CA"/>
        </w:rPr>
        <w:t xml:space="preserve">Pourvoi </w:t>
      </w:r>
      <w:r w:rsidRPr="002C52EA">
        <w:rPr>
          <w:color w:val="000000"/>
          <w:lang w:val="fr-CA"/>
        </w:rPr>
        <w:t>accueilli, la juge Côté est dissidente</w:t>
      </w:r>
      <w:r w:rsidRPr="002C52EA">
        <w:rPr>
          <w:bCs/>
          <w:lang w:val="fr-CA"/>
        </w:rPr>
        <w:t>.</w:t>
      </w:r>
    </w:p>
    <w:p w:rsidR="002C52EA" w:rsidRPr="002C52EA" w:rsidRDefault="002C52EA" w:rsidP="002C52EA">
      <w:pPr>
        <w:pStyle w:val="SCCLawFirm"/>
        <w:spacing w:after="480"/>
        <w:rPr>
          <w:color w:val="000000"/>
          <w:szCs w:val="24"/>
          <w:lang w:val="fr-CA" w:eastAsia="en-US"/>
        </w:rPr>
      </w:pPr>
      <w:r w:rsidRPr="002C52EA">
        <w:rPr>
          <w:i w:val="0"/>
          <w:lang w:val="fr-CA"/>
        </w:rPr>
        <w:tab/>
      </w:r>
      <w:r w:rsidRPr="002C52EA">
        <w:rPr>
          <w:iCs/>
          <w:lang w:val="fr-CA"/>
        </w:rPr>
        <w:t>Karina Jackson</w:t>
      </w:r>
      <w:r w:rsidRPr="002C52EA">
        <w:rPr>
          <w:i w:val="0"/>
          <w:color w:val="000000"/>
          <w:szCs w:val="24"/>
          <w:lang w:val="fr-CA" w:eastAsia="en-US"/>
        </w:rPr>
        <w:t>, pour l’appelante.</w:t>
      </w:r>
    </w:p>
    <w:p w:rsidR="002C52EA" w:rsidRPr="002C52EA" w:rsidRDefault="002C52EA" w:rsidP="002C52EA">
      <w:pPr>
        <w:pStyle w:val="SCCLawFirm"/>
        <w:spacing w:after="480"/>
        <w:rPr>
          <w:color w:val="000000"/>
          <w:szCs w:val="24"/>
          <w:lang w:val="fr-CA" w:eastAsia="en-US"/>
        </w:rPr>
      </w:pPr>
      <w:r w:rsidRPr="002C52EA">
        <w:rPr>
          <w:color w:val="000000"/>
          <w:szCs w:val="24"/>
          <w:lang w:val="fr-CA" w:eastAsia="en-US"/>
        </w:rPr>
        <w:tab/>
      </w:r>
      <w:r w:rsidRPr="002C52EA">
        <w:rPr>
          <w:iCs/>
          <w:lang w:val="fr-CA"/>
        </w:rPr>
        <w:t xml:space="preserve">Kate </w:t>
      </w:r>
      <w:proofErr w:type="spellStart"/>
      <w:r w:rsidRPr="002C52EA">
        <w:rPr>
          <w:iCs/>
          <w:lang w:val="fr-CA"/>
        </w:rPr>
        <w:t>Crisp</w:t>
      </w:r>
      <w:proofErr w:type="spellEnd"/>
      <w:r w:rsidRPr="002C52EA">
        <w:rPr>
          <w:i w:val="0"/>
          <w:color w:val="000000"/>
          <w:szCs w:val="24"/>
          <w:lang w:val="fr-CA" w:eastAsia="en-US"/>
        </w:rPr>
        <w:t>, pour l’intimé.</w:t>
      </w:r>
    </w:p>
    <w:p w:rsidR="002C52EA" w:rsidRPr="002C52EA" w:rsidRDefault="002C52EA" w:rsidP="002C52EA">
      <w:pPr>
        <w:pStyle w:val="SCCNormalDoubleSpacing"/>
        <w:spacing w:after="480"/>
        <w:rPr>
          <w:color w:val="000000"/>
          <w:lang w:val="fr-CA"/>
        </w:rPr>
      </w:pPr>
      <w:r w:rsidRPr="002C52EA">
        <w:rPr>
          <w:color w:val="000000"/>
          <w:lang w:val="fr-CA"/>
        </w:rPr>
        <w:tab/>
        <w:t>Version française du jugement de la Cour rendu oralement par</w:t>
      </w:r>
    </w:p>
    <w:p w:rsidR="002C52EA" w:rsidRPr="002C52EA" w:rsidRDefault="002C52EA" w:rsidP="002C52EA">
      <w:pPr>
        <w:pStyle w:val="ParaNoNdepar-AltN"/>
        <w:numPr>
          <w:ilvl w:val="0"/>
          <w:numId w:val="0"/>
        </w:numPr>
        <w:rPr>
          <w:lang w:val="fr-CA"/>
        </w:rPr>
      </w:pPr>
      <w:r w:rsidRPr="002C52EA">
        <w:rPr>
          <w:lang w:val="fr-CA"/>
        </w:rPr>
        <w:t>[1]</w:t>
      </w:r>
      <w:r w:rsidRPr="002C52EA">
        <w:rPr>
          <w:lang w:val="fr-CA"/>
        </w:rPr>
        <w:tab/>
      </w:r>
      <w:r w:rsidRPr="002C52EA">
        <w:rPr>
          <w:smallCaps/>
          <w:color w:val="000000"/>
          <w:lang w:val="fr-CA"/>
        </w:rPr>
        <w:t>Le juge en chef</w:t>
      </w:r>
      <w:r w:rsidRPr="002C52EA">
        <w:rPr>
          <w:color w:val="000000"/>
          <w:lang w:val="fr-CA"/>
        </w:rPr>
        <w:t xml:space="preserve"> — Même si les nouveaux éléments de preuve étaient admis, la Cour est d’avis, à la majorité, que la juge du procès n’a commis aucune erreur susceptible de révision.</w:t>
      </w:r>
    </w:p>
    <w:p w:rsidR="002C52EA" w:rsidRPr="002C52EA" w:rsidRDefault="002C52EA" w:rsidP="002C52EA">
      <w:pPr>
        <w:pStyle w:val="ParaNoNdepar-AltN"/>
        <w:numPr>
          <w:ilvl w:val="0"/>
          <w:numId w:val="0"/>
        </w:numPr>
        <w:rPr>
          <w:lang w:val="fr-CA"/>
        </w:rPr>
      </w:pPr>
      <w:r w:rsidRPr="002C52EA">
        <w:rPr>
          <w:lang w:val="fr-CA"/>
        </w:rPr>
        <w:t>[2]</w:t>
      </w:r>
      <w:r w:rsidRPr="002C52EA">
        <w:rPr>
          <w:lang w:val="fr-CA"/>
        </w:rPr>
        <w:tab/>
        <w:t>En conséquence, l’appel est accueilli et les ordonnances de la juge du procès datées du 4 juillet 2019 et du 17 juillet 2019 sont rétablies, avec dépens devant toutes les cours.</w:t>
      </w:r>
    </w:p>
    <w:p w:rsidR="002C52EA" w:rsidRPr="002C52EA" w:rsidRDefault="002C52EA" w:rsidP="002C52EA">
      <w:pPr>
        <w:pStyle w:val="ParaNoNdepar-AltN"/>
        <w:numPr>
          <w:ilvl w:val="0"/>
          <w:numId w:val="0"/>
        </w:numPr>
        <w:rPr>
          <w:color w:val="000000"/>
          <w:lang w:val="fr-CA"/>
        </w:rPr>
      </w:pPr>
      <w:r w:rsidRPr="002C52EA">
        <w:rPr>
          <w:lang w:val="fr-CA"/>
        </w:rPr>
        <w:t>[3]</w:t>
      </w:r>
      <w:r w:rsidRPr="002C52EA">
        <w:rPr>
          <w:lang w:val="fr-CA"/>
        </w:rPr>
        <w:tab/>
      </w:r>
      <w:r w:rsidRPr="002C52EA">
        <w:rPr>
          <w:color w:val="000000"/>
          <w:lang w:val="fr-CA"/>
        </w:rPr>
        <w:t>Dissidente, la juge Côté aurait rejeté l’appel pour cause de caractère théorique, puisqu’elle aurait admis les nouveaux éléments de preuve et, de ce fait, renvoyé l’affaire devant la Cour du Banc de la Reine.</w:t>
      </w:r>
    </w:p>
    <w:p w:rsidR="002C52EA" w:rsidRPr="002C52EA" w:rsidRDefault="002C52EA" w:rsidP="002C52EA">
      <w:pPr>
        <w:pStyle w:val="SCCNormalDoubleSpacing"/>
        <w:spacing w:after="480"/>
        <w:rPr>
          <w:lang w:val="fr-CA"/>
        </w:rPr>
      </w:pPr>
      <w:r w:rsidRPr="002C52EA">
        <w:rPr>
          <w:lang w:val="fr-CA"/>
        </w:rPr>
        <w:tab/>
      </w:r>
      <w:r w:rsidRPr="002C52EA">
        <w:rPr>
          <w:i/>
          <w:iCs/>
          <w:color w:val="000000"/>
          <w:lang w:val="fr-CA"/>
        </w:rPr>
        <w:t>Jugement en conséquence.</w:t>
      </w:r>
    </w:p>
    <w:p w:rsidR="002C52EA" w:rsidRPr="002C52EA" w:rsidRDefault="002C52EA" w:rsidP="002C52EA">
      <w:pPr>
        <w:pStyle w:val="SCCNormalDoubleSpacing"/>
        <w:spacing w:after="480"/>
        <w:rPr>
          <w:i/>
          <w:iCs/>
          <w:color w:val="000000"/>
          <w:lang w:val="fr-CA"/>
        </w:rPr>
      </w:pPr>
      <w:r w:rsidRPr="002C52EA">
        <w:rPr>
          <w:i/>
          <w:iCs/>
          <w:color w:val="000000"/>
          <w:lang w:val="fr-CA"/>
        </w:rPr>
        <w:tab/>
        <w:t>Procureurs de l’appelante : Mokuruk &amp; Woods Law Office, Saskatoon.</w:t>
      </w:r>
    </w:p>
    <w:p w:rsidR="002C52EA" w:rsidRPr="00FF3C2F" w:rsidRDefault="002C52EA" w:rsidP="002C52EA">
      <w:pPr>
        <w:pStyle w:val="SCCNormalDoubleSpacing"/>
        <w:spacing w:after="480"/>
        <w:rPr>
          <w:i/>
          <w:iCs/>
          <w:color w:val="000000"/>
          <w:lang w:val="fr-CA"/>
        </w:rPr>
      </w:pPr>
      <w:r w:rsidRPr="002C52EA">
        <w:rPr>
          <w:i/>
          <w:iCs/>
          <w:color w:val="000000"/>
          <w:lang w:val="fr-CA"/>
        </w:rPr>
        <w:tab/>
        <w:t>Procureurs de l’intimé : McKercher, Saskatoon.</w:t>
      </w:r>
      <w:bookmarkStart w:id="0" w:name="_GoBack"/>
      <w:bookmarkEnd w:id="0"/>
    </w:p>
    <w:p w:rsidR="00C22905" w:rsidRPr="00A9085B" w:rsidRDefault="00C22905" w:rsidP="00FB010F">
      <w:pPr>
        <w:spacing w:before="100" w:beforeAutospacing="1"/>
        <w:rPr>
          <w:rFonts w:eastAsia="Calibri"/>
          <w:szCs w:val="24"/>
          <w:lang w:val="fr-CA" w:eastAsia="en-US"/>
        </w:rPr>
      </w:pPr>
    </w:p>
    <w:sectPr w:rsidR="00C22905" w:rsidRPr="00A9085B" w:rsidSect="002048E4">
      <w:headerReference w:type="default" r:id="rId17"/>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71" w:rsidRDefault="00CB4771">
      <w:r>
        <w:separator/>
      </w:r>
    </w:p>
  </w:endnote>
  <w:endnote w:type="continuationSeparator" w:id="0">
    <w:p w:rsidR="00CB4771" w:rsidRDefault="00CB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C8" w:rsidRDefault="00450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C8" w:rsidRDefault="00450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C8" w:rsidRDefault="0045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71" w:rsidRDefault="00CB4771">
      <w:r>
        <w:separator/>
      </w:r>
    </w:p>
  </w:footnote>
  <w:footnote w:type="continuationSeparator" w:id="0">
    <w:p w:rsidR="00CB4771" w:rsidRDefault="00CB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C8" w:rsidRDefault="00450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C8" w:rsidRDefault="00450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C8" w:rsidRDefault="00450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E4" w:rsidRPr="004506C8" w:rsidRDefault="004506C8" w:rsidP="00450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3D86DE8"/>
    <w:multiLevelType w:val="multilevel"/>
    <w:tmpl w:val="725481F2"/>
    <w:lvl w:ilvl="0">
      <w:start w:val="1"/>
      <w:numFmt w:val="decimal"/>
      <w:pStyle w:val="solexh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7"/>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C4C"/>
    <w:rsid w:val="000133DC"/>
    <w:rsid w:val="00013781"/>
    <w:rsid w:val="00017885"/>
    <w:rsid w:val="00022F2E"/>
    <w:rsid w:val="00025198"/>
    <w:rsid w:val="00026467"/>
    <w:rsid w:val="00040D1B"/>
    <w:rsid w:val="00041BDD"/>
    <w:rsid w:val="000578A3"/>
    <w:rsid w:val="000648CC"/>
    <w:rsid w:val="00076E46"/>
    <w:rsid w:val="000870A8"/>
    <w:rsid w:val="00094FED"/>
    <w:rsid w:val="000B34E8"/>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2D29"/>
    <w:rsid w:val="0014546A"/>
    <w:rsid w:val="00147F95"/>
    <w:rsid w:val="00154563"/>
    <w:rsid w:val="00154D7C"/>
    <w:rsid w:val="001570B0"/>
    <w:rsid w:val="0015752C"/>
    <w:rsid w:val="00157737"/>
    <w:rsid w:val="00165277"/>
    <w:rsid w:val="001677C1"/>
    <w:rsid w:val="00170592"/>
    <w:rsid w:val="00186351"/>
    <w:rsid w:val="00195D83"/>
    <w:rsid w:val="001977DB"/>
    <w:rsid w:val="001A00C1"/>
    <w:rsid w:val="001A220E"/>
    <w:rsid w:val="001A42A4"/>
    <w:rsid w:val="001B33E0"/>
    <w:rsid w:val="001B4573"/>
    <w:rsid w:val="001C4184"/>
    <w:rsid w:val="001C779F"/>
    <w:rsid w:val="001D2AC1"/>
    <w:rsid w:val="001D4DDF"/>
    <w:rsid w:val="001D4E88"/>
    <w:rsid w:val="001D65FF"/>
    <w:rsid w:val="001D6E70"/>
    <w:rsid w:val="001E477D"/>
    <w:rsid w:val="0020671C"/>
    <w:rsid w:val="00220FC2"/>
    <w:rsid w:val="002222F4"/>
    <w:rsid w:val="00224FC0"/>
    <w:rsid w:val="00225EA4"/>
    <w:rsid w:val="00226EAF"/>
    <w:rsid w:val="002310A2"/>
    <w:rsid w:val="00231407"/>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C52EA"/>
    <w:rsid w:val="002D2226"/>
    <w:rsid w:val="002D28C3"/>
    <w:rsid w:val="002D294E"/>
    <w:rsid w:val="002D3505"/>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3EF2"/>
    <w:rsid w:val="00355C66"/>
    <w:rsid w:val="00362ADA"/>
    <w:rsid w:val="00364B18"/>
    <w:rsid w:val="00381C49"/>
    <w:rsid w:val="00396BF3"/>
    <w:rsid w:val="003A125D"/>
    <w:rsid w:val="003A4C70"/>
    <w:rsid w:val="003B215F"/>
    <w:rsid w:val="003C2CFF"/>
    <w:rsid w:val="003C799C"/>
    <w:rsid w:val="003D0399"/>
    <w:rsid w:val="003E1C71"/>
    <w:rsid w:val="003E2693"/>
    <w:rsid w:val="003E53AC"/>
    <w:rsid w:val="003F327B"/>
    <w:rsid w:val="003F797B"/>
    <w:rsid w:val="003F7ACB"/>
    <w:rsid w:val="00400B24"/>
    <w:rsid w:val="00404D28"/>
    <w:rsid w:val="00406166"/>
    <w:rsid w:val="0040704B"/>
    <w:rsid w:val="00407839"/>
    <w:rsid w:val="00410003"/>
    <w:rsid w:val="00410A55"/>
    <w:rsid w:val="00411300"/>
    <w:rsid w:val="00415417"/>
    <w:rsid w:val="00424FE1"/>
    <w:rsid w:val="00425158"/>
    <w:rsid w:val="00426659"/>
    <w:rsid w:val="00426D16"/>
    <w:rsid w:val="00450352"/>
    <w:rsid w:val="004506C8"/>
    <w:rsid w:val="00454BDB"/>
    <w:rsid w:val="00456FFF"/>
    <w:rsid w:val="00463A7A"/>
    <w:rsid w:val="00464800"/>
    <w:rsid w:val="00464BF6"/>
    <w:rsid w:val="00465132"/>
    <w:rsid w:val="00465EF1"/>
    <w:rsid w:val="004707F9"/>
    <w:rsid w:val="00470DB3"/>
    <w:rsid w:val="0047411A"/>
    <w:rsid w:val="00480C90"/>
    <w:rsid w:val="0048396F"/>
    <w:rsid w:val="00486C55"/>
    <w:rsid w:val="00493C18"/>
    <w:rsid w:val="00495D96"/>
    <w:rsid w:val="004A600C"/>
    <w:rsid w:val="004A6118"/>
    <w:rsid w:val="004C2314"/>
    <w:rsid w:val="004C25EE"/>
    <w:rsid w:val="004C478D"/>
    <w:rsid w:val="004D1721"/>
    <w:rsid w:val="004D4FEC"/>
    <w:rsid w:val="004E0D6A"/>
    <w:rsid w:val="004E2C26"/>
    <w:rsid w:val="004E61A7"/>
    <w:rsid w:val="004F36FF"/>
    <w:rsid w:val="00506A78"/>
    <w:rsid w:val="005125A8"/>
    <w:rsid w:val="00516DED"/>
    <w:rsid w:val="00517BC7"/>
    <w:rsid w:val="00521AE8"/>
    <w:rsid w:val="00524449"/>
    <w:rsid w:val="00527180"/>
    <w:rsid w:val="005341CE"/>
    <w:rsid w:val="00534AB2"/>
    <w:rsid w:val="00536615"/>
    <w:rsid w:val="0054201E"/>
    <w:rsid w:val="00547FB8"/>
    <w:rsid w:val="005541DB"/>
    <w:rsid w:val="00555291"/>
    <w:rsid w:val="0056265A"/>
    <w:rsid w:val="00566AD1"/>
    <w:rsid w:val="0057257D"/>
    <w:rsid w:val="00575FF2"/>
    <w:rsid w:val="00583EDE"/>
    <w:rsid w:val="00586928"/>
    <w:rsid w:val="005966EF"/>
    <w:rsid w:val="005A4F85"/>
    <w:rsid w:val="005A6079"/>
    <w:rsid w:val="005C617A"/>
    <w:rsid w:val="005C7840"/>
    <w:rsid w:val="005E4698"/>
    <w:rsid w:val="006003EE"/>
    <w:rsid w:val="006055B2"/>
    <w:rsid w:val="00610539"/>
    <w:rsid w:val="00613969"/>
    <w:rsid w:val="0061523C"/>
    <w:rsid w:val="00617208"/>
    <w:rsid w:val="00625C35"/>
    <w:rsid w:val="00626A7D"/>
    <w:rsid w:val="0062787A"/>
    <w:rsid w:val="00635521"/>
    <w:rsid w:val="006468AB"/>
    <w:rsid w:val="0065050D"/>
    <w:rsid w:val="00656313"/>
    <w:rsid w:val="006565F4"/>
    <w:rsid w:val="0066108F"/>
    <w:rsid w:val="00666098"/>
    <w:rsid w:val="006763FD"/>
    <w:rsid w:val="00684EEA"/>
    <w:rsid w:val="006908E8"/>
    <w:rsid w:val="0069689B"/>
    <w:rsid w:val="006A1551"/>
    <w:rsid w:val="006A48DB"/>
    <w:rsid w:val="006B5FF5"/>
    <w:rsid w:val="006B7683"/>
    <w:rsid w:val="006D4200"/>
    <w:rsid w:val="006D65A1"/>
    <w:rsid w:val="006F30AF"/>
    <w:rsid w:val="006F7FA0"/>
    <w:rsid w:val="007009A0"/>
    <w:rsid w:val="00701759"/>
    <w:rsid w:val="00701CF2"/>
    <w:rsid w:val="00705C15"/>
    <w:rsid w:val="00712E55"/>
    <w:rsid w:val="00713025"/>
    <w:rsid w:val="00714103"/>
    <w:rsid w:val="007154A1"/>
    <w:rsid w:val="0071600E"/>
    <w:rsid w:val="007162FD"/>
    <w:rsid w:val="00717FDC"/>
    <w:rsid w:val="007208D1"/>
    <w:rsid w:val="0072428C"/>
    <w:rsid w:val="0072436C"/>
    <w:rsid w:val="00730177"/>
    <w:rsid w:val="00742119"/>
    <w:rsid w:val="00742337"/>
    <w:rsid w:val="00744F09"/>
    <w:rsid w:val="00747288"/>
    <w:rsid w:val="00747DD3"/>
    <w:rsid w:val="007549C8"/>
    <w:rsid w:val="00754A0B"/>
    <w:rsid w:val="00766D14"/>
    <w:rsid w:val="00767A0F"/>
    <w:rsid w:val="00775C3E"/>
    <w:rsid w:val="00796207"/>
    <w:rsid w:val="007A05F6"/>
    <w:rsid w:val="007B1289"/>
    <w:rsid w:val="007B3D74"/>
    <w:rsid w:val="007B6F4A"/>
    <w:rsid w:val="007B7758"/>
    <w:rsid w:val="007D097E"/>
    <w:rsid w:val="007E1C47"/>
    <w:rsid w:val="007E337A"/>
    <w:rsid w:val="007E5C70"/>
    <w:rsid w:val="007F2FF5"/>
    <w:rsid w:val="007F3F08"/>
    <w:rsid w:val="00801B60"/>
    <w:rsid w:val="00804CC6"/>
    <w:rsid w:val="00813B48"/>
    <w:rsid w:val="00817190"/>
    <w:rsid w:val="00820223"/>
    <w:rsid w:val="00820EE5"/>
    <w:rsid w:val="008244E9"/>
    <w:rsid w:val="008260E2"/>
    <w:rsid w:val="008322BD"/>
    <w:rsid w:val="008323C4"/>
    <w:rsid w:val="00833E0A"/>
    <w:rsid w:val="00834F73"/>
    <w:rsid w:val="00847F55"/>
    <w:rsid w:val="008544FA"/>
    <w:rsid w:val="00864CF8"/>
    <w:rsid w:val="00872819"/>
    <w:rsid w:val="00874914"/>
    <w:rsid w:val="00883F8A"/>
    <w:rsid w:val="00891422"/>
    <w:rsid w:val="00892E1A"/>
    <w:rsid w:val="008A3F29"/>
    <w:rsid w:val="008B660A"/>
    <w:rsid w:val="008B70F9"/>
    <w:rsid w:val="008C01DA"/>
    <w:rsid w:val="008C02C9"/>
    <w:rsid w:val="008C7263"/>
    <w:rsid w:val="008D2104"/>
    <w:rsid w:val="008E18E5"/>
    <w:rsid w:val="008E3C2D"/>
    <w:rsid w:val="008F78E9"/>
    <w:rsid w:val="009021D3"/>
    <w:rsid w:val="00903C32"/>
    <w:rsid w:val="00911989"/>
    <w:rsid w:val="009179F9"/>
    <w:rsid w:val="0093031F"/>
    <w:rsid w:val="00931C1C"/>
    <w:rsid w:val="00933E5E"/>
    <w:rsid w:val="00935218"/>
    <w:rsid w:val="009403F3"/>
    <w:rsid w:val="00953701"/>
    <w:rsid w:val="009555B7"/>
    <w:rsid w:val="009567AA"/>
    <w:rsid w:val="0096473A"/>
    <w:rsid w:val="00967374"/>
    <w:rsid w:val="0097525A"/>
    <w:rsid w:val="00976EB5"/>
    <w:rsid w:val="00981B4D"/>
    <w:rsid w:val="00982D32"/>
    <w:rsid w:val="00983AF6"/>
    <w:rsid w:val="009956D6"/>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46FB0"/>
    <w:rsid w:val="00A52AFB"/>
    <w:rsid w:val="00A548CB"/>
    <w:rsid w:val="00A5521C"/>
    <w:rsid w:val="00A557A1"/>
    <w:rsid w:val="00A55CEF"/>
    <w:rsid w:val="00A643E7"/>
    <w:rsid w:val="00A73C38"/>
    <w:rsid w:val="00A75297"/>
    <w:rsid w:val="00A9085B"/>
    <w:rsid w:val="00AB59C4"/>
    <w:rsid w:val="00AB670D"/>
    <w:rsid w:val="00AC6FA4"/>
    <w:rsid w:val="00AD2826"/>
    <w:rsid w:val="00AD342F"/>
    <w:rsid w:val="00AE25FE"/>
    <w:rsid w:val="00AE4535"/>
    <w:rsid w:val="00AF03C5"/>
    <w:rsid w:val="00AF0B26"/>
    <w:rsid w:val="00AF4773"/>
    <w:rsid w:val="00AF49CC"/>
    <w:rsid w:val="00B000D8"/>
    <w:rsid w:val="00B00F75"/>
    <w:rsid w:val="00B0409C"/>
    <w:rsid w:val="00B11735"/>
    <w:rsid w:val="00B1431F"/>
    <w:rsid w:val="00B145B6"/>
    <w:rsid w:val="00B2215E"/>
    <w:rsid w:val="00B279EB"/>
    <w:rsid w:val="00B30E18"/>
    <w:rsid w:val="00B32357"/>
    <w:rsid w:val="00B43559"/>
    <w:rsid w:val="00B50C81"/>
    <w:rsid w:val="00B557F8"/>
    <w:rsid w:val="00B56AAF"/>
    <w:rsid w:val="00B62F10"/>
    <w:rsid w:val="00B67199"/>
    <w:rsid w:val="00B815FC"/>
    <w:rsid w:val="00B838B8"/>
    <w:rsid w:val="00B93FBC"/>
    <w:rsid w:val="00BA066D"/>
    <w:rsid w:val="00BA7DA0"/>
    <w:rsid w:val="00BB2366"/>
    <w:rsid w:val="00BB2EE4"/>
    <w:rsid w:val="00BB5AE6"/>
    <w:rsid w:val="00BC2108"/>
    <w:rsid w:val="00BC5642"/>
    <w:rsid w:val="00BD0E9E"/>
    <w:rsid w:val="00BD1BEC"/>
    <w:rsid w:val="00BD32FF"/>
    <w:rsid w:val="00BD67ED"/>
    <w:rsid w:val="00BE7206"/>
    <w:rsid w:val="00C02092"/>
    <w:rsid w:val="00C179A0"/>
    <w:rsid w:val="00C22905"/>
    <w:rsid w:val="00C229CD"/>
    <w:rsid w:val="00C24D91"/>
    <w:rsid w:val="00C31D39"/>
    <w:rsid w:val="00C46168"/>
    <w:rsid w:val="00C53F14"/>
    <w:rsid w:val="00C600CF"/>
    <w:rsid w:val="00C6084F"/>
    <w:rsid w:val="00C62A66"/>
    <w:rsid w:val="00C62FD6"/>
    <w:rsid w:val="00C71458"/>
    <w:rsid w:val="00C77613"/>
    <w:rsid w:val="00C828E7"/>
    <w:rsid w:val="00C86719"/>
    <w:rsid w:val="00C921DD"/>
    <w:rsid w:val="00CA6391"/>
    <w:rsid w:val="00CA7B39"/>
    <w:rsid w:val="00CB4771"/>
    <w:rsid w:val="00CB5B04"/>
    <w:rsid w:val="00CC34BD"/>
    <w:rsid w:val="00CE161A"/>
    <w:rsid w:val="00CE3171"/>
    <w:rsid w:val="00CE574A"/>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0CBB"/>
    <w:rsid w:val="00D7516F"/>
    <w:rsid w:val="00D83628"/>
    <w:rsid w:val="00D8579F"/>
    <w:rsid w:val="00D8628D"/>
    <w:rsid w:val="00D90B9E"/>
    <w:rsid w:val="00D91A89"/>
    <w:rsid w:val="00D95F8E"/>
    <w:rsid w:val="00DA0590"/>
    <w:rsid w:val="00DB342C"/>
    <w:rsid w:val="00DB7BEA"/>
    <w:rsid w:val="00DC1739"/>
    <w:rsid w:val="00DC1788"/>
    <w:rsid w:val="00DC2F37"/>
    <w:rsid w:val="00DD105B"/>
    <w:rsid w:val="00DE319C"/>
    <w:rsid w:val="00DE54B0"/>
    <w:rsid w:val="00DF0CA8"/>
    <w:rsid w:val="00DF2B48"/>
    <w:rsid w:val="00DF49A7"/>
    <w:rsid w:val="00E07EE2"/>
    <w:rsid w:val="00E07FD1"/>
    <w:rsid w:val="00E1000C"/>
    <w:rsid w:val="00E10A5C"/>
    <w:rsid w:val="00E176D8"/>
    <w:rsid w:val="00E24573"/>
    <w:rsid w:val="00E25E1E"/>
    <w:rsid w:val="00E27EE7"/>
    <w:rsid w:val="00E31D67"/>
    <w:rsid w:val="00E3214F"/>
    <w:rsid w:val="00E333F9"/>
    <w:rsid w:val="00E35404"/>
    <w:rsid w:val="00E45109"/>
    <w:rsid w:val="00E47B7A"/>
    <w:rsid w:val="00E5476E"/>
    <w:rsid w:val="00E56A44"/>
    <w:rsid w:val="00E60269"/>
    <w:rsid w:val="00E653D0"/>
    <w:rsid w:val="00E65A2E"/>
    <w:rsid w:val="00E71951"/>
    <w:rsid w:val="00E77932"/>
    <w:rsid w:val="00E83FDA"/>
    <w:rsid w:val="00E92347"/>
    <w:rsid w:val="00E97830"/>
    <w:rsid w:val="00EA1D3B"/>
    <w:rsid w:val="00EB0D87"/>
    <w:rsid w:val="00ED681A"/>
    <w:rsid w:val="00EE0B3C"/>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anlii.ca/t/jb9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F7E2-2104-4488-BBE6-91B57B81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3555</Characters>
  <Application>Microsoft Office Word</Application>
  <DocSecurity>0</DocSecurity>
  <Lines>29</Lines>
  <Paragraphs>8</Paragraphs>
  <ScaleCrop>false</ScaleCrop>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2022-12-21T14:42:00Z</dcterms:created>
  <dcterms:modified xsi:type="dcterms:W3CDTF">2022-12-21T14:42:00Z</dcterms:modified>
</cp:coreProperties>
</file>