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90"/>
        <w:gridCol w:w="2074"/>
        <w:gridCol w:w="3577"/>
        <w:gridCol w:w="19"/>
      </w:tblGrid>
      <w:tr w:rsidR="002909F6" w:rsidRPr="007B1969" w:rsidTr="00796207">
        <w:trPr>
          <w:trHeight w:val="1786"/>
        </w:trPr>
        <w:tc>
          <w:tcPr>
            <w:tcW w:w="5000" w:type="pct"/>
            <w:gridSpan w:val="4"/>
          </w:tcPr>
          <w:p w:rsidR="002909F6" w:rsidRPr="007B1969" w:rsidRDefault="00820223" w:rsidP="00E92347">
            <w:pPr>
              <w:jc w:val="center"/>
            </w:pPr>
            <w:r w:rsidRPr="007B1969">
              <w:rPr>
                <w:noProof/>
                <w:lang w:val="fr-CA" w:eastAsia="fr-CA"/>
              </w:rPr>
              <w:drawing>
                <wp:inline distT="0" distB="0" distL="0" distR="0" wp14:anchorId="7BB4B827" wp14:editId="5F099E29">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2909F6" w:rsidRPr="007B1969" w:rsidRDefault="002909F6" w:rsidP="00D22128">
            <w:pPr>
              <w:spacing w:before="120" w:after="100" w:afterAutospacing="1"/>
              <w:jc w:val="center"/>
              <w:rPr>
                <w:rFonts w:eastAsia="Calibri"/>
              </w:rPr>
            </w:pPr>
            <w:r w:rsidRPr="007B1969">
              <w:rPr>
                <w:rFonts w:eastAsia="Calibri"/>
                <w:b/>
                <w:szCs w:val="24"/>
                <w:lang w:eastAsia="en-US"/>
              </w:rPr>
              <w:t>COUR SUPRÊME DU CANADA</w:t>
            </w:r>
          </w:p>
        </w:tc>
      </w:tr>
      <w:tr w:rsidR="002909F6" w:rsidRPr="007B1969" w:rsidTr="001708F9">
        <w:trPr>
          <w:gridAfter w:val="1"/>
          <w:wAfter w:w="10" w:type="pct"/>
        </w:trPr>
        <w:tc>
          <w:tcPr>
            <w:tcW w:w="1971" w:type="pct"/>
            <w:tcMar>
              <w:top w:w="284" w:type="dxa"/>
            </w:tcMar>
          </w:tcPr>
          <w:p w:rsidR="002909F6" w:rsidRPr="007B1969" w:rsidRDefault="002909F6" w:rsidP="00425158">
            <w:pPr>
              <w:spacing w:before="100" w:beforeAutospacing="1"/>
              <w:rPr>
                <w:rFonts w:eastAsia="Calibri"/>
                <w:lang w:val="fr-CA"/>
              </w:rPr>
            </w:pPr>
            <w:r w:rsidRPr="007B1969">
              <w:rPr>
                <w:b/>
                <w:smallCaps/>
                <w:lang w:val="fr-CA"/>
              </w:rPr>
              <w:t>Référence :</w:t>
            </w:r>
            <w:r w:rsidRPr="007B1969">
              <w:rPr>
                <w:lang w:val="fr-CA"/>
              </w:rPr>
              <w:t xml:space="preserve"> </w:t>
            </w:r>
            <w:r w:rsidR="00575FF2" w:rsidRPr="007B1969">
              <w:rPr>
                <w:lang w:val="fr-CA"/>
              </w:rPr>
              <w:t xml:space="preserve">R. </w:t>
            </w:r>
            <w:r w:rsidR="00575FF2" w:rsidRPr="007B1969">
              <w:rPr>
                <w:i/>
                <w:lang w:val="fr-CA"/>
              </w:rPr>
              <w:t>c.</w:t>
            </w:r>
            <w:r w:rsidR="00B0409C" w:rsidRPr="007B1969">
              <w:rPr>
                <w:lang w:val="fr-CA"/>
              </w:rPr>
              <w:t xml:space="preserve"> </w:t>
            </w:r>
            <w:r w:rsidR="007E5375" w:rsidRPr="007B1969">
              <w:rPr>
                <w:bCs/>
                <w:lang w:val="fr-CA"/>
              </w:rPr>
              <w:t>D.R.</w:t>
            </w:r>
            <w:r w:rsidR="00445C7C" w:rsidRPr="007B1969">
              <w:rPr>
                <w:lang w:val="fr-CA"/>
              </w:rPr>
              <w:t>, 2022</w:t>
            </w:r>
            <w:r w:rsidR="00B0409C" w:rsidRPr="007B1969">
              <w:rPr>
                <w:lang w:val="fr-CA"/>
              </w:rPr>
              <w:t xml:space="preserve"> CSC </w:t>
            </w:r>
            <w:r w:rsidR="007E5375" w:rsidRPr="007B1969">
              <w:rPr>
                <w:lang w:val="fr-CA"/>
              </w:rPr>
              <w:t>50</w:t>
            </w:r>
          </w:p>
        </w:tc>
        <w:tc>
          <w:tcPr>
            <w:tcW w:w="1108" w:type="pct"/>
          </w:tcPr>
          <w:p w:rsidR="002909F6" w:rsidRPr="007B1969" w:rsidRDefault="002909F6" w:rsidP="00CB5B04">
            <w:pPr>
              <w:rPr>
                <w:b/>
                <w:smallCaps/>
                <w:lang w:val="fr-CA"/>
              </w:rPr>
            </w:pPr>
          </w:p>
        </w:tc>
        <w:tc>
          <w:tcPr>
            <w:tcW w:w="1911" w:type="pct"/>
            <w:tcMar>
              <w:top w:w="284" w:type="dxa"/>
            </w:tcMar>
          </w:tcPr>
          <w:p w:rsidR="002909F6" w:rsidRPr="007B1969" w:rsidRDefault="002909F6" w:rsidP="00CB5B04">
            <w:pPr>
              <w:rPr>
                <w:lang w:val="fr-CA"/>
              </w:rPr>
            </w:pPr>
            <w:r w:rsidRPr="007B1969">
              <w:rPr>
                <w:b/>
                <w:smallCaps/>
                <w:lang w:val="fr-CA"/>
              </w:rPr>
              <w:t>Appel entendu :</w:t>
            </w:r>
            <w:r w:rsidRPr="007B1969">
              <w:rPr>
                <w:lang w:val="fr-CA"/>
              </w:rPr>
              <w:t xml:space="preserve"> </w:t>
            </w:r>
            <w:r w:rsidR="007E5375" w:rsidRPr="007B1969">
              <w:rPr>
                <w:lang w:val="fr-CA"/>
              </w:rPr>
              <w:t>1</w:t>
            </w:r>
            <w:r w:rsidR="007E5375" w:rsidRPr="007B1969">
              <w:rPr>
                <w:vertAlign w:val="superscript"/>
                <w:lang w:val="fr-CA"/>
              </w:rPr>
              <w:t>er</w:t>
            </w:r>
            <w:r w:rsidR="007E5375" w:rsidRPr="007B1969">
              <w:rPr>
                <w:lang w:val="fr-CA"/>
              </w:rPr>
              <w:t xml:space="preserve"> décembre</w:t>
            </w:r>
            <w:r w:rsidR="00445C7C" w:rsidRPr="007B1969">
              <w:rPr>
                <w:lang w:val="fr-CA"/>
              </w:rPr>
              <w:t xml:space="preserve"> 2022</w:t>
            </w:r>
          </w:p>
          <w:p w:rsidR="002909F6" w:rsidRPr="007B1969" w:rsidRDefault="002909F6" w:rsidP="00CB5B04">
            <w:pPr>
              <w:rPr>
                <w:b/>
                <w:smallCaps/>
                <w:lang w:val="fr-CA"/>
              </w:rPr>
            </w:pPr>
            <w:r w:rsidRPr="007B1969">
              <w:rPr>
                <w:b/>
                <w:smallCaps/>
                <w:lang w:val="fr-CA"/>
              </w:rPr>
              <w:t xml:space="preserve">Jugement rendu : </w:t>
            </w:r>
            <w:r w:rsidR="007E5375" w:rsidRPr="007B1969">
              <w:rPr>
                <w:lang w:val="fr-CA"/>
              </w:rPr>
              <w:t>1</w:t>
            </w:r>
            <w:r w:rsidR="007E5375" w:rsidRPr="007B1969">
              <w:rPr>
                <w:vertAlign w:val="superscript"/>
                <w:lang w:val="fr-CA"/>
              </w:rPr>
              <w:t>er</w:t>
            </w:r>
            <w:r w:rsidR="007E5375" w:rsidRPr="007B1969">
              <w:rPr>
                <w:lang w:val="fr-CA"/>
              </w:rPr>
              <w:t xml:space="preserve"> décembre </w:t>
            </w:r>
            <w:r w:rsidR="00445C7C" w:rsidRPr="007B1969">
              <w:rPr>
                <w:lang w:val="fr-CA"/>
              </w:rPr>
              <w:t>2022</w:t>
            </w:r>
          </w:p>
          <w:p w:rsidR="002909F6" w:rsidRPr="007B1969" w:rsidRDefault="002909F6" w:rsidP="00C31D39">
            <w:pPr>
              <w:rPr>
                <w:rFonts w:eastAsia="Calibri"/>
                <w:lang w:val="fr-CA"/>
              </w:rPr>
            </w:pPr>
            <w:r w:rsidRPr="007B1969">
              <w:rPr>
                <w:b/>
                <w:smallCaps/>
                <w:lang w:val="fr-CA"/>
              </w:rPr>
              <w:t>Dossier :</w:t>
            </w:r>
            <w:r w:rsidRPr="007B1969">
              <w:rPr>
                <w:lang w:val="fr-CA"/>
              </w:rPr>
              <w:t xml:space="preserve"> </w:t>
            </w:r>
            <w:r w:rsidR="007E5375" w:rsidRPr="007B1969">
              <w:rPr>
                <w:lang w:val="fr-CA"/>
              </w:rPr>
              <w:t>40039</w:t>
            </w:r>
          </w:p>
        </w:tc>
      </w:tr>
      <w:tr w:rsidR="002909F6" w:rsidRPr="007B1969" w:rsidTr="00B1431F">
        <w:tc>
          <w:tcPr>
            <w:tcW w:w="5000" w:type="pct"/>
            <w:gridSpan w:val="4"/>
          </w:tcPr>
          <w:p w:rsidR="00506A78" w:rsidRPr="007B1969" w:rsidRDefault="00506A78" w:rsidP="00883F8A">
            <w:pPr>
              <w:rPr>
                <w:rFonts w:eastAsiaTheme="minorHAnsi" w:cstheme="minorBidi"/>
                <w:b/>
                <w:smallCaps/>
                <w:szCs w:val="24"/>
                <w:lang w:val="fr-CA" w:eastAsia="en-US"/>
              </w:rPr>
            </w:pPr>
          </w:p>
          <w:p w:rsidR="00883F8A" w:rsidRPr="007B1969" w:rsidRDefault="00B0409C" w:rsidP="00883F8A">
            <w:pPr>
              <w:rPr>
                <w:rFonts w:eastAsiaTheme="minorHAnsi" w:cstheme="minorBidi"/>
                <w:b/>
                <w:smallCaps/>
                <w:szCs w:val="24"/>
                <w:lang w:val="fr-CA" w:eastAsia="en-US"/>
              </w:rPr>
            </w:pPr>
            <w:r w:rsidRPr="007B1969">
              <w:rPr>
                <w:rFonts w:eastAsiaTheme="minorHAnsi" w:cstheme="minorBidi"/>
                <w:b/>
                <w:smallCaps/>
                <w:szCs w:val="24"/>
                <w:lang w:val="fr-CA" w:eastAsia="en-US"/>
              </w:rPr>
              <w:t>Entre </w:t>
            </w:r>
            <w:r w:rsidR="00883F8A" w:rsidRPr="007B1969">
              <w:rPr>
                <w:rFonts w:eastAsiaTheme="minorHAnsi" w:cstheme="minorBidi"/>
                <w:b/>
                <w:smallCaps/>
                <w:szCs w:val="24"/>
                <w:lang w:val="fr-CA" w:eastAsia="en-US"/>
              </w:rPr>
              <w:t>:</w:t>
            </w:r>
          </w:p>
          <w:p w:rsidR="00E04080" w:rsidRPr="007B1969" w:rsidRDefault="00E04080" w:rsidP="00883F8A">
            <w:pPr>
              <w:rPr>
                <w:rFonts w:eastAsiaTheme="minorHAnsi" w:cstheme="minorBidi"/>
                <w:b/>
                <w:smallCaps/>
                <w:szCs w:val="24"/>
                <w:lang w:val="fr-CA" w:eastAsia="en-US"/>
              </w:rPr>
            </w:pPr>
          </w:p>
          <w:p w:rsidR="006B4F1D" w:rsidRPr="007B1969" w:rsidRDefault="007E5375" w:rsidP="00883F8A">
            <w:pPr>
              <w:jc w:val="center"/>
              <w:rPr>
                <w:rFonts w:eastAsiaTheme="minorHAnsi" w:cstheme="minorBidi"/>
                <w:b/>
                <w:bCs/>
                <w:szCs w:val="24"/>
                <w:lang w:val="fr-CA" w:eastAsia="en-US"/>
              </w:rPr>
            </w:pPr>
            <w:r w:rsidRPr="007B1969">
              <w:rPr>
                <w:rFonts w:eastAsiaTheme="minorHAnsi" w:cstheme="minorBidi"/>
                <w:b/>
                <w:bCs/>
                <w:szCs w:val="24"/>
                <w:lang w:val="fr-CA" w:eastAsia="en-US"/>
              </w:rPr>
              <w:t>D.R.</w:t>
            </w:r>
          </w:p>
          <w:p w:rsidR="00883F8A" w:rsidRPr="007B1969" w:rsidRDefault="00883F8A" w:rsidP="00883F8A">
            <w:pPr>
              <w:jc w:val="center"/>
              <w:rPr>
                <w:rFonts w:eastAsiaTheme="minorHAnsi" w:cstheme="minorBidi"/>
                <w:szCs w:val="24"/>
                <w:lang w:val="fr-CA" w:eastAsia="en-US"/>
              </w:rPr>
            </w:pPr>
            <w:r w:rsidRPr="007B1969">
              <w:rPr>
                <w:rFonts w:eastAsiaTheme="minorHAnsi" w:cstheme="minorBidi"/>
                <w:szCs w:val="24"/>
                <w:lang w:val="fr-CA" w:eastAsia="en-US"/>
              </w:rPr>
              <w:t>Appelant</w:t>
            </w:r>
          </w:p>
          <w:p w:rsidR="00883F8A" w:rsidRPr="007B1969" w:rsidRDefault="00883F8A" w:rsidP="00883F8A">
            <w:pPr>
              <w:jc w:val="center"/>
              <w:rPr>
                <w:rFonts w:eastAsiaTheme="minorHAnsi" w:cstheme="minorBidi"/>
                <w:szCs w:val="24"/>
                <w:lang w:val="fr-CA" w:eastAsia="en-US"/>
              </w:rPr>
            </w:pPr>
          </w:p>
          <w:p w:rsidR="00883F8A" w:rsidRPr="007B1969" w:rsidRDefault="00883F8A" w:rsidP="00883F8A">
            <w:pPr>
              <w:jc w:val="center"/>
              <w:rPr>
                <w:rFonts w:eastAsiaTheme="minorHAnsi" w:cstheme="minorBidi"/>
                <w:szCs w:val="24"/>
                <w:lang w:val="fr-CA" w:eastAsia="en-US"/>
              </w:rPr>
            </w:pPr>
            <w:r w:rsidRPr="007B1969">
              <w:rPr>
                <w:rFonts w:eastAsiaTheme="minorHAnsi" w:cstheme="minorBidi"/>
                <w:szCs w:val="24"/>
                <w:lang w:val="fr-CA" w:eastAsia="en-US"/>
              </w:rPr>
              <w:t>et</w:t>
            </w:r>
          </w:p>
          <w:p w:rsidR="00883F8A" w:rsidRPr="007B1969" w:rsidRDefault="00883F8A" w:rsidP="00883F8A">
            <w:pPr>
              <w:jc w:val="center"/>
              <w:rPr>
                <w:rFonts w:eastAsiaTheme="minorHAnsi" w:cstheme="minorBidi"/>
                <w:szCs w:val="24"/>
                <w:lang w:val="fr-CA" w:eastAsia="en-US"/>
              </w:rPr>
            </w:pPr>
          </w:p>
          <w:p w:rsidR="00445C7C" w:rsidRPr="007B1969" w:rsidRDefault="007E5375" w:rsidP="006F7FA0">
            <w:pPr>
              <w:jc w:val="center"/>
              <w:rPr>
                <w:rFonts w:eastAsiaTheme="minorHAnsi" w:cstheme="minorBidi"/>
                <w:b/>
                <w:szCs w:val="24"/>
                <w:lang w:val="fr-CA" w:eastAsia="en-US"/>
              </w:rPr>
            </w:pPr>
            <w:r w:rsidRPr="007B1969">
              <w:rPr>
                <w:rFonts w:eastAsiaTheme="minorHAnsi" w:cstheme="minorBidi"/>
                <w:b/>
                <w:bCs/>
                <w:szCs w:val="24"/>
                <w:lang w:val="fr-CA" w:eastAsia="en-US"/>
              </w:rPr>
              <w:t>Sa Majesté le Roi</w:t>
            </w:r>
          </w:p>
          <w:p w:rsidR="002909F6" w:rsidRPr="007B1969" w:rsidRDefault="00022F2E" w:rsidP="006F7FA0">
            <w:pPr>
              <w:jc w:val="center"/>
              <w:rPr>
                <w:rFonts w:eastAsiaTheme="minorHAnsi" w:cstheme="minorBidi"/>
                <w:szCs w:val="24"/>
                <w:lang w:val="fr-CA" w:eastAsia="en-US"/>
              </w:rPr>
            </w:pPr>
            <w:r w:rsidRPr="007B1969">
              <w:rPr>
                <w:rFonts w:eastAsiaTheme="minorHAnsi" w:cstheme="minorBidi"/>
                <w:szCs w:val="24"/>
                <w:lang w:val="fr-CA" w:eastAsia="en-US"/>
              </w:rPr>
              <w:t>Intimé</w:t>
            </w:r>
          </w:p>
          <w:p w:rsidR="006F7FA0" w:rsidRPr="007B1969" w:rsidRDefault="006F7FA0" w:rsidP="00425158">
            <w:pPr>
              <w:rPr>
                <w:rFonts w:eastAsiaTheme="minorHAnsi" w:cstheme="minorBidi"/>
                <w:szCs w:val="24"/>
                <w:lang w:val="fr-CA" w:eastAsia="en-US"/>
              </w:rPr>
            </w:pPr>
          </w:p>
          <w:p w:rsidR="00E1000C" w:rsidRPr="007B1969" w:rsidRDefault="00E1000C" w:rsidP="006F7FA0">
            <w:pPr>
              <w:jc w:val="center"/>
              <w:rPr>
                <w:rFonts w:eastAsiaTheme="minorHAnsi" w:cstheme="minorBidi"/>
                <w:szCs w:val="24"/>
                <w:lang w:val="fr-CA" w:eastAsia="en-US"/>
              </w:rPr>
            </w:pPr>
          </w:p>
          <w:p w:rsidR="00E1000C" w:rsidRPr="007B1969" w:rsidRDefault="00E1000C" w:rsidP="006F7FA0">
            <w:pPr>
              <w:jc w:val="center"/>
              <w:rPr>
                <w:rFonts w:eastAsiaTheme="minorHAnsi" w:cstheme="minorBidi"/>
                <w:szCs w:val="24"/>
                <w:lang w:val="fr-CA" w:eastAsia="en-US"/>
              </w:rPr>
            </w:pPr>
            <w:r w:rsidRPr="007B1969">
              <w:rPr>
                <w:b/>
                <w:smallCaps/>
                <w:lang w:val="fr-CA"/>
              </w:rPr>
              <w:t>Traduction française officielle</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237"/>
        <w:gridCol w:w="7102"/>
        <w:gridCol w:w="21"/>
      </w:tblGrid>
      <w:tr w:rsidR="00E92347" w:rsidRPr="00346C0F" w:rsidTr="00E92347">
        <w:trPr>
          <w:cantSplit/>
          <w:trHeight w:val="508"/>
        </w:trPr>
        <w:tc>
          <w:tcPr>
            <w:tcW w:w="5000" w:type="pct"/>
            <w:gridSpan w:val="3"/>
            <w:tcMar>
              <w:top w:w="284" w:type="dxa"/>
              <w:bottom w:w="57" w:type="dxa"/>
            </w:tcMar>
            <w:vAlign w:val="center"/>
          </w:tcPr>
          <w:p w:rsidR="00EC34E9" w:rsidRPr="007B1969" w:rsidRDefault="00CB5B04" w:rsidP="00EC34E9">
            <w:pPr>
              <w:rPr>
                <w:lang w:val="fr-CA"/>
              </w:rPr>
            </w:pPr>
            <w:r w:rsidRPr="007B1969">
              <w:rPr>
                <w:b/>
                <w:smallCaps/>
                <w:lang w:val="fr-CA"/>
              </w:rPr>
              <w:t>Coram :</w:t>
            </w:r>
            <w:r w:rsidRPr="007B1969">
              <w:rPr>
                <w:lang w:val="fr-CA"/>
              </w:rPr>
              <w:t xml:space="preserve"> </w:t>
            </w:r>
            <w:r w:rsidR="0088005E" w:rsidRPr="007B1969">
              <w:rPr>
                <w:lang w:val="fr-CA"/>
              </w:rPr>
              <w:t>Les juges Rowe, Martin, Kasirer, Jamal et O’Bonsawin</w:t>
            </w:r>
          </w:p>
          <w:p w:rsidR="00E92347" w:rsidRPr="007B1969" w:rsidRDefault="00E92347" w:rsidP="00E1000C">
            <w:pPr>
              <w:rPr>
                <w:lang w:val="fr-CA"/>
              </w:rPr>
            </w:pPr>
          </w:p>
        </w:tc>
      </w:tr>
      <w:tr w:rsidR="005966EF" w:rsidRPr="007B1969" w:rsidTr="0026412B">
        <w:trPr>
          <w:gridAfter w:val="1"/>
          <w:wAfter w:w="11" w:type="pct"/>
          <w:cantSplit/>
        </w:trPr>
        <w:tc>
          <w:tcPr>
            <w:tcW w:w="1195" w:type="pct"/>
            <w:tcMar>
              <w:top w:w="284" w:type="dxa"/>
              <w:bottom w:w="57" w:type="dxa"/>
            </w:tcMar>
            <w:vAlign w:val="center"/>
          </w:tcPr>
          <w:p w:rsidR="005966EF" w:rsidRPr="007B1969" w:rsidRDefault="0000725A" w:rsidP="0026412B">
            <w:pPr>
              <w:rPr>
                <w:b/>
                <w:smallCaps/>
                <w:lang w:val="fr-CA"/>
              </w:rPr>
            </w:pPr>
            <w:r w:rsidRPr="007B1969">
              <w:rPr>
                <w:b/>
                <w:bCs/>
                <w:smallCaps/>
                <w:color w:val="000000"/>
                <w:lang w:val="fr-CA"/>
              </w:rPr>
              <w:t>Jugement unanime lu par :</w:t>
            </w:r>
            <w:r w:rsidR="005966EF" w:rsidRPr="007B1969">
              <w:rPr>
                <w:b/>
                <w:smallCaps/>
                <w:lang w:val="fr-CA"/>
              </w:rPr>
              <w:t xml:space="preserve"> </w:t>
            </w:r>
          </w:p>
          <w:p w:rsidR="005966EF" w:rsidRPr="007B1969" w:rsidRDefault="005966EF" w:rsidP="00DC4D23">
            <w:pPr>
              <w:rPr>
                <w:b/>
                <w:smallCaps/>
                <w:lang w:val="fr-CA"/>
              </w:rPr>
            </w:pPr>
            <w:r w:rsidRPr="007B1969">
              <w:rPr>
                <w:lang w:val="fr-CA"/>
              </w:rPr>
              <w:t>(</w:t>
            </w:r>
            <w:r w:rsidR="002D3505" w:rsidRPr="007B1969">
              <w:rPr>
                <w:lang w:val="fr-CA"/>
              </w:rPr>
              <w:t>par. </w:t>
            </w:r>
            <w:r w:rsidR="00EB0D87" w:rsidRPr="007B1969">
              <w:rPr>
                <w:lang w:val="fr-CA"/>
              </w:rPr>
              <w:t>1</w:t>
            </w:r>
            <w:r w:rsidR="00B838B8" w:rsidRPr="007B1969">
              <w:rPr>
                <w:lang w:val="fr-CA"/>
              </w:rPr>
              <w:t xml:space="preserve"> à </w:t>
            </w:r>
            <w:r w:rsidR="00DC4D23" w:rsidRPr="007B1969">
              <w:rPr>
                <w:lang w:val="fr-CA"/>
              </w:rPr>
              <w:t>4</w:t>
            </w:r>
            <w:r w:rsidRPr="007B1969">
              <w:rPr>
                <w:lang w:val="fr-CA"/>
              </w:rPr>
              <w:t>)</w:t>
            </w:r>
          </w:p>
        </w:tc>
        <w:tc>
          <w:tcPr>
            <w:tcW w:w="3794" w:type="pct"/>
            <w:tcMar>
              <w:top w:w="284" w:type="dxa"/>
            </w:tcMar>
            <w:vAlign w:val="center"/>
          </w:tcPr>
          <w:p w:rsidR="00B1431F" w:rsidRPr="007B1969" w:rsidRDefault="00640645" w:rsidP="005D2568">
            <w:pPr>
              <w:rPr>
                <w:lang w:val="fr-CA"/>
              </w:rPr>
            </w:pPr>
            <w:r w:rsidRPr="007B1969">
              <w:rPr>
                <w:lang w:val="fr-CA"/>
              </w:rPr>
              <w:t xml:space="preserve">Le juge </w:t>
            </w:r>
            <w:r w:rsidR="005D2568" w:rsidRPr="007B1969">
              <w:rPr>
                <w:lang w:val="fr-CA"/>
              </w:rPr>
              <w:t>Rowe</w:t>
            </w:r>
          </w:p>
        </w:tc>
      </w:tr>
    </w:tbl>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9360"/>
      </w:tblGrid>
      <w:tr w:rsidR="00F43876" w:rsidRPr="007B1969" w:rsidTr="001708F9">
        <w:tc>
          <w:tcPr>
            <w:tcW w:w="9360" w:type="dxa"/>
          </w:tcPr>
          <w:p w:rsidR="00801B60" w:rsidRPr="007B1969" w:rsidRDefault="00801B60" w:rsidP="00346C0F">
            <w:pPr>
              <w:jc w:val="both"/>
              <w:rPr>
                <w:lang w:val="fr-CA"/>
              </w:rPr>
            </w:pPr>
          </w:p>
        </w:tc>
      </w:tr>
    </w:tbl>
    <w:p w:rsidR="007B3D74" w:rsidRPr="007B1969" w:rsidRDefault="00A9085B" w:rsidP="007B3D74">
      <w:pPr>
        <w:spacing w:before="100" w:beforeAutospacing="1"/>
        <w:rPr>
          <w:rFonts w:eastAsia="Calibri"/>
          <w:szCs w:val="24"/>
          <w:lang w:val="fr-CA" w:eastAsia="en-US"/>
        </w:rPr>
      </w:pPr>
      <w:r w:rsidRPr="007B1969">
        <w:rPr>
          <w:rFonts w:eastAsia="Calibri"/>
          <w:b/>
          <w:smallCaps/>
          <w:szCs w:val="24"/>
          <w:lang w:val="fr-CA" w:eastAsia="en-US"/>
        </w:rPr>
        <w:lastRenderedPageBreak/>
        <w:t>Note :</w:t>
      </w:r>
      <w:r w:rsidR="00C22905" w:rsidRPr="007B1969">
        <w:rPr>
          <w:rFonts w:eastAsia="Calibri"/>
          <w:szCs w:val="24"/>
          <w:lang w:val="fr-CA" w:eastAsia="en-US"/>
        </w:rPr>
        <w:t xml:space="preserve"> </w:t>
      </w:r>
      <w:r w:rsidRPr="007B1969">
        <w:rPr>
          <w:lang w:val="fr-CA"/>
        </w:rPr>
        <w:t xml:space="preserve">Ce document fera l’objet de retouches de forme avant la parution de sa version définitive dans le </w:t>
      </w:r>
      <w:r w:rsidRPr="007B1969">
        <w:rPr>
          <w:i/>
          <w:lang w:val="fr-CA"/>
        </w:rPr>
        <w:t>Recueil des arrêts de la Cour suprême du Canada</w:t>
      </w:r>
      <w:r w:rsidRPr="007B1969">
        <w:rPr>
          <w:lang w:val="fr-C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7B3D74" w:rsidRPr="00346C0F" w:rsidTr="00653AAD">
        <w:tc>
          <w:tcPr>
            <w:tcW w:w="1500" w:type="pct"/>
            <w:tcMar>
              <w:top w:w="284" w:type="dxa"/>
            </w:tcMar>
          </w:tcPr>
          <w:p w:rsidR="007B3D74" w:rsidRPr="007B1969" w:rsidRDefault="007B3D74" w:rsidP="00653AAD">
            <w:pPr>
              <w:rPr>
                <w:rFonts w:eastAsia="Calibri"/>
                <w:szCs w:val="24"/>
                <w:lang w:val="fr-CA" w:eastAsia="en-US"/>
              </w:rPr>
            </w:pPr>
          </w:p>
        </w:tc>
        <w:tc>
          <w:tcPr>
            <w:tcW w:w="2000" w:type="pct"/>
            <w:tcBorders>
              <w:bottom w:val="single" w:sz="4" w:space="0" w:color="auto"/>
            </w:tcBorders>
            <w:tcMar>
              <w:top w:w="284" w:type="dxa"/>
            </w:tcMar>
          </w:tcPr>
          <w:p w:rsidR="007B3D74" w:rsidRPr="007B1969" w:rsidRDefault="007B3D74" w:rsidP="00653AAD">
            <w:pPr>
              <w:rPr>
                <w:rFonts w:eastAsia="Calibri"/>
                <w:szCs w:val="24"/>
                <w:lang w:val="fr-CA" w:eastAsia="en-US"/>
              </w:rPr>
            </w:pPr>
          </w:p>
        </w:tc>
        <w:tc>
          <w:tcPr>
            <w:tcW w:w="1500" w:type="pct"/>
            <w:tcMar>
              <w:top w:w="284" w:type="dxa"/>
            </w:tcMar>
          </w:tcPr>
          <w:p w:rsidR="007B3D74" w:rsidRPr="007B1969" w:rsidRDefault="007B3D74" w:rsidP="00653AAD">
            <w:pPr>
              <w:rPr>
                <w:rFonts w:eastAsia="Calibri"/>
                <w:szCs w:val="24"/>
                <w:lang w:val="fr-CA" w:eastAsia="en-US"/>
              </w:rPr>
            </w:pPr>
          </w:p>
        </w:tc>
      </w:tr>
    </w:tbl>
    <w:p w:rsidR="00C22905" w:rsidRDefault="00C22905" w:rsidP="00346C0F">
      <w:pPr>
        <w:rPr>
          <w:rFonts w:eastAsia="Calibri"/>
          <w:szCs w:val="24"/>
          <w:lang w:val="fr-CA" w:eastAsia="en-US"/>
        </w:rPr>
      </w:pPr>
    </w:p>
    <w:p w:rsidR="00346C0F" w:rsidRDefault="00346C0F" w:rsidP="00346C0F">
      <w:pPr>
        <w:rPr>
          <w:rFonts w:eastAsia="Calibri"/>
          <w:szCs w:val="24"/>
          <w:lang w:val="fr-CA" w:eastAsia="en-US"/>
        </w:rPr>
      </w:pPr>
    </w:p>
    <w:p w:rsidR="00346C0F" w:rsidRPr="00346C0F" w:rsidRDefault="00346C0F" w:rsidP="00346C0F">
      <w:pPr>
        <w:tabs>
          <w:tab w:val="right" w:pos="8222"/>
        </w:tabs>
        <w:spacing w:after="720"/>
        <w:rPr>
          <w:b/>
          <w:lang w:val="fr-CA"/>
        </w:rPr>
      </w:pPr>
      <w:proofErr w:type="spellStart"/>
      <w:r w:rsidRPr="00346C0F">
        <w:rPr>
          <w:b/>
          <w:lang w:val="fr-CA"/>
        </w:rPr>
        <w:t>D.R</w:t>
      </w:r>
      <w:proofErr w:type="spellEnd"/>
      <w:r w:rsidRPr="00346C0F">
        <w:rPr>
          <w:b/>
          <w:lang w:val="fr-CA"/>
        </w:rPr>
        <w:t>.</w:t>
      </w:r>
      <w:r w:rsidRPr="00346C0F">
        <w:rPr>
          <w:i/>
          <w:lang w:val="fr-CA"/>
        </w:rPr>
        <w:tab/>
        <w:t>Appelant</w:t>
      </w:r>
    </w:p>
    <w:p w:rsidR="00346C0F" w:rsidRPr="00346C0F" w:rsidRDefault="00346C0F" w:rsidP="00346C0F">
      <w:pPr>
        <w:spacing w:after="720"/>
        <w:rPr>
          <w:i/>
          <w:lang w:val="fr-CA"/>
        </w:rPr>
      </w:pPr>
      <w:proofErr w:type="gramStart"/>
      <w:r w:rsidRPr="00346C0F">
        <w:rPr>
          <w:i/>
          <w:lang w:val="fr-CA"/>
        </w:rPr>
        <w:t>c</w:t>
      </w:r>
      <w:proofErr w:type="gramEnd"/>
      <w:r w:rsidRPr="00346C0F">
        <w:rPr>
          <w:i/>
          <w:lang w:val="fr-CA"/>
        </w:rPr>
        <w:t>.</w:t>
      </w:r>
    </w:p>
    <w:p w:rsidR="00346C0F" w:rsidRPr="00346C0F" w:rsidRDefault="00346C0F" w:rsidP="00346C0F">
      <w:pPr>
        <w:tabs>
          <w:tab w:val="right" w:pos="8222"/>
        </w:tabs>
        <w:spacing w:after="720"/>
        <w:rPr>
          <w:b/>
          <w:lang w:val="fr-CA"/>
        </w:rPr>
      </w:pPr>
      <w:r w:rsidRPr="00346C0F">
        <w:rPr>
          <w:b/>
          <w:lang w:val="fr-CA"/>
        </w:rPr>
        <w:t>Sa Majesté le Roi</w:t>
      </w:r>
      <w:r w:rsidRPr="00346C0F">
        <w:rPr>
          <w:i/>
          <w:lang w:val="fr-CA"/>
        </w:rPr>
        <w:tab/>
        <w:t>Intimé</w:t>
      </w:r>
    </w:p>
    <w:p w:rsidR="00346C0F" w:rsidRPr="00346C0F" w:rsidRDefault="00346C0F" w:rsidP="00346C0F">
      <w:pPr>
        <w:spacing w:after="720"/>
        <w:jc w:val="both"/>
        <w:rPr>
          <w:b/>
          <w:lang w:val="fr-CA"/>
        </w:rPr>
      </w:pPr>
      <w:r w:rsidRPr="00346C0F">
        <w:rPr>
          <w:b/>
          <w:lang w:val="fr-CA"/>
        </w:rPr>
        <w:t xml:space="preserve">Répertorié : R. </w:t>
      </w:r>
      <w:r w:rsidRPr="00346C0F">
        <w:rPr>
          <w:b/>
          <w:i/>
          <w:lang w:val="fr-CA"/>
        </w:rPr>
        <w:t>c.</w:t>
      </w:r>
      <w:r w:rsidRPr="00346C0F">
        <w:rPr>
          <w:b/>
          <w:lang w:val="fr-CA"/>
        </w:rPr>
        <w:t xml:space="preserve"> </w:t>
      </w:r>
      <w:proofErr w:type="spellStart"/>
      <w:r w:rsidRPr="00346C0F">
        <w:rPr>
          <w:b/>
          <w:lang w:val="fr-CA"/>
        </w:rPr>
        <w:t>D.R</w:t>
      </w:r>
      <w:proofErr w:type="spellEnd"/>
      <w:r w:rsidRPr="00346C0F">
        <w:rPr>
          <w:b/>
          <w:lang w:val="fr-CA"/>
        </w:rPr>
        <w:t>.</w:t>
      </w:r>
    </w:p>
    <w:p w:rsidR="00346C0F" w:rsidRPr="00346C0F" w:rsidRDefault="00346C0F" w:rsidP="00346C0F">
      <w:pPr>
        <w:spacing w:after="720"/>
        <w:jc w:val="both"/>
        <w:rPr>
          <w:b/>
          <w:lang w:val="fr-CA"/>
        </w:rPr>
      </w:pPr>
      <w:r w:rsidRPr="00346C0F">
        <w:rPr>
          <w:b/>
          <w:lang w:val="fr-CA"/>
        </w:rPr>
        <w:t>2022 CSC 50</w:t>
      </w:r>
    </w:p>
    <w:p w:rsidR="00346C0F" w:rsidRPr="00346C0F" w:rsidRDefault="00346C0F" w:rsidP="00346C0F">
      <w:pPr>
        <w:spacing w:after="720"/>
        <w:jc w:val="both"/>
        <w:rPr>
          <w:lang w:val="fr-CA"/>
        </w:rPr>
      </w:pPr>
      <w:r w:rsidRPr="00346C0F">
        <w:rPr>
          <w:lang w:val="fr-CA"/>
        </w:rPr>
        <w:t>N</w:t>
      </w:r>
      <w:r w:rsidRPr="00346C0F">
        <w:rPr>
          <w:vertAlign w:val="superscript"/>
          <w:lang w:val="fr-CA"/>
        </w:rPr>
        <w:t>o</w:t>
      </w:r>
      <w:r w:rsidRPr="00346C0F">
        <w:rPr>
          <w:lang w:val="fr-CA"/>
        </w:rPr>
        <w:t xml:space="preserve"> du greffe : 40039.</w:t>
      </w:r>
    </w:p>
    <w:p w:rsidR="00346C0F" w:rsidRPr="00346C0F" w:rsidRDefault="00346C0F" w:rsidP="00346C0F">
      <w:pPr>
        <w:spacing w:after="720"/>
        <w:jc w:val="both"/>
        <w:rPr>
          <w:lang w:val="fr-CA"/>
        </w:rPr>
      </w:pPr>
      <w:r w:rsidRPr="00346C0F">
        <w:rPr>
          <w:lang w:val="fr-CA"/>
        </w:rPr>
        <w:t>2022 : 1</w:t>
      </w:r>
      <w:r w:rsidRPr="00346C0F">
        <w:rPr>
          <w:vertAlign w:val="superscript"/>
          <w:lang w:val="fr-CA"/>
        </w:rPr>
        <w:t>er</w:t>
      </w:r>
      <w:r w:rsidRPr="00346C0F">
        <w:rPr>
          <w:lang w:val="fr-CA"/>
        </w:rPr>
        <w:t xml:space="preserve"> décembre.</w:t>
      </w:r>
    </w:p>
    <w:p w:rsidR="00346C0F" w:rsidRPr="00346C0F" w:rsidRDefault="00346C0F" w:rsidP="00346C0F">
      <w:pPr>
        <w:spacing w:after="720"/>
        <w:jc w:val="both"/>
        <w:rPr>
          <w:lang w:val="fr-CA"/>
        </w:rPr>
      </w:pPr>
      <w:r w:rsidRPr="00346C0F">
        <w:rPr>
          <w:lang w:val="fr-CA"/>
        </w:rPr>
        <w:t xml:space="preserve">Présents : Les juges Rowe, Martin, </w:t>
      </w:r>
      <w:proofErr w:type="spellStart"/>
      <w:r w:rsidRPr="00346C0F">
        <w:rPr>
          <w:lang w:val="fr-CA"/>
        </w:rPr>
        <w:t>Kasirer</w:t>
      </w:r>
      <w:proofErr w:type="spellEnd"/>
      <w:r w:rsidRPr="00346C0F">
        <w:rPr>
          <w:lang w:val="fr-CA"/>
        </w:rPr>
        <w:t xml:space="preserve">, Jamal et </w:t>
      </w:r>
      <w:proofErr w:type="spellStart"/>
      <w:r w:rsidRPr="00346C0F">
        <w:rPr>
          <w:lang w:val="fr-CA"/>
        </w:rPr>
        <w:t>O’Bonsawin</w:t>
      </w:r>
      <w:proofErr w:type="spellEnd"/>
      <w:r w:rsidRPr="00346C0F">
        <w:rPr>
          <w:lang w:val="fr-CA"/>
        </w:rPr>
        <w:t>.</w:t>
      </w:r>
    </w:p>
    <w:p w:rsidR="00346C0F" w:rsidRPr="00346C0F" w:rsidRDefault="00346C0F" w:rsidP="00346C0F">
      <w:pPr>
        <w:spacing w:after="720"/>
        <w:jc w:val="both"/>
        <w:rPr>
          <w:smallCaps/>
          <w:lang w:val="fr-CA"/>
        </w:rPr>
      </w:pPr>
      <w:r w:rsidRPr="00346C0F">
        <w:rPr>
          <w:smallCaps/>
          <w:lang w:val="fr-CA"/>
        </w:rPr>
        <w:t>en appel de la cour d’appel de terre</w:t>
      </w:r>
      <w:r w:rsidRPr="00346C0F">
        <w:rPr>
          <w:smallCaps/>
          <w:lang w:val="fr-CA"/>
        </w:rPr>
        <w:noBreakHyphen/>
        <w:t>neuve</w:t>
      </w:r>
      <w:r w:rsidRPr="00346C0F">
        <w:rPr>
          <w:smallCaps/>
          <w:lang w:val="fr-CA"/>
        </w:rPr>
        <w:noBreakHyphen/>
        <w:t>et</w:t>
      </w:r>
      <w:r w:rsidRPr="00346C0F">
        <w:rPr>
          <w:smallCaps/>
          <w:lang w:val="fr-CA"/>
        </w:rPr>
        <w:noBreakHyphen/>
        <w:t>labrador</w:t>
      </w:r>
    </w:p>
    <w:p w:rsidR="00346C0F" w:rsidRPr="00346C0F" w:rsidRDefault="00346C0F" w:rsidP="00346C0F">
      <w:pPr>
        <w:tabs>
          <w:tab w:val="left" w:pos="1168"/>
        </w:tabs>
        <w:spacing w:after="480" w:line="480" w:lineRule="auto"/>
        <w:jc w:val="both"/>
        <w:rPr>
          <w:i/>
          <w:iCs/>
          <w:lang w:val="fr-CA"/>
        </w:rPr>
      </w:pPr>
      <w:r w:rsidRPr="00346C0F">
        <w:rPr>
          <w:lang w:val="fr-CA"/>
        </w:rPr>
        <w:tab/>
      </w:r>
      <w:r w:rsidRPr="00346C0F">
        <w:rPr>
          <w:i/>
          <w:lang w:val="fr-CA"/>
        </w:rPr>
        <w:t xml:space="preserve">Droit criminel — Preuve — Appréciation — Crédibilité — Généralisations et stéréotypes — </w:t>
      </w:r>
      <w:r w:rsidRPr="00346C0F">
        <w:rPr>
          <w:i/>
          <w:iCs/>
          <w:lang w:val="fr-CA"/>
        </w:rPr>
        <w:t>Accusé acquitté au procès d’accusations de contacts sexuels, d’incitation à des contacts sexuels et d’agression sexuelle à l’égard de sa petite</w:t>
      </w:r>
      <w:r w:rsidRPr="00346C0F">
        <w:rPr>
          <w:i/>
          <w:iCs/>
          <w:lang w:val="fr-CA"/>
        </w:rPr>
        <w:noBreakHyphen/>
        <w:t>fille — Appel formé par la Couronne à l’encontre des acquittements au motif que le juge du procès se serait livré à un raisonnement stéréotypé inacceptable en appréciant la crédibilité de la plaignante — Décision des juges majoritaires de la Cour d’appel portant que la conclusion du juge du procès selon laquelle la relation de la plaignante avec son grand</w:t>
      </w:r>
      <w:r w:rsidRPr="00346C0F">
        <w:rPr>
          <w:i/>
          <w:iCs/>
          <w:lang w:val="fr-CA"/>
        </w:rPr>
        <w:noBreakHyphen/>
        <w:t xml:space="preserve">père était solide et normale et ne constituait donc pas une relation abusive était fondée sur un stéréotype inacceptable </w:t>
      </w:r>
      <w:r w:rsidRPr="00346C0F">
        <w:rPr>
          <w:i/>
          <w:lang w:val="fr-CA"/>
        </w:rPr>
        <w:t xml:space="preserve">— Acquittements annulés et nouveau procès ordonné par la Cour d’appel </w:t>
      </w:r>
      <w:r w:rsidRPr="00346C0F">
        <w:rPr>
          <w:i/>
          <w:iCs/>
          <w:lang w:val="fr-CA"/>
        </w:rPr>
        <w:t>— Arrêt de la Cour d’appel confirmé.</w:t>
      </w:r>
    </w:p>
    <w:p w:rsidR="00346C0F" w:rsidRPr="00346C0F" w:rsidRDefault="00346C0F" w:rsidP="00346C0F">
      <w:pPr>
        <w:tabs>
          <w:tab w:val="left" w:pos="1168"/>
        </w:tabs>
        <w:spacing w:after="480" w:line="480" w:lineRule="auto"/>
        <w:jc w:val="both"/>
        <w:rPr>
          <w:lang w:val="fr-CA"/>
        </w:rPr>
      </w:pPr>
      <w:r w:rsidRPr="00346C0F">
        <w:rPr>
          <w:lang w:val="fr-CA"/>
        </w:rPr>
        <w:tab/>
        <w:t>POURVOI contre un arrêt de la Cour d’appel de Terre</w:t>
      </w:r>
      <w:r w:rsidRPr="00346C0F">
        <w:rPr>
          <w:lang w:val="fr-CA"/>
        </w:rPr>
        <w:noBreakHyphen/>
        <w:t>Neuve</w:t>
      </w:r>
      <w:r w:rsidRPr="00346C0F">
        <w:rPr>
          <w:lang w:val="fr-CA"/>
        </w:rPr>
        <w:noBreakHyphen/>
        <w:t>et</w:t>
      </w:r>
      <w:r w:rsidRPr="00346C0F">
        <w:rPr>
          <w:lang w:val="fr-CA"/>
        </w:rPr>
        <w:noBreakHyphen/>
        <w:t xml:space="preserve">Labrador (les juges White, </w:t>
      </w:r>
      <w:proofErr w:type="spellStart"/>
      <w:r w:rsidRPr="00346C0F">
        <w:rPr>
          <w:lang w:val="fr-CA"/>
        </w:rPr>
        <w:t>Hoegg</w:t>
      </w:r>
      <w:proofErr w:type="spellEnd"/>
      <w:r w:rsidRPr="00346C0F">
        <w:rPr>
          <w:lang w:val="fr-CA"/>
        </w:rPr>
        <w:t xml:space="preserve"> et Butler), </w:t>
      </w:r>
      <w:hyperlink r:id="rId10" w:history="1">
        <w:r w:rsidRPr="00346C0F">
          <w:rPr>
            <w:color w:val="660000"/>
            <w:lang w:val="fr-CA"/>
          </w:rPr>
          <w:t xml:space="preserve">2022 </w:t>
        </w:r>
        <w:proofErr w:type="spellStart"/>
        <w:r w:rsidRPr="00346C0F">
          <w:rPr>
            <w:color w:val="660000"/>
            <w:lang w:val="fr-CA"/>
          </w:rPr>
          <w:t>NLCA</w:t>
        </w:r>
        <w:proofErr w:type="spellEnd"/>
        <w:r w:rsidRPr="00346C0F">
          <w:rPr>
            <w:color w:val="660000"/>
            <w:lang w:val="fr-CA"/>
          </w:rPr>
          <w:t xml:space="preserve"> 2</w:t>
        </w:r>
      </w:hyperlink>
      <w:r w:rsidRPr="00346C0F">
        <w:rPr>
          <w:lang w:val="fr-CA"/>
        </w:rPr>
        <w:t xml:space="preserve">, 476 </w:t>
      </w:r>
      <w:proofErr w:type="spellStart"/>
      <w:r w:rsidRPr="00346C0F">
        <w:rPr>
          <w:lang w:val="fr-CA"/>
        </w:rPr>
        <w:t>D.L.R</w:t>
      </w:r>
      <w:proofErr w:type="spellEnd"/>
      <w:r w:rsidRPr="00346C0F">
        <w:rPr>
          <w:lang w:val="fr-CA"/>
        </w:rPr>
        <w:t>. (</w:t>
      </w:r>
      <w:proofErr w:type="spellStart"/>
      <w:r w:rsidRPr="00346C0F">
        <w:rPr>
          <w:lang w:val="fr-CA"/>
        </w:rPr>
        <w:t>4th</w:t>
      </w:r>
      <w:proofErr w:type="spellEnd"/>
      <w:r w:rsidRPr="00346C0F">
        <w:rPr>
          <w:lang w:val="fr-CA"/>
        </w:rPr>
        <w:t xml:space="preserve">) 3, [2022] </w:t>
      </w:r>
      <w:proofErr w:type="spellStart"/>
      <w:r w:rsidRPr="00346C0F">
        <w:rPr>
          <w:lang w:val="fr-CA"/>
        </w:rPr>
        <w:t>N.J</w:t>
      </w:r>
      <w:proofErr w:type="spellEnd"/>
      <w:r w:rsidRPr="00346C0F">
        <w:rPr>
          <w:lang w:val="fr-CA"/>
        </w:rPr>
        <w:t>. No. 15 (</w:t>
      </w:r>
      <w:proofErr w:type="spellStart"/>
      <w:r w:rsidRPr="00346C0F">
        <w:rPr>
          <w:lang w:val="fr-CA"/>
        </w:rPr>
        <w:t>QL</w:t>
      </w:r>
      <w:proofErr w:type="spellEnd"/>
      <w:r w:rsidRPr="00346C0F">
        <w:rPr>
          <w:lang w:val="fr-CA"/>
        </w:rPr>
        <w:t xml:space="preserve">), 2022 </w:t>
      </w:r>
      <w:proofErr w:type="spellStart"/>
      <w:r w:rsidRPr="00346C0F">
        <w:rPr>
          <w:lang w:val="fr-CA"/>
        </w:rPr>
        <w:t>CarswellNfld</w:t>
      </w:r>
      <w:proofErr w:type="spellEnd"/>
      <w:r w:rsidRPr="00346C0F">
        <w:rPr>
          <w:lang w:val="fr-CA"/>
        </w:rPr>
        <w:t xml:space="preserve"> 2 (</w:t>
      </w:r>
      <w:proofErr w:type="spellStart"/>
      <w:r w:rsidRPr="00346C0F">
        <w:rPr>
          <w:lang w:val="fr-CA"/>
        </w:rPr>
        <w:t>WL</w:t>
      </w:r>
      <w:proofErr w:type="spellEnd"/>
      <w:r w:rsidRPr="00346C0F">
        <w:rPr>
          <w:lang w:val="fr-CA"/>
        </w:rPr>
        <w:t>), qui a annulé les verdicts d’acquittement prononcés en faveur de l’accusé et ordonné un nouveau procès. Pourvoi rejeté.</w:t>
      </w:r>
    </w:p>
    <w:p w:rsidR="00346C0F" w:rsidRPr="00346C0F" w:rsidRDefault="00346C0F" w:rsidP="00346C0F">
      <w:pPr>
        <w:tabs>
          <w:tab w:val="left" w:pos="1168"/>
        </w:tabs>
        <w:spacing w:after="480" w:line="480" w:lineRule="auto"/>
        <w:jc w:val="both"/>
        <w:rPr>
          <w:lang w:val="fr-CA"/>
        </w:rPr>
      </w:pPr>
      <w:r w:rsidRPr="00346C0F">
        <w:rPr>
          <w:i/>
          <w:lang w:val="fr-CA"/>
        </w:rPr>
        <w:tab/>
        <w:t>Jason Edwards</w:t>
      </w:r>
      <w:r w:rsidRPr="00346C0F">
        <w:rPr>
          <w:lang w:val="fr-CA"/>
        </w:rPr>
        <w:t>, pour l’appelant.</w:t>
      </w:r>
    </w:p>
    <w:p w:rsidR="00346C0F" w:rsidRPr="00346C0F" w:rsidRDefault="00346C0F" w:rsidP="00346C0F">
      <w:pPr>
        <w:tabs>
          <w:tab w:val="left" w:pos="1168"/>
        </w:tabs>
        <w:spacing w:after="480" w:line="480" w:lineRule="auto"/>
        <w:jc w:val="both"/>
        <w:rPr>
          <w:lang w:val="fr-CA"/>
        </w:rPr>
      </w:pPr>
      <w:r w:rsidRPr="00346C0F">
        <w:rPr>
          <w:i/>
          <w:lang w:val="fr-CA"/>
        </w:rPr>
        <w:tab/>
        <w:t>Shawn I. Patten</w:t>
      </w:r>
      <w:r w:rsidRPr="00346C0F">
        <w:rPr>
          <w:lang w:val="fr-CA"/>
        </w:rPr>
        <w:t>, pour l’intimé.</w:t>
      </w:r>
    </w:p>
    <w:p w:rsidR="00346C0F" w:rsidRPr="00346C0F" w:rsidRDefault="00346C0F" w:rsidP="00346C0F">
      <w:pPr>
        <w:tabs>
          <w:tab w:val="left" w:pos="1168"/>
        </w:tabs>
        <w:spacing w:after="480" w:line="480" w:lineRule="auto"/>
        <w:jc w:val="both"/>
        <w:rPr>
          <w:lang w:val="fr-CA"/>
        </w:rPr>
      </w:pPr>
      <w:r w:rsidRPr="00346C0F">
        <w:rPr>
          <w:i/>
          <w:lang w:val="fr-CA"/>
        </w:rPr>
        <w:tab/>
      </w:r>
      <w:r w:rsidRPr="00346C0F">
        <w:rPr>
          <w:lang w:val="fr-CA"/>
        </w:rPr>
        <w:t>Version française du jugement de la Cour rendu oralement par</w:t>
      </w:r>
    </w:p>
    <w:p w:rsidR="00346C0F" w:rsidRPr="00346C0F" w:rsidRDefault="00346C0F" w:rsidP="00346C0F">
      <w:pPr>
        <w:numPr>
          <w:ilvl w:val="0"/>
          <w:numId w:val="31"/>
        </w:numPr>
        <w:spacing w:after="480" w:line="480" w:lineRule="auto"/>
        <w:jc w:val="both"/>
        <w:rPr>
          <w:rFonts w:eastAsiaTheme="minorEastAsia" w:cstheme="minorBidi"/>
          <w:szCs w:val="22"/>
          <w:lang w:val="fr-CA" w:eastAsia="en-US"/>
        </w:rPr>
      </w:pPr>
      <w:r w:rsidRPr="00346C0F">
        <w:rPr>
          <w:rFonts w:eastAsiaTheme="minorEastAsia" w:cstheme="minorBidi"/>
          <w:smallCaps/>
          <w:color w:val="000000"/>
          <w:szCs w:val="22"/>
          <w:lang w:val="fr-CA" w:eastAsia="en-US"/>
        </w:rPr>
        <w:t>Le juge Rowe</w:t>
      </w:r>
      <w:r w:rsidRPr="00346C0F">
        <w:rPr>
          <w:rFonts w:eastAsiaTheme="minorEastAsia" w:cstheme="minorBidi"/>
          <w:color w:val="000000"/>
          <w:szCs w:val="22"/>
          <w:lang w:val="fr-CA" w:eastAsia="en-US"/>
        </w:rPr>
        <w:t xml:space="preserve"> — Il s’agit d’un appel de plein droit d’un arrêt de la Cour d’appel de Terre</w:t>
      </w:r>
      <w:r w:rsidRPr="00346C0F">
        <w:rPr>
          <w:rFonts w:eastAsiaTheme="minorEastAsia" w:cstheme="minorBidi"/>
          <w:color w:val="000000"/>
          <w:szCs w:val="22"/>
          <w:lang w:val="fr-CA" w:eastAsia="en-US"/>
        </w:rPr>
        <w:noBreakHyphen/>
        <w:t>Neuve</w:t>
      </w:r>
      <w:r w:rsidRPr="00346C0F">
        <w:rPr>
          <w:rFonts w:eastAsiaTheme="minorEastAsia" w:cstheme="minorBidi"/>
          <w:color w:val="000000"/>
          <w:szCs w:val="22"/>
          <w:lang w:val="fr-CA" w:eastAsia="en-US"/>
        </w:rPr>
        <w:noBreakHyphen/>
        <w:t>et</w:t>
      </w:r>
      <w:r w:rsidRPr="00346C0F">
        <w:rPr>
          <w:rFonts w:eastAsiaTheme="minorEastAsia" w:cstheme="minorBidi"/>
          <w:color w:val="000000"/>
          <w:szCs w:val="22"/>
          <w:lang w:val="fr-CA" w:eastAsia="en-US"/>
        </w:rPr>
        <w:noBreakHyphen/>
        <w:t>Labrador qui a annulé les acquittements et ordonné un nouveau procès dans une affaire d’agression sexuelle, entre autres infractions.</w:t>
      </w:r>
    </w:p>
    <w:p w:rsidR="00346C0F" w:rsidRPr="00346C0F" w:rsidRDefault="00346C0F" w:rsidP="00346C0F">
      <w:pPr>
        <w:numPr>
          <w:ilvl w:val="0"/>
          <w:numId w:val="31"/>
        </w:numPr>
        <w:spacing w:after="480" w:line="480" w:lineRule="auto"/>
        <w:jc w:val="both"/>
        <w:rPr>
          <w:rFonts w:eastAsiaTheme="minorEastAsia" w:cstheme="minorBidi"/>
          <w:szCs w:val="22"/>
          <w:lang w:val="fr-CA" w:eastAsia="en-US"/>
        </w:rPr>
      </w:pPr>
      <w:r w:rsidRPr="00346C0F">
        <w:rPr>
          <w:rFonts w:eastAsiaTheme="minorEastAsia" w:cstheme="minorBidi"/>
          <w:color w:val="000000"/>
          <w:szCs w:val="22"/>
          <w:lang w:val="fr-CA" w:eastAsia="en-US"/>
        </w:rPr>
        <w:t>L’accusé est le grand</w:t>
      </w:r>
      <w:r w:rsidRPr="00346C0F">
        <w:rPr>
          <w:rFonts w:eastAsiaTheme="minorEastAsia" w:cstheme="minorBidi"/>
          <w:color w:val="000000"/>
          <w:szCs w:val="22"/>
          <w:lang w:val="fr-CA" w:eastAsia="en-US"/>
        </w:rPr>
        <w:noBreakHyphen/>
        <w:t>père de la plaignante, qui était âgée entre 7 et 10 ans au moment des infractions reprochées. Il y avait des éléments de preuve indiquant que la plaignante était heureuse de voir l’accusé et qu’elle ne manifestait envers lui aucun comportement d’évitement. Le juge du procès a inféré de ces éléments que la plaignante avait avec l’accusé une relation [</w:t>
      </w:r>
      <w:r w:rsidRPr="00346C0F">
        <w:rPr>
          <w:rFonts w:eastAsiaTheme="minorEastAsia" w:cstheme="minorBidi"/>
          <w:smallCaps/>
          <w:color w:val="000000"/>
          <w:szCs w:val="22"/>
          <w:lang w:val="fr-CA" w:eastAsia="en-US"/>
        </w:rPr>
        <w:t>traduction</w:t>
      </w:r>
      <w:r w:rsidRPr="00346C0F">
        <w:rPr>
          <w:rFonts w:eastAsiaTheme="minorEastAsia" w:cstheme="minorBidi"/>
          <w:color w:val="000000"/>
          <w:szCs w:val="22"/>
          <w:lang w:val="fr-CA" w:eastAsia="en-US"/>
        </w:rPr>
        <w:t xml:space="preserve">] « solide et normale », ce qui a amené le juge à douter de la crédibilité de son témoignage au sujet des infractions reprochées. Rédigeant les motifs des juges majoritaires, la juge d’appel </w:t>
      </w:r>
      <w:proofErr w:type="spellStart"/>
      <w:r w:rsidRPr="00346C0F">
        <w:rPr>
          <w:rFonts w:eastAsiaTheme="minorEastAsia" w:cstheme="minorBidi"/>
          <w:color w:val="000000"/>
          <w:szCs w:val="22"/>
          <w:lang w:val="fr-CA" w:eastAsia="en-US"/>
        </w:rPr>
        <w:t>Hoegg</w:t>
      </w:r>
      <w:proofErr w:type="spellEnd"/>
      <w:r w:rsidRPr="00346C0F">
        <w:rPr>
          <w:rFonts w:eastAsiaTheme="minorEastAsia" w:cstheme="minorBidi"/>
          <w:color w:val="000000"/>
          <w:szCs w:val="22"/>
          <w:lang w:val="fr-CA" w:eastAsia="en-US"/>
        </w:rPr>
        <w:t xml:space="preserve"> a fait observer que le juge du procès [</w:t>
      </w:r>
      <w:r w:rsidRPr="00346C0F">
        <w:rPr>
          <w:rFonts w:eastAsiaTheme="minorEastAsia" w:cstheme="minorBidi"/>
          <w:smallCaps/>
          <w:color w:val="000000"/>
          <w:szCs w:val="22"/>
          <w:lang w:val="fr-CA" w:eastAsia="en-US"/>
        </w:rPr>
        <w:t>traduction</w:t>
      </w:r>
      <w:r w:rsidRPr="00346C0F">
        <w:rPr>
          <w:rFonts w:eastAsiaTheme="minorEastAsia" w:cstheme="minorBidi"/>
          <w:color w:val="000000"/>
          <w:szCs w:val="22"/>
          <w:lang w:val="fr-CA" w:eastAsia="en-US"/>
        </w:rPr>
        <w:t>] « a fondé son doute raisonnable sur sa conclusion [. . .] selon laquelle l’existence de cette relation solide et normale signifiait que son grand</w:t>
      </w:r>
      <w:r w:rsidRPr="00346C0F">
        <w:rPr>
          <w:rFonts w:eastAsiaTheme="minorEastAsia" w:cstheme="minorBidi"/>
          <w:color w:val="000000"/>
          <w:szCs w:val="22"/>
          <w:lang w:val="fr-CA" w:eastAsia="en-US"/>
        </w:rPr>
        <w:noBreakHyphen/>
        <w:t>père ne pouvait pas avoir abusé sexuellement d’elle » (par. 34 (</w:t>
      </w:r>
      <w:proofErr w:type="spellStart"/>
      <w:r w:rsidRPr="00346C0F">
        <w:rPr>
          <w:rFonts w:eastAsiaTheme="minorEastAsia" w:cstheme="minorBidi"/>
          <w:color w:val="000000"/>
          <w:szCs w:val="22"/>
          <w:lang w:val="fr-CA" w:eastAsia="en-US"/>
        </w:rPr>
        <w:t>CanLII</w:t>
      </w:r>
      <w:proofErr w:type="spellEnd"/>
      <w:r w:rsidRPr="00346C0F">
        <w:rPr>
          <w:rFonts w:eastAsiaTheme="minorEastAsia" w:cstheme="minorBidi"/>
          <w:color w:val="000000"/>
          <w:szCs w:val="22"/>
          <w:lang w:val="fr-CA" w:eastAsia="en-US"/>
        </w:rPr>
        <w:t>)).</w:t>
      </w:r>
    </w:p>
    <w:p w:rsidR="00346C0F" w:rsidRPr="00346C0F" w:rsidRDefault="00346C0F" w:rsidP="00346C0F">
      <w:pPr>
        <w:numPr>
          <w:ilvl w:val="0"/>
          <w:numId w:val="31"/>
        </w:numPr>
        <w:spacing w:after="480" w:line="480" w:lineRule="auto"/>
        <w:jc w:val="both"/>
        <w:rPr>
          <w:rFonts w:eastAsiaTheme="minorEastAsia" w:cstheme="minorBidi"/>
          <w:szCs w:val="22"/>
          <w:lang w:val="fr-CA" w:eastAsia="en-US"/>
        </w:rPr>
      </w:pPr>
      <w:r w:rsidRPr="00346C0F">
        <w:rPr>
          <w:rFonts w:eastAsiaTheme="minorEastAsia" w:cstheme="minorBidi"/>
          <w:color w:val="000000"/>
          <w:szCs w:val="22"/>
          <w:lang w:val="fr-CA" w:eastAsia="en-US"/>
        </w:rPr>
        <w:t>Nous sommes d’accord avec les juges majoritaires de la Cour d’appel pour dire que cette inférence du juge du procès reposait sur un raisonnement stéréotypé, plutôt que sur l’ensemble de la preuve, et que cela constituait une erreur de droit. Bien que le juge du procès ait exposé d’autres raisonnements relativement à la crédibilité de la plaignante, le fait qu’il se soit fondé sur des inférences stéréotypées mine son appréciation de la crédibilité de cette dernière et, en conséquence, son verdict. Les juges majoritaires de la Cour d’appel ont décidé, à juste titre dans les circonstances, que le raisonnement stéréotypé du juge du procès avait eu une incidence importante quant à l’acquittement de l’accusé (voir le par. 61 et l’intertitre précédant ce paragraphe).</w:t>
      </w:r>
    </w:p>
    <w:p w:rsidR="00346C0F" w:rsidRPr="00346C0F" w:rsidRDefault="00346C0F" w:rsidP="00346C0F">
      <w:pPr>
        <w:numPr>
          <w:ilvl w:val="0"/>
          <w:numId w:val="31"/>
        </w:numPr>
        <w:spacing w:after="480" w:line="480" w:lineRule="auto"/>
        <w:jc w:val="both"/>
        <w:rPr>
          <w:rFonts w:eastAsiaTheme="minorEastAsia" w:cstheme="minorBidi"/>
          <w:szCs w:val="22"/>
          <w:lang w:val="fr-CA" w:eastAsia="en-US"/>
        </w:rPr>
      </w:pPr>
      <w:r w:rsidRPr="00346C0F">
        <w:rPr>
          <w:rFonts w:eastAsiaTheme="minorEastAsia" w:cstheme="minorBidi"/>
          <w:color w:val="000000"/>
          <w:szCs w:val="22"/>
          <w:lang w:val="fr-CA" w:eastAsia="en-US"/>
        </w:rPr>
        <w:t>Par conséquent, nous sommes d’avis de rejeter l’appel et d’ordonner la tenue d’un nouveau procès.</w:t>
      </w:r>
    </w:p>
    <w:p w:rsidR="00346C0F" w:rsidRPr="00346C0F" w:rsidRDefault="00346C0F" w:rsidP="00346C0F">
      <w:pPr>
        <w:tabs>
          <w:tab w:val="left" w:pos="1168"/>
        </w:tabs>
        <w:spacing w:after="480" w:line="480" w:lineRule="auto"/>
        <w:jc w:val="both"/>
        <w:rPr>
          <w:lang w:val="fr-CA"/>
        </w:rPr>
      </w:pPr>
      <w:bookmarkStart w:id="0" w:name="_GoBack"/>
      <w:bookmarkEnd w:id="0"/>
      <w:r w:rsidRPr="00346C0F">
        <w:rPr>
          <w:lang w:val="fr-CA"/>
        </w:rPr>
        <w:tab/>
      </w:r>
      <w:r w:rsidRPr="00346C0F">
        <w:rPr>
          <w:i/>
          <w:lang w:val="fr-CA"/>
        </w:rPr>
        <w:t>Jugement en conséquence.</w:t>
      </w:r>
    </w:p>
    <w:p w:rsidR="00346C0F" w:rsidRPr="00346C0F" w:rsidRDefault="00346C0F" w:rsidP="00346C0F">
      <w:pPr>
        <w:tabs>
          <w:tab w:val="left" w:pos="1168"/>
        </w:tabs>
        <w:spacing w:after="480" w:line="480" w:lineRule="auto"/>
        <w:jc w:val="both"/>
        <w:rPr>
          <w:i/>
          <w:lang w:val="fr-CA"/>
        </w:rPr>
      </w:pPr>
      <w:r w:rsidRPr="00346C0F">
        <w:rPr>
          <w:i/>
          <w:lang w:val="fr-CA"/>
        </w:rPr>
        <w:tab/>
        <w:t xml:space="preserve">Procureur de l’appelant : Newfoundland and Labrador </w:t>
      </w:r>
      <w:proofErr w:type="spellStart"/>
      <w:r w:rsidRPr="00346C0F">
        <w:rPr>
          <w:i/>
          <w:lang w:val="fr-CA"/>
        </w:rPr>
        <w:t>Legal</w:t>
      </w:r>
      <w:proofErr w:type="spellEnd"/>
      <w:r w:rsidRPr="00346C0F">
        <w:rPr>
          <w:i/>
          <w:lang w:val="fr-CA"/>
        </w:rPr>
        <w:t xml:space="preserve"> </w:t>
      </w:r>
      <w:proofErr w:type="spellStart"/>
      <w:r w:rsidRPr="00346C0F">
        <w:rPr>
          <w:i/>
          <w:lang w:val="fr-CA"/>
        </w:rPr>
        <w:t>Aid</w:t>
      </w:r>
      <w:proofErr w:type="spellEnd"/>
      <w:r w:rsidRPr="00346C0F">
        <w:rPr>
          <w:i/>
          <w:lang w:val="fr-CA"/>
        </w:rPr>
        <w:t xml:space="preserve"> Commission, St. John’s.</w:t>
      </w:r>
    </w:p>
    <w:p w:rsidR="00346C0F" w:rsidRPr="00346C0F" w:rsidRDefault="00346C0F" w:rsidP="00346C0F">
      <w:pPr>
        <w:tabs>
          <w:tab w:val="left" w:pos="1168"/>
        </w:tabs>
        <w:spacing w:after="480" w:line="480" w:lineRule="auto"/>
        <w:jc w:val="both"/>
        <w:rPr>
          <w:i/>
          <w:lang w:val="fr-CA"/>
        </w:rPr>
      </w:pPr>
      <w:r w:rsidRPr="00346C0F">
        <w:rPr>
          <w:i/>
          <w:lang w:val="fr-CA"/>
        </w:rPr>
        <w:tab/>
        <w:t xml:space="preserve">Procureur de l’intimé : </w:t>
      </w:r>
      <w:proofErr w:type="spellStart"/>
      <w:r w:rsidRPr="00346C0F">
        <w:rPr>
          <w:i/>
          <w:lang w:val="fr-CA"/>
        </w:rPr>
        <w:t>Special</w:t>
      </w:r>
      <w:proofErr w:type="spellEnd"/>
      <w:r w:rsidRPr="00346C0F">
        <w:rPr>
          <w:i/>
          <w:lang w:val="fr-CA"/>
        </w:rPr>
        <w:t xml:space="preserve"> </w:t>
      </w:r>
      <w:proofErr w:type="spellStart"/>
      <w:r w:rsidRPr="00346C0F">
        <w:rPr>
          <w:i/>
          <w:lang w:val="fr-CA"/>
        </w:rPr>
        <w:t>Prosecutions</w:t>
      </w:r>
      <w:proofErr w:type="spellEnd"/>
      <w:r w:rsidRPr="00346C0F">
        <w:rPr>
          <w:i/>
          <w:lang w:val="fr-CA"/>
        </w:rPr>
        <w:t xml:space="preserve"> Office, St. John’s.</w:t>
      </w:r>
    </w:p>
    <w:p w:rsidR="00346C0F" w:rsidRPr="00A9085B" w:rsidRDefault="00346C0F" w:rsidP="00346C0F">
      <w:pPr>
        <w:rPr>
          <w:rFonts w:eastAsia="Calibri"/>
          <w:szCs w:val="24"/>
          <w:lang w:val="fr-CA" w:eastAsia="en-US"/>
        </w:rPr>
      </w:pPr>
    </w:p>
    <w:sectPr w:rsidR="00346C0F" w:rsidRPr="00A9085B" w:rsidSect="00346C0F">
      <w:headerReference w:type="default" r:id="rId11"/>
      <w:headerReference w:type="first" r:id="rId12"/>
      <w:pgSz w:w="12240" w:h="15840"/>
      <w:pgMar w:top="1440" w:right="1440" w:bottom="1440" w:left="1440" w:header="180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CE" w:rsidRDefault="006C2CCE">
      <w:r>
        <w:separator/>
      </w:r>
    </w:p>
  </w:endnote>
  <w:endnote w:type="continuationSeparator" w:id="0">
    <w:p w:rsidR="006C2CCE" w:rsidRDefault="006C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CE" w:rsidRDefault="006C2CCE">
      <w:r>
        <w:separator/>
      </w:r>
    </w:p>
  </w:footnote>
  <w:footnote w:type="continuationSeparator" w:id="0">
    <w:p w:rsidR="006C2CCE" w:rsidRDefault="006C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DA" w:rsidRDefault="007116CF" w:rsidP="00F07DDA">
    <w:pPr>
      <w:tabs>
        <w:tab w:val="center" w:pos="4680"/>
      </w:tabs>
      <w:jc w:val="center"/>
      <w:rPr>
        <w:szCs w:val="24"/>
      </w:rPr>
    </w:pPr>
    <w:r>
      <w:rPr>
        <w:szCs w:val="24"/>
      </w:rPr>
      <w:t xml:space="preserve">- </w:t>
    </w:r>
    <w:r w:rsidRPr="00417FB7">
      <w:rPr>
        <w:szCs w:val="24"/>
      </w:rPr>
      <w:fldChar w:fldCharType="begin"/>
    </w:r>
    <w:r w:rsidRPr="00417FB7">
      <w:rPr>
        <w:szCs w:val="24"/>
      </w:rPr>
      <w:instrText xml:space="preserve"> PAGE   \* MERGEFORMAT </w:instrText>
    </w:r>
    <w:r w:rsidRPr="00417FB7">
      <w:rPr>
        <w:szCs w:val="24"/>
      </w:rPr>
      <w:fldChar w:fldCharType="separate"/>
    </w:r>
    <w:r w:rsidR="00346C0F">
      <w:rPr>
        <w:noProof/>
        <w:szCs w:val="24"/>
      </w:rPr>
      <w:t>5</w:t>
    </w:r>
    <w:r w:rsidRPr="00417FB7">
      <w:rPr>
        <w:szCs w:val="24"/>
      </w:rPr>
      <w:fldChar w:fldCharType="end"/>
    </w:r>
    <w:r>
      <w:rPr>
        <w:szCs w:val="24"/>
      </w:rPr>
      <w:t xml:space="preserve"> -</w:t>
    </w:r>
  </w:p>
  <w:p w:rsidR="00F07DDA" w:rsidRDefault="00346C0F" w:rsidP="00F07DDA">
    <w:pPr>
      <w:rPr>
        <w:szCs w:val="24"/>
      </w:rPr>
    </w:pPr>
  </w:p>
  <w:p w:rsidR="00F07DDA" w:rsidRDefault="00346C0F" w:rsidP="00F07DDA">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2754"/>
      <w:lock w:val="contentLocked"/>
      <w:showingPlcHdr/>
      <w:text/>
    </w:sdtPr>
    <w:sdtEndPr/>
    <w:sdtContent>
      <w:p w:rsidR="000367A3" w:rsidRDefault="00346C0F" w:rsidP="000367A3"/>
      <w:p w:rsidR="000367A3" w:rsidRDefault="00346C0F" w:rsidP="000367A3"/>
      <w:p w:rsidR="000367A3" w:rsidRPr="0031097F" w:rsidRDefault="00346C0F" w:rsidP="000367A3"/>
      <w:p w:rsidR="000367A3" w:rsidRDefault="00346C0F" w:rsidP="000367A3"/>
      <w:p w:rsidR="000367A3" w:rsidRDefault="00346C0F" w:rsidP="000367A3"/>
      <w:p w:rsidR="000367A3" w:rsidRDefault="00346C0F" w:rsidP="000367A3"/>
      <w:p w:rsidR="000367A3" w:rsidRDefault="00346C0F" w:rsidP="000367A3"/>
      <w:p w:rsidR="000367A3" w:rsidRDefault="00346C0F" w:rsidP="000367A3"/>
      <w:p w:rsidR="000367A3" w:rsidRPr="00FE22F9" w:rsidRDefault="00346C0F" w:rsidP="000367A3"/>
      <w:p w:rsidR="000367A3" w:rsidRPr="00FE22F9" w:rsidRDefault="00346C0F" w:rsidP="000367A3"/>
      <w:p w:rsidR="000367A3" w:rsidRDefault="00346C0F" w:rsidP="000367A3">
        <w:pPr>
          <w:pStyle w:val="Header"/>
        </w:pPr>
      </w:p>
      <w:p w:rsidR="00484355" w:rsidRPr="000367A3" w:rsidRDefault="00346C0F" w:rsidP="000367A3">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0849D3"/>
    <w:multiLevelType w:val="hybridMultilevel"/>
    <w:tmpl w:val="DAEE612C"/>
    <w:lvl w:ilvl="0" w:tplc="55A041F2">
      <w:start w:val="1"/>
      <w:numFmt w:val="decimal"/>
      <w:lvlText w:val="[%1]"/>
      <w:lvlJc w:val="left"/>
      <w:pPr>
        <w:tabs>
          <w:tab w:val="num" w:pos="116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3"/>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6"/>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4"/>
  </w:num>
  <w:num w:numId="27">
    <w:abstractNumId w:val="14"/>
  </w:num>
  <w:num w:numId="28">
    <w:abstractNumId w:val="27"/>
  </w:num>
  <w:num w:numId="29">
    <w:abstractNumId w:val="25"/>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25A"/>
    <w:rsid w:val="000133DC"/>
    <w:rsid w:val="00013781"/>
    <w:rsid w:val="00017885"/>
    <w:rsid w:val="00022F2E"/>
    <w:rsid w:val="00025198"/>
    <w:rsid w:val="00026467"/>
    <w:rsid w:val="00040D1B"/>
    <w:rsid w:val="00041BDD"/>
    <w:rsid w:val="000578A3"/>
    <w:rsid w:val="000648CC"/>
    <w:rsid w:val="00076E46"/>
    <w:rsid w:val="00094FED"/>
    <w:rsid w:val="000B34E8"/>
    <w:rsid w:val="000B5CFA"/>
    <w:rsid w:val="000B69B5"/>
    <w:rsid w:val="000C3FCE"/>
    <w:rsid w:val="000C59B8"/>
    <w:rsid w:val="000C6AF0"/>
    <w:rsid w:val="000C78C2"/>
    <w:rsid w:val="000F0995"/>
    <w:rsid w:val="000F2FF1"/>
    <w:rsid w:val="00104F33"/>
    <w:rsid w:val="00106D75"/>
    <w:rsid w:val="00111905"/>
    <w:rsid w:val="00111DE2"/>
    <w:rsid w:val="0011492A"/>
    <w:rsid w:val="001160DE"/>
    <w:rsid w:val="00116B38"/>
    <w:rsid w:val="00134F55"/>
    <w:rsid w:val="00135406"/>
    <w:rsid w:val="00135972"/>
    <w:rsid w:val="00136268"/>
    <w:rsid w:val="00137E61"/>
    <w:rsid w:val="001426A9"/>
    <w:rsid w:val="00142D29"/>
    <w:rsid w:val="0014546A"/>
    <w:rsid w:val="00154563"/>
    <w:rsid w:val="00154D7C"/>
    <w:rsid w:val="001570B0"/>
    <w:rsid w:val="0015752C"/>
    <w:rsid w:val="00157737"/>
    <w:rsid w:val="00165277"/>
    <w:rsid w:val="001677C1"/>
    <w:rsid w:val="00170592"/>
    <w:rsid w:val="001708F9"/>
    <w:rsid w:val="00186351"/>
    <w:rsid w:val="00195D83"/>
    <w:rsid w:val="001977DB"/>
    <w:rsid w:val="001A00C1"/>
    <w:rsid w:val="001A42A4"/>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407"/>
    <w:rsid w:val="00231F3A"/>
    <w:rsid w:val="00234199"/>
    <w:rsid w:val="00236389"/>
    <w:rsid w:val="00237AFE"/>
    <w:rsid w:val="002406EE"/>
    <w:rsid w:val="00243EC8"/>
    <w:rsid w:val="0026412B"/>
    <w:rsid w:val="00264B77"/>
    <w:rsid w:val="00270D93"/>
    <w:rsid w:val="002745CC"/>
    <w:rsid w:val="002909F6"/>
    <w:rsid w:val="0029178F"/>
    <w:rsid w:val="002B7924"/>
    <w:rsid w:val="002B7ABA"/>
    <w:rsid w:val="002D2226"/>
    <w:rsid w:val="002D28C3"/>
    <w:rsid w:val="002D294E"/>
    <w:rsid w:val="002D3505"/>
    <w:rsid w:val="002D39A4"/>
    <w:rsid w:val="002E6189"/>
    <w:rsid w:val="002E6705"/>
    <w:rsid w:val="00301D08"/>
    <w:rsid w:val="0030329A"/>
    <w:rsid w:val="00303F14"/>
    <w:rsid w:val="00305526"/>
    <w:rsid w:val="0031086F"/>
    <w:rsid w:val="0031414C"/>
    <w:rsid w:val="00314E01"/>
    <w:rsid w:val="00317670"/>
    <w:rsid w:val="003207F1"/>
    <w:rsid w:val="0032089D"/>
    <w:rsid w:val="00324AE2"/>
    <w:rsid w:val="003310DE"/>
    <w:rsid w:val="003323B0"/>
    <w:rsid w:val="0033472B"/>
    <w:rsid w:val="00337C82"/>
    <w:rsid w:val="00342089"/>
    <w:rsid w:val="00346C0F"/>
    <w:rsid w:val="00347BA4"/>
    <w:rsid w:val="0035169A"/>
    <w:rsid w:val="0035259D"/>
    <w:rsid w:val="00353B79"/>
    <w:rsid w:val="00353EF2"/>
    <w:rsid w:val="00355C66"/>
    <w:rsid w:val="00362ADA"/>
    <w:rsid w:val="00364B18"/>
    <w:rsid w:val="003801DB"/>
    <w:rsid w:val="00381C49"/>
    <w:rsid w:val="00396BF3"/>
    <w:rsid w:val="003A125D"/>
    <w:rsid w:val="003A4C70"/>
    <w:rsid w:val="003B215F"/>
    <w:rsid w:val="003C2CFF"/>
    <w:rsid w:val="003C799C"/>
    <w:rsid w:val="003D0399"/>
    <w:rsid w:val="003E1C71"/>
    <w:rsid w:val="003E2693"/>
    <w:rsid w:val="003E53AC"/>
    <w:rsid w:val="003F327B"/>
    <w:rsid w:val="003F7ACB"/>
    <w:rsid w:val="00400B24"/>
    <w:rsid w:val="00404D28"/>
    <w:rsid w:val="00406166"/>
    <w:rsid w:val="0040704B"/>
    <w:rsid w:val="00407839"/>
    <w:rsid w:val="00410003"/>
    <w:rsid w:val="00410A55"/>
    <w:rsid w:val="00411300"/>
    <w:rsid w:val="00415417"/>
    <w:rsid w:val="00424FE1"/>
    <w:rsid w:val="00425158"/>
    <w:rsid w:val="00426659"/>
    <w:rsid w:val="00426D16"/>
    <w:rsid w:val="00445C7C"/>
    <w:rsid w:val="00450352"/>
    <w:rsid w:val="00454BDB"/>
    <w:rsid w:val="00456FFF"/>
    <w:rsid w:val="00463A7A"/>
    <w:rsid w:val="00464800"/>
    <w:rsid w:val="00464BF6"/>
    <w:rsid w:val="00465132"/>
    <w:rsid w:val="00465EF1"/>
    <w:rsid w:val="004707F9"/>
    <w:rsid w:val="00470DB3"/>
    <w:rsid w:val="0047411A"/>
    <w:rsid w:val="00480C90"/>
    <w:rsid w:val="0048396F"/>
    <w:rsid w:val="00486C55"/>
    <w:rsid w:val="00493C18"/>
    <w:rsid w:val="00495D96"/>
    <w:rsid w:val="004A600C"/>
    <w:rsid w:val="004A6118"/>
    <w:rsid w:val="004C2314"/>
    <w:rsid w:val="004C25EE"/>
    <w:rsid w:val="004C478D"/>
    <w:rsid w:val="004C6955"/>
    <w:rsid w:val="004D1721"/>
    <w:rsid w:val="004D4FEC"/>
    <w:rsid w:val="004E0D6A"/>
    <w:rsid w:val="004E2C26"/>
    <w:rsid w:val="004E61A7"/>
    <w:rsid w:val="004F36FF"/>
    <w:rsid w:val="00506A78"/>
    <w:rsid w:val="005125A8"/>
    <w:rsid w:val="00516DED"/>
    <w:rsid w:val="00517BC7"/>
    <w:rsid w:val="00521AE8"/>
    <w:rsid w:val="00524449"/>
    <w:rsid w:val="00527180"/>
    <w:rsid w:val="005341CE"/>
    <w:rsid w:val="00534AB2"/>
    <w:rsid w:val="0054201E"/>
    <w:rsid w:val="00547FB8"/>
    <w:rsid w:val="00550FF3"/>
    <w:rsid w:val="005541DB"/>
    <w:rsid w:val="00555291"/>
    <w:rsid w:val="0056265A"/>
    <w:rsid w:val="00566AD1"/>
    <w:rsid w:val="0057257D"/>
    <w:rsid w:val="00575FF2"/>
    <w:rsid w:val="00583EDE"/>
    <w:rsid w:val="00586928"/>
    <w:rsid w:val="005966EF"/>
    <w:rsid w:val="005A4F85"/>
    <w:rsid w:val="005A6079"/>
    <w:rsid w:val="005C617A"/>
    <w:rsid w:val="005C7840"/>
    <w:rsid w:val="005D2568"/>
    <w:rsid w:val="005E4698"/>
    <w:rsid w:val="006003EE"/>
    <w:rsid w:val="006055B2"/>
    <w:rsid w:val="00610539"/>
    <w:rsid w:val="00613969"/>
    <w:rsid w:val="0061523C"/>
    <w:rsid w:val="00617208"/>
    <w:rsid w:val="00625C35"/>
    <w:rsid w:val="00626A7D"/>
    <w:rsid w:val="0062787A"/>
    <w:rsid w:val="00635521"/>
    <w:rsid w:val="00637318"/>
    <w:rsid w:val="00640645"/>
    <w:rsid w:val="006468AB"/>
    <w:rsid w:val="0065050D"/>
    <w:rsid w:val="00656313"/>
    <w:rsid w:val="006565F4"/>
    <w:rsid w:val="0066108F"/>
    <w:rsid w:val="00666098"/>
    <w:rsid w:val="006763FD"/>
    <w:rsid w:val="00684EEA"/>
    <w:rsid w:val="006908E8"/>
    <w:rsid w:val="0069689B"/>
    <w:rsid w:val="006A1551"/>
    <w:rsid w:val="006A48DB"/>
    <w:rsid w:val="006B4F1D"/>
    <w:rsid w:val="006B5FF5"/>
    <w:rsid w:val="006B7683"/>
    <w:rsid w:val="006C2CCE"/>
    <w:rsid w:val="006D4200"/>
    <w:rsid w:val="006D65A1"/>
    <w:rsid w:val="006F30AF"/>
    <w:rsid w:val="006F7FA0"/>
    <w:rsid w:val="007009A0"/>
    <w:rsid w:val="00701759"/>
    <w:rsid w:val="00701CF2"/>
    <w:rsid w:val="00705C15"/>
    <w:rsid w:val="007116CF"/>
    <w:rsid w:val="00712E55"/>
    <w:rsid w:val="00713025"/>
    <w:rsid w:val="00714103"/>
    <w:rsid w:val="007154A1"/>
    <w:rsid w:val="0071600E"/>
    <w:rsid w:val="007162FD"/>
    <w:rsid w:val="00717FDC"/>
    <w:rsid w:val="007208D1"/>
    <w:rsid w:val="0072428C"/>
    <w:rsid w:val="0072436C"/>
    <w:rsid w:val="00730177"/>
    <w:rsid w:val="00742119"/>
    <w:rsid w:val="00742337"/>
    <w:rsid w:val="00744F09"/>
    <w:rsid w:val="00747288"/>
    <w:rsid w:val="00747DD3"/>
    <w:rsid w:val="007549C8"/>
    <w:rsid w:val="00754A0B"/>
    <w:rsid w:val="00766D14"/>
    <w:rsid w:val="00767A0F"/>
    <w:rsid w:val="00775C3E"/>
    <w:rsid w:val="00796207"/>
    <w:rsid w:val="007A05F6"/>
    <w:rsid w:val="007B1289"/>
    <w:rsid w:val="007B1969"/>
    <w:rsid w:val="007B3D74"/>
    <w:rsid w:val="007B6F4A"/>
    <w:rsid w:val="007B7758"/>
    <w:rsid w:val="007D097E"/>
    <w:rsid w:val="007E1C47"/>
    <w:rsid w:val="007E337A"/>
    <w:rsid w:val="007E5375"/>
    <w:rsid w:val="007E5C70"/>
    <w:rsid w:val="007F2FF5"/>
    <w:rsid w:val="007F3F08"/>
    <w:rsid w:val="00801B60"/>
    <w:rsid w:val="00804CC6"/>
    <w:rsid w:val="00813B48"/>
    <w:rsid w:val="00817190"/>
    <w:rsid w:val="0081764F"/>
    <w:rsid w:val="00820223"/>
    <w:rsid w:val="00820EE5"/>
    <w:rsid w:val="008244E9"/>
    <w:rsid w:val="008260E2"/>
    <w:rsid w:val="008322BD"/>
    <w:rsid w:val="008323C4"/>
    <w:rsid w:val="00833E0A"/>
    <w:rsid w:val="00834F73"/>
    <w:rsid w:val="00847F55"/>
    <w:rsid w:val="008544FA"/>
    <w:rsid w:val="00864CF8"/>
    <w:rsid w:val="00872819"/>
    <w:rsid w:val="00874914"/>
    <w:rsid w:val="0088005E"/>
    <w:rsid w:val="00883F8A"/>
    <w:rsid w:val="00891422"/>
    <w:rsid w:val="00892E1A"/>
    <w:rsid w:val="00892FD4"/>
    <w:rsid w:val="008A3F29"/>
    <w:rsid w:val="008B660A"/>
    <w:rsid w:val="008B70F9"/>
    <w:rsid w:val="008C01DA"/>
    <w:rsid w:val="008C02C9"/>
    <w:rsid w:val="008C7263"/>
    <w:rsid w:val="008D0BDF"/>
    <w:rsid w:val="008D2104"/>
    <w:rsid w:val="008E18E5"/>
    <w:rsid w:val="008E3C2D"/>
    <w:rsid w:val="008F78E9"/>
    <w:rsid w:val="00903C32"/>
    <w:rsid w:val="00911989"/>
    <w:rsid w:val="009179F9"/>
    <w:rsid w:val="0093031F"/>
    <w:rsid w:val="00931C1C"/>
    <w:rsid w:val="00933E5E"/>
    <w:rsid w:val="00934D17"/>
    <w:rsid w:val="00935218"/>
    <w:rsid w:val="009365D5"/>
    <w:rsid w:val="009403F3"/>
    <w:rsid w:val="00953701"/>
    <w:rsid w:val="009555B7"/>
    <w:rsid w:val="009567AA"/>
    <w:rsid w:val="0096473A"/>
    <w:rsid w:val="00967374"/>
    <w:rsid w:val="00976EB5"/>
    <w:rsid w:val="00981B4D"/>
    <w:rsid w:val="00982D32"/>
    <w:rsid w:val="00983AF6"/>
    <w:rsid w:val="009A343A"/>
    <w:rsid w:val="009A4E51"/>
    <w:rsid w:val="009A520F"/>
    <w:rsid w:val="009B2F23"/>
    <w:rsid w:val="009B57B3"/>
    <w:rsid w:val="009B6FFE"/>
    <w:rsid w:val="009C5B92"/>
    <w:rsid w:val="009D2920"/>
    <w:rsid w:val="009D5AEB"/>
    <w:rsid w:val="009F0E33"/>
    <w:rsid w:val="009F1E77"/>
    <w:rsid w:val="00A003F4"/>
    <w:rsid w:val="00A030CE"/>
    <w:rsid w:val="00A149DF"/>
    <w:rsid w:val="00A1755C"/>
    <w:rsid w:val="00A21B90"/>
    <w:rsid w:val="00A41805"/>
    <w:rsid w:val="00A42DCD"/>
    <w:rsid w:val="00A44699"/>
    <w:rsid w:val="00A46FB0"/>
    <w:rsid w:val="00A52AFB"/>
    <w:rsid w:val="00A548CB"/>
    <w:rsid w:val="00A5521C"/>
    <w:rsid w:val="00A557A1"/>
    <w:rsid w:val="00A55CEF"/>
    <w:rsid w:val="00A643E7"/>
    <w:rsid w:val="00A73C38"/>
    <w:rsid w:val="00A9085B"/>
    <w:rsid w:val="00AB59C4"/>
    <w:rsid w:val="00AB670D"/>
    <w:rsid w:val="00AC6FA4"/>
    <w:rsid w:val="00AD2826"/>
    <w:rsid w:val="00AD342F"/>
    <w:rsid w:val="00AE25FE"/>
    <w:rsid w:val="00AE3FB8"/>
    <w:rsid w:val="00AE4535"/>
    <w:rsid w:val="00AF03C5"/>
    <w:rsid w:val="00AF0B26"/>
    <w:rsid w:val="00AF4773"/>
    <w:rsid w:val="00AF49CC"/>
    <w:rsid w:val="00AF571D"/>
    <w:rsid w:val="00B000D8"/>
    <w:rsid w:val="00B00F75"/>
    <w:rsid w:val="00B0409C"/>
    <w:rsid w:val="00B11735"/>
    <w:rsid w:val="00B1431F"/>
    <w:rsid w:val="00B145B6"/>
    <w:rsid w:val="00B15684"/>
    <w:rsid w:val="00B2215E"/>
    <w:rsid w:val="00B279EB"/>
    <w:rsid w:val="00B30E18"/>
    <w:rsid w:val="00B32357"/>
    <w:rsid w:val="00B43559"/>
    <w:rsid w:val="00B50C81"/>
    <w:rsid w:val="00B557F8"/>
    <w:rsid w:val="00B56AAF"/>
    <w:rsid w:val="00B62F10"/>
    <w:rsid w:val="00B67199"/>
    <w:rsid w:val="00B815FC"/>
    <w:rsid w:val="00B838B8"/>
    <w:rsid w:val="00B93FBC"/>
    <w:rsid w:val="00BA066D"/>
    <w:rsid w:val="00BA7DA0"/>
    <w:rsid w:val="00BB2366"/>
    <w:rsid w:val="00BB2EE4"/>
    <w:rsid w:val="00BB5AE6"/>
    <w:rsid w:val="00BC2108"/>
    <w:rsid w:val="00BC5642"/>
    <w:rsid w:val="00BD0E9E"/>
    <w:rsid w:val="00BD1BEC"/>
    <w:rsid w:val="00BD32FF"/>
    <w:rsid w:val="00BD67ED"/>
    <w:rsid w:val="00BE7206"/>
    <w:rsid w:val="00C02092"/>
    <w:rsid w:val="00C22905"/>
    <w:rsid w:val="00C229CD"/>
    <w:rsid w:val="00C24D91"/>
    <w:rsid w:val="00C31D39"/>
    <w:rsid w:val="00C53F14"/>
    <w:rsid w:val="00C600CF"/>
    <w:rsid w:val="00C6084F"/>
    <w:rsid w:val="00C62A66"/>
    <w:rsid w:val="00C62FD6"/>
    <w:rsid w:val="00C71458"/>
    <w:rsid w:val="00C7359C"/>
    <w:rsid w:val="00C77613"/>
    <w:rsid w:val="00C828E7"/>
    <w:rsid w:val="00C86719"/>
    <w:rsid w:val="00C921DD"/>
    <w:rsid w:val="00C93B01"/>
    <w:rsid w:val="00CA6391"/>
    <w:rsid w:val="00CA7B39"/>
    <w:rsid w:val="00CB5B04"/>
    <w:rsid w:val="00CB793C"/>
    <w:rsid w:val="00CC34BD"/>
    <w:rsid w:val="00CE161A"/>
    <w:rsid w:val="00CE3171"/>
    <w:rsid w:val="00CF1601"/>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1D65"/>
    <w:rsid w:val="00D7516F"/>
    <w:rsid w:val="00D83628"/>
    <w:rsid w:val="00D8579F"/>
    <w:rsid w:val="00D8628D"/>
    <w:rsid w:val="00D90B9E"/>
    <w:rsid w:val="00D91A89"/>
    <w:rsid w:val="00D95F8E"/>
    <w:rsid w:val="00DA0590"/>
    <w:rsid w:val="00DB342C"/>
    <w:rsid w:val="00DB7BEA"/>
    <w:rsid w:val="00DC1739"/>
    <w:rsid w:val="00DC1788"/>
    <w:rsid w:val="00DC2F37"/>
    <w:rsid w:val="00DC4D23"/>
    <w:rsid w:val="00DD105B"/>
    <w:rsid w:val="00DE319C"/>
    <w:rsid w:val="00DE54B0"/>
    <w:rsid w:val="00DF0CA8"/>
    <w:rsid w:val="00DF2B48"/>
    <w:rsid w:val="00DF49A7"/>
    <w:rsid w:val="00E04080"/>
    <w:rsid w:val="00E07EE2"/>
    <w:rsid w:val="00E07FD1"/>
    <w:rsid w:val="00E1000C"/>
    <w:rsid w:val="00E10A5C"/>
    <w:rsid w:val="00E176D8"/>
    <w:rsid w:val="00E24573"/>
    <w:rsid w:val="00E25E1E"/>
    <w:rsid w:val="00E27EE7"/>
    <w:rsid w:val="00E31D67"/>
    <w:rsid w:val="00E3214F"/>
    <w:rsid w:val="00E333F9"/>
    <w:rsid w:val="00E35404"/>
    <w:rsid w:val="00E45109"/>
    <w:rsid w:val="00E47B7A"/>
    <w:rsid w:val="00E5476E"/>
    <w:rsid w:val="00E56A44"/>
    <w:rsid w:val="00E60269"/>
    <w:rsid w:val="00E653D0"/>
    <w:rsid w:val="00E65A2E"/>
    <w:rsid w:val="00E71951"/>
    <w:rsid w:val="00E77932"/>
    <w:rsid w:val="00E83FDA"/>
    <w:rsid w:val="00E92347"/>
    <w:rsid w:val="00E97830"/>
    <w:rsid w:val="00EA1D3B"/>
    <w:rsid w:val="00EB0D87"/>
    <w:rsid w:val="00EC34E9"/>
    <w:rsid w:val="00ED681A"/>
    <w:rsid w:val="00EE0B3C"/>
    <w:rsid w:val="00EE5737"/>
    <w:rsid w:val="00EE643C"/>
    <w:rsid w:val="00EF0683"/>
    <w:rsid w:val="00EF69D2"/>
    <w:rsid w:val="00EF766E"/>
    <w:rsid w:val="00F0070C"/>
    <w:rsid w:val="00F00EB7"/>
    <w:rsid w:val="00F03D8E"/>
    <w:rsid w:val="00F36AB6"/>
    <w:rsid w:val="00F37A09"/>
    <w:rsid w:val="00F409CE"/>
    <w:rsid w:val="00F4379D"/>
    <w:rsid w:val="00F43876"/>
    <w:rsid w:val="00F44C76"/>
    <w:rsid w:val="00F50635"/>
    <w:rsid w:val="00F50D2D"/>
    <w:rsid w:val="00F56C8B"/>
    <w:rsid w:val="00F66810"/>
    <w:rsid w:val="00F846D9"/>
    <w:rsid w:val="00F84DF4"/>
    <w:rsid w:val="00F85C97"/>
    <w:rsid w:val="00F94A57"/>
    <w:rsid w:val="00FA51A0"/>
    <w:rsid w:val="00FB010F"/>
    <w:rsid w:val="00FB37D2"/>
    <w:rsid w:val="00FB7D08"/>
    <w:rsid w:val="00FC3788"/>
    <w:rsid w:val="00FC4EFB"/>
    <w:rsid w:val="00FD068D"/>
    <w:rsid w:val="00FD4F28"/>
    <w:rsid w:val="00FE041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7116CF"/>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7116CF"/>
    <w:rPr>
      <w:rFonts w:eastAsiaTheme="minorHAnsi" w:cstheme="minorBidi"/>
      <w:b/>
      <w:szCs w:val="22"/>
      <w:lang w:eastAsia="en-US"/>
    </w:rPr>
  </w:style>
  <w:style w:type="character" w:customStyle="1" w:styleId="SCCLsocPrefixChar">
    <w:name w:val="SCC.Lsoc.Prefix Char"/>
    <w:basedOn w:val="DefaultParagraphFont"/>
    <w:link w:val="SCCLsocPrefix"/>
    <w:rsid w:val="007116CF"/>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5940">
      <w:bodyDiv w:val="1"/>
      <w:marLeft w:val="0"/>
      <w:marRight w:val="0"/>
      <w:marTop w:val="0"/>
      <w:marBottom w:val="0"/>
      <w:divBdr>
        <w:top w:val="none" w:sz="0" w:space="0" w:color="auto"/>
        <w:left w:val="none" w:sz="0" w:space="0" w:color="auto"/>
        <w:bottom w:val="none" w:sz="0" w:space="0" w:color="auto"/>
        <w:right w:val="none" w:sz="0" w:space="0" w:color="auto"/>
      </w:divBdr>
    </w:div>
    <w:div w:id="391195522">
      <w:bodyDiv w:val="1"/>
      <w:marLeft w:val="0"/>
      <w:marRight w:val="0"/>
      <w:marTop w:val="0"/>
      <w:marBottom w:val="0"/>
      <w:divBdr>
        <w:top w:val="none" w:sz="0" w:space="0" w:color="auto"/>
        <w:left w:val="none" w:sz="0" w:space="0" w:color="auto"/>
        <w:bottom w:val="none" w:sz="0" w:space="0" w:color="auto"/>
        <w:right w:val="none" w:sz="0" w:space="0" w:color="auto"/>
      </w:divBdr>
    </w:div>
    <w:div w:id="1153763536">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1318612432">
      <w:bodyDiv w:val="1"/>
      <w:marLeft w:val="0"/>
      <w:marRight w:val="0"/>
      <w:marTop w:val="0"/>
      <w:marBottom w:val="0"/>
      <w:divBdr>
        <w:top w:val="none" w:sz="0" w:space="0" w:color="auto"/>
        <w:left w:val="none" w:sz="0" w:space="0" w:color="auto"/>
        <w:bottom w:val="none" w:sz="0" w:space="0" w:color="auto"/>
        <w:right w:val="none" w:sz="0" w:space="0" w:color="auto"/>
      </w:divBdr>
    </w:div>
    <w:div w:id="18802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cords.court.nl.ca/public/supremecourt/decisiondownload/?decision-id=8521&amp;mode=strea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4437-20CA-49D2-933D-0ADFDBB7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666</Words>
  <Characters>3594</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2022-12-06T23:11:00Z</dcterms:created>
  <dcterms:modified xsi:type="dcterms:W3CDTF">2023-05-04T19:10:00Z</dcterms:modified>
</cp:coreProperties>
</file>