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1559"/>
        <w:gridCol w:w="1415"/>
        <w:gridCol w:w="3828"/>
      </w:tblGrid>
      <w:tr w:rsidR="00423C0D" w:rsidRPr="00040DCC" w:rsidTr="00423C0D">
        <w:trPr>
          <w:trHeight w:val="1786"/>
        </w:trPr>
        <w:tc>
          <w:tcPr>
            <w:tcW w:w="5000" w:type="pct"/>
            <w:gridSpan w:val="4"/>
          </w:tcPr>
          <w:p w:rsidR="00423C0D" w:rsidRPr="00040DCC" w:rsidRDefault="00423C0D" w:rsidP="00A51442">
            <w:pPr>
              <w:pStyle w:val="SCCBold"/>
              <w:jc w:val="center"/>
            </w:pPr>
            <w:r w:rsidRPr="00040DCC">
              <w:rPr>
                <w:noProof/>
                <w:lang w:val="en-CA" w:eastAsia="en-CA"/>
              </w:rPr>
              <w:drawing>
                <wp:inline distT="0" distB="0" distL="0" distR="0" wp14:anchorId="4E1468BC" wp14:editId="0002C899">
                  <wp:extent cx="1191895" cy="1638300"/>
                  <wp:effectExtent l="0" t="0" r="8255" b="0"/>
                  <wp:docPr id="3" name="Picture 3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D" w:rsidRPr="00040DCC" w:rsidRDefault="00423C0D" w:rsidP="009764CA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040DCC">
              <w:rPr>
                <w:rFonts w:eastAsia="Calibri"/>
                <w:b/>
              </w:rPr>
              <w:t>COUR SUPRÊME DU CANADA</w:t>
            </w:r>
          </w:p>
        </w:tc>
      </w:tr>
      <w:tr w:rsidR="00D056AE" w:rsidRPr="00040DCC" w:rsidTr="002B203F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2110" w:type="pct"/>
            <w:gridSpan w:val="2"/>
          </w:tcPr>
          <w:p w:rsidR="008215C3" w:rsidRPr="00040DCC" w:rsidRDefault="008215C3" w:rsidP="002F0B6C">
            <w:pPr>
              <w:rPr>
                <w:b/>
                <w:smallCaps/>
              </w:rPr>
            </w:pPr>
          </w:p>
          <w:p w:rsidR="00D056AE" w:rsidRPr="00040DCC" w:rsidRDefault="00D056AE" w:rsidP="002F0B6C">
            <w:pPr>
              <w:rPr>
                <w:b/>
                <w:smallCaps/>
              </w:rPr>
            </w:pPr>
            <w:r w:rsidRPr="00040DCC">
              <w:rPr>
                <w:b/>
                <w:smallCaps/>
              </w:rPr>
              <w:t>Référence :</w:t>
            </w:r>
            <w:r w:rsidRPr="00040DCC">
              <w:t xml:space="preserve"> </w:t>
            </w:r>
            <w:r w:rsidR="002B203F" w:rsidRPr="00040DCC">
              <w:t xml:space="preserve">R. </w:t>
            </w:r>
            <w:r w:rsidR="002B203F" w:rsidRPr="00040DCC">
              <w:rPr>
                <w:i/>
              </w:rPr>
              <w:t>c.</w:t>
            </w:r>
            <w:r w:rsidR="002B203F" w:rsidRPr="00040DCC">
              <w:t xml:space="preserve"> </w:t>
            </w:r>
            <w:r w:rsidR="00714726" w:rsidRPr="00040DCC">
              <w:t>Hodgson</w:t>
            </w:r>
            <w:r w:rsidR="002B203F" w:rsidRPr="00040DCC">
              <w:t>*</w:t>
            </w:r>
          </w:p>
        </w:tc>
        <w:tc>
          <w:tcPr>
            <w:tcW w:w="780" w:type="pct"/>
          </w:tcPr>
          <w:p w:rsidR="00D056AE" w:rsidRPr="00040DCC" w:rsidRDefault="00D056AE" w:rsidP="002F0B6C"/>
        </w:tc>
        <w:tc>
          <w:tcPr>
            <w:tcW w:w="2110" w:type="pct"/>
          </w:tcPr>
          <w:p w:rsidR="00D056AE" w:rsidRPr="00040DCC" w:rsidRDefault="00D056AE" w:rsidP="00423C0D">
            <w:pPr>
              <w:jc w:val="both"/>
              <w:rPr>
                <w:b/>
                <w:smallCaps/>
              </w:rPr>
            </w:pPr>
          </w:p>
          <w:p w:rsidR="00D056AE" w:rsidRPr="00040DCC" w:rsidRDefault="00D056AE" w:rsidP="00D03201">
            <w:r w:rsidRPr="00040DCC">
              <w:rPr>
                <w:b/>
                <w:smallCaps/>
              </w:rPr>
              <w:t>Appel entendu</w:t>
            </w:r>
            <w:r w:rsidR="002B203F" w:rsidRPr="00040DCC">
              <w:rPr>
                <w:b/>
                <w:smallCaps/>
              </w:rPr>
              <w:t xml:space="preserve"> et jugement rendu</w:t>
            </w:r>
            <w:r w:rsidRPr="00040DCC">
              <w:rPr>
                <w:b/>
                <w:smallCaps/>
              </w:rPr>
              <w:t> :</w:t>
            </w:r>
            <w:r w:rsidRPr="00040DCC">
              <w:t xml:space="preserve"> </w:t>
            </w:r>
            <w:r w:rsidR="00714726" w:rsidRPr="00040DCC">
              <w:t>15 février 2024</w:t>
            </w:r>
          </w:p>
          <w:p w:rsidR="002B203F" w:rsidRPr="00040DCC" w:rsidRDefault="002B203F" w:rsidP="002B203F">
            <w:pPr>
              <w:rPr>
                <w:b/>
                <w:smallCaps/>
              </w:rPr>
            </w:pPr>
            <w:r w:rsidRPr="00040DCC">
              <w:rPr>
                <w:b/>
                <w:smallCaps/>
              </w:rPr>
              <w:t xml:space="preserve">Motifs de jugement : </w:t>
            </w:r>
            <w:r w:rsidRPr="00040DCC">
              <w:t>à suivre</w:t>
            </w:r>
          </w:p>
          <w:p w:rsidR="00D056AE" w:rsidRPr="00040DCC" w:rsidRDefault="00D056AE" w:rsidP="00714726">
            <w:r w:rsidRPr="00040DCC">
              <w:rPr>
                <w:b/>
                <w:smallCaps/>
              </w:rPr>
              <w:t>Dossier :</w:t>
            </w:r>
            <w:r w:rsidRPr="00040DCC">
              <w:t xml:space="preserve"> </w:t>
            </w:r>
            <w:r w:rsidR="00714726" w:rsidRPr="00040DCC">
              <w:t>40498</w:t>
            </w:r>
          </w:p>
        </w:tc>
      </w:tr>
      <w:tr w:rsidR="00423C0D" w:rsidRPr="00040DCC" w:rsidTr="00423C0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423C0D" w:rsidRPr="00040DCC" w:rsidRDefault="00423C0D" w:rsidP="00423C0D"/>
          <w:p w:rsidR="00496187" w:rsidRPr="00040DCC" w:rsidRDefault="002B203F">
            <w:pPr>
              <w:pStyle w:val="SCCLsocPrefix"/>
            </w:pPr>
            <w:r w:rsidRPr="00040DCC">
              <w:t>Entre </w:t>
            </w:r>
            <w:r w:rsidR="002A2167" w:rsidRPr="00040DCC">
              <w:t>:</w:t>
            </w:r>
          </w:p>
          <w:p w:rsidR="002B203F" w:rsidRPr="00040DCC" w:rsidRDefault="002B203F" w:rsidP="002B203F"/>
          <w:p w:rsidR="00714726" w:rsidRPr="00040DCC" w:rsidRDefault="00714726" w:rsidP="00714726">
            <w:pPr>
              <w:pStyle w:val="SCCLsocParty"/>
            </w:pPr>
            <w:r w:rsidRPr="00040DCC">
              <w:t>Daniel Hodgson</w:t>
            </w:r>
          </w:p>
          <w:p w:rsidR="00496187" w:rsidRPr="00040DCC" w:rsidRDefault="002B203F">
            <w:pPr>
              <w:pStyle w:val="SCCLsocPartyRole"/>
            </w:pPr>
            <w:r w:rsidRPr="00040DCC">
              <w:t>Appelant</w:t>
            </w:r>
          </w:p>
          <w:p w:rsidR="00496187" w:rsidRPr="00040DCC" w:rsidRDefault="00496187"/>
          <w:p w:rsidR="00496187" w:rsidRPr="00040DCC" w:rsidRDefault="002B203F">
            <w:pPr>
              <w:pStyle w:val="SCCLsocVersus"/>
            </w:pPr>
            <w:r w:rsidRPr="00040DCC">
              <w:t>et</w:t>
            </w:r>
          </w:p>
          <w:p w:rsidR="00496187" w:rsidRPr="00040DCC" w:rsidRDefault="00496187"/>
          <w:p w:rsidR="00496187" w:rsidRPr="00040DCC" w:rsidRDefault="002A2167">
            <w:pPr>
              <w:pStyle w:val="SCCLsocParty"/>
            </w:pPr>
            <w:r w:rsidRPr="00040DCC">
              <w:t>Sa Majesté le Roi</w:t>
            </w:r>
          </w:p>
          <w:p w:rsidR="00714726" w:rsidRPr="00040DCC" w:rsidRDefault="002B203F" w:rsidP="00714726">
            <w:pPr>
              <w:pStyle w:val="SCCLsocPartyRole"/>
            </w:pPr>
            <w:r w:rsidRPr="00040DCC">
              <w:t>Intimé</w:t>
            </w:r>
          </w:p>
          <w:p w:rsidR="00714726" w:rsidRPr="00040DCC" w:rsidRDefault="00714726" w:rsidP="00714726"/>
          <w:p w:rsidR="00714726" w:rsidRPr="00040DCC" w:rsidRDefault="00714726" w:rsidP="00714726">
            <w:pPr>
              <w:jc w:val="center"/>
              <w:rPr>
                <w:color w:val="000000"/>
              </w:rPr>
            </w:pPr>
            <w:r w:rsidRPr="00040DCC">
              <w:rPr>
                <w:color w:val="000000"/>
              </w:rPr>
              <w:t>- et -</w:t>
            </w:r>
          </w:p>
          <w:p w:rsidR="00714726" w:rsidRPr="00040DCC" w:rsidRDefault="00714726" w:rsidP="00714726">
            <w:pPr>
              <w:rPr>
                <w:color w:val="000000"/>
              </w:rPr>
            </w:pPr>
          </w:p>
          <w:p w:rsidR="00714726" w:rsidRPr="00040DCC" w:rsidRDefault="00714726" w:rsidP="00714726">
            <w:pPr>
              <w:jc w:val="center"/>
              <w:rPr>
                <w:color w:val="000000"/>
              </w:rPr>
            </w:pPr>
            <w:r w:rsidRPr="00040DCC">
              <w:rPr>
                <w:b/>
                <w:bCs/>
                <w:color w:val="000000"/>
              </w:rPr>
              <w:t>Procureur général de l’Ontario et Criminal Trial Lawyers’ Association</w:t>
            </w:r>
          </w:p>
          <w:p w:rsidR="00714726" w:rsidRPr="00040DCC" w:rsidRDefault="00714726" w:rsidP="00714726">
            <w:pPr>
              <w:jc w:val="center"/>
              <w:rPr>
                <w:color w:val="000000"/>
              </w:rPr>
            </w:pPr>
            <w:r w:rsidRPr="00040DCC">
              <w:rPr>
                <w:color w:val="000000"/>
              </w:rPr>
              <w:t>Intervenants</w:t>
            </w:r>
          </w:p>
          <w:p w:rsidR="00714726" w:rsidRPr="00040DCC" w:rsidRDefault="00714726" w:rsidP="00714726"/>
          <w:p w:rsidR="00C34313" w:rsidRPr="00040DCC" w:rsidRDefault="00C34313" w:rsidP="00423C0D"/>
          <w:p w:rsidR="00714726" w:rsidRPr="00040DCC" w:rsidRDefault="00714726" w:rsidP="00423C0D"/>
          <w:p w:rsidR="00423C0D" w:rsidRPr="00040DCC" w:rsidRDefault="00423C0D" w:rsidP="00423C0D">
            <w:pPr>
              <w:jc w:val="center"/>
              <w:rPr>
                <w:b/>
                <w:smallCaps/>
              </w:rPr>
            </w:pPr>
            <w:r w:rsidRPr="00040DCC">
              <w:rPr>
                <w:b/>
                <w:smallCaps/>
              </w:rPr>
              <w:t>Traduction française officielle</w:t>
            </w:r>
          </w:p>
          <w:p w:rsidR="00423C0D" w:rsidRPr="00040DCC" w:rsidRDefault="00423C0D" w:rsidP="002B203F">
            <w:pPr>
              <w:rPr>
                <w:b/>
                <w:smallCaps/>
              </w:rPr>
            </w:pPr>
          </w:p>
        </w:tc>
      </w:tr>
      <w:tr w:rsidR="002B203F" w:rsidRPr="00040DCC" w:rsidTr="00CB5AC6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  <w:trHeight w:val="504"/>
        </w:trPr>
        <w:tc>
          <w:tcPr>
            <w:tcW w:w="5000" w:type="pct"/>
            <w:gridSpan w:val="4"/>
          </w:tcPr>
          <w:p w:rsidR="002B203F" w:rsidRPr="00040DCC" w:rsidRDefault="002B203F" w:rsidP="00723F8C">
            <w:pPr>
              <w:spacing w:before="120"/>
            </w:pPr>
            <w:r w:rsidRPr="00040DCC">
              <w:rPr>
                <w:b/>
                <w:smallCaps/>
              </w:rPr>
              <w:t>Coram</w:t>
            </w:r>
            <w:r w:rsidRPr="00040DCC">
              <w:rPr>
                <w:b/>
              </w:rPr>
              <w:t> :</w:t>
            </w:r>
            <w:r w:rsidRPr="00040DCC">
              <w:t xml:space="preserve"> </w:t>
            </w:r>
            <w:r w:rsidR="00CB5AC6" w:rsidRPr="00040DCC">
              <w:t>Le juge en chef Wagner et les juges Karakatsanis, Côté, Rowe, Martin, Kasirer, Jamal, O’Bonsawin et Moreau</w:t>
            </w:r>
          </w:p>
        </w:tc>
      </w:tr>
      <w:tr w:rsidR="002B203F" w:rsidRPr="00040DCC" w:rsidTr="002B203F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  <w:trHeight w:val="504"/>
        </w:trPr>
        <w:tc>
          <w:tcPr>
            <w:tcW w:w="1251" w:type="pct"/>
          </w:tcPr>
          <w:p w:rsidR="002B203F" w:rsidRPr="00040DCC" w:rsidRDefault="002B203F" w:rsidP="002B203F">
            <w:pPr>
              <w:spacing w:before="120"/>
              <w:rPr>
                <w:b/>
              </w:rPr>
            </w:pPr>
            <w:r w:rsidRPr="00040DCC">
              <w:rPr>
                <w:b/>
                <w:smallCaps/>
              </w:rPr>
              <w:t>Jugement</w:t>
            </w:r>
            <w:r w:rsidR="00CB5AC6" w:rsidRPr="00040DCC">
              <w:rPr>
                <w:b/>
                <w:smallCaps/>
              </w:rPr>
              <w:t xml:space="preserve"> unanime</w:t>
            </w:r>
            <w:r w:rsidRPr="00040DCC">
              <w:rPr>
                <w:b/>
                <w:smallCaps/>
              </w:rPr>
              <w:t xml:space="preserve"> lu par</w:t>
            </w:r>
            <w:r w:rsidRPr="00040DCC">
              <w:rPr>
                <w:b/>
              </w:rPr>
              <w:t> :</w:t>
            </w:r>
          </w:p>
          <w:p w:rsidR="002B203F" w:rsidRPr="00040DCC" w:rsidRDefault="00CB5AC6" w:rsidP="002F0B6C">
            <w:r w:rsidRPr="00040DCC">
              <w:t>(par. 1</w:t>
            </w:r>
            <w:r w:rsidR="002B203F" w:rsidRPr="00040DCC">
              <w:t>)</w:t>
            </w:r>
          </w:p>
        </w:tc>
        <w:tc>
          <w:tcPr>
            <w:tcW w:w="3749" w:type="pct"/>
            <w:gridSpan w:val="3"/>
          </w:tcPr>
          <w:p w:rsidR="002B203F" w:rsidRPr="00040DCC" w:rsidRDefault="00CB5AC6" w:rsidP="00723F8C">
            <w:pPr>
              <w:spacing w:before="120"/>
            </w:pPr>
            <w:r w:rsidRPr="00040DCC">
              <w:t>Le juge en chef Wagner</w:t>
            </w:r>
          </w:p>
        </w:tc>
      </w:tr>
      <w:tr w:rsidR="002B203F" w:rsidRPr="00040DCC" w:rsidTr="00CB5AC6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  <w:trHeight w:val="504"/>
        </w:trPr>
        <w:tc>
          <w:tcPr>
            <w:tcW w:w="5000" w:type="pct"/>
            <w:gridSpan w:val="4"/>
          </w:tcPr>
          <w:p w:rsidR="002B203F" w:rsidRPr="00040DCC" w:rsidRDefault="002B203F" w:rsidP="002B203F">
            <w:pPr>
              <w:pStyle w:val="SCCBold"/>
              <w:spacing w:before="120"/>
            </w:pPr>
            <w:r w:rsidRPr="00040DCC">
              <w:rPr>
                <w:smallCaps/>
              </w:rPr>
              <w:lastRenderedPageBreak/>
              <w:t>Avocats</w:t>
            </w:r>
            <w:r w:rsidRPr="00040DCC">
              <w:t> :</w:t>
            </w:r>
          </w:p>
          <w:p w:rsidR="002B203F" w:rsidRPr="00040DCC" w:rsidRDefault="002B203F" w:rsidP="002B203F"/>
          <w:p w:rsidR="002B203F" w:rsidRPr="00040DCC" w:rsidRDefault="006D6E7E" w:rsidP="002B203F">
            <w:r w:rsidRPr="00040DCC">
              <w:rPr>
                <w:rStyle w:val="SCCCounselNameChar"/>
                <w:rFonts w:eastAsiaTheme="minorHAnsi"/>
              </w:rPr>
              <w:t xml:space="preserve">Michael </w:t>
            </w:r>
            <w:r w:rsidR="00714726" w:rsidRPr="00040DCC">
              <w:rPr>
                <w:rStyle w:val="SCCCounselNameChar"/>
                <w:rFonts w:eastAsiaTheme="minorHAnsi"/>
              </w:rPr>
              <w:t>Lacy</w:t>
            </w:r>
            <w:r w:rsidR="002B203F" w:rsidRPr="00040DCC">
              <w:rPr>
                <w:rStyle w:val="SCCCounselNameChar"/>
                <w:rFonts w:eastAsiaTheme="minorHAnsi"/>
              </w:rPr>
              <w:t xml:space="preserve"> </w:t>
            </w:r>
            <w:r w:rsidR="002B203F" w:rsidRPr="00040DCC">
              <w:rPr>
                <w:rStyle w:val="SCCCounselNameChar"/>
                <w:rFonts w:eastAsiaTheme="minorHAnsi"/>
                <w:i w:val="0"/>
              </w:rPr>
              <w:t xml:space="preserve">et </w:t>
            </w:r>
            <w:r w:rsidRPr="00040DCC">
              <w:rPr>
                <w:rStyle w:val="SCCCounselNameChar"/>
                <w:rFonts w:eastAsiaTheme="minorHAnsi"/>
              </w:rPr>
              <w:t>Marcela Ahumada</w:t>
            </w:r>
            <w:r w:rsidR="002B203F" w:rsidRPr="00040DCC">
              <w:rPr>
                <w:rStyle w:val="SCCCounselPartyRoleChar"/>
                <w:rFonts w:eastAsiaTheme="minorHAnsi"/>
              </w:rPr>
              <w:t>, pour l’appelant.</w:t>
            </w:r>
          </w:p>
          <w:p w:rsidR="002B203F" w:rsidRPr="00040DCC" w:rsidRDefault="00714726" w:rsidP="002B203F">
            <w:pPr>
              <w:rPr>
                <w:rStyle w:val="SCCCounselPartyRoleChar"/>
                <w:rFonts w:eastAsiaTheme="minorHAnsi"/>
              </w:rPr>
            </w:pPr>
            <w:r w:rsidRPr="00040DCC">
              <w:rPr>
                <w:rStyle w:val="SCCCounselNameChar"/>
                <w:rFonts w:eastAsiaTheme="minorHAnsi"/>
              </w:rPr>
              <w:t xml:space="preserve">Julie Laborde </w:t>
            </w:r>
            <w:r w:rsidRPr="00040DCC">
              <w:rPr>
                <w:rStyle w:val="SCCCounselNameChar"/>
                <w:rFonts w:eastAsiaTheme="minorHAnsi"/>
                <w:i w:val="0"/>
              </w:rPr>
              <w:t xml:space="preserve">et </w:t>
            </w:r>
            <w:r w:rsidRPr="00040DCC">
              <w:rPr>
                <w:rStyle w:val="SCCCounselNameChar"/>
                <w:rFonts w:eastAsiaTheme="minorHAnsi"/>
              </w:rPr>
              <w:t>Brendan Green</w:t>
            </w:r>
            <w:r w:rsidR="002B203F" w:rsidRPr="00040DCC">
              <w:rPr>
                <w:rStyle w:val="SCCCounselPartyRoleChar"/>
                <w:rFonts w:eastAsiaTheme="minorHAnsi"/>
              </w:rPr>
              <w:t>, pour l’intimé.</w:t>
            </w:r>
          </w:p>
          <w:p w:rsidR="00714726" w:rsidRPr="00040DCC" w:rsidRDefault="00714726" w:rsidP="00714726">
            <w:pPr>
              <w:jc w:val="both"/>
              <w:rPr>
                <w:rStyle w:val="SCCCounselPartyRoleChar"/>
                <w:rFonts w:eastAsiaTheme="minorHAnsi" w:cstheme="minorBidi"/>
                <w:szCs w:val="24"/>
                <w:lang w:eastAsia="en-US"/>
              </w:rPr>
            </w:pPr>
            <w:r w:rsidRPr="00040DCC">
              <w:rPr>
                <w:i/>
              </w:rPr>
              <w:t>Manasvin Goswami</w:t>
            </w:r>
            <w:r w:rsidR="00D03201" w:rsidRPr="00040DCC">
              <w:t>, pour l’intervenant le p</w:t>
            </w:r>
            <w:r w:rsidRPr="00040DCC">
              <w:t>rocureur général de l’Ontario.</w:t>
            </w:r>
          </w:p>
          <w:p w:rsidR="00714726" w:rsidRPr="00040DCC" w:rsidRDefault="00714726" w:rsidP="00714726">
            <w:pPr>
              <w:jc w:val="both"/>
              <w:rPr>
                <w:rStyle w:val="SCCCounselPartyRoleChar"/>
                <w:rFonts w:eastAsiaTheme="minorHAnsi" w:cstheme="minorBidi"/>
                <w:szCs w:val="24"/>
                <w:lang w:eastAsia="en-US"/>
              </w:rPr>
            </w:pPr>
            <w:r w:rsidRPr="00040DCC">
              <w:rPr>
                <w:i/>
              </w:rPr>
              <w:t>Stacey M. Purser</w:t>
            </w:r>
            <w:r w:rsidR="006D6E7E" w:rsidRPr="00040DCC">
              <w:rPr>
                <w:i/>
              </w:rPr>
              <w:t xml:space="preserve"> </w:t>
            </w:r>
            <w:r w:rsidR="006D6E7E" w:rsidRPr="00040DCC">
              <w:t>et</w:t>
            </w:r>
            <w:r w:rsidR="006D6E7E" w:rsidRPr="00040DCC">
              <w:rPr>
                <w:i/>
              </w:rPr>
              <w:t xml:space="preserve"> Daniel J. Song</w:t>
            </w:r>
            <w:r w:rsidR="006D6E7E" w:rsidRPr="00040DCC">
              <w:t>,</w:t>
            </w:r>
            <w:r w:rsidR="006D6E7E" w:rsidRPr="00040DCC">
              <w:rPr>
                <w:i/>
              </w:rPr>
              <w:t xml:space="preserve"> </w:t>
            </w:r>
            <w:proofErr w:type="gramStart"/>
            <w:r w:rsidR="00723F8C" w:rsidRPr="00040DCC">
              <w:rPr>
                <w:i/>
              </w:rPr>
              <w:t>c.r</w:t>
            </w:r>
            <w:r w:rsidR="006D6E7E" w:rsidRPr="00040DCC">
              <w:rPr>
                <w:i/>
              </w:rPr>
              <w:t>.</w:t>
            </w:r>
            <w:r w:rsidRPr="00040DCC">
              <w:t>,</w:t>
            </w:r>
            <w:proofErr w:type="gramEnd"/>
            <w:r w:rsidRPr="00040DCC">
              <w:t xml:space="preserve"> pour l’intervenante Criminal Trial Lawyers’ Association.</w:t>
            </w:r>
          </w:p>
          <w:p w:rsidR="002A2167" w:rsidRPr="00040DCC" w:rsidRDefault="002A2167" w:rsidP="002B203F"/>
        </w:tc>
      </w:tr>
    </w:tbl>
    <w:p w:rsidR="002A2167" w:rsidRPr="00040DCC" w:rsidRDefault="002A2167" w:rsidP="004F7322"/>
    <w:p w:rsidR="00904937" w:rsidRPr="00040DCC" w:rsidRDefault="00904937">
      <w:r w:rsidRPr="00040DCC">
        <w:rPr>
          <w:b/>
          <w:smallCaps/>
        </w:rPr>
        <w:t>Note</w:t>
      </w:r>
      <w:r w:rsidR="002F0B6C" w:rsidRPr="00040DCC">
        <w:rPr>
          <w:b/>
          <w:smallCaps/>
        </w:rPr>
        <w:t> :</w:t>
      </w:r>
      <w:r w:rsidRPr="00040DCC">
        <w:rPr>
          <w:b/>
        </w:rPr>
        <w:t xml:space="preserve"> </w:t>
      </w:r>
      <w:r w:rsidR="001E12E2" w:rsidRPr="00040DCC">
        <w:t>Ce document fera l’objet de retouches de forme avant la parution</w:t>
      </w:r>
      <w:r w:rsidR="005C0397" w:rsidRPr="00040DCC">
        <w:t xml:space="preserve"> </w:t>
      </w:r>
      <w:r w:rsidR="001E12E2" w:rsidRPr="00040DCC">
        <w:t>de sa version définitive dans le</w:t>
      </w:r>
      <w:r w:rsidRPr="00040DCC">
        <w:t xml:space="preserve"> </w:t>
      </w:r>
      <w:r w:rsidR="001E12E2" w:rsidRPr="00040DCC">
        <w:rPr>
          <w:i/>
        </w:rPr>
        <w:t>Recueil des arrêts de la Cour suprême du C</w:t>
      </w:r>
      <w:r w:rsidRPr="00040DCC">
        <w:rPr>
          <w:i/>
        </w:rPr>
        <w:t>anada</w:t>
      </w:r>
      <w:r w:rsidRPr="00040DCC">
        <w:t>.</w:t>
      </w:r>
    </w:p>
    <w:p w:rsidR="002B203F" w:rsidRPr="00040DCC" w:rsidRDefault="002B203F"/>
    <w:p w:rsidR="002B203F" w:rsidRPr="00040DCC" w:rsidRDefault="002B203F">
      <w:r w:rsidRPr="00040DCC">
        <w:t>* Référence neutre à suivre.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D1436" w:rsidRPr="00040DCC" w:rsidTr="003375C9">
        <w:tc>
          <w:tcPr>
            <w:tcW w:w="1500" w:type="pct"/>
            <w:tcMar>
              <w:top w:w="284" w:type="dxa"/>
            </w:tcMar>
          </w:tcPr>
          <w:p w:rsidR="000D1436" w:rsidRPr="00040DCC" w:rsidRDefault="000D1436" w:rsidP="003375C9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D1436" w:rsidRPr="00040DCC" w:rsidRDefault="000D1436" w:rsidP="003375C9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D1436" w:rsidRPr="00040DCC" w:rsidRDefault="000D1436" w:rsidP="003375C9">
            <w:pPr>
              <w:rPr>
                <w:rFonts w:eastAsia="Calibri"/>
              </w:rPr>
            </w:pPr>
          </w:p>
        </w:tc>
      </w:tr>
    </w:tbl>
    <w:p w:rsidR="00040DCC" w:rsidRPr="00040DCC" w:rsidRDefault="00040DCC"/>
    <w:p w:rsidR="00040DCC" w:rsidRPr="00040DCC" w:rsidRDefault="00040DCC" w:rsidP="00040DCC">
      <w:r w:rsidRPr="00040DCC">
        <w:br w:type="page"/>
      </w:r>
    </w:p>
    <w:p w:rsidR="00040DCC" w:rsidRPr="00040DCC" w:rsidRDefault="00040DCC" w:rsidP="00040DCC">
      <w:pPr>
        <w:jc w:val="right"/>
      </w:pPr>
      <w:r w:rsidRPr="00040DCC">
        <w:t>No. 40498     </w:t>
      </w:r>
    </w:p>
    <w:p w:rsidR="00040DCC" w:rsidRPr="00040DCC" w:rsidRDefault="00040DCC" w:rsidP="00040DC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040DCC" w:rsidRPr="00040DCC" w:rsidTr="00B328FE">
        <w:tc>
          <w:tcPr>
            <w:tcW w:w="2269" w:type="pct"/>
          </w:tcPr>
          <w:p w:rsidR="00040DCC" w:rsidRPr="00040DCC" w:rsidRDefault="00040DCC" w:rsidP="00B328FE">
            <w:r w:rsidRPr="00040DCC">
              <w:t>February 16, 2024</w:t>
            </w:r>
          </w:p>
        </w:tc>
        <w:tc>
          <w:tcPr>
            <w:tcW w:w="381" w:type="pct"/>
          </w:tcPr>
          <w:p w:rsidR="00040DCC" w:rsidRPr="00040DCC" w:rsidRDefault="00040DCC" w:rsidP="00B328FE"/>
        </w:tc>
        <w:tc>
          <w:tcPr>
            <w:tcW w:w="2350" w:type="pct"/>
          </w:tcPr>
          <w:p w:rsidR="00040DCC" w:rsidRPr="00040DCC" w:rsidRDefault="00040DCC" w:rsidP="00B328FE">
            <w:pPr>
              <w:rPr>
                <w:lang w:val="en-US"/>
              </w:rPr>
            </w:pPr>
            <w:r w:rsidRPr="00040DCC">
              <w:t>Le 16 février 2024</w:t>
            </w:r>
          </w:p>
        </w:tc>
      </w:tr>
      <w:tr w:rsidR="00040DCC" w:rsidRPr="00040DCC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040DCC" w:rsidRPr="00040DCC" w:rsidRDefault="00040DCC" w:rsidP="00B328FE">
            <w:pPr>
              <w:rPr>
                <w:lang w:val="en-US"/>
              </w:rPr>
            </w:pPr>
          </w:p>
        </w:tc>
      </w:tr>
      <w:tr w:rsidR="00040DCC" w:rsidRPr="00040DCC" w:rsidTr="00B328FE">
        <w:tc>
          <w:tcPr>
            <w:tcW w:w="2269" w:type="pct"/>
          </w:tcPr>
          <w:p w:rsidR="00040DCC" w:rsidRPr="00040DCC" w:rsidRDefault="00040DCC" w:rsidP="00B328FE">
            <w:r w:rsidRPr="00040DCC">
              <w:t xml:space="preserve">Coram: </w:t>
            </w:r>
            <w:r w:rsidRPr="00040DCC">
              <w:rPr>
                <w:lang w:val="en-US"/>
              </w:rPr>
              <w:t>Wagner C.J. and Karakatsanis, Côté, Rowe, Martin, Kasirer, Jamal, O’Bonsawin and Moreau JJ.</w:t>
            </w:r>
          </w:p>
        </w:tc>
        <w:tc>
          <w:tcPr>
            <w:tcW w:w="381" w:type="pct"/>
          </w:tcPr>
          <w:p w:rsidR="00040DCC" w:rsidRPr="00040DCC" w:rsidRDefault="00040DCC" w:rsidP="00B328FE"/>
        </w:tc>
        <w:tc>
          <w:tcPr>
            <w:tcW w:w="2350" w:type="pct"/>
          </w:tcPr>
          <w:p w:rsidR="00040DCC" w:rsidRPr="00040DCC" w:rsidRDefault="00040DCC" w:rsidP="00B328FE">
            <w:r w:rsidRPr="00040DCC">
              <w:t>Coram : Le juge en chef Wagner et les juges Karakatsanis, Côté, Rowe, Martin, Kasirer, Jamal, O’Bonsawin et Moreau</w:t>
            </w:r>
          </w:p>
        </w:tc>
      </w:tr>
      <w:tr w:rsidR="00040DCC" w:rsidRPr="00040DCC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</w:tr>
      <w:tr w:rsidR="00040DCC" w:rsidRPr="00040DCC" w:rsidTr="00B328FE">
        <w:tc>
          <w:tcPr>
            <w:tcW w:w="2269" w:type="pct"/>
          </w:tcPr>
          <w:p w:rsidR="00040DCC" w:rsidRPr="00040DCC" w:rsidRDefault="00040DCC" w:rsidP="00B328FE"/>
          <w:p w:rsidR="00040DCC" w:rsidRPr="00040DCC" w:rsidRDefault="00040DCC" w:rsidP="00B328FE">
            <w:pPr>
              <w:pStyle w:val="SCCLsocPrefix"/>
            </w:pPr>
            <w:r w:rsidRPr="00040DCC">
              <w:t>BETWEEN:</w:t>
            </w:r>
          </w:p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Daniel Hodgson</w:t>
            </w:r>
            <w:r w:rsidRPr="00040DCC">
              <w:rPr>
                <w:b w:val="0"/>
              </w:rPr>
              <w:br/>
            </w:r>
          </w:p>
          <w:p w:rsidR="00040DCC" w:rsidRPr="00040DCC" w:rsidRDefault="00040DCC" w:rsidP="00B328FE">
            <w:pPr>
              <w:pStyle w:val="SCCLsocPartyRole"/>
            </w:pPr>
            <w:r w:rsidRPr="00040DCC">
              <w:t>Appellant</w:t>
            </w:r>
            <w:r w:rsidRPr="00040DCC">
              <w:br/>
            </w:r>
          </w:p>
          <w:p w:rsidR="00040DCC" w:rsidRPr="00040DCC" w:rsidRDefault="00040DCC" w:rsidP="00B328FE">
            <w:pPr>
              <w:pStyle w:val="SCCLsocVersus"/>
            </w:pPr>
            <w:r w:rsidRPr="00040DCC">
              <w:t>- and -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His Majesty The King</w:t>
            </w:r>
            <w:r w:rsidRPr="00040DCC">
              <w:rPr>
                <w:b w:val="0"/>
              </w:rPr>
              <w:br/>
            </w:r>
          </w:p>
          <w:p w:rsidR="00040DCC" w:rsidRPr="00040DCC" w:rsidRDefault="00040DCC" w:rsidP="00B328FE">
            <w:pPr>
              <w:pStyle w:val="SCCLsocPartyRole"/>
            </w:pPr>
            <w:r w:rsidRPr="00040DCC">
              <w:t>Respondent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Versus"/>
            </w:pPr>
            <w:r w:rsidRPr="00040DCC">
              <w:t>- and -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Attorney General of Ontario and Criminal Trial Lawyers’ Association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Role"/>
            </w:pPr>
            <w:r w:rsidRPr="00040DCC">
              <w:t>Interveners</w:t>
            </w:r>
          </w:p>
        </w:tc>
        <w:tc>
          <w:tcPr>
            <w:tcW w:w="381" w:type="pct"/>
          </w:tcPr>
          <w:p w:rsidR="00040DCC" w:rsidRPr="00040DCC" w:rsidRDefault="00040DCC" w:rsidP="00B328FE"/>
        </w:tc>
        <w:tc>
          <w:tcPr>
            <w:tcW w:w="2350" w:type="pct"/>
          </w:tcPr>
          <w:p w:rsidR="00040DCC" w:rsidRPr="00040DCC" w:rsidRDefault="00040DCC" w:rsidP="00B328FE"/>
          <w:p w:rsidR="00040DCC" w:rsidRPr="00040DCC" w:rsidRDefault="00040DCC" w:rsidP="00B328FE">
            <w:pPr>
              <w:pStyle w:val="SCCLsocPrefix"/>
            </w:pPr>
            <w:r w:rsidRPr="00040DCC">
              <w:t>ENTRE :</w:t>
            </w:r>
          </w:p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Daniel Hodgson</w:t>
            </w:r>
            <w:r w:rsidRPr="00040DCC">
              <w:rPr>
                <w:b w:val="0"/>
              </w:rPr>
              <w:br/>
            </w:r>
          </w:p>
          <w:p w:rsidR="00040DCC" w:rsidRPr="00040DCC" w:rsidRDefault="00040DCC" w:rsidP="00B328FE">
            <w:pPr>
              <w:pStyle w:val="SCCLsocPartyRole"/>
            </w:pPr>
            <w:r w:rsidRPr="00040DCC">
              <w:t>Appelant</w:t>
            </w:r>
            <w:r w:rsidRPr="00040DCC">
              <w:br/>
            </w:r>
          </w:p>
          <w:p w:rsidR="00040DCC" w:rsidRPr="00040DCC" w:rsidRDefault="00040DCC" w:rsidP="00B328FE">
            <w:pPr>
              <w:pStyle w:val="SCCLsocVersus"/>
            </w:pPr>
            <w:r w:rsidRPr="00040DCC">
              <w:t>- et -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Sa Majesté le Roi</w:t>
            </w:r>
            <w:r w:rsidRPr="00040DCC">
              <w:rPr>
                <w:b w:val="0"/>
              </w:rPr>
              <w:br/>
            </w:r>
          </w:p>
          <w:p w:rsidR="00040DCC" w:rsidRPr="00040DCC" w:rsidRDefault="00040DCC" w:rsidP="00B328FE">
            <w:pPr>
              <w:pStyle w:val="SCCLsocPartyRole"/>
            </w:pPr>
            <w:r w:rsidRPr="00040DCC">
              <w:t>Intimé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Versus"/>
            </w:pPr>
            <w:r w:rsidRPr="00040DCC">
              <w:t>- et -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"/>
              <w:rPr>
                <w:b w:val="0"/>
              </w:rPr>
            </w:pPr>
            <w:r w:rsidRPr="00040DCC">
              <w:rPr>
                <w:b w:val="0"/>
              </w:rPr>
              <w:t>Procureur général de l’Ontario et Criminal Trial Lawyers’ Association</w:t>
            </w:r>
          </w:p>
          <w:p w:rsidR="00040DCC" w:rsidRPr="00040DCC" w:rsidRDefault="00040DCC" w:rsidP="00B328FE"/>
          <w:p w:rsidR="00040DCC" w:rsidRPr="00040DCC" w:rsidRDefault="00040DCC" w:rsidP="00B328FE">
            <w:pPr>
              <w:pStyle w:val="SCCLsocPartyRole"/>
            </w:pPr>
            <w:r w:rsidRPr="00040DCC">
              <w:t>Intervenants</w:t>
            </w:r>
          </w:p>
        </w:tc>
      </w:tr>
      <w:tr w:rsidR="00040DCC" w:rsidRPr="00040DCC" w:rsidTr="00B328FE">
        <w:tc>
          <w:tcPr>
            <w:tcW w:w="2269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040DCC" w:rsidRPr="00040DCC" w:rsidRDefault="00040DCC" w:rsidP="00B328FE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040DCC" w:rsidRPr="00040DCC" w:rsidRDefault="00040DCC" w:rsidP="00B328FE">
            <w:pPr>
              <w:rPr>
                <w:lang w:val="en-US"/>
              </w:rPr>
            </w:pPr>
          </w:p>
        </w:tc>
      </w:tr>
      <w:tr w:rsidR="00040DCC" w:rsidRPr="00040DCC" w:rsidTr="00B328FE">
        <w:tc>
          <w:tcPr>
            <w:tcW w:w="2269" w:type="pct"/>
          </w:tcPr>
          <w:p w:rsidR="00040DCC" w:rsidRPr="00040DCC" w:rsidRDefault="00040DCC" w:rsidP="00B328FE">
            <w:pPr>
              <w:jc w:val="center"/>
            </w:pPr>
            <w:r w:rsidRPr="00040DCC">
              <w:t>JUDGMENT</w:t>
            </w:r>
          </w:p>
          <w:p w:rsidR="00040DCC" w:rsidRPr="00040DCC" w:rsidRDefault="00040DCC" w:rsidP="00B328FE">
            <w:pPr>
              <w:jc w:val="center"/>
            </w:pPr>
          </w:p>
          <w:p w:rsidR="00040DCC" w:rsidRPr="00040DCC" w:rsidRDefault="00040DCC" w:rsidP="00B328FE">
            <w:pPr>
              <w:jc w:val="both"/>
            </w:pPr>
            <w:r w:rsidRPr="00040DCC">
              <w:t xml:space="preserve">The appeal from the judgment of the Court of Appeal of Nunavut, Number 08-21-010-CAP, </w:t>
            </w:r>
            <w:hyperlink r:id="rId8">
              <w:r w:rsidRPr="00040DCC">
                <w:rPr>
                  <w:rStyle w:val="Hyperlink"/>
                  <w:color w:val="660000"/>
                  <w:u w:val="none"/>
                </w:rPr>
                <w:t>2022 NUCA 9</w:t>
              </w:r>
            </w:hyperlink>
            <w:r w:rsidRPr="00040DCC">
              <w:t xml:space="preserve">, dated October 21, 2022, was heard on February 15, 2024, and the Court on that day delivered the following judgment orally: </w:t>
            </w: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  <w:r w:rsidRPr="00040DCC">
              <w:rPr>
                <w:smallCaps/>
              </w:rPr>
              <w:t>The Chief Justice</w:t>
            </w:r>
            <w:r w:rsidRPr="00040DCC">
              <w:t xml:space="preserve"> </w:t>
            </w:r>
            <w:r w:rsidRPr="00040DCC">
              <w:rPr>
                <w:rFonts w:cs="Times New Roman"/>
              </w:rPr>
              <w:t>—</w:t>
            </w:r>
            <w:r w:rsidRPr="00040DCC">
              <w:t xml:space="preserve"> We are all of the opinion to allow the appeal and to restore the acquittal. Reasons to follow.</w:t>
            </w: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</w:p>
        </w:tc>
        <w:tc>
          <w:tcPr>
            <w:tcW w:w="381" w:type="pct"/>
            <w:tcBorders>
              <w:left w:val="nil"/>
            </w:tcBorders>
          </w:tcPr>
          <w:p w:rsidR="00040DCC" w:rsidRPr="00040DCC" w:rsidRDefault="00040DCC" w:rsidP="00B328FE">
            <w:pPr>
              <w:jc w:val="center"/>
            </w:pPr>
          </w:p>
        </w:tc>
        <w:tc>
          <w:tcPr>
            <w:tcW w:w="2350" w:type="pct"/>
          </w:tcPr>
          <w:p w:rsidR="00040DCC" w:rsidRPr="00040DCC" w:rsidRDefault="00040DCC" w:rsidP="00B328FE">
            <w:pPr>
              <w:jc w:val="center"/>
            </w:pPr>
            <w:r w:rsidRPr="00040DCC">
              <w:t>JUGEMENT</w:t>
            </w:r>
          </w:p>
          <w:p w:rsidR="00040DCC" w:rsidRPr="00040DCC" w:rsidRDefault="00040DCC" w:rsidP="00B328FE">
            <w:pPr>
              <w:jc w:val="center"/>
            </w:pPr>
          </w:p>
          <w:p w:rsidR="00040DCC" w:rsidRPr="00040DCC" w:rsidRDefault="00040DCC" w:rsidP="00B328FE">
            <w:pPr>
              <w:jc w:val="both"/>
            </w:pPr>
            <w:r w:rsidRPr="00040DCC">
              <w:t xml:space="preserve">L’appel interjeté contre l’arrêt de la Cour d’appel du Nunavut, numéro 08-21-010-CAP, </w:t>
            </w:r>
            <w:hyperlink r:id="rId9">
              <w:r w:rsidRPr="00040DCC">
                <w:rPr>
                  <w:rStyle w:val="Hyperlink"/>
                  <w:color w:val="660000"/>
                  <w:u w:val="none"/>
                </w:rPr>
                <w:t>2022 NUCA 9</w:t>
              </w:r>
            </w:hyperlink>
            <w:r w:rsidRPr="00040DCC">
              <w:t>, daté du 21 octobre 2022, a été entendu le 15 février 2024 et la Cour a prononcé oralement le même jour le jugement suivant :</w:t>
            </w: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  <w:r w:rsidRPr="00040DCC">
              <w:t>[</w:t>
            </w:r>
            <w:r w:rsidRPr="00040DCC">
              <w:rPr>
                <w:smallCaps/>
              </w:rPr>
              <w:t>traduction</w:t>
            </w:r>
            <w:r w:rsidRPr="00040DCC">
              <w:t>]</w:t>
            </w:r>
          </w:p>
          <w:p w:rsidR="00040DCC" w:rsidRPr="00040DCC" w:rsidRDefault="00040DCC" w:rsidP="00B328FE">
            <w:pPr>
              <w:jc w:val="both"/>
            </w:pPr>
            <w:r w:rsidRPr="00040DCC">
              <w:rPr>
                <w:smallCaps/>
              </w:rPr>
              <w:t>Le juge en chef</w:t>
            </w:r>
            <w:r w:rsidRPr="00040DCC">
              <w:t xml:space="preserve"> </w:t>
            </w:r>
            <w:r w:rsidRPr="00040DCC">
              <w:rPr>
                <w:rFonts w:cs="Times New Roman"/>
              </w:rPr>
              <w:t>—</w:t>
            </w:r>
            <w:r w:rsidRPr="00040DCC">
              <w:t xml:space="preserve"> Nous sommes toutes et tous d’avis d’accueillir l’appel et de rétablir l’acquittement. Les motifs suivront.</w:t>
            </w:r>
          </w:p>
          <w:p w:rsidR="00040DCC" w:rsidRPr="00040DCC" w:rsidRDefault="00040DCC" w:rsidP="00B328FE">
            <w:pPr>
              <w:jc w:val="both"/>
            </w:pPr>
          </w:p>
          <w:p w:rsidR="00040DCC" w:rsidRPr="00040DCC" w:rsidRDefault="00040DCC" w:rsidP="00B328FE">
            <w:pPr>
              <w:jc w:val="both"/>
            </w:pPr>
          </w:p>
        </w:tc>
      </w:tr>
    </w:tbl>
    <w:p w:rsidR="00040DCC" w:rsidRPr="00040DCC" w:rsidRDefault="00040DCC" w:rsidP="00040DCC"/>
    <w:p w:rsidR="00040DCC" w:rsidRPr="00040DCC" w:rsidRDefault="00040DCC" w:rsidP="00040DCC">
      <w:pPr>
        <w:jc w:val="center"/>
      </w:pPr>
    </w:p>
    <w:p w:rsidR="00040DCC" w:rsidRPr="00040DCC" w:rsidRDefault="00040DCC" w:rsidP="00040DCC">
      <w:pPr>
        <w:jc w:val="center"/>
      </w:pPr>
    </w:p>
    <w:p w:rsidR="00040DCC" w:rsidRPr="00040DCC" w:rsidRDefault="00040DCC" w:rsidP="00040DCC">
      <w:pPr>
        <w:jc w:val="center"/>
      </w:pPr>
    </w:p>
    <w:p w:rsidR="00040DCC" w:rsidRPr="00040DCC" w:rsidRDefault="00040DCC" w:rsidP="00040DCC">
      <w:pPr>
        <w:jc w:val="center"/>
      </w:pPr>
    </w:p>
    <w:p w:rsidR="00040DCC" w:rsidRPr="00040DCC" w:rsidRDefault="00040DCC" w:rsidP="00040DCC">
      <w:pPr>
        <w:jc w:val="center"/>
      </w:pPr>
      <w:r w:rsidRPr="00040DCC">
        <w:t>C.J.C.</w:t>
      </w:r>
    </w:p>
    <w:p w:rsidR="00040DCC" w:rsidRPr="001F46B4" w:rsidRDefault="00040DCC" w:rsidP="00040DCC">
      <w:pPr>
        <w:jc w:val="center"/>
      </w:pPr>
      <w:r w:rsidRPr="00040DCC">
        <w:t>J.C.C.</w:t>
      </w:r>
      <w:bookmarkStart w:id="0" w:name="_GoBack"/>
      <w:bookmarkEnd w:id="0"/>
    </w:p>
    <w:p w:rsidR="00904937" w:rsidRPr="001E12E2" w:rsidRDefault="00904937" w:rsidP="00040DCC">
      <w:pPr>
        <w:jc w:val="center"/>
      </w:pPr>
    </w:p>
    <w:sectPr w:rsidR="00904937" w:rsidRPr="001E12E2" w:rsidSect="00F72014">
      <w:headerReference w:type="default" r:id="rId10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7" w:rsidRDefault="000F4467" w:rsidP="00F72014">
      <w:r>
        <w:separator/>
      </w:r>
    </w:p>
  </w:endnote>
  <w:endnote w:type="continuationSeparator" w:id="0">
    <w:p w:rsidR="000F4467" w:rsidRDefault="000F4467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7" w:rsidRDefault="000F4467" w:rsidP="00F72014">
      <w:r>
        <w:separator/>
      </w:r>
    </w:p>
  </w:footnote>
  <w:footnote w:type="continuationSeparator" w:id="0">
    <w:p w:rsidR="000F4467" w:rsidRDefault="000F4467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40DCC"/>
    <w:rsid w:val="000D1436"/>
    <w:rsid w:val="000F4467"/>
    <w:rsid w:val="00100074"/>
    <w:rsid w:val="001311DA"/>
    <w:rsid w:val="00177E57"/>
    <w:rsid w:val="00196882"/>
    <w:rsid w:val="001A2CF8"/>
    <w:rsid w:val="001D6B8C"/>
    <w:rsid w:val="001E12E2"/>
    <w:rsid w:val="001E5B5A"/>
    <w:rsid w:val="001F1F83"/>
    <w:rsid w:val="00256B56"/>
    <w:rsid w:val="0028675F"/>
    <w:rsid w:val="0029156B"/>
    <w:rsid w:val="002A2167"/>
    <w:rsid w:val="002B203F"/>
    <w:rsid w:val="002F0B6C"/>
    <w:rsid w:val="00355967"/>
    <w:rsid w:val="0036772A"/>
    <w:rsid w:val="00384384"/>
    <w:rsid w:val="003B2BE1"/>
    <w:rsid w:val="003B3C63"/>
    <w:rsid w:val="003B7306"/>
    <w:rsid w:val="00423C0D"/>
    <w:rsid w:val="00460AFC"/>
    <w:rsid w:val="00467372"/>
    <w:rsid w:val="00496187"/>
    <w:rsid w:val="004B6D25"/>
    <w:rsid w:val="004E69EC"/>
    <w:rsid w:val="004F090E"/>
    <w:rsid w:val="004F7322"/>
    <w:rsid w:val="00516D76"/>
    <w:rsid w:val="00535189"/>
    <w:rsid w:val="00574B06"/>
    <w:rsid w:val="00582136"/>
    <w:rsid w:val="0058383C"/>
    <w:rsid w:val="005C0397"/>
    <w:rsid w:val="005D5624"/>
    <w:rsid w:val="005E1DAD"/>
    <w:rsid w:val="006034F1"/>
    <w:rsid w:val="006936F1"/>
    <w:rsid w:val="006D697E"/>
    <w:rsid w:val="006D6E7E"/>
    <w:rsid w:val="00701ABD"/>
    <w:rsid w:val="00714726"/>
    <w:rsid w:val="00723F8C"/>
    <w:rsid w:val="007740CA"/>
    <w:rsid w:val="00787F6E"/>
    <w:rsid w:val="008029A6"/>
    <w:rsid w:val="008029AC"/>
    <w:rsid w:val="00803557"/>
    <w:rsid w:val="008215C3"/>
    <w:rsid w:val="00842677"/>
    <w:rsid w:val="008714CB"/>
    <w:rsid w:val="00880B14"/>
    <w:rsid w:val="008B5797"/>
    <w:rsid w:val="008C75A4"/>
    <w:rsid w:val="008F4691"/>
    <w:rsid w:val="00904937"/>
    <w:rsid w:val="00996510"/>
    <w:rsid w:val="009F0F2D"/>
    <w:rsid w:val="00A51442"/>
    <w:rsid w:val="00A51D10"/>
    <w:rsid w:val="00A863F7"/>
    <w:rsid w:val="00AB2201"/>
    <w:rsid w:val="00B4128E"/>
    <w:rsid w:val="00BD4217"/>
    <w:rsid w:val="00C34313"/>
    <w:rsid w:val="00CA3730"/>
    <w:rsid w:val="00CB5AC6"/>
    <w:rsid w:val="00CD37C2"/>
    <w:rsid w:val="00D030DA"/>
    <w:rsid w:val="00D03201"/>
    <w:rsid w:val="00D056AE"/>
    <w:rsid w:val="00D07EED"/>
    <w:rsid w:val="00D5237B"/>
    <w:rsid w:val="00D751FC"/>
    <w:rsid w:val="00D76BDF"/>
    <w:rsid w:val="00E356C7"/>
    <w:rsid w:val="00E53ED9"/>
    <w:rsid w:val="00E64FA7"/>
    <w:rsid w:val="00E7577F"/>
    <w:rsid w:val="00E770CB"/>
    <w:rsid w:val="00EC2338"/>
    <w:rsid w:val="00F01FC5"/>
    <w:rsid w:val="00F060D9"/>
    <w:rsid w:val="00F25646"/>
    <w:rsid w:val="00F72014"/>
    <w:rsid w:val="00F837E7"/>
    <w:rsid w:val="00F9518C"/>
    <w:rsid w:val="00FA59EF"/>
    <w:rsid w:val="00FB616D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E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CounselName">
    <w:name w:val="SCC.CounselName"/>
    <w:basedOn w:val="Normal"/>
    <w:next w:val="Normal"/>
    <w:link w:val="SCCCounselNameChar"/>
    <w:rsid w:val="003B7306"/>
    <w:rPr>
      <w:i/>
    </w:rPr>
  </w:style>
  <w:style w:type="character" w:customStyle="1" w:styleId="SCCCounselNameChar">
    <w:name w:val="SCC.CounselName Char"/>
    <w:basedOn w:val="DefaultParagraphFont"/>
    <w:link w:val="SCCCounselName"/>
    <w:rsid w:val="003B7306"/>
    <w:rPr>
      <w:rFonts w:eastAsia="Times New Roman" w:cs="Times New Roman"/>
      <w:i/>
      <w:szCs w:val="20"/>
      <w:lang w:val="fr-CA" w:eastAsia="en-CA"/>
    </w:rPr>
  </w:style>
  <w:style w:type="paragraph" w:customStyle="1" w:styleId="SCCCounselSeparator">
    <w:name w:val="SCC.CounselSeparator"/>
    <w:basedOn w:val="Normal"/>
    <w:next w:val="Normal"/>
    <w:link w:val="SCCCounselSeparatorChar"/>
    <w:rsid w:val="003B7306"/>
  </w:style>
  <w:style w:type="character" w:customStyle="1" w:styleId="SCCCounselSeparatorChar">
    <w:name w:val="SCC.CounselSeparator Char"/>
    <w:basedOn w:val="DefaultParagraphFont"/>
    <w:link w:val="SCCCounselSeparator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3B7306"/>
  </w:style>
  <w:style w:type="character" w:customStyle="1" w:styleId="SCCCounselPartyRoleChar">
    <w:name w:val="SCC.CounselPartyRole Char"/>
    <w:basedOn w:val="DefaultParagraphFont"/>
    <w:link w:val="SCCCounselPartyRole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Bold">
    <w:name w:val="SCC.Bold"/>
    <w:basedOn w:val="Normal"/>
    <w:next w:val="Normal"/>
    <w:qFormat/>
    <w:rsid w:val="00D07EED"/>
    <w:rPr>
      <w:b/>
    </w:rPr>
  </w:style>
  <w:style w:type="paragraph" w:customStyle="1" w:styleId="SCCReasonsTitle">
    <w:name w:val="SCC.ReasonsTitle"/>
    <w:basedOn w:val="Normal"/>
    <w:next w:val="Normal"/>
    <w:link w:val="SCCReasonsTitleChar"/>
    <w:qFormat/>
    <w:rsid w:val="00D5237B"/>
    <w:rPr>
      <w:b/>
    </w:rPr>
  </w:style>
  <w:style w:type="character" w:customStyle="1" w:styleId="SCCReasonsTitleChar">
    <w:name w:val="SCC.ReasonsTitle Char"/>
    <w:basedOn w:val="DefaultParagraphFont"/>
    <w:link w:val="SCCReasonsTitle"/>
    <w:rsid w:val="00100074"/>
    <w:rPr>
      <w:b/>
      <w:lang w:val="fr-CA"/>
    </w:rPr>
  </w:style>
  <w:style w:type="character" w:styleId="Hyperlink">
    <w:name w:val="Hyperlink"/>
    <w:basedOn w:val="DefaultParagraphFont"/>
    <w:uiPriority w:val="99"/>
    <w:unhideWhenUsed/>
    <w:rsid w:val="0004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en/nu/nuca/doc/2022/2022nuca9/2022nuca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2252.19B69D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nlii.org/en/nu/nuca/doc/2022/2022nuca9/2022nuca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2024-02-16T16:34:00Z</dcterms:created>
  <dcterms:modified xsi:type="dcterms:W3CDTF">2024-02-16T16:34:00Z</dcterms:modified>
</cp:coreProperties>
</file>