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18" w:rsidRDefault="009F4D18" w:rsidP="009F4D1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5pt;height:65.15pt" o:ole="">
            <v:imagedata r:id="rId8" o:title=""/>
          </v:shape>
          <o:OLEObject Type="Embed" ProgID="Presentations.Drawing.13" ShapeID="_x0000_i1025" DrawAspect="Content" ObjectID="_1362570495" r:id="rId9"/>
        </w:object>
      </w:r>
      <w:r>
        <w:t xml:space="preserve"> </w:t>
      </w:r>
      <w:r>
        <w:ptab w:relativeTo="margin" w:alignment="right" w:leader="none"/>
      </w:r>
    </w:p>
    <w:p w:rsidR="009F4D18" w:rsidRDefault="009F4D18" w:rsidP="009F4D18">
      <w:pPr>
        <w:pStyle w:val="Header"/>
      </w:pPr>
    </w:p>
    <w:p w:rsidR="009F4D18" w:rsidRPr="001E12E2" w:rsidRDefault="009F4D18" w:rsidP="009F4D18">
      <w:pPr>
        <w:jc w:val="center"/>
        <w:rPr>
          <w:b/>
        </w:rPr>
      </w:pPr>
      <w:r w:rsidRPr="001E12E2">
        <w:rPr>
          <w:b/>
        </w:rPr>
        <w:t>COUR SUPRÊME DU CANADA</w:t>
      </w:r>
    </w:p>
    <w:p w:rsidR="009F4D18" w:rsidRDefault="009F4D18" w:rsidP="009F4D1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F4D18" w:rsidRPr="001E12E2" w:rsidTr="00D102C3">
        <w:trPr>
          <w:cantSplit/>
        </w:trPr>
        <w:tc>
          <w:tcPr>
            <w:tcW w:w="6768" w:type="dxa"/>
          </w:tcPr>
          <w:p w:rsidR="009F4D18" w:rsidRPr="00BA65E6" w:rsidRDefault="009F4D18" w:rsidP="00D102C3">
            <w:pPr>
              <w:rPr>
                <w:rStyle w:val="SCCRespondentForIndexChar"/>
                <w:rFonts w:eastAsiaTheme="minorHAnsi"/>
                <w:b w:val="0"/>
              </w:rPr>
            </w:pPr>
            <w:r>
              <w:rPr>
                <w:b/>
                <w:smallCaps/>
              </w:rPr>
              <w:t>Référence</w:t>
            </w:r>
            <w:r w:rsidRPr="001E12E2">
              <w:rPr>
                <w:b/>
                <w:smallCaps/>
              </w:rPr>
              <w:t xml:space="preserve"> </w:t>
            </w:r>
            <w:proofErr w:type="gramStart"/>
            <w:r w:rsidRPr="001E12E2">
              <w:t xml:space="preserve">: </w:t>
            </w:r>
            <w:r>
              <w:t xml:space="preserve"> </w:t>
            </w:r>
            <w:r w:rsidRPr="00BA65E6">
              <w:rPr>
                <w:rStyle w:val="SCCAppellantForIndexChar"/>
                <w:rFonts w:eastAsiaTheme="minorHAnsi"/>
                <w:b w:val="0"/>
              </w:rPr>
              <w:t>Banque</w:t>
            </w:r>
            <w:proofErr w:type="gramEnd"/>
            <w:r w:rsidRPr="00BA65E6">
              <w:rPr>
                <w:rStyle w:val="SCCAppellantForIndexChar"/>
                <w:rFonts w:eastAsiaTheme="minorHAnsi"/>
                <w:b w:val="0"/>
              </w:rPr>
              <w:t xml:space="preserve"> de Montréal</w:t>
            </w:r>
            <w:r w:rsidRPr="00BA65E6">
              <w:rPr>
                <w:b/>
              </w:rPr>
              <w:t xml:space="preserve"> </w:t>
            </w:r>
            <w:r w:rsidRPr="006501D2">
              <w:rPr>
                <w:i/>
              </w:rPr>
              <w:t>c.</w:t>
            </w:r>
            <w:r w:rsidRPr="00BA65E6">
              <w:rPr>
                <w:b/>
              </w:rPr>
              <w:t xml:space="preserve"> </w:t>
            </w:r>
            <w:r w:rsidRPr="00BA65E6">
              <w:rPr>
                <w:rStyle w:val="SCCRespondentForIndexChar"/>
                <w:rFonts w:eastAsiaTheme="minorHAnsi"/>
                <w:b w:val="0"/>
              </w:rPr>
              <w:t xml:space="preserve">Innovation </w:t>
            </w:r>
            <w:proofErr w:type="spellStart"/>
            <w:r w:rsidRPr="00BA65E6">
              <w:rPr>
                <w:rStyle w:val="SCCRespondentForIndexChar"/>
                <w:rFonts w:eastAsiaTheme="minorHAnsi"/>
                <w:b w:val="0"/>
              </w:rPr>
              <w:t>Credit</w:t>
            </w:r>
            <w:proofErr w:type="spellEnd"/>
            <w:r w:rsidRPr="00BA65E6">
              <w:rPr>
                <w:rStyle w:val="SCCRespondentForIndexChar"/>
                <w:rFonts w:eastAsiaTheme="minorHAnsi"/>
                <w:b w:val="0"/>
              </w:rPr>
              <w:t xml:space="preserve"> Union,</w:t>
            </w:r>
          </w:p>
          <w:p w:rsidR="009F4D18" w:rsidRPr="001E12E2" w:rsidRDefault="009F4D18" w:rsidP="00D102C3">
            <w:r w:rsidRPr="00BA65E6">
              <w:rPr>
                <w:rStyle w:val="SCCRespondentForIndexChar"/>
                <w:rFonts w:eastAsiaTheme="minorHAnsi"/>
                <w:b w:val="0"/>
              </w:rPr>
              <w:t xml:space="preserve">2010 CSC </w:t>
            </w:r>
            <w:r>
              <w:rPr>
                <w:rStyle w:val="SCCRespondentForIndexChar"/>
                <w:rFonts w:eastAsiaTheme="minorHAnsi"/>
                <w:b w:val="0"/>
              </w:rPr>
              <w:t>47</w:t>
            </w:r>
            <w:r>
              <w:rPr>
                <w:rStyle w:val="SCCRespondentForIndexChar"/>
                <w:b w:val="0"/>
              </w:rPr>
              <w:t>, [2010] 3 R.C.S. 3</w:t>
            </w:r>
          </w:p>
        </w:tc>
        <w:tc>
          <w:tcPr>
            <w:tcW w:w="2808" w:type="dxa"/>
          </w:tcPr>
          <w:p w:rsidR="009F4D18" w:rsidRPr="001E12E2" w:rsidRDefault="009F4D18" w:rsidP="00D102C3">
            <w:r w:rsidRPr="001E12E2">
              <w:rPr>
                <w:b/>
                <w:smallCaps/>
              </w:rPr>
              <w:t xml:space="preserve">Date </w:t>
            </w:r>
            <w:r w:rsidRPr="001E12E2">
              <w:t xml:space="preserve">: </w:t>
            </w:r>
            <w:r>
              <w:t>20101105</w:t>
            </w:r>
          </w:p>
          <w:p w:rsidR="009F4D18" w:rsidRPr="001E12E2" w:rsidRDefault="009F4D18" w:rsidP="00D102C3">
            <w:r w:rsidRPr="001E12E2">
              <w:rPr>
                <w:b/>
                <w:smallCaps/>
              </w:rPr>
              <w:t>Do</w:t>
            </w:r>
            <w:r>
              <w:rPr>
                <w:b/>
                <w:smallCaps/>
              </w:rPr>
              <w:t>ssier</w:t>
            </w:r>
            <w:r w:rsidRPr="001E12E2">
              <w:rPr>
                <w:b/>
                <w:smallCaps/>
              </w:rPr>
              <w:t xml:space="preserve"> </w:t>
            </w:r>
            <w:proofErr w:type="gramStart"/>
            <w:r w:rsidRPr="001E12E2">
              <w:t xml:space="preserve">: </w:t>
            </w:r>
            <w:r>
              <w:t xml:space="preserve"> 33153</w:t>
            </w:r>
            <w:proofErr w:type="gramEnd"/>
          </w:p>
        </w:tc>
      </w:tr>
    </w:tbl>
    <w:p w:rsidR="009F4D18" w:rsidRPr="001E12E2" w:rsidRDefault="009F4D18" w:rsidP="009F4D18"/>
    <w:p w:rsidR="009F4D18" w:rsidRDefault="009F4D18" w:rsidP="009F4D18">
      <w:pPr>
        <w:pStyle w:val="SCCLsocPrefix"/>
      </w:pPr>
      <w:r>
        <w:t>Entre :</w:t>
      </w:r>
    </w:p>
    <w:p w:rsidR="009F4D18" w:rsidRDefault="009F4D18" w:rsidP="009F4D18">
      <w:pPr>
        <w:pStyle w:val="SCCLsocParty"/>
        <w:jc w:val="center"/>
      </w:pPr>
      <w:r>
        <w:t>Banque de Montréal</w:t>
      </w:r>
    </w:p>
    <w:p w:rsidR="009F4D18" w:rsidRPr="00D47530" w:rsidRDefault="009F4D18" w:rsidP="009F4D18">
      <w:pPr>
        <w:pStyle w:val="SCCLsocPartyRole"/>
        <w:jc w:val="center"/>
        <w:rPr>
          <w:i w:val="0"/>
        </w:rPr>
      </w:pPr>
      <w:r w:rsidRPr="00D47530">
        <w:rPr>
          <w:i w:val="0"/>
        </w:rPr>
        <w:t>Appelante</w:t>
      </w:r>
    </w:p>
    <w:p w:rsidR="009F4D18" w:rsidRPr="00D47530" w:rsidRDefault="009F4D18" w:rsidP="009F4D18">
      <w:pPr>
        <w:pStyle w:val="SCCLsocVersus"/>
        <w:jc w:val="center"/>
        <w:rPr>
          <w:i w:val="0"/>
        </w:rPr>
      </w:pPr>
      <w:proofErr w:type="gramStart"/>
      <w:r w:rsidRPr="00D47530">
        <w:rPr>
          <w:i w:val="0"/>
        </w:rPr>
        <w:t>et</w:t>
      </w:r>
      <w:proofErr w:type="gramEnd"/>
    </w:p>
    <w:p w:rsidR="009F4D18" w:rsidRDefault="009F4D18" w:rsidP="009F4D18">
      <w:pPr>
        <w:pStyle w:val="SCCLsocParty"/>
        <w:jc w:val="center"/>
      </w:pPr>
      <w:r>
        <w:t xml:space="preserve">Innovation </w:t>
      </w:r>
      <w:proofErr w:type="spellStart"/>
      <w:r>
        <w:t>Credit</w:t>
      </w:r>
      <w:proofErr w:type="spellEnd"/>
      <w:r>
        <w:t xml:space="preserve"> Union</w:t>
      </w:r>
    </w:p>
    <w:p w:rsidR="009F4D18" w:rsidRPr="00D47530" w:rsidRDefault="009F4D18" w:rsidP="009F4D18">
      <w:pPr>
        <w:pStyle w:val="SCCLsocPartyRole"/>
        <w:jc w:val="center"/>
        <w:rPr>
          <w:i w:val="0"/>
        </w:rPr>
      </w:pPr>
      <w:r w:rsidRPr="00D47530">
        <w:rPr>
          <w:i w:val="0"/>
        </w:rPr>
        <w:t>Intimée</w:t>
      </w:r>
    </w:p>
    <w:p w:rsidR="009F4D18" w:rsidRDefault="009F4D18" w:rsidP="009F4D18">
      <w:pPr>
        <w:jc w:val="center"/>
      </w:pPr>
    </w:p>
    <w:p w:rsidR="009F4D18" w:rsidRPr="001E12E2" w:rsidRDefault="009F4D18" w:rsidP="009F4D18">
      <w:pPr>
        <w:jc w:val="center"/>
        <w:rPr>
          <w:b/>
          <w:smallCaps/>
        </w:rPr>
      </w:pPr>
      <w:r>
        <w:rPr>
          <w:b/>
          <w:smallCaps/>
        </w:rPr>
        <w:t>Traduction française o</w:t>
      </w:r>
      <w:r w:rsidRPr="001E12E2">
        <w:rPr>
          <w:b/>
          <w:smallCaps/>
        </w:rPr>
        <w:t>ffici</w:t>
      </w:r>
      <w:r>
        <w:rPr>
          <w:b/>
          <w:smallCaps/>
        </w:rPr>
        <w:t>elle</w:t>
      </w:r>
    </w:p>
    <w:p w:rsidR="009F4D18" w:rsidRPr="001E12E2" w:rsidRDefault="009F4D18" w:rsidP="009F4D18"/>
    <w:p w:rsidR="009F4D18" w:rsidRPr="001E12E2" w:rsidRDefault="009F4D18" w:rsidP="009F4D18">
      <w:r w:rsidRPr="001E12E2">
        <w:rPr>
          <w:b/>
          <w:smallCaps/>
        </w:rPr>
        <w:t xml:space="preserve">Coram </w:t>
      </w:r>
      <w:r w:rsidRPr="001E12E2">
        <w:t xml:space="preserve">: </w:t>
      </w:r>
      <w:r>
        <w:t xml:space="preserve">La juge en chef </w:t>
      </w:r>
      <w:proofErr w:type="spellStart"/>
      <w:r>
        <w:t>McLachlin</w:t>
      </w:r>
      <w:proofErr w:type="spellEnd"/>
      <w:r>
        <w:t xml:space="preserve"> et les juges </w:t>
      </w:r>
      <w:proofErr w:type="spellStart"/>
      <w:r>
        <w:t>Binnie</w:t>
      </w:r>
      <w:proofErr w:type="spellEnd"/>
      <w:r>
        <w:t xml:space="preserve">, </w:t>
      </w:r>
      <w:proofErr w:type="spellStart"/>
      <w:r>
        <w:t>LeBel</w:t>
      </w:r>
      <w:proofErr w:type="spellEnd"/>
      <w:r>
        <w:t xml:space="preserve">, Deschamps, Fish, Abella, Charron, </w:t>
      </w:r>
      <w:proofErr w:type="spellStart"/>
      <w:r>
        <w:t>Rothstein</w:t>
      </w:r>
      <w:proofErr w:type="spellEnd"/>
      <w:r>
        <w:t xml:space="preserve"> et Cromwell</w:t>
      </w:r>
    </w:p>
    <w:p w:rsidR="009F4D18" w:rsidRPr="001E12E2" w:rsidRDefault="009F4D18" w:rsidP="009F4D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F4D18" w:rsidRPr="001E12E2" w:rsidTr="00D102C3">
        <w:trPr>
          <w:cantSplit/>
        </w:trPr>
        <w:tc>
          <w:tcPr>
            <w:tcW w:w="3618" w:type="dxa"/>
          </w:tcPr>
          <w:p w:rsidR="009F4D18" w:rsidRDefault="009F4D18" w:rsidP="00D102C3">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sidRPr="001E12E2">
              <w:t xml:space="preserve"> :</w:t>
            </w:r>
          </w:p>
          <w:p w:rsidR="009F4D18" w:rsidRPr="001E12E2" w:rsidRDefault="009F4D18" w:rsidP="00D102C3">
            <w:r>
              <w:t>(par. 1 à 71)</w:t>
            </w:r>
          </w:p>
        </w:tc>
        <w:tc>
          <w:tcPr>
            <w:tcW w:w="5958" w:type="dxa"/>
          </w:tcPr>
          <w:p w:rsidR="009F4D18" w:rsidRPr="001E12E2" w:rsidRDefault="009F4D18" w:rsidP="00D102C3">
            <w:r>
              <w:t xml:space="preserve">La juge Charron (avec l'accord de la juge en chef </w:t>
            </w:r>
            <w:proofErr w:type="spellStart"/>
            <w:r>
              <w:t>McLachlin</w:t>
            </w:r>
            <w:proofErr w:type="spellEnd"/>
            <w:r>
              <w:t xml:space="preserve"> et des juges </w:t>
            </w:r>
            <w:proofErr w:type="spellStart"/>
            <w:r>
              <w:t>Binnie</w:t>
            </w:r>
            <w:proofErr w:type="spellEnd"/>
            <w:r>
              <w:t xml:space="preserve">, </w:t>
            </w:r>
            <w:proofErr w:type="spellStart"/>
            <w:r>
              <w:t>LeBel</w:t>
            </w:r>
            <w:proofErr w:type="spellEnd"/>
            <w:r>
              <w:t xml:space="preserve">, Deschamps, Fish, Abella, </w:t>
            </w:r>
            <w:proofErr w:type="spellStart"/>
            <w:r>
              <w:t>Rothstein</w:t>
            </w:r>
            <w:proofErr w:type="spellEnd"/>
            <w:r>
              <w:t xml:space="preserve"> et Cromwell)</w:t>
            </w:r>
          </w:p>
        </w:tc>
      </w:tr>
    </w:tbl>
    <w:p w:rsidR="009F4D18" w:rsidRDefault="009F4D18" w:rsidP="009F4D18"/>
    <w:p w:rsidR="009F4D18" w:rsidRPr="001E12E2" w:rsidRDefault="00090A72" w:rsidP="009F4D18">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F4D18" w:rsidRDefault="009F4D18" w:rsidP="009F4D18">
      <w:pPr>
        <w:spacing w:line="480" w:lineRule="auto"/>
        <w:jc w:val="both"/>
        <w:rPr>
          <w:rStyle w:val="SCCAppellantForRunningHeadChar"/>
        </w:rPr>
        <w:sectPr w:rsidR="009F4D18"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pPr>
    </w:p>
    <w:p w:rsidR="008322BD" w:rsidRPr="0092785C" w:rsidRDefault="00AC611A" w:rsidP="001A107D">
      <w:pPr>
        <w:spacing w:line="480" w:lineRule="auto"/>
        <w:jc w:val="both"/>
        <w:rPr>
          <w:rStyle w:val="SCCRespondentForRunningHeadChar"/>
        </w:rPr>
      </w:pPr>
      <w:r w:rsidRPr="00AC611A">
        <w:rPr>
          <w:rStyle w:val="SCCAppellantForIndexChar"/>
          <w:b w:val="0"/>
        </w:rPr>
        <w:lastRenderedPageBreak/>
        <w:t>Banque de Montréal</w:t>
      </w:r>
      <w:r w:rsidRPr="00AC611A">
        <w:t xml:space="preserve"> </w:t>
      </w:r>
      <w:r w:rsidRPr="00AC611A">
        <w:rPr>
          <w:i/>
        </w:rPr>
        <w:t>c.</w:t>
      </w:r>
      <w:r w:rsidRPr="00AC611A">
        <w:t xml:space="preserve"> </w:t>
      </w:r>
      <w:r w:rsidRPr="00AC611A">
        <w:rPr>
          <w:rStyle w:val="SCCRespondentForIndexChar"/>
          <w:b w:val="0"/>
        </w:rPr>
        <w:t xml:space="preserve">Innovation </w:t>
      </w:r>
      <w:proofErr w:type="spellStart"/>
      <w:r w:rsidRPr="00AC611A">
        <w:rPr>
          <w:rStyle w:val="SCCRespondentForIndexChar"/>
          <w:b w:val="0"/>
        </w:rPr>
        <w:t>Credit</w:t>
      </w:r>
      <w:proofErr w:type="spellEnd"/>
      <w:r w:rsidRPr="00AC611A">
        <w:rPr>
          <w:rStyle w:val="SCCRespondentForIndexChar"/>
          <w:b w:val="0"/>
        </w:rPr>
        <w:t xml:space="preserve"> Union</w:t>
      </w:r>
      <w:r>
        <w:rPr>
          <w:rStyle w:val="SCCRespondentForRunningHeadChar"/>
        </w:rPr>
        <w:t xml:space="preserve">, </w:t>
      </w:r>
      <w:r>
        <w:rPr>
          <w:rStyle w:val="SCCRespondentForIndexChar"/>
          <w:b w:val="0"/>
        </w:rPr>
        <w:t>2010 CSC 47, [2010] 3 R.C.S. 3</w:t>
      </w:r>
    </w:p>
    <w:p w:rsidR="00EA3BAB" w:rsidRPr="0092785C" w:rsidRDefault="00EA3BAB" w:rsidP="001A107D">
      <w:pPr>
        <w:spacing w:line="480" w:lineRule="auto"/>
        <w:jc w:val="both"/>
      </w:pPr>
    </w:p>
    <w:p w:rsidR="001A107D" w:rsidRPr="0092785C" w:rsidRDefault="00EA3BAB" w:rsidP="001A107D">
      <w:pPr>
        <w:pStyle w:val="SCCLsocParty"/>
        <w:tabs>
          <w:tab w:val="right" w:pos="8190"/>
        </w:tabs>
        <w:spacing w:line="480" w:lineRule="auto"/>
      </w:pPr>
      <w:r w:rsidRPr="0092785C">
        <w:t>Banque de Montréal</w:t>
      </w:r>
      <w:r w:rsidR="001A107D" w:rsidRPr="0092785C">
        <w:tab/>
      </w:r>
      <w:r w:rsidR="001A107D" w:rsidRPr="0092785C">
        <w:rPr>
          <w:b w:val="0"/>
          <w:i/>
        </w:rPr>
        <w:t>Appelante</w:t>
      </w:r>
    </w:p>
    <w:p w:rsidR="00EA3BAB" w:rsidRPr="0092785C" w:rsidRDefault="00EA3BAB" w:rsidP="001A107D">
      <w:pPr>
        <w:pStyle w:val="SCCLsocParty"/>
        <w:spacing w:line="480" w:lineRule="auto"/>
      </w:pPr>
    </w:p>
    <w:p w:rsidR="00EA3BAB" w:rsidRPr="0092785C" w:rsidRDefault="00EA3BAB" w:rsidP="001A107D">
      <w:pPr>
        <w:pStyle w:val="SCCLsocVersus"/>
        <w:spacing w:line="480" w:lineRule="auto"/>
      </w:pPr>
      <w:proofErr w:type="gramStart"/>
      <w:r w:rsidRPr="0092785C">
        <w:t>c</w:t>
      </w:r>
      <w:proofErr w:type="gramEnd"/>
      <w:r w:rsidRPr="0092785C">
        <w:t>.</w:t>
      </w:r>
      <w:r w:rsidRPr="0092785C">
        <w:br/>
      </w:r>
    </w:p>
    <w:p w:rsidR="00EA3BAB" w:rsidRPr="0092785C" w:rsidRDefault="00EA3BAB" w:rsidP="001A107D">
      <w:pPr>
        <w:pStyle w:val="SCCLsocParty"/>
        <w:tabs>
          <w:tab w:val="right" w:pos="8190"/>
        </w:tabs>
        <w:spacing w:line="480" w:lineRule="auto"/>
      </w:pPr>
      <w:r w:rsidRPr="0092785C">
        <w:t xml:space="preserve">Innovation </w:t>
      </w:r>
      <w:proofErr w:type="spellStart"/>
      <w:r w:rsidRPr="0092785C">
        <w:t>Credit</w:t>
      </w:r>
      <w:proofErr w:type="spellEnd"/>
      <w:r w:rsidRPr="0092785C">
        <w:t xml:space="preserve"> Union</w:t>
      </w:r>
      <w:r w:rsidR="001A107D" w:rsidRPr="0092785C">
        <w:tab/>
      </w:r>
      <w:r w:rsidRPr="0092785C">
        <w:rPr>
          <w:b w:val="0"/>
          <w:i/>
        </w:rPr>
        <w:t>Intimée</w:t>
      </w:r>
    </w:p>
    <w:p w:rsidR="00E73493" w:rsidRPr="0092785C" w:rsidRDefault="00E73493" w:rsidP="001A107D">
      <w:pPr>
        <w:tabs>
          <w:tab w:val="right" w:pos="8280"/>
        </w:tabs>
        <w:spacing w:line="480" w:lineRule="auto"/>
        <w:jc w:val="both"/>
      </w:pPr>
    </w:p>
    <w:p w:rsidR="00426659" w:rsidRPr="0092785C" w:rsidRDefault="0043088E" w:rsidP="001A107D">
      <w:pPr>
        <w:spacing w:line="480" w:lineRule="auto"/>
        <w:jc w:val="both"/>
        <w:rPr>
          <w:b/>
        </w:rPr>
      </w:pPr>
      <w:r w:rsidRPr="0092785C">
        <w:rPr>
          <w:b/>
        </w:rPr>
        <w:t>Répertorié</w:t>
      </w:r>
      <w:r w:rsidR="00C67CA5" w:rsidRPr="0092785C">
        <w:rPr>
          <w:b/>
        </w:rPr>
        <w:t> </w:t>
      </w:r>
      <w:r w:rsidR="00426659" w:rsidRPr="0092785C">
        <w:rPr>
          <w:b/>
        </w:rPr>
        <w:t>:</w:t>
      </w:r>
      <w:r w:rsidR="00C67CA5" w:rsidRPr="0092785C">
        <w:rPr>
          <w:b/>
        </w:rPr>
        <w:t> </w:t>
      </w:r>
      <w:r w:rsidRPr="0092785C">
        <w:rPr>
          <w:rStyle w:val="SCCAppellantForIndexChar"/>
        </w:rPr>
        <w:t>Banque de Montréal</w:t>
      </w:r>
      <w:r w:rsidR="00426659" w:rsidRPr="0092785C">
        <w:rPr>
          <w:b/>
        </w:rPr>
        <w:t xml:space="preserve"> </w:t>
      </w:r>
      <w:r w:rsidR="00645057" w:rsidRPr="0092785C">
        <w:rPr>
          <w:b/>
          <w:i/>
        </w:rPr>
        <w:t>c</w:t>
      </w:r>
      <w:r w:rsidR="00426659" w:rsidRPr="0092785C">
        <w:rPr>
          <w:b/>
          <w:i/>
        </w:rPr>
        <w:t>.</w:t>
      </w:r>
      <w:r w:rsidR="00426659" w:rsidRPr="0092785C">
        <w:rPr>
          <w:b/>
        </w:rPr>
        <w:t xml:space="preserve"> </w:t>
      </w:r>
      <w:r w:rsidRPr="0092785C">
        <w:rPr>
          <w:rStyle w:val="SCCRespondentForIndexChar"/>
        </w:rPr>
        <w:t xml:space="preserve">Innovation </w:t>
      </w:r>
      <w:proofErr w:type="spellStart"/>
      <w:r w:rsidRPr="0092785C">
        <w:rPr>
          <w:rStyle w:val="SCCRespondentForIndexChar"/>
        </w:rPr>
        <w:t>Credit</w:t>
      </w:r>
      <w:proofErr w:type="spellEnd"/>
      <w:r w:rsidRPr="0092785C">
        <w:rPr>
          <w:rStyle w:val="SCCRespondentForIndexChar"/>
        </w:rPr>
        <w:t xml:space="preserve"> Union</w:t>
      </w:r>
    </w:p>
    <w:p w:rsidR="00426659" w:rsidRPr="0092785C" w:rsidRDefault="00426659" w:rsidP="001A107D">
      <w:pPr>
        <w:spacing w:line="480" w:lineRule="auto"/>
        <w:jc w:val="both"/>
      </w:pPr>
    </w:p>
    <w:p w:rsidR="00426659" w:rsidRPr="0092785C" w:rsidRDefault="00F853FB" w:rsidP="001A107D">
      <w:pPr>
        <w:pStyle w:val="SCCSystemYear"/>
        <w:spacing w:line="480" w:lineRule="auto"/>
        <w:jc w:val="both"/>
      </w:pPr>
      <w:r w:rsidRPr="0092785C">
        <w:t>2010</w:t>
      </w:r>
      <w:r w:rsidR="00EE0FAF" w:rsidRPr="0092785C">
        <w:t xml:space="preserve"> </w:t>
      </w:r>
      <w:r w:rsidR="00C71F58" w:rsidRPr="0092785C">
        <w:t>C</w:t>
      </w:r>
      <w:r w:rsidR="00426659" w:rsidRPr="0092785C">
        <w:t>SC </w:t>
      </w:r>
      <w:r w:rsidR="00DC2992" w:rsidRPr="0092785C">
        <w:t>47</w:t>
      </w:r>
    </w:p>
    <w:p w:rsidR="00EF79D9" w:rsidRPr="0092785C" w:rsidRDefault="00EF79D9" w:rsidP="001A107D">
      <w:pPr>
        <w:spacing w:line="480" w:lineRule="auto"/>
        <w:jc w:val="both"/>
      </w:pPr>
    </w:p>
    <w:p w:rsidR="008322BD" w:rsidRPr="0092785C" w:rsidRDefault="009B57B3" w:rsidP="001A107D">
      <w:pPr>
        <w:spacing w:line="480" w:lineRule="auto"/>
        <w:jc w:val="both"/>
      </w:pPr>
      <w:r w:rsidRPr="0092785C">
        <w:t>N</w:t>
      </w:r>
      <w:r w:rsidRPr="0092785C">
        <w:rPr>
          <w:vertAlign w:val="superscript"/>
        </w:rPr>
        <w:t>o</w:t>
      </w:r>
      <w:r w:rsidR="0043088E" w:rsidRPr="0092785C">
        <w:t xml:space="preserve"> du greffe</w:t>
      </w:r>
      <w:r w:rsidR="00C67CA5" w:rsidRPr="0092785C">
        <w:t> </w:t>
      </w:r>
      <w:r w:rsidRPr="0092785C">
        <w:t>:</w:t>
      </w:r>
      <w:r w:rsidR="00C67CA5" w:rsidRPr="0092785C">
        <w:t> </w:t>
      </w:r>
      <w:r w:rsidRPr="0092785C">
        <w:t>33153.</w:t>
      </w:r>
    </w:p>
    <w:p w:rsidR="00E97830" w:rsidRPr="0092785C" w:rsidRDefault="00E97830" w:rsidP="001A107D">
      <w:pPr>
        <w:spacing w:line="480" w:lineRule="auto"/>
        <w:jc w:val="both"/>
      </w:pPr>
    </w:p>
    <w:p w:rsidR="008322BD" w:rsidRPr="0092785C" w:rsidRDefault="0036198D" w:rsidP="001A107D">
      <w:pPr>
        <w:spacing w:line="480" w:lineRule="auto"/>
        <w:jc w:val="both"/>
      </w:pPr>
      <w:r w:rsidRPr="0092785C">
        <w:t>2010 :</w:t>
      </w:r>
      <w:r w:rsidR="0042317E" w:rsidRPr="0092785C">
        <w:t> </w:t>
      </w:r>
      <w:r w:rsidR="00F853FB" w:rsidRPr="0092785C">
        <w:t>19</w:t>
      </w:r>
      <w:r w:rsidR="0042317E" w:rsidRPr="0092785C">
        <w:t> </w:t>
      </w:r>
      <w:r w:rsidR="00F853FB" w:rsidRPr="0092785C">
        <w:t>avril</w:t>
      </w:r>
      <w:r w:rsidR="009B57B3" w:rsidRPr="0092785C">
        <w:t xml:space="preserve">; </w:t>
      </w:r>
      <w:r w:rsidR="0042317E" w:rsidRPr="0092785C">
        <w:t>2010 : </w:t>
      </w:r>
      <w:r w:rsidRPr="0092785C">
        <w:t>5</w:t>
      </w:r>
      <w:r w:rsidR="0042317E" w:rsidRPr="0092785C">
        <w:t> </w:t>
      </w:r>
      <w:r w:rsidRPr="0092785C">
        <w:t>novembre</w:t>
      </w:r>
      <w:r w:rsidR="009B57B3" w:rsidRPr="0092785C">
        <w:t>.</w:t>
      </w:r>
    </w:p>
    <w:p w:rsidR="00EF79D9" w:rsidRPr="0092785C" w:rsidRDefault="00EF79D9" w:rsidP="001A107D">
      <w:pPr>
        <w:spacing w:line="480" w:lineRule="auto"/>
        <w:jc w:val="both"/>
      </w:pPr>
    </w:p>
    <w:p w:rsidR="00E97830" w:rsidRPr="0092785C" w:rsidRDefault="009B57B3" w:rsidP="001A107D">
      <w:pPr>
        <w:jc w:val="both"/>
      </w:pPr>
      <w:r w:rsidRPr="0092785C">
        <w:t>Pr</w:t>
      </w:r>
      <w:r w:rsidR="0043088E" w:rsidRPr="0092785C">
        <w:t>é</w:t>
      </w:r>
      <w:r w:rsidRPr="0092785C">
        <w:t>sent</w:t>
      </w:r>
      <w:r w:rsidR="008A6558" w:rsidRPr="0092785C">
        <w:t>s</w:t>
      </w:r>
      <w:r w:rsidR="00C67CA5" w:rsidRPr="0092785C">
        <w:t> </w:t>
      </w:r>
      <w:r w:rsidRPr="0092785C">
        <w:t>:</w:t>
      </w:r>
      <w:r w:rsidR="00C67CA5" w:rsidRPr="0092785C">
        <w:t> </w:t>
      </w:r>
      <w:r w:rsidRPr="0092785C">
        <w:t xml:space="preserve">La juge en chef </w:t>
      </w:r>
      <w:proofErr w:type="spellStart"/>
      <w:r w:rsidRPr="0092785C">
        <w:t>McLachlin</w:t>
      </w:r>
      <w:proofErr w:type="spellEnd"/>
      <w:r w:rsidRPr="0092785C">
        <w:t xml:space="preserve"> et les juges </w:t>
      </w:r>
      <w:proofErr w:type="spellStart"/>
      <w:r w:rsidRPr="0092785C">
        <w:t>Binnie</w:t>
      </w:r>
      <w:proofErr w:type="spellEnd"/>
      <w:r w:rsidRPr="0092785C">
        <w:t xml:space="preserve">, </w:t>
      </w:r>
      <w:proofErr w:type="spellStart"/>
      <w:r w:rsidRPr="0092785C">
        <w:t>LeBel</w:t>
      </w:r>
      <w:proofErr w:type="spellEnd"/>
      <w:r w:rsidRPr="0092785C">
        <w:t xml:space="preserve">, Deschamps, Fish, Abella, Charron, </w:t>
      </w:r>
      <w:proofErr w:type="spellStart"/>
      <w:r w:rsidRPr="0092785C">
        <w:t>Rothstein</w:t>
      </w:r>
      <w:proofErr w:type="spellEnd"/>
      <w:r w:rsidRPr="0092785C">
        <w:t xml:space="preserve"> et Cromwell.</w:t>
      </w:r>
    </w:p>
    <w:p w:rsidR="00064D9A" w:rsidRPr="0092785C" w:rsidRDefault="00064D9A" w:rsidP="001A107D">
      <w:pPr>
        <w:jc w:val="both"/>
      </w:pPr>
    </w:p>
    <w:p w:rsidR="001A107D" w:rsidRPr="0092785C" w:rsidRDefault="001A107D" w:rsidP="001A107D">
      <w:pPr>
        <w:spacing w:line="480" w:lineRule="auto"/>
        <w:jc w:val="both"/>
      </w:pPr>
    </w:p>
    <w:p w:rsidR="008322BD" w:rsidRPr="0092785C" w:rsidRDefault="00AC7437" w:rsidP="001A107D">
      <w:pPr>
        <w:pStyle w:val="SCCLowerCourtNameLowercase"/>
        <w:keepNext/>
      </w:pPr>
      <w:r w:rsidRPr="0092785C">
        <w:t>e</w:t>
      </w:r>
      <w:r w:rsidR="00855307" w:rsidRPr="0092785C">
        <w:t>n</w:t>
      </w:r>
      <w:r w:rsidR="00224FC0" w:rsidRPr="0092785C">
        <w:t xml:space="preserve"> </w:t>
      </w:r>
      <w:r w:rsidR="00855307" w:rsidRPr="0092785C">
        <w:t>appel</w:t>
      </w:r>
      <w:r w:rsidR="00224FC0" w:rsidRPr="0092785C">
        <w:t xml:space="preserve"> </w:t>
      </w:r>
      <w:r w:rsidR="00855307" w:rsidRPr="0092785C">
        <w:t>de</w:t>
      </w:r>
      <w:r w:rsidR="0043088E" w:rsidRPr="0092785C">
        <w:t xml:space="preserve"> </w:t>
      </w:r>
      <w:r w:rsidR="00855307" w:rsidRPr="0092785C">
        <w:t>la</w:t>
      </w:r>
      <w:r w:rsidR="00224FC0" w:rsidRPr="0092785C">
        <w:t xml:space="preserve"> </w:t>
      </w:r>
      <w:r w:rsidR="009B57B3" w:rsidRPr="0092785C">
        <w:t>cour d</w:t>
      </w:r>
      <w:r w:rsidR="00BA1CC2">
        <w:t>’</w:t>
      </w:r>
      <w:r w:rsidR="009B57B3" w:rsidRPr="0092785C">
        <w:t xml:space="preserve">appel de la </w:t>
      </w:r>
      <w:proofErr w:type="spellStart"/>
      <w:r w:rsidR="009B57B3" w:rsidRPr="0092785C">
        <w:t>saskatchewan</w:t>
      </w:r>
      <w:proofErr w:type="spellEnd"/>
    </w:p>
    <w:p w:rsidR="00EF79D9" w:rsidRPr="0092785C" w:rsidRDefault="00EF79D9" w:rsidP="001A107D">
      <w:pPr>
        <w:pStyle w:val="SCCNormalDoubleSpacing"/>
      </w:pPr>
    </w:p>
    <w:p w:rsidR="00243641" w:rsidRPr="0092785C" w:rsidRDefault="0036198D" w:rsidP="001A107D">
      <w:pPr>
        <w:spacing w:line="480" w:lineRule="auto"/>
        <w:jc w:val="both"/>
        <w:rPr>
          <w:i/>
          <w:szCs w:val="24"/>
        </w:rPr>
      </w:pPr>
      <w:r w:rsidRPr="0092785C">
        <w:rPr>
          <w:i/>
          <w:szCs w:val="24"/>
        </w:rPr>
        <w:tab/>
      </w:r>
      <w:r w:rsidR="00243641" w:rsidRPr="0092785C">
        <w:rPr>
          <w:i/>
          <w:szCs w:val="24"/>
        </w:rPr>
        <w:t xml:space="preserve">Droit commercial </w:t>
      </w:r>
      <w:r w:rsidRPr="0092785C">
        <w:rPr>
          <w:i/>
          <w:szCs w:val="24"/>
        </w:rPr>
        <w:t>—</w:t>
      </w:r>
      <w:r w:rsidR="00243641" w:rsidRPr="0092785C">
        <w:rPr>
          <w:i/>
          <w:szCs w:val="24"/>
        </w:rPr>
        <w:t xml:space="preserve"> Priorité</w:t>
      </w:r>
      <w:r w:rsidR="00F2361D" w:rsidRPr="0092785C">
        <w:rPr>
          <w:i/>
          <w:szCs w:val="24"/>
        </w:rPr>
        <w:t xml:space="preserve"> de rang</w:t>
      </w:r>
      <w:r w:rsidR="00243641" w:rsidRPr="0092785C">
        <w:rPr>
          <w:i/>
          <w:szCs w:val="24"/>
        </w:rPr>
        <w:t xml:space="preserve"> </w:t>
      </w:r>
      <w:r w:rsidRPr="0092785C">
        <w:rPr>
          <w:i/>
          <w:szCs w:val="24"/>
        </w:rPr>
        <w:t xml:space="preserve">— </w:t>
      </w:r>
      <w:r w:rsidR="00243641" w:rsidRPr="0092785C">
        <w:rPr>
          <w:i/>
          <w:szCs w:val="24"/>
        </w:rPr>
        <w:t>Sûreté provincial</w:t>
      </w:r>
      <w:r w:rsidR="00F2361D" w:rsidRPr="0092785C">
        <w:rPr>
          <w:i/>
          <w:szCs w:val="24"/>
        </w:rPr>
        <w:t>e</w:t>
      </w:r>
      <w:r w:rsidR="00243641" w:rsidRPr="0092785C">
        <w:rPr>
          <w:i/>
          <w:szCs w:val="24"/>
        </w:rPr>
        <w:t xml:space="preserve"> non enregistrée sur du matériel agricole appartenant au débiteur </w:t>
      </w:r>
      <w:r w:rsidRPr="0092785C">
        <w:rPr>
          <w:i/>
          <w:szCs w:val="24"/>
        </w:rPr>
        <w:t xml:space="preserve">— </w:t>
      </w:r>
      <w:r w:rsidR="00243641" w:rsidRPr="0092785C">
        <w:rPr>
          <w:i/>
          <w:szCs w:val="24"/>
        </w:rPr>
        <w:t xml:space="preserve">Garantie </w:t>
      </w:r>
      <w:r w:rsidR="002B1DD4" w:rsidRPr="0092785C">
        <w:rPr>
          <w:i/>
          <w:szCs w:val="24"/>
        </w:rPr>
        <w:t>régie par</w:t>
      </w:r>
      <w:r w:rsidR="00243641" w:rsidRPr="0092785C">
        <w:rPr>
          <w:i/>
          <w:szCs w:val="24"/>
        </w:rPr>
        <w:t xml:space="preserve"> la Loi sur les banques </w:t>
      </w:r>
      <w:r w:rsidR="003771F1" w:rsidRPr="0092785C">
        <w:rPr>
          <w:i/>
          <w:szCs w:val="24"/>
        </w:rPr>
        <w:t>pris</w:t>
      </w:r>
      <w:r w:rsidR="002B1DD4" w:rsidRPr="0092785C">
        <w:rPr>
          <w:i/>
          <w:szCs w:val="24"/>
        </w:rPr>
        <w:t>e subséquemment</w:t>
      </w:r>
      <w:r w:rsidR="003771F1" w:rsidRPr="0092785C">
        <w:rPr>
          <w:i/>
          <w:szCs w:val="24"/>
        </w:rPr>
        <w:t xml:space="preserve"> sur les mêmes biens</w:t>
      </w:r>
      <w:r w:rsidR="002B1DD4" w:rsidRPr="0092785C">
        <w:rPr>
          <w:i/>
          <w:szCs w:val="24"/>
        </w:rPr>
        <w:t xml:space="preserve"> </w:t>
      </w:r>
      <w:r w:rsidR="00243641" w:rsidRPr="0092785C">
        <w:rPr>
          <w:i/>
          <w:szCs w:val="24"/>
        </w:rPr>
        <w:t xml:space="preserve">sans que la sûreté préexistante </w:t>
      </w:r>
      <w:r w:rsidR="00243641" w:rsidRPr="0092785C">
        <w:rPr>
          <w:i/>
          <w:szCs w:val="24"/>
        </w:rPr>
        <w:lastRenderedPageBreak/>
        <w:t xml:space="preserve">soit connue </w:t>
      </w:r>
      <w:r w:rsidRPr="0092785C">
        <w:rPr>
          <w:i/>
          <w:szCs w:val="24"/>
        </w:rPr>
        <w:t xml:space="preserve">— </w:t>
      </w:r>
      <w:r w:rsidR="00243641" w:rsidRPr="0092785C">
        <w:rPr>
          <w:i/>
          <w:szCs w:val="24"/>
        </w:rPr>
        <w:t>Saisie par la banque par suite du défaut</w:t>
      </w:r>
      <w:r w:rsidR="003771F1" w:rsidRPr="0092785C">
        <w:rPr>
          <w:i/>
          <w:szCs w:val="24"/>
        </w:rPr>
        <w:t xml:space="preserve"> du débiteur</w:t>
      </w:r>
      <w:r w:rsidR="00243641" w:rsidRPr="0092785C">
        <w:rPr>
          <w:i/>
          <w:szCs w:val="24"/>
        </w:rPr>
        <w:t xml:space="preserve"> </w:t>
      </w:r>
      <w:r w:rsidRPr="0092785C">
        <w:rPr>
          <w:i/>
          <w:szCs w:val="24"/>
        </w:rPr>
        <w:t xml:space="preserve">— </w:t>
      </w:r>
      <w:r w:rsidR="00243641" w:rsidRPr="0092785C">
        <w:rPr>
          <w:i/>
          <w:szCs w:val="24"/>
        </w:rPr>
        <w:t>Ordre de priorité entre la sûreté provincial</w:t>
      </w:r>
      <w:r w:rsidR="002B1DD4" w:rsidRPr="0092785C">
        <w:rPr>
          <w:i/>
          <w:szCs w:val="24"/>
        </w:rPr>
        <w:t>e</w:t>
      </w:r>
      <w:r w:rsidR="00243641" w:rsidRPr="0092785C">
        <w:rPr>
          <w:i/>
          <w:szCs w:val="24"/>
        </w:rPr>
        <w:t xml:space="preserve"> et la garantie régie par la Loi sur les banques </w:t>
      </w:r>
      <w:r w:rsidRPr="0092785C">
        <w:rPr>
          <w:i/>
          <w:szCs w:val="24"/>
        </w:rPr>
        <w:t xml:space="preserve">— </w:t>
      </w:r>
      <w:r w:rsidR="00243641" w:rsidRPr="0092785C">
        <w:rPr>
          <w:i/>
          <w:szCs w:val="24"/>
        </w:rPr>
        <w:t>Loi sur les banques</w:t>
      </w:r>
      <w:r w:rsidR="00243641" w:rsidRPr="0092785C">
        <w:rPr>
          <w:i/>
        </w:rPr>
        <w:t>, L.C. 1991, ch</w:t>
      </w:r>
      <w:r w:rsidR="0042317E" w:rsidRPr="0092785C">
        <w:rPr>
          <w:i/>
        </w:rPr>
        <w:t>. </w:t>
      </w:r>
      <w:r w:rsidR="00243641" w:rsidRPr="0092785C">
        <w:rPr>
          <w:i/>
        </w:rPr>
        <w:t>46, art</w:t>
      </w:r>
      <w:r w:rsidR="0042317E" w:rsidRPr="0092785C">
        <w:rPr>
          <w:i/>
        </w:rPr>
        <w:t>. </w:t>
      </w:r>
      <w:r w:rsidR="00243641" w:rsidRPr="0092785C">
        <w:rPr>
          <w:i/>
        </w:rPr>
        <w:t xml:space="preserve">427(2), 428, 435(2) </w:t>
      </w:r>
      <w:r w:rsidRPr="0092785C">
        <w:rPr>
          <w:i/>
          <w:szCs w:val="24"/>
        </w:rPr>
        <w:t xml:space="preserve">— </w:t>
      </w:r>
      <w:proofErr w:type="spellStart"/>
      <w:r w:rsidR="00243641" w:rsidRPr="0092785C">
        <w:rPr>
          <w:i/>
          <w:szCs w:val="24"/>
        </w:rPr>
        <w:t>Personal</w:t>
      </w:r>
      <w:proofErr w:type="spellEnd"/>
      <w:r w:rsidR="00243641" w:rsidRPr="0092785C">
        <w:rPr>
          <w:i/>
          <w:szCs w:val="24"/>
        </w:rPr>
        <w:t xml:space="preserve"> </w:t>
      </w:r>
      <w:proofErr w:type="spellStart"/>
      <w:r w:rsidR="00243641" w:rsidRPr="0092785C">
        <w:rPr>
          <w:i/>
          <w:szCs w:val="24"/>
        </w:rPr>
        <w:t>Property</w:t>
      </w:r>
      <w:proofErr w:type="spellEnd"/>
      <w:r w:rsidR="00243641" w:rsidRPr="0092785C">
        <w:rPr>
          <w:i/>
          <w:szCs w:val="24"/>
        </w:rPr>
        <w:t xml:space="preserve"> Security </w:t>
      </w:r>
      <w:proofErr w:type="spellStart"/>
      <w:r w:rsidR="00243641" w:rsidRPr="0092785C">
        <w:rPr>
          <w:i/>
          <w:szCs w:val="24"/>
        </w:rPr>
        <w:t>Act</w:t>
      </w:r>
      <w:proofErr w:type="spellEnd"/>
      <w:r w:rsidR="00243641" w:rsidRPr="0092785C">
        <w:rPr>
          <w:i/>
          <w:iCs/>
          <w:szCs w:val="24"/>
        </w:rPr>
        <w:t>, 1993</w:t>
      </w:r>
      <w:r w:rsidR="00243641" w:rsidRPr="0092785C">
        <w:rPr>
          <w:i/>
          <w:szCs w:val="24"/>
        </w:rPr>
        <w:t>, S.S. 1993, ch.</w:t>
      </w:r>
      <w:r w:rsidR="0042317E" w:rsidRPr="0092785C">
        <w:rPr>
          <w:i/>
          <w:szCs w:val="24"/>
        </w:rPr>
        <w:t> </w:t>
      </w:r>
      <w:r w:rsidR="00243641" w:rsidRPr="0092785C">
        <w:rPr>
          <w:i/>
          <w:szCs w:val="24"/>
        </w:rPr>
        <w:t>P-6.2, art</w:t>
      </w:r>
      <w:r w:rsidR="0042317E" w:rsidRPr="0092785C">
        <w:rPr>
          <w:i/>
          <w:szCs w:val="24"/>
        </w:rPr>
        <w:t>. </w:t>
      </w:r>
      <w:r w:rsidR="00243641" w:rsidRPr="0092785C">
        <w:rPr>
          <w:i/>
          <w:szCs w:val="24"/>
        </w:rPr>
        <w:t>20(3), 66.</w:t>
      </w:r>
    </w:p>
    <w:p w:rsidR="00243641" w:rsidRPr="0092785C" w:rsidRDefault="00243641" w:rsidP="001A107D">
      <w:pPr>
        <w:spacing w:line="480" w:lineRule="auto"/>
        <w:jc w:val="both"/>
        <w:rPr>
          <w:szCs w:val="24"/>
        </w:rPr>
      </w:pPr>
    </w:p>
    <w:p w:rsidR="00243641" w:rsidRPr="0092785C" w:rsidRDefault="008425CC" w:rsidP="001A107D">
      <w:pPr>
        <w:pStyle w:val="ListParagraph"/>
        <w:spacing w:after="480" w:line="480" w:lineRule="auto"/>
        <w:ind w:left="0"/>
        <w:jc w:val="both"/>
        <w:rPr>
          <w:szCs w:val="24"/>
          <w:lang w:val="fr-CA"/>
        </w:rPr>
      </w:pPr>
      <w:r w:rsidRPr="0092785C">
        <w:rPr>
          <w:szCs w:val="24"/>
          <w:lang w:val="fr-CA"/>
        </w:rPr>
        <w:tab/>
      </w:r>
      <w:r w:rsidR="009474B1" w:rsidRPr="0092785C">
        <w:rPr>
          <w:szCs w:val="24"/>
          <w:lang w:val="fr-CA"/>
        </w:rPr>
        <w:t>Le</w:t>
      </w:r>
      <w:r w:rsidR="00F670EA" w:rsidRPr="0092785C">
        <w:rPr>
          <w:szCs w:val="24"/>
          <w:lang w:val="fr-CA"/>
        </w:rPr>
        <w:t xml:space="preserve"> pourvoi porte sur un</w:t>
      </w:r>
      <w:r w:rsidR="009474B1" w:rsidRPr="0092785C">
        <w:rPr>
          <w:szCs w:val="24"/>
          <w:lang w:val="fr-CA"/>
        </w:rPr>
        <w:t xml:space="preserve"> conflit de priorité </w:t>
      </w:r>
      <w:r w:rsidR="00F670EA" w:rsidRPr="0092785C">
        <w:rPr>
          <w:szCs w:val="24"/>
          <w:lang w:val="fr-CA"/>
        </w:rPr>
        <w:t>entre</w:t>
      </w:r>
      <w:r w:rsidR="00243641" w:rsidRPr="0092785C">
        <w:rPr>
          <w:szCs w:val="24"/>
          <w:lang w:val="fr-CA"/>
        </w:rPr>
        <w:t xml:space="preserve"> une sûreté antérieure non enregistrée</w:t>
      </w:r>
      <w:r w:rsidR="00F670EA" w:rsidRPr="0092785C">
        <w:rPr>
          <w:szCs w:val="24"/>
          <w:lang w:val="fr-CA"/>
        </w:rPr>
        <w:t xml:space="preserve"> consentie en vertu de la </w:t>
      </w:r>
      <w:proofErr w:type="spellStart"/>
      <w:r w:rsidR="00F670EA" w:rsidRPr="0092785C">
        <w:rPr>
          <w:i/>
          <w:szCs w:val="24"/>
          <w:lang w:val="fr-CA"/>
        </w:rPr>
        <w:t>Personal</w:t>
      </w:r>
      <w:proofErr w:type="spellEnd"/>
      <w:r w:rsidR="00F670EA" w:rsidRPr="0092785C">
        <w:rPr>
          <w:i/>
          <w:szCs w:val="24"/>
          <w:lang w:val="fr-CA"/>
        </w:rPr>
        <w:t xml:space="preserve"> </w:t>
      </w:r>
      <w:proofErr w:type="spellStart"/>
      <w:r w:rsidR="00F670EA" w:rsidRPr="0092785C">
        <w:rPr>
          <w:i/>
          <w:szCs w:val="24"/>
          <w:lang w:val="fr-CA"/>
        </w:rPr>
        <w:t>Property</w:t>
      </w:r>
      <w:proofErr w:type="spellEnd"/>
      <w:r w:rsidR="00F670EA" w:rsidRPr="0092785C">
        <w:rPr>
          <w:i/>
          <w:szCs w:val="24"/>
          <w:lang w:val="fr-CA"/>
        </w:rPr>
        <w:t xml:space="preserve"> Security </w:t>
      </w:r>
      <w:proofErr w:type="spellStart"/>
      <w:r w:rsidR="00F670EA" w:rsidRPr="0092785C">
        <w:rPr>
          <w:i/>
          <w:szCs w:val="24"/>
          <w:lang w:val="fr-CA"/>
        </w:rPr>
        <w:t>Act</w:t>
      </w:r>
      <w:proofErr w:type="spellEnd"/>
      <w:r w:rsidR="00F670EA" w:rsidRPr="0092785C">
        <w:rPr>
          <w:i/>
          <w:iCs/>
          <w:szCs w:val="24"/>
          <w:lang w:val="fr-CA"/>
        </w:rPr>
        <w:t>, 1993</w:t>
      </w:r>
      <w:r w:rsidR="00072021">
        <w:rPr>
          <w:szCs w:val="24"/>
          <w:lang w:val="fr-CA"/>
        </w:rPr>
        <w:t xml:space="preserve"> de la Saskatchewan (</w:t>
      </w:r>
      <w:r w:rsidR="00F670EA" w:rsidRPr="0092785C">
        <w:rPr>
          <w:szCs w:val="24"/>
          <w:lang w:val="fr-CA"/>
        </w:rPr>
        <w:t>« </w:t>
      </w:r>
      <w:r w:rsidR="00F670EA" w:rsidRPr="00C7258D">
        <w:rPr>
          <w:i/>
          <w:szCs w:val="24"/>
          <w:lang w:val="fr-CA"/>
        </w:rPr>
        <w:t>PPSA</w:t>
      </w:r>
      <w:r w:rsidR="00F670EA" w:rsidRPr="0092785C">
        <w:rPr>
          <w:szCs w:val="24"/>
          <w:lang w:val="fr-CA"/>
        </w:rPr>
        <w:t> »), sur</w:t>
      </w:r>
      <w:r w:rsidR="009474B1" w:rsidRPr="0092785C">
        <w:rPr>
          <w:szCs w:val="24"/>
          <w:lang w:val="fr-CA"/>
        </w:rPr>
        <w:t xml:space="preserve"> du matériel agricole appartenant au débiteur</w:t>
      </w:r>
      <w:r w:rsidR="00243641" w:rsidRPr="0092785C">
        <w:rPr>
          <w:szCs w:val="24"/>
          <w:lang w:val="fr-CA"/>
        </w:rPr>
        <w:t xml:space="preserve"> et une garantie subséquente sur les mêmes biens prise et enregistrée sous le régime de la </w:t>
      </w:r>
      <w:r w:rsidR="00243641" w:rsidRPr="0092785C">
        <w:rPr>
          <w:i/>
          <w:szCs w:val="24"/>
          <w:lang w:val="fr-CA"/>
        </w:rPr>
        <w:t>Loi sur les banques</w:t>
      </w:r>
      <w:r w:rsidR="00243641" w:rsidRPr="0092785C">
        <w:rPr>
          <w:szCs w:val="24"/>
          <w:lang w:val="fr-CA"/>
        </w:rPr>
        <w:t xml:space="preserve"> du </w:t>
      </w:r>
      <w:r w:rsidRPr="0092785C">
        <w:rPr>
          <w:szCs w:val="24"/>
          <w:lang w:val="fr-CA"/>
        </w:rPr>
        <w:t>Canada (</w:t>
      </w:r>
      <w:r w:rsidR="00F670EA" w:rsidRPr="0092785C">
        <w:rPr>
          <w:szCs w:val="24"/>
          <w:lang w:val="fr-CA"/>
        </w:rPr>
        <w:t>« </w:t>
      </w:r>
      <w:r w:rsidRPr="00C7258D">
        <w:rPr>
          <w:i/>
          <w:szCs w:val="24"/>
          <w:lang w:val="fr-CA"/>
        </w:rPr>
        <w:t>LB</w:t>
      </w:r>
      <w:r w:rsidR="00F670EA" w:rsidRPr="0092785C">
        <w:rPr>
          <w:szCs w:val="24"/>
          <w:lang w:val="fr-CA"/>
        </w:rPr>
        <w:t> »</w:t>
      </w:r>
      <w:r w:rsidRPr="0092785C">
        <w:rPr>
          <w:szCs w:val="24"/>
          <w:lang w:val="fr-CA"/>
        </w:rPr>
        <w:t>)</w:t>
      </w:r>
      <w:r w:rsidR="00243641" w:rsidRPr="0092785C">
        <w:rPr>
          <w:szCs w:val="24"/>
          <w:lang w:val="fr-CA"/>
        </w:rPr>
        <w:t>.</w:t>
      </w:r>
    </w:p>
    <w:p w:rsidR="00243641" w:rsidRPr="0092785C" w:rsidRDefault="008425CC" w:rsidP="001A107D">
      <w:pPr>
        <w:spacing w:after="480" w:line="480" w:lineRule="auto"/>
        <w:jc w:val="both"/>
        <w:rPr>
          <w:szCs w:val="24"/>
        </w:rPr>
      </w:pPr>
      <w:r w:rsidRPr="0092785C">
        <w:tab/>
      </w:r>
      <w:r w:rsidR="00243641" w:rsidRPr="0092785C">
        <w:t xml:space="preserve">Innovation </w:t>
      </w:r>
      <w:proofErr w:type="spellStart"/>
      <w:r w:rsidR="00243641" w:rsidRPr="0092785C">
        <w:t>Credit</w:t>
      </w:r>
      <w:proofErr w:type="spellEnd"/>
      <w:r w:rsidR="00243641" w:rsidRPr="0092785C">
        <w:t xml:space="preserve"> Union</w:t>
      </w:r>
      <w:r w:rsidR="00936002" w:rsidRPr="0092785C">
        <w:t xml:space="preserve"> </w:t>
      </w:r>
      <w:r w:rsidR="009474B1" w:rsidRPr="0092785C">
        <w:t>a obtenu une sûreté au titre de la</w:t>
      </w:r>
      <w:r w:rsidR="00243641" w:rsidRPr="0092785C">
        <w:t xml:space="preserve"> </w:t>
      </w:r>
      <w:r w:rsidR="00243641" w:rsidRPr="00C7258D">
        <w:rPr>
          <w:i/>
        </w:rPr>
        <w:t>PPSA</w:t>
      </w:r>
      <w:r w:rsidR="00243641" w:rsidRPr="0092785C">
        <w:t xml:space="preserve"> </w:t>
      </w:r>
      <w:r w:rsidR="009474B1" w:rsidRPr="0092785C">
        <w:t>le 7</w:t>
      </w:r>
      <w:r w:rsidR="0042317E" w:rsidRPr="0092785C">
        <w:t> </w:t>
      </w:r>
      <w:r w:rsidR="009474B1" w:rsidRPr="0092785C">
        <w:t>octobre 1991 et l</w:t>
      </w:r>
      <w:r w:rsidR="00BA1CC2">
        <w:t>’</w:t>
      </w:r>
      <w:r w:rsidR="009474B1" w:rsidRPr="0092785C">
        <w:t>a enregistrée le 28</w:t>
      </w:r>
      <w:r w:rsidR="0042317E" w:rsidRPr="0092785C">
        <w:t> </w:t>
      </w:r>
      <w:r w:rsidR="009474B1" w:rsidRPr="0092785C">
        <w:t xml:space="preserve">juin 2004. </w:t>
      </w:r>
      <w:r w:rsidR="00243641" w:rsidRPr="0092785C">
        <w:rPr>
          <w:szCs w:val="24"/>
        </w:rPr>
        <w:t xml:space="preserve"> </w:t>
      </w:r>
      <w:r w:rsidR="00F670EA" w:rsidRPr="0092785C">
        <w:rPr>
          <w:szCs w:val="24"/>
        </w:rPr>
        <w:t>Entre 1998 et janvier 2004, l</w:t>
      </w:r>
      <w:r w:rsidR="009474B1" w:rsidRPr="0092785C">
        <w:rPr>
          <w:szCs w:val="24"/>
        </w:rPr>
        <w:t>a Banque de</w:t>
      </w:r>
      <w:r w:rsidR="009474B1" w:rsidRPr="0092785C">
        <w:t xml:space="preserve"> Montré</w:t>
      </w:r>
      <w:r w:rsidR="00243641" w:rsidRPr="0092785C">
        <w:t>al</w:t>
      </w:r>
      <w:r w:rsidR="009474B1" w:rsidRPr="0092785C">
        <w:t xml:space="preserve"> a obtenu une garantie sur une bonne partie des mêmes biens en vertu de la </w:t>
      </w:r>
      <w:r w:rsidRPr="00C7258D">
        <w:rPr>
          <w:i/>
        </w:rPr>
        <w:t>LB</w:t>
      </w:r>
      <w:r w:rsidR="009474B1" w:rsidRPr="0092785C">
        <w:t xml:space="preserve">. </w:t>
      </w:r>
      <w:r w:rsidR="0042317E" w:rsidRPr="0092785C">
        <w:t xml:space="preserve"> </w:t>
      </w:r>
      <w:r w:rsidR="009474B1" w:rsidRPr="0092785C">
        <w:t>L</w:t>
      </w:r>
      <w:r w:rsidR="00BA1CC2">
        <w:t>’</w:t>
      </w:r>
      <w:r w:rsidR="009474B1" w:rsidRPr="0092785C">
        <w:t>agriculteur n</w:t>
      </w:r>
      <w:r w:rsidR="00BA1CC2">
        <w:t>’</w:t>
      </w:r>
      <w:r w:rsidR="009474B1" w:rsidRPr="0092785C">
        <w:t>a pas révélé les prê</w:t>
      </w:r>
      <w:r w:rsidRPr="0092785C">
        <w:t xml:space="preserve">ts </w:t>
      </w:r>
      <w:r w:rsidR="00F670EA" w:rsidRPr="0092785C">
        <w:t xml:space="preserve">consentis </w:t>
      </w:r>
      <w:r w:rsidRPr="0092785C">
        <w:t>et la sûreté obtenu</w:t>
      </w:r>
      <w:r w:rsidR="00F670EA" w:rsidRPr="0092785C">
        <w:t>e</w:t>
      </w:r>
      <w:r w:rsidRPr="0092785C">
        <w:t xml:space="preserve"> par </w:t>
      </w:r>
      <w:r w:rsidR="007D3E9A" w:rsidRPr="0092785C">
        <w:t xml:space="preserve">Innovation </w:t>
      </w:r>
      <w:proofErr w:type="spellStart"/>
      <w:r w:rsidR="007D3E9A" w:rsidRPr="0092785C">
        <w:t>Credit</w:t>
      </w:r>
      <w:proofErr w:type="spellEnd"/>
      <w:r w:rsidR="007D3E9A" w:rsidRPr="0092785C">
        <w:t xml:space="preserve"> Union</w:t>
      </w:r>
      <w:r w:rsidR="00F670EA" w:rsidRPr="0092785C">
        <w:t>;</w:t>
      </w:r>
      <w:r w:rsidRPr="0092785C">
        <w:t xml:space="preserve"> les recherches faites par la B</w:t>
      </w:r>
      <w:r w:rsidR="009474B1" w:rsidRPr="0092785C">
        <w:t xml:space="preserve">anque dans les registres des sûretés établis en vertu de la </w:t>
      </w:r>
      <w:r w:rsidR="009474B1" w:rsidRPr="00C7258D">
        <w:rPr>
          <w:i/>
        </w:rPr>
        <w:t>PPSA</w:t>
      </w:r>
      <w:r w:rsidR="009474B1" w:rsidRPr="0092785C">
        <w:t xml:space="preserve"> et de la </w:t>
      </w:r>
      <w:r w:rsidR="009474B1" w:rsidRPr="00C7258D">
        <w:rPr>
          <w:i/>
        </w:rPr>
        <w:t>LB</w:t>
      </w:r>
      <w:r w:rsidR="009474B1" w:rsidRPr="0092785C">
        <w:t xml:space="preserve"> n</w:t>
      </w:r>
      <w:r w:rsidR="00BA1CC2">
        <w:t>’</w:t>
      </w:r>
      <w:r w:rsidR="009474B1" w:rsidRPr="0092785C">
        <w:t xml:space="preserve">ont révélé </w:t>
      </w:r>
      <w:r w:rsidRPr="0092785C">
        <w:t>l</w:t>
      </w:r>
      <w:r w:rsidR="00BA1CC2">
        <w:t>’</w:t>
      </w:r>
      <w:r w:rsidRPr="0092785C">
        <w:t>existence d</w:t>
      </w:r>
      <w:r w:rsidR="00BA1CC2">
        <w:t>’</w:t>
      </w:r>
      <w:r w:rsidR="009474B1" w:rsidRPr="0092785C">
        <w:t xml:space="preserve">aucune sûreté antérieure.  </w:t>
      </w:r>
      <w:r w:rsidRPr="0092785C">
        <w:t>Par</w:t>
      </w:r>
      <w:r w:rsidR="009474B1" w:rsidRPr="0092785C">
        <w:t xml:space="preserve"> suite du défaut du débiteur, la </w:t>
      </w:r>
      <w:r w:rsidR="00C7258D">
        <w:t>B</w:t>
      </w:r>
      <w:r w:rsidR="009474B1" w:rsidRPr="0092785C">
        <w:t>anque a saisi et vendu certains des biens visés par sa garantie</w:t>
      </w:r>
      <w:r w:rsidR="00243641" w:rsidRPr="0092785C">
        <w:t xml:space="preserve">.  </w:t>
      </w:r>
    </w:p>
    <w:p w:rsidR="00243641" w:rsidRPr="0092785C" w:rsidRDefault="008425CC" w:rsidP="001A107D">
      <w:pPr>
        <w:pStyle w:val="ListParagraph"/>
        <w:spacing w:after="480" w:line="480" w:lineRule="auto"/>
        <w:ind w:left="0"/>
        <w:jc w:val="both"/>
        <w:rPr>
          <w:szCs w:val="24"/>
          <w:lang w:val="fr-CA"/>
        </w:rPr>
      </w:pPr>
      <w:r w:rsidRPr="0092785C">
        <w:rPr>
          <w:lang w:val="fr-CA"/>
        </w:rPr>
        <w:tab/>
      </w:r>
      <w:r w:rsidR="007D3E9A" w:rsidRPr="0092785C">
        <w:rPr>
          <w:lang w:val="fr-CA"/>
        </w:rPr>
        <w:t xml:space="preserve">Innovation </w:t>
      </w:r>
      <w:proofErr w:type="spellStart"/>
      <w:r w:rsidR="007D3E9A" w:rsidRPr="0092785C">
        <w:rPr>
          <w:lang w:val="fr-CA"/>
        </w:rPr>
        <w:t>Credit</w:t>
      </w:r>
      <w:proofErr w:type="spellEnd"/>
      <w:r w:rsidR="007D3E9A" w:rsidRPr="0092785C">
        <w:rPr>
          <w:lang w:val="fr-CA"/>
        </w:rPr>
        <w:t xml:space="preserve"> Union</w:t>
      </w:r>
      <w:r w:rsidR="009474B1" w:rsidRPr="0092785C">
        <w:rPr>
          <w:lang w:val="fr-CA"/>
        </w:rPr>
        <w:t xml:space="preserve"> s</w:t>
      </w:r>
      <w:r w:rsidR="00BA1CC2">
        <w:rPr>
          <w:lang w:val="fr-CA"/>
        </w:rPr>
        <w:t>’</w:t>
      </w:r>
      <w:r w:rsidR="009474B1" w:rsidRPr="0092785C">
        <w:rPr>
          <w:lang w:val="fr-CA"/>
        </w:rPr>
        <w:t>est adressée à la Cour du Banc de la Reine en application de l</w:t>
      </w:r>
      <w:r w:rsidR="00BA1CC2">
        <w:rPr>
          <w:lang w:val="fr-CA"/>
        </w:rPr>
        <w:t>’</w:t>
      </w:r>
      <w:r w:rsidR="009474B1" w:rsidRPr="0092785C">
        <w:rPr>
          <w:lang w:val="fr-CA"/>
        </w:rPr>
        <w:t xml:space="preserve">art. 66 de la </w:t>
      </w:r>
      <w:r w:rsidR="009474B1" w:rsidRPr="00C7258D">
        <w:rPr>
          <w:i/>
          <w:lang w:val="fr-CA"/>
        </w:rPr>
        <w:t>PPSA</w:t>
      </w:r>
      <w:r w:rsidR="009474B1" w:rsidRPr="0092785C">
        <w:rPr>
          <w:lang w:val="fr-CA"/>
        </w:rPr>
        <w:t xml:space="preserve"> pour se faire reconnaître la priorité sur le produit de l</w:t>
      </w:r>
      <w:r w:rsidR="00BA1CC2">
        <w:rPr>
          <w:lang w:val="fr-CA"/>
        </w:rPr>
        <w:t>’</w:t>
      </w:r>
      <w:r w:rsidR="009474B1" w:rsidRPr="0092785C">
        <w:rPr>
          <w:lang w:val="fr-CA"/>
        </w:rPr>
        <w:t>aliénation des biens</w:t>
      </w:r>
      <w:r w:rsidR="00243641" w:rsidRPr="0092785C">
        <w:rPr>
          <w:lang w:val="fr-CA"/>
        </w:rPr>
        <w:t xml:space="preserve">.  </w:t>
      </w:r>
      <w:r w:rsidR="00212B0E" w:rsidRPr="0092785C">
        <w:rPr>
          <w:lang w:val="fr-CA"/>
        </w:rPr>
        <w:t xml:space="preserve">Le juge des requêtes a conclu que, selon la règle de priorité </w:t>
      </w:r>
      <w:r w:rsidR="00212B0E" w:rsidRPr="0092785C">
        <w:rPr>
          <w:lang w:val="fr-CA"/>
        </w:rPr>
        <w:lastRenderedPageBreak/>
        <w:t>établie par l</w:t>
      </w:r>
      <w:r w:rsidR="00BA1CC2">
        <w:rPr>
          <w:lang w:val="fr-CA"/>
        </w:rPr>
        <w:t>’</w:t>
      </w:r>
      <w:r w:rsidR="00212B0E" w:rsidRPr="0092785C">
        <w:rPr>
          <w:lang w:val="fr-CA"/>
        </w:rPr>
        <w:t xml:space="preserve">art. 428 de la </w:t>
      </w:r>
      <w:r w:rsidR="00212B0E" w:rsidRPr="00C7258D">
        <w:rPr>
          <w:i/>
          <w:lang w:val="fr-CA"/>
        </w:rPr>
        <w:t>LB</w:t>
      </w:r>
      <w:r w:rsidR="00212B0E" w:rsidRPr="0092785C">
        <w:rPr>
          <w:lang w:val="fr-CA"/>
        </w:rPr>
        <w:t xml:space="preserve">, la garantie obtenue au titre de la </w:t>
      </w:r>
      <w:r w:rsidR="00212B0E" w:rsidRPr="00C7258D">
        <w:rPr>
          <w:i/>
          <w:lang w:val="fr-CA"/>
        </w:rPr>
        <w:t>LB</w:t>
      </w:r>
      <w:r w:rsidR="00212B0E" w:rsidRPr="0092785C">
        <w:rPr>
          <w:lang w:val="fr-CA"/>
        </w:rPr>
        <w:t xml:space="preserve"> primait </w:t>
      </w:r>
      <w:r w:rsidR="00212B0E" w:rsidRPr="0092785C">
        <w:rPr>
          <w:szCs w:val="24"/>
          <w:lang w:val="fr-CA"/>
        </w:rPr>
        <w:t xml:space="preserve">non seulement les droits subséquemment acquis sur les biens, mais aussi les droits </w:t>
      </w:r>
      <w:r w:rsidR="00212B0E" w:rsidRPr="0092785C">
        <w:rPr>
          <w:szCs w:val="24"/>
          <w:u w:val="single"/>
          <w:lang w:val="fr-CA"/>
        </w:rPr>
        <w:t>de priorité</w:t>
      </w:r>
      <w:r w:rsidR="00212B0E" w:rsidRPr="0092785C">
        <w:rPr>
          <w:szCs w:val="24"/>
          <w:lang w:val="fr-CA"/>
        </w:rPr>
        <w:t xml:space="preserve"> subséquemment acquis.  La Cour d</w:t>
      </w:r>
      <w:r w:rsidR="00BA1CC2">
        <w:rPr>
          <w:szCs w:val="24"/>
          <w:lang w:val="fr-CA"/>
        </w:rPr>
        <w:t>’</w:t>
      </w:r>
      <w:r w:rsidR="00212B0E" w:rsidRPr="0092785C">
        <w:rPr>
          <w:szCs w:val="24"/>
          <w:lang w:val="fr-CA"/>
        </w:rPr>
        <w:t>appel a accueilli l</w:t>
      </w:r>
      <w:r w:rsidR="00BA1CC2">
        <w:rPr>
          <w:szCs w:val="24"/>
          <w:lang w:val="fr-CA"/>
        </w:rPr>
        <w:t>’</w:t>
      </w:r>
      <w:r w:rsidR="00212B0E" w:rsidRPr="0092785C">
        <w:rPr>
          <w:szCs w:val="24"/>
          <w:lang w:val="fr-CA"/>
        </w:rPr>
        <w:t>appel en statuant que</w:t>
      </w:r>
      <w:r w:rsidR="00243641" w:rsidRPr="0092785C">
        <w:rPr>
          <w:szCs w:val="24"/>
          <w:lang w:val="fr-CA"/>
        </w:rPr>
        <w:t xml:space="preserve">, </w:t>
      </w:r>
      <w:r w:rsidRPr="0092785C">
        <w:rPr>
          <w:lang w:val="fr-CA"/>
        </w:rPr>
        <w:t>si l</w:t>
      </w:r>
      <w:r w:rsidR="00BA1CC2">
        <w:rPr>
          <w:lang w:val="fr-CA"/>
        </w:rPr>
        <w:t>’</w:t>
      </w:r>
      <w:r w:rsidRPr="0092785C">
        <w:rPr>
          <w:lang w:val="fr-CA"/>
        </w:rPr>
        <w:t>on interprète bien les</w:t>
      </w:r>
      <w:r w:rsidR="00212B0E" w:rsidRPr="0092785C">
        <w:rPr>
          <w:lang w:val="fr-CA"/>
        </w:rPr>
        <w:t xml:space="preserve"> par. 427(2) et 435(2) de la </w:t>
      </w:r>
      <w:r w:rsidR="00212B0E" w:rsidRPr="00C7258D">
        <w:rPr>
          <w:i/>
          <w:lang w:val="fr-CA"/>
        </w:rPr>
        <w:t>LB</w:t>
      </w:r>
      <w:r w:rsidR="00212B0E" w:rsidRPr="0092785C">
        <w:rPr>
          <w:lang w:val="fr-CA"/>
        </w:rPr>
        <w:t>, il faut appliquer le droit des biens provincial pour établir l</w:t>
      </w:r>
      <w:r w:rsidR="00BA1CC2">
        <w:rPr>
          <w:lang w:val="fr-CA"/>
        </w:rPr>
        <w:t>’</w:t>
      </w:r>
      <w:r w:rsidR="00212B0E" w:rsidRPr="0092785C">
        <w:rPr>
          <w:lang w:val="fr-CA"/>
        </w:rPr>
        <w:t>effet d</w:t>
      </w:r>
      <w:r w:rsidR="00BA1CC2">
        <w:rPr>
          <w:lang w:val="fr-CA"/>
        </w:rPr>
        <w:t>’</w:t>
      </w:r>
      <w:r w:rsidR="00212B0E" w:rsidRPr="0092785C">
        <w:rPr>
          <w:lang w:val="fr-CA"/>
        </w:rPr>
        <w:t>une sûreté antérieure</w:t>
      </w:r>
      <w:r w:rsidR="00243641" w:rsidRPr="0092785C">
        <w:rPr>
          <w:szCs w:val="24"/>
          <w:lang w:val="fr-CA"/>
        </w:rPr>
        <w:t xml:space="preserve">.  </w:t>
      </w:r>
      <w:r w:rsidR="00212B0E" w:rsidRPr="0092785C">
        <w:rPr>
          <w:szCs w:val="24"/>
          <w:lang w:val="fr-CA"/>
        </w:rPr>
        <w:t>L</w:t>
      </w:r>
      <w:r w:rsidR="00212B0E" w:rsidRPr="0092785C">
        <w:rPr>
          <w:lang w:val="fr-CA"/>
        </w:rPr>
        <w:t>a sûreté</w:t>
      </w:r>
      <w:r w:rsidRPr="0092785C">
        <w:rPr>
          <w:lang w:val="fr-CA"/>
        </w:rPr>
        <w:t xml:space="preserve"> préexistante</w:t>
      </w:r>
      <w:r w:rsidR="00212B0E" w:rsidRPr="0092785C">
        <w:rPr>
          <w:lang w:val="fr-CA"/>
        </w:rPr>
        <w:t xml:space="preserve">, régie par la </w:t>
      </w:r>
      <w:r w:rsidR="00212B0E" w:rsidRPr="00C7258D">
        <w:rPr>
          <w:i/>
          <w:lang w:val="fr-CA"/>
        </w:rPr>
        <w:t>PPSA</w:t>
      </w:r>
      <w:r w:rsidR="00212B0E" w:rsidRPr="0092785C">
        <w:rPr>
          <w:lang w:val="fr-CA"/>
        </w:rPr>
        <w:t xml:space="preserve">, avait priorité sur la garantie relevant de la </w:t>
      </w:r>
      <w:r w:rsidR="00212B0E" w:rsidRPr="00C7258D">
        <w:rPr>
          <w:i/>
          <w:lang w:val="fr-CA"/>
        </w:rPr>
        <w:t>LB</w:t>
      </w:r>
      <w:r w:rsidR="00212B0E" w:rsidRPr="0092785C">
        <w:rPr>
          <w:lang w:val="fr-CA"/>
        </w:rPr>
        <w:t xml:space="preserve"> parce que la Banque n</w:t>
      </w:r>
      <w:r w:rsidR="00BA1CC2">
        <w:rPr>
          <w:lang w:val="fr-CA"/>
        </w:rPr>
        <w:t>’</w:t>
      </w:r>
      <w:r w:rsidR="00212B0E" w:rsidRPr="0092785C">
        <w:rPr>
          <w:lang w:val="fr-CA"/>
        </w:rPr>
        <w:t>a</w:t>
      </w:r>
      <w:r w:rsidRPr="0092785C">
        <w:rPr>
          <w:lang w:val="fr-CA"/>
        </w:rPr>
        <w:t>vait</w:t>
      </w:r>
      <w:r w:rsidR="00212B0E" w:rsidRPr="0092785C">
        <w:rPr>
          <w:lang w:val="fr-CA"/>
        </w:rPr>
        <w:t xml:space="preserve"> pas acquis un intérêt supérieur à celui que détenait le débiteur au moment où </w:t>
      </w:r>
      <w:r w:rsidRPr="0092785C">
        <w:rPr>
          <w:lang w:val="fr-CA"/>
        </w:rPr>
        <w:t>il lui a consenti</w:t>
      </w:r>
      <w:r w:rsidR="00212B0E" w:rsidRPr="0092785C">
        <w:rPr>
          <w:lang w:val="fr-CA"/>
        </w:rPr>
        <w:t xml:space="preserve"> </w:t>
      </w:r>
      <w:r w:rsidRPr="0092785C">
        <w:rPr>
          <w:lang w:val="fr-CA"/>
        </w:rPr>
        <w:t>sa</w:t>
      </w:r>
      <w:r w:rsidR="00212B0E" w:rsidRPr="0092785C">
        <w:rPr>
          <w:lang w:val="fr-CA"/>
        </w:rPr>
        <w:t xml:space="preserve"> garantie</w:t>
      </w:r>
      <w:r w:rsidRPr="0092785C">
        <w:rPr>
          <w:lang w:val="fr-CA"/>
        </w:rPr>
        <w:t xml:space="preserve">.  </w:t>
      </w:r>
      <w:r w:rsidRPr="0092785C">
        <w:rPr>
          <w:szCs w:val="24"/>
          <w:lang w:val="fr-CA"/>
        </w:rPr>
        <w:t xml:space="preserve">La garantie de la banque était donc subordonnée à la sûreté antérieure </w:t>
      </w:r>
      <w:r w:rsidR="00D16A1C" w:rsidRPr="0092785C">
        <w:rPr>
          <w:szCs w:val="24"/>
          <w:lang w:val="fr-CA"/>
        </w:rPr>
        <w:t>d</w:t>
      </w:r>
      <w:r w:rsidR="00BA1CC2">
        <w:rPr>
          <w:szCs w:val="24"/>
          <w:lang w:val="fr-CA"/>
        </w:rPr>
        <w:t>’</w:t>
      </w:r>
      <w:r w:rsidR="007D3E9A" w:rsidRPr="0092785C">
        <w:rPr>
          <w:szCs w:val="24"/>
          <w:lang w:val="fr-CA"/>
        </w:rPr>
        <w:t xml:space="preserve">Innovation </w:t>
      </w:r>
      <w:proofErr w:type="spellStart"/>
      <w:r w:rsidR="007D3E9A" w:rsidRPr="0092785C">
        <w:rPr>
          <w:szCs w:val="24"/>
          <w:lang w:val="fr-CA"/>
        </w:rPr>
        <w:t>Credit</w:t>
      </w:r>
      <w:proofErr w:type="spellEnd"/>
      <w:r w:rsidR="007D3E9A" w:rsidRPr="0092785C">
        <w:rPr>
          <w:szCs w:val="24"/>
          <w:lang w:val="fr-CA"/>
        </w:rPr>
        <w:t xml:space="preserve"> Union</w:t>
      </w:r>
      <w:r w:rsidRPr="0092785C">
        <w:rPr>
          <w:szCs w:val="24"/>
          <w:lang w:val="fr-CA"/>
        </w:rPr>
        <w:t>, même si cette sûreté n</w:t>
      </w:r>
      <w:r w:rsidR="00BA1CC2">
        <w:rPr>
          <w:szCs w:val="24"/>
          <w:lang w:val="fr-CA"/>
        </w:rPr>
        <w:t>’</w:t>
      </w:r>
      <w:r w:rsidRPr="0092785C">
        <w:rPr>
          <w:szCs w:val="24"/>
          <w:lang w:val="fr-CA"/>
        </w:rPr>
        <w:t>avait pas été parfaite.</w:t>
      </w:r>
    </w:p>
    <w:p w:rsidR="00243641" w:rsidRPr="0092785C" w:rsidRDefault="008425CC" w:rsidP="001A107D">
      <w:pPr>
        <w:pStyle w:val="ListParagraph"/>
        <w:spacing w:after="480" w:line="480" w:lineRule="auto"/>
        <w:ind w:left="0"/>
        <w:jc w:val="both"/>
        <w:rPr>
          <w:b/>
          <w:lang w:val="fr-CA"/>
        </w:rPr>
      </w:pPr>
      <w:r w:rsidRPr="0092785C">
        <w:rPr>
          <w:i/>
          <w:iCs/>
          <w:szCs w:val="24"/>
          <w:lang w:val="fr-CA"/>
        </w:rPr>
        <w:tab/>
        <w:t>Arrêt </w:t>
      </w:r>
      <w:r w:rsidR="00243641" w:rsidRPr="0092785C">
        <w:rPr>
          <w:szCs w:val="24"/>
          <w:lang w:val="fr-CA"/>
        </w:rPr>
        <w:t>:</w:t>
      </w:r>
      <w:r w:rsidR="005D37C8" w:rsidRPr="0092785C">
        <w:rPr>
          <w:szCs w:val="24"/>
          <w:lang w:val="fr-CA"/>
        </w:rPr>
        <w:t> </w:t>
      </w:r>
      <w:r w:rsidRPr="0092785C">
        <w:rPr>
          <w:szCs w:val="24"/>
          <w:lang w:val="fr-CA"/>
        </w:rPr>
        <w:t>Le pourvoi est rejeté</w:t>
      </w:r>
      <w:r w:rsidR="005D37C8" w:rsidRPr="0092785C">
        <w:rPr>
          <w:szCs w:val="24"/>
          <w:lang w:val="fr-CA"/>
        </w:rPr>
        <w:t>.</w:t>
      </w:r>
    </w:p>
    <w:p w:rsidR="00243641" w:rsidRPr="0092785C" w:rsidRDefault="00243641" w:rsidP="001A107D">
      <w:pPr>
        <w:spacing w:after="480" w:line="480" w:lineRule="auto"/>
        <w:jc w:val="both"/>
        <w:rPr>
          <w:szCs w:val="24"/>
        </w:rPr>
      </w:pPr>
      <w:r w:rsidRPr="0092785C">
        <w:rPr>
          <w:szCs w:val="24"/>
        </w:rPr>
        <w:tab/>
      </w:r>
      <w:r w:rsidR="00DF32EE" w:rsidRPr="0092785C">
        <w:rPr>
          <w:szCs w:val="24"/>
        </w:rPr>
        <w:t>L</w:t>
      </w:r>
      <w:r w:rsidR="00DF32EE" w:rsidRPr="0092785C">
        <w:t>a clé d</w:t>
      </w:r>
      <w:r w:rsidR="00BA1CC2">
        <w:t>’</w:t>
      </w:r>
      <w:r w:rsidR="00DF32EE" w:rsidRPr="0092785C">
        <w:t xml:space="preserve">un conflit de priorité entre une garantie régie par la </w:t>
      </w:r>
      <w:r w:rsidR="00DF32EE" w:rsidRPr="00C7258D">
        <w:rPr>
          <w:i/>
        </w:rPr>
        <w:t>LB</w:t>
      </w:r>
      <w:r w:rsidR="00DF32EE" w:rsidRPr="0092785C">
        <w:t xml:space="preserve"> et une sûreté </w:t>
      </w:r>
      <w:r w:rsidR="00936002" w:rsidRPr="0092785C">
        <w:t>régie par une</w:t>
      </w:r>
      <w:r w:rsidR="00DF32EE" w:rsidRPr="0092785C">
        <w:t xml:space="preserve"> loi provinciale, telle la </w:t>
      </w:r>
      <w:r w:rsidR="00DF32EE" w:rsidRPr="00C7258D">
        <w:rPr>
          <w:i/>
        </w:rPr>
        <w:t>PPSA</w:t>
      </w:r>
      <w:r w:rsidR="00DF32EE" w:rsidRPr="0092785C">
        <w:t xml:space="preserve">, se trouve dans la </w:t>
      </w:r>
      <w:r w:rsidR="00DF32EE" w:rsidRPr="00C7258D">
        <w:rPr>
          <w:i/>
        </w:rPr>
        <w:t>LB</w:t>
      </w:r>
      <w:r w:rsidR="00DF32EE" w:rsidRPr="0092785C">
        <w:t xml:space="preserve"> elle-même</w:t>
      </w:r>
      <w:r w:rsidR="00637DC5" w:rsidRPr="0092785C">
        <w:t>.</w:t>
      </w:r>
      <w:r w:rsidR="005D37C8" w:rsidRPr="0092785C">
        <w:t xml:space="preserve"> </w:t>
      </w:r>
      <w:r w:rsidR="00DF32EE" w:rsidRPr="0092785C">
        <w:rPr>
          <w:szCs w:val="24"/>
        </w:rPr>
        <w:t xml:space="preserve"> </w:t>
      </w:r>
      <w:r w:rsidR="00DF32EE" w:rsidRPr="0092785C">
        <w:t xml:space="preserve">Les dispositions de la </w:t>
      </w:r>
      <w:r w:rsidR="00DF32EE" w:rsidRPr="00C7258D">
        <w:rPr>
          <w:i/>
        </w:rPr>
        <w:t>LB</w:t>
      </w:r>
      <w:r w:rsidR="00DF32EE" w:rsidRPr="0092785C">
        <w:t xml:space="preserve"> régissant les garanties sont des dispositions législatives fédérales valides qui ne peuvent être subordonnées à l</w:t>
      </w:r>
      <w:r w:rsidR="00BA1CC2">
        <w:t>’</w:t>
      </w:r>
      <w:r w:rsidR="00DF32EE" w:rsidRPr="0092785C">
        <w:t>application de dispositions édictées par une province en matière de priorité.</w:t>
      </w:r>
      <w:r w:rsidR="005D37C8" w:rsidRPr="0092785C">
        <w:t xml:space="preserve"> </w:t>
      </w:r>
      <w:r w:rsidR="00DF32EE" w:rsidRPr="0092785C">
        <w:t xml:space="preserve"> Dans les cas où la </w:t>
      </w:r>
      <w:r w:rsidR="00DF32EE" w:rsidRPr="00C7258D">
        <w:rPr>
          <w:i/>
        </w:rPr>
        <w:t>LB</w:t>
      </w:r>
      <w:r w:rsidR="00DF32EE" w:rsidRPr="0092785C">
        <w:t xml:space="preserve"> contient une disposition expresse applicable à un conflit de priorité donné, c</w:t>
      </w:r>
      <w:r w:rsidR="00BA1CC2">
        <w:t>’</w:t>
      </w:r>
      <w:r w:rsidR="00DF32EE" w:rsidRPr="0092785C">
        <w:t>est cette disposition qui prime.</w:t>
      </w:r>
      <w:r w:rsidR="005D37C8" w:rsidRPr="0092785C">
        <w:t xml:space="preserve"> </w:t>
      </w:r>
      <w:r w:rsidR="00DF32EE" w:rsidRPr="0092785C">
        <w:rPr>
          <w:szCs w:val="24"/>
        </w:rPr>
        <w:t xml:space="preserve"> </w:t>
      </w:r>
      <w:r w:rsidR="00C03805" w:rsidRPr="0092785C">
        <w:rPr>
          <w:szCs w:val="24"/>
        </w:rPr>
        <w:t>La règle</w:t>
      </w:r>
      <w:r w:rsidR="005D37C8" w:rsidRPr="0092785C">
        <w:rPr>
          <w:szCs w:val="24"/>
        </w:rPr>
        <w:t xml:space="preserve"> de priorité établie par l</w:t>
      </w:r>
      <w:r w:rsidR="00BA1CC2">
        <w:rPr>
          <w:szCs w:val="24"/>
        </w:rPr>
        <w:t>’</w:t>
      </w:r>
      <w:r w:rsidR="005D37C8" w:rsidRPr="0092785C">
        <w:rPr>
          <w:szCs w:val="24"/>
        </w:rPr>
        <w:t>art. </w:t>
      </w:r>
      <w:r w:rsidR="00C03805" w:rsidRPr="0092785C">
        <w:rPr>
          <w:szCs w:val="24"/>
        </w:rPr>
        <w:t xml:space="preserve">428 de la </w:t>
      </w:r>
      <w:r w:rsidR="00C03805" w:rsidRPr="00C7258D">
        <w:rPr>
          <w:i/>
          <w:szCs w:val="24"/>
        </w:rPr>
        <w:t>LB</w:t>
      </w:r>
      <w:r w:rsidR="00C03805" w:rsidRPr="0092785C">
        <w:rPr>
          <w:szCs w:val="24"/>
        </w:rPr>
        <w:t xml:space="preserve"> ne permet pas de régler un</w:t>
      </w:r>
      <w:r w:rsidR="00030FB8" w:rsidRPr="0092785C">
        <w:rPr>
          <w:szCs w:val="24"/>
        </w:rPr>
        <w:t xml:space="preserve"> conflit </w:t>
      </w:r>
      <w:r w:rsidR="00C03805" w:rsidRPr="0092785C">
        <w:rPr>
          <w:szCs w:val="24"/>
        </w:rPr>
        <w:t>entre</w:t>
      </w:r>
      <w:r w:rsidR="00030FB8" w:rsidRPr="0092785C">
        <w:rPr>
          <w:szCs w:val="24"/>
        </w:rPr>
        <w:t xml:space="preserve"> une garantie régie par la </w:t>
      </w:r>
      <w:r w:rsidR="00030FB8" w:rsidRPr="00C7258D">
        <w:rPr>
          <w:i/>
          <w:szCs w:val="24"/>
        </w:rPr>
        <w:t>LB</w:t>
      </w:r>
      <w:r w:rsidR="00C03805" w:rsidRPr="0092785C">
        <w:rPr>
          <w:szCs w:val="24"/>
        </w:rPr>
        <w:t xml:space="preserve"> et une sûreté </w:t>
      </w:r>
      <w:r w:rsidR="00936002" w:rsidRPr="0092785C">
        <w:rPr>
          <w:szCs w:val="24"/>
        </w:rPr>
        <w:t>concurrente obtenu</w:t>
      </w:r>
      <w:r w:rsidR="00C03805" w:rsidRPr="0092785C">
        <w:rPr>
          <w:szCs w:val="24"/>
        </w:rPr>
        <w:t xml:space="preserve">e </w:t>
      </w:r>
      <w:r w:rsidR="00936002" w:rsidRPr="0092785C">
        <w:rPr>
          <w:i/>
          <w:szCs w:val="24"/>
        </w:rPr>
        <w:t>avant</w:t>
      </w:r>
      <w:r w:rsidR="00936002" w:rsidRPr="0092785C">
        <w:rPr>
          <w:szCs w:val="24"/>
        </w:rPr>
        <w:t xml:space="preserve"> que la banque prenne sa garantie sur les biens</w:t>
      </w:r>
      <w:r w:rsidR="00C03805" w:rsidRPr="0092785C">
        <w:rPr>
          <w:szCs w:val="24"/>
        </w:rPr>
        <w:t>.</w:t>
      </w:r>
      <w:r w:rsidR="005D37C8" w:rsidRPr="0092785C">
        <w:rPr>
          <w:szCs w:val="24"/>
        </w:rPr>
        <w:t xml:space="preserve"> </w:t>
      </w:r>
      <w:r w:rsidR="00C03805" w:rsidRPr="0092785C">
        <w:rPr>
          <w:szCs w:val="24"/>
        </w:rPr>
        <w:t xml:space="preserve"> </w:t>
      </w:r>
      <w:r w:rsidR="00936002" w:rsidRPr="0092785C">
        <w:t>Il demeure toutefois que c</w:t>
      </w:r>
      <w:r w:rsidR="00030FB8" w:rsidRPr="0092785C">
        <w:t>e conflit doit être résolu par l</w:t>
      </w:r>
      <w:r w:rsidR="00BA1CC2">
        <w:t>’</w:t>
      </w:r>
      <w:r w:rsidR="00030FB8" w:rsidRPr="0092785C">
        <w:t xml:space="preserve">application des dispositions de la </w:t>
      </w:r>
      <w:r w:rsidR="00030FB8" w:rsidRPr="00C7258D">
        <w:rPr>
          <w:i/>
        </w:rPr>
        <w:t>LB</w:t>
      </w:r>
      <w:r w:rsidRPr="0092785C">
        <w:rPr>
          <w:szCs w:val="24"/>
        </w:rPr>
        <w:t xml:space="preserve">.  </w:t>
      </w:r>
      <w:r w:rsidR="00030FB8" w:rsidRPr="0092785C">
        <w:rPr>
          <w:szCs w:val="24"/>
        </w:rPr>
        <w:t>Pour ce faire, en l</w:t>
      </w:r>
      <w:r w:rsidR="00BA1CC2">
        <w:rPr>
          <w:szCs w:val="24"/>
        </w:rPr>
        <w:t>’</w:t>
      </w:r>
      <w:r w:rsidR="00030FB8" w:rsidRPr="0092785C">
        <w:rPr>
          <w:szCs w:val="24"/>
        </w:rPr>
        <w:t>espèce,</w:t>
      </w:r>
      <w:r w:rsidRPr="0092785C">
        <w:rPr>
          <w:szCs w:val="24"/>
        </w:rPr>
        <w:t xml:space="preserve"> </w:t>
      </w:r>
      <w:r w:rsidR="00030FB8" w:rsidRPr="0092785C">
        <w:lastRenderedPageBreak/>
        <w:t xml:space="preserve">il faut déterminer quels droits </w:t>
      </w:r>
      <w:proofErr w:type="spellStart"/>
      <w:r w:rsidR="00030FB8" w:rsidRPr="0092785C">
        <w:t>pro</w:t>
      </w:r>
      <w:r w:rsidR="00023A1D" w:rsidRPr="0092785C">
        <w:t>priétaux</w:t>
      </w:r>
      <w:proofErr w:type="spellEnd"/>
      <w:r w:rsidR="00023A1D" w:rsidRPr="0092785C">
        <w:t xml:space="preserve"> ont été conférés à la B</w:t>
      </w:r>
      <w:r w:rsidR="00030FB8" w:rsidRPr="0092785C">
        <w:t xml:space="preserve">anque en application du par. 427(2) de la </w:t>
      </w:r>
      <w:r w:rsidR="00030FB8" w:rsidRPr="00C7258D">
        <w:rPr>
          <w:i/>
        </w:rPr>
        <w:t>LB</w:t>
      </w:r>
      <w:r w:rsidRPr="0092785C">
        <w:rPr>
          <w:szCs w:val="24"/>
        </w:rPr>
        <w:t>.</w:t>
      </w:r>
    </w:p>
    <w:p w:rsidR="00243641" w:rsidRPr="0092785C" w:rsidRDefault="00243641" w:rsidP="001A107D">
      <w:pPr>
        <w:spacing w:after="480" w:line="480" w:lineRule="auto"/>
        <w:jc w:val="both"/>
        <w:rPr>
          <w:szCs w:val="24"/>
        </w:rPr>
      </w:pPr>
      <w:r w:rsidRPr="0092785C">
        <w:rPr>
          <w:szCs w:val="24"/>
        </w:rPr>
        <w:tab/>
      </w:r>
      <w:r w:rsidR="00C03805" w:rsidRPr="0092785C">
        <w:rPr>
          <w:szCs w:val="24"/>
        </w:rPr>
        <w:t xml:space="preserve">Comme </w:t>
      </w:r>
      <w:r w:rsidR="00C03805" w:rsidRPr="0092785C">
        <w:t>l</w:t>
      </w:r>
      <w:r w:rsidR="00BA1CC2">
        <w:t>’</w:t>
      </w:r>
      <w:r w:rsidR="00C03805" w:rsidRPr="0092785C">
        <w:t>effet conjugué des par. 427(2) et 435(2) ne permet pas à la Banque d</w:t>
      </w:r>
      <w:r w:rsidR="00BA1CC2">
        <w:t>’</w:t>
      </w:r>
      <w:r w:rsidR="00C03805" w:rsidRPr="0092785C">
        <w:t>acquérir sur le</w:t>
      </w:r>
      <w:r w:rsidR="00023A1D" w:rsidRPr="0092785C">
        <w:t>s</w:t>
      </w:r>
      <w:r w:rsidR="00C03805" w:rsidRPr="0092785C">
        <w:t xml:space="preserve"> bien</w:t>
      </w:r>
      <w:r w:rsidR="00023A1D" w:rsidRPr="0092785C">
        <w:t>s</w:t>
      </w:r>
      <w:r w:rsidR="00C03805" w:rsidRPr="0092785C">
        <w:t xml:space="preserve"> un intérêt supérieur à celui que détenait le débiteur lui-même au moment pertinent</w:t>
      </w:r>
      <w:r w:rsidRPr="0092785C">
        <w:rPr>
          <w:szCs w:val="24"/>
        </w:rPr>
        <w:t>, i</w:t>
      </w:r>
      <w:r w:rsidR="00C03805" w:rsidRPr="0092785C">
        <w:rPr>
          <w:szCs w:val="24"/>
        </w:rPr>
        <w:t>l faut déterminer la nature de l</w:t>
      </w:r>
      <w:r w:rsidR="00BA1CC2">
        <w:rPr>
          <w:szCs w:val="24"/>
        </w:rPr>
        <w:t>’</w:t>
      </w:r>
      <w:r w:rsidR="00C03805" w:rsidRPr="0092785C">
        <w:rPr>
          <w:szCs w:val="24"/>
        </w:rPr>
        <w:t>intérêt que le débiteur détenait sur les biens lorsque la Banque a obtenu sa garantie.  D</w:t>
      </w:r>
      <w:r w:rsidR="00BA1CC2">
        <w:rPr>
          <w:szCs w:val="24"/>
        </w:rPr>
        <w:t>’</w:t>
      </w:r>
      <w:r w:rsidR="00C03805" w:rsidRPr="0092785C">
        <w:rPr>
          <w:szCs w:val="24"/>
        </w:rPr>
        <w:t xml:space="preserve">où la </w:t>
      </w:r>
      <w:r w:rsidR="00637DC5" w:rsidRPr="0092785C">
        <w:rPr>
          <w:szCs w:val="24"/>
        </w:rPr>
        <w:t>nécessité</w:t>
      </w:r>
      <w:r w:rsidR="00C03805" w:rsidRPr="0092785C">
        <w:rPr>
          <w:szCs w:val="24"/>
        </w:rPr>
        <w:t xml:space="preserve"> de déterminer la nature de l</w:t>
      </w:r>
      <w:r w:rsidR="00BA1CC2">
        <w:rPr>
          <w:szCs w:val="24"/>
        </w:rPr>
        <w:t>’</w:t>
      </w:r>
      <w:r w:rsidR="00C03805" w:rsidRPr="0092785C">
        <w:rPr>
          <w:szCs w:val="24"/>
        </w:rPr>
        <w:t xml:space="preserve">intérêt </w:t>
      </w:r>
      <w:r w:rsidR="00023A1D" w:rsidRPr="0092785C">
        <w:rPr>
          <w:szCs w:val="24"/>
        </w:rPr>
        <w:t>déjà transmis par</w:t>
      </w:r>
      <w:r w:rsidR="00C03805" w:rsidRPr="0092785C">
        <w:rPr>
          <w:szCs w:val="24"/>
        </w:rPr>
        <w:t xml:space="preserve"> le débiteur à </w:t>
      </w:r>
      <w:r w:rsidR="007D3E9A" w:rsidRPr="0092785C">
        <w:rPr>
          <w:szCs w:val="24"/>
        </w:rPr>
        <w:t xml:space="preserve">Innovation </w:t>
      </w:r>
      <w:proofErr w:type="spellStart"/>
      <w:r w:rsidR="007D3E9A" w:rsidRPr="0092785C">
        <w:rPr>
          <w:szCs w:val="24"/>
        </w:rPr>
        <w:t>Credit</w:t>
      </w:r>
      <w:proofErr w:type="spellEnd"/>
      <w:r w:rsidR="007D3E9A" w:rsidRPr="0092785C">
        <w:rPr>
          <w:szCs w:val="24"/>
        </w:rPr>
        <w:t xml:space="preserve"> Union</w:t>
      </w:r>
      <w:r w:rsidR="00C03805" w:rsidRPr="0092785C">
        <w:rPr>
          <w:szCs w:val="24"/>
        </w:rPr>
        <w:t xml:space="preserve"> en vertu de la </w:t>
      </w:r>
      <w:r w:rsidR="00C03805" w:rsidRPr="00C7258D">
        <w:rPr>
          <w:i/>
          <w:szCs w:val="24"/>
        </w:rPr>
        <w:t>PPSA</w:t>
      </w:r>
      <w:r w:rsidR="00C03805" w:rsidRPr="0092785C">
        <w:rPr>
          <w:szCs w:val="24"/>
        </w:rPr>
        <w:t xml:space="preserve">.  </w:t>
      </w:r>
      <w:r w:rsidR="007F3369" w:rsidRPr="0092785C">
        <w:rPr>
          <w:szCs w:val="24"/>
        </w:rPr>
        <w:t xml:space="preserve">Puisque </w:t>
      </w:r>
      <w:r w:rsidR="007F3369" w:rsidRPr="0092785C">
        <w:t xml:space="preserve">le régime de garantie établi par la </w:t>
      </w:r>
      <w:r w:rsidR="007F3369" w:rsidRPr="00C7258D">
        <w:rPr>
          <w:i/>
        </w:rPr>
        <w:t>LB</w:t>
      </w:r>
      <w:r w:rsidR="007F3369" w:rsidRPr="0092785C">
        <w:rPr>
          <w:i/>
        </w:rPr>
        <w:t xml:space="preserve"> </w:t>
      </w:r>
      <w:r w:rsidR="007F3369" w:rsidRPr="0092785C">
        <w:t>est axé sur la propriété</w:t>
      </w:r>
      <w:r w:rsidR="007F3369" w:rsidRPr="0092785C">
        <w:rPr>
          <w:szCs w:val="24"/>
        </w:rPr>
        <w:t xml:space="preserve">, le droit concurrent revendiqué par </w:t>
      </w:r>
      <w:r w:rsidR="007D3E9A" w:rsidRPr="0092785C">
        <w:rPr>
          <w:szCs w:val="24"/>
        </w:rPr>
        <w:t xml:space="preserve">Innovation </w:t>
      </w:r>
      <w:proofErr w:type="spellStart"/>
      <w:r w:rsidR="007D3E9A" w:rsidRPr="0092785C">
        <w:rPr>
          <w:szCs w:val="24"/>
        </w:rPr>
        <w:t>Credit</w:t>
      </w:r>
      <w:proofErr w:type="spellEnd"/>
      <w:r w:rsidR="007D3E9A" w:rsidRPr="0092785C">
        <w:rPr>
          <w:szCs w:val="24"/>
        </w:rPr>
        <w:t xml:space="preserve"> Union</w:t>
      </w:r>
      <w:r w:rsidR="007F3369" w:rsidRPr="0092785C">
        <w:rPr>
          <w:szCs w:val="24"/>
        </w:rPr>
        <w:t xml:space="preserve"> doit être défini sous l</w:t>
      </w:r>
      <w:r w:rsidR="00BA1CC2">
        <w:rPr>
          <w:szCs w:val="24"/>
        </w:rPr>
        <w:t>’</w:t>
      </w:r>
      <w:r w:rsidR="007F3369" w:rsidRPr="0092785C">
        <w:rPr>
          <w:szCs w:val="24"/>
        </w:rPr>
        <w:t xml:space="preserve">angle du droit des biens.  </w:t>
      </w:r>
      <w:r w:rsidR="007F3369" w:rsidRPr="0092785C">
        <w:t xml:space="preserve">Les législatures provinciales ne peuvent pas écarter les droits de la banque, mais elles peuvent modifier les règles de droit en matière de propriété et </w:t>
      </w:r>
      <w:r w:rsidR="00261D08" w:rsidRPr="0092785C">
        <w:t xml:space="preserve">de </w:t>
      </w:r>
      <w:r w:rsidR="007F3369" w:rsidRPr="0092785C">
        <w:t>droits civils</w:t>
      </w:r>
      <w:r w:rsidRPr="0092785C">
        <w:rPr>
          <w:szCs w:val="24"/>
        </w:rPr>
        <w:t xml:space="preserve">.  </w:t>
      </w:r>
      <w:r w:rsidR="00023A1D" w:rsidRPr="0092785C">
        <w:rPr>
          <w:szCs w:val="24"/>
        </w:rPr>
        <w:t>La</w:t>
      </w:r>
      <w:r w:rsidR="007F3369" w:rsidRPr="0092785C">
        <w:rPr>
          <w:szCs w:val="24"/>
        </w:rPr>
        <w:t xml:space="preserve"> Saskatchewan </w:t>
      </w:r>
      <w:r w:rsidR="00023A1D" w:rsidRPr="0092785C">
        <w:rPr>
          <w:szCs w:val="24"/>
        </w:rPr>
        <w:t>l</w:t>
      </w:r>
      <w:r w:rsidR="00BA1CC2">
        <w:rPr>
          <w:szCs w:val="24"/>
        </w:rPr>
        <w:t>’</w:t>
      </w:r>
      <w:r w:rsidR="007F3369" w:rsidRPr="0092785C">
        <w:rPr>
          <w:szCs w:val="24"/>
        </w:rPr>
        <w:t xml:space="preserve">a fait en édictant la </w:t>
      </w:r>
      <w:r w:rsidR="007F3369" w:rsidRPr="00C7258D">
        <w:rPr>
          <w:i/>
          <w:szCs w:val="24"/>
        </w:rPr>
        <w:t>PPSA</w:t>
      </w:r>
      <w:r w:rsidR="007F3369" w:rsidRPr="0092785C">
        <w:rPr>
          <w:szCs w:val="24"/>
        </w:rPr>
        <w:t xml:space="preserve">.  Bien que la </w:t>
      </w:r>
      <w:r w:rsidRPr="0092785C">
        <w:rPr>
          <w:i/>
          <w:szCs w:val="24"/>
        </w:rPr>
        <w:t>PPSA</w:t>
      </w:r>
      <w:r w:rsidRPr="0092785C">
        <w:rPr>
          <w:szCs w:val="24"/>
        </w:rPr>
        <w:t xml:space="preserve"> </w:t>
      </w:r>
      <w:r w:rsidR="007F3369" w:rsidRPr="0092785C">
        <w:rPr>
          <w:szCs w:val="24"/>
        </w:rPr>
        <w:t>ne précise pas la nature d</w:t>
      </w:r>
      <w:r w:rsidR="00BA1CC2">
        <w:rPr>
          <w:szCs w:val="24"/>
        </w:rPr>
        <w:t>’</w:t>
      </w:r>
      <w:r w:rsidR="007F3369" w:rsidRPr="0092785C">
        <w:rPr>
          <w:szCs w:val="24"/>
        </w:rPr>
        <w:t>une sûreté consentie sous son régime sous l</w:t>
      </w:r>
      <w:r w:rsidR="00BA1CC2">
        <w:rPr>
          <w:szCs w:val="24"/>
        </w:rPr>
        <w:t>’</w:t>
      </w:r>
      <w:r w:rsidR="007F3369" w:rsidRPr="0092785C">
        <w:rPr>
          <w:szCs w:val="24"/>
        </w:rPr>
        <w:t>angle de la propriété, la l</w:t>
      </w:r>
      <w:r w:rsidR="00D16A1C" w:rsidRPr="0092785C">
        <w:rPr>
          <w:szCs w:val="24"/>
        </w:rPr>
        <w:t>oi cré</w:t>
      </w:r>
      <w:r w:rsidR="007F3369" w:rsidRPr="0092785C">
        <w:rPr>
          <w:szCs w:val="24"/>
        </w:rPr>
        <w:t xml:space="preserve">e un intérêt légal analogue à un droit </w:t>
      </w:r>
      <w:r w:rsidR="00023A1D" w:rsidRPr="0092785C">
        <w:rPr>
          <w:szCs w:val="24"/>
        </w:rPr>
        <w:t>de propriété</w:t>
      </w:r>
      <w:r w:rsidR="007F3369" w:rsidRPr="0092785C">
        <w:rPr>
          <w:szCs w:val="24"/>
        </w:rPr>
        <w:t xml:space="preserve"> virtuel. </w:t>
      </w:r>
      <w:r w:rsidR="005D37C8" w:rsidRPr="0092785C">
        <w:rPr>
          <w:szCs w:val="24"/>
        </w:rPr>
        <w:t xml:space="preserve"> </w:t>
      </w:r>
      <w:r w:rsidR="00DC3DB1" w:rsidRPr="0092785C">
        <w:rPr>
          <w:szCs w:val="24"/>
        </w:rPr>
        <w:t xml:space="preserve">Lorsque le débiteur a consenti à la Banque </w:t>
      </w:r>
      <w:r w:rsidR="00DC3DB1" w:rsidRPr="0092785C">
        <w:t xml:space="preserve">sa garantie en application de la </w:t>
      </w:r>
      <w:r w:rsidR="00DC3DB1" w:rsidRPr="00C7258D">
        <w:rPr>
          <w:i/>
        </w:rPr>
        <w:t>LB</w:t>
      </w:r>
      <w:r w:rsidR="00DC3DB1" w:rsidRPr="0092785C">
        <w:t>,</w:t>
      </w:r>
      <w:r w:rsidR="00DC3DB1" w:rsidRPr="0092785C">
        <w:rPr>
          <w:i/>
        </w:rPr>
        <w:t xml:space="preserve"> </w:t>
      </w:r>
      <w:r w:rsidR="007D3E9A" w:rsidRPr="0092785C">
        <w:t xml:space="preserve">Innovation </w:t>
      </w:r>
      <w:proofErr w:type="spellStart"/>
      <w:r w:rsidR="007D3E9A" w:rsidRPr="0092785C">
        <w:t>Credit</w:t>
      </w:r>
      <w:proofErr w:type="spellEnd"/>
      <w:r w:rsidR="007D3E9A" w:rsidRPr="0092785C">
        <w:t xml:space="preserve"> Union</w:t>
      </w:r>
      <w:r w:rsidR="00DC3DB1" w:rsidRPr="0092785C">
        <w:t xml:space="preserve"> détenait déjà une sûreté valide de la nature d</w:t>
      </w:r>
      <w:r w:rsidR="00BA1CC2">
        <w:t>’</w:t>
      </w:r>
      <w:r w:rsidR="00DC3DB1" w:rsidRPr="0092785C">
        <w:t>une charge fixe.  Le défaut de parfaire la sûreté n</w:t>
      </w:r>
      <w:r w:rsidR="00BA1CC2">
        <w:t>’</w:t>
      </w:r>
      <w:r w:rsidR="00DC3DB1" w:rsidRPr="0092785C">
        <w:t>a</w:t>
      </w:r>
      <w:r w:rsidR="00023A1D" w:rsidRPr="0092785C">
        <w:t xml:space="preserve">vait </w:t>
      </w:r>
      <w:r w:rsidR="00DC3DB1" w:rsidRPr="0092785C">
        <w:t>pas d</w:t>
      </w:r>
      <w:r w:rsidR="00BA1CC2">
        <w:t>’</w:t>
      </w:r>
      <w:r w:rsidR="00DC3DB1" w:rsidRPr="0092785C">
        <w:t>incidence sur cet intérêt</w:t>
      </w:r>
      <w:r w:rsidR="00DC3DB1" w:rsidRPr="0092785C">
        <w:rPr>
          <w:szCs w:val="24"/>
        </w:rPr>
        <w:t>.</w:t>
      </w:r>
    </w:p>
    <w:p w:rsidR="00243641" w:rsidRPr="0092785C" w:rsidRDefault="00243641" w:rsidP="001A107D">
      <w:pPr>
        <w:spacing w:after="480" w:line="480" w:lineRule="auto"/>
        <w:jc w:val="both"/>
        <w:rPr>
          <w:szCs w:val="24"/>
        </w:rPr>
      </w:pPr>
      <w:r w:rsidRPr="0092785C">
        <w:rPr>
          <w:szCs w:val="24"/>
        </w:rPr>
        <w:tab/>
      </w:r>
      <w:r w:rsidR="00DC3DB1" w:rsidRPr="0092785C">
        <w:rPr>
          <w:szCs w:val="24"/>
        </w:rPr>
        <w:t xml:space="preserve">Le régime législatif </w:t>
      </w:r>
      <w:r w:rsidR="00023A1D" w:rsidRPr="0092785C">
        <w:rPr>
          <w:szCs w:val="24"/>
        </w:rPr>
        <w:t>en vigueur</w:t>
      </w:r>
      <w:r w:rsidR="00DC3DB1" w:rsidRPr="0092785C">
        <w:rPr>
          <w:szCs w:val="24"/>
        </w:rPr>
        <w:t xml:space="preserve"> établi par la </w:t>
      </w:r>
      <w:r w:rsidR="00DC3DB1" w:rsidRPr="00C7258D">
        <w:rPr>
          <w:i/>
          <w:szCs w:val="24"/>
        </w:rPr>
        <w:t>LB</w:t>
      </w:r>
      <w:r w:rsidR="00DC3DB1" w:rsidRPr="0092785C">
        <w:rPr>
          <w:szCs w:val="24"/>
        </w:rPr>
        <w:t xml:space="preserve"> ne permet pas aux tribunaux </w:t>
      </w:r>
      <w:r w:rsidR="005F56E7" w:rsidRPr="0092785C">
        <w:rPr>
          <w:szCs w:val="24"/>
        </w:rPr>
        <w:t>de créer</w:t>
      </w:r>
      <w:r w:rsidR="00DC3DB1" w:rsidRPr="0092785C">
        <w:rPr>
          <w:szCs w:val="24"/>
        </w:rPr>
        <w:t xml:space="preserve"> une règle conférant priorité au premier enregistrement ou à la première sûreté </w:t>
      </w:r>
      <w:r w:rsidR="00D16A1C" w:rsidRPr="0092785C">
        <w:rPr>
          <w:szCs w:val="24"/>
        </w:rPr>
        <w:t>parfait</w:t>
      </w:r>
      <w:r w:rsidR="00DC3DB1" w:rsidRPr="0092785C">
        <w:rPr>
          <w:szCs w:val="24"/>
        </w:rPr>
        <w:t xml:space="preserve">e, comme le demande la Banque.  </w:t>
      </w:r>
      <w:r w:rsidR="00DC3DB1" w:rsidRPr="0092785C">
        <w:t>C</w:t>
      </w:r>
      <w:r w:rsidR="00BA1CC2">
        <w:t>’</w:t>
      </w:r>
      <w:r w:rsidR="00DC3DB1" w:rsidRPr="0092785C">
        <w:t>est au législateur qu</w:t>
      </w:r>
      <w:r w:rsidR="00BA1CC2">
        <w:t>’</w:t>
      </w:r>
      <w:r w:rsidR="00DC3DB1" w:rsidRPr="0092785C">
        <w:t>il reviendrait d</w:t>
      </w:r>
      <w:r w:rsidR="00BA1CC2">
        <w:t>’</w:t>
      </w:r>
      <w:r w:rsidR="00DC3DB1" w:rsidRPr="0092785C">
        <w:t>édicter pareille règle, s</w:t>
      </w:r>
      <w:r w:rsidR="00BA1CC2">
        <w:t>’</w:t>
      </w:r>
      <w:r w:rsidR="00DC3DB1" w:rsidRPr="0092785C">
        <w:t>il le jugeait à propos</w:t>
      </w:r>
      <w:r w:rsidRPr="0092785C">
        <w:rPr>
          <w:szCs w:val="24"/>
        </w:rPr>
        <w:t xml:space="preserve">.  </w:t>
      </w:r>
      <w:r w:rsidR="00DC3DB1" w:rsidRPr="0092785C">
        <w:t xml:space="preserve">Selon les règles de la </w:t>
      </w:r>
      <w:proofErr w:type="spellStart"/>
      <w:r w:rsidR="00DC3DB1" w:rsidRPr="0092785C">
        <w:t>common</w:t>
      </w:r>
      <w:proofErr w:type="spellEnd"/>
      <w:r w:rsidR="00DC3DB1" w:rsidRPr="0092785C">
        <w:t xml:space="preserve"> </w:t>
      </w:r>
      <w:proofErr w:type="spellStart"/>
      <w:r w:rsidR="00DC3DB1" w:rsidRPr="0092785C">
        <w:t>law</w:t>
      </w:r>
      <w:proofErr w:type="spellEnd"/>
      <w:r w:rsidR="00DC3DB1" w:rsidRPr="0092785C">
        <w:t xml:space="preserve">, la </w:t>
      </w:r>
      <w:r w:rsidR="00DC3DB1" w:rsidRPr="0092785C">
        <w:lastRenderedPageBreak/>
        <w:t xml:space="preserve">solution à un conflit de priorité entre deux intérêts en </w:t>
      </w:r>
      <w:proofErr w:type="spellStart"/>
      <w:r w:rsidR="00DC3DB1" w:rsidRPr="0092785C">
        <w:t>common</w:t>
      </w:r>
      <w:proofErr w:type="spellEnd"/>
      <w:r w:rsidR="00DC3DB1" w:rsidRPr="0092785C">
        <w:t xml:space="preserve"> </w:t>
      </w:r>
      <w:proofErr w:type="spellStart"/>
      <w:r w:rsidR="00DC3DB1" w:rsidRPr="0092785C">
        <w:t>law</w:t>
      </w:r>
      <w:proofErr w:type="spellEnd"/>
      <w:r w:rsidR="00DC3DB1" w:rsidRPr="0092785C">
        <w:t xml:space="preserve"> dans le même bien tient à la maxime </w:t>
      </w:r>
      <w:proofErr w:type="spellStart"/>
      <w:r w:rsidR="00DC3DB1" w:rsidRPr="0092785C">
        <w:rPr>
          <w:i/>
        </w:rPr>
        <w:t>nemo</w:t>
      </w:r>
      <w:proofErr w:type="spellEnd"/>
      <w:r w:rsidR="00DC3DB1" w:rsidRPr="0092785C">
        <w:rPr>
          <w:i/>
        </w:rPr>
        <w:t xml:space="preserve"> </w:t>
      </w:r>
      <w:proofErr w:type="spellStart"/>
      <w:r w:rsidR="00DC3DB1" w:rsidRPr="0092785C">
        <w:rPr>
          <w:i/>
        </w:rPr>
        <w:t>dat</w:t>
      </w:r>
      <w:proofErr w:type="spellEnd"/>
      <w:r w:rsidR="00DC3DB1" w:rsidRPr="0092785C">
        <w:rPr>
          <w:i/>
        </w:rPr>
        <w:t xml:space="preserve"> quod non </w:t>
      </w:r>
      <w:proofErr w:type="spellStart"/>
      <w:r w:rsidR="00DC3DB1" w:rsidRPr="0092785C">
        <w:rPr>
          <w:i/>
        </w:rPr>
        <w:t>habet</w:t>
      </w:r>
      <w:proofErr w:type="spellEnd"/>
      <w:r w:rsidRPr="0092785C">
        <w:rPr>
          <w:szCs w:val="24"/>
        </w:rPr>
        <w:t xml:space="preserve">.  </w:t>
      </w:r>
      <w:r w:rsidR="00DC3DB1" w:rsidRPr="0092785C">
        <w:rPr>
          <w:szCs w:val="24"/>
        </w:rPr>
        <w:t>Les par. </w:t>
      </w:r>
      <w:r w:rsidRPr="0092785C">
        <w:rPr>
          <w:szCs w:val="24"/>
        </w:rPr>
        <w:t xml:space="preserve">427(1) </w:t>
      </w:r>
      <w:r w:rsidR="00305ACB" w:rsidRPr="0092785C">
        <w:rPr>
          <w:szCs w:val="24"/>
        </w:rPr>
        <w:t>et</w:t>
      </w:r>
      <w:r w:rsidRPr="0092785C">
        <w:rPr>
          <w:szCs w:val="24"/>
        </w:rPr>
        <w:t xml:space="preserve"> 435(2) </w:t>
      </w:r>
      <w:r w:rsidR="00305ACB" w:rsidRPr="0092785C">
        <w:rPr>
          <w:szCs w:val="24"/>
        </w:rPr>
        <w:t xml:space="preserve">de la </w:t>
      </w:r>
      <w:r w:rsidR="00305ACB" w:rsidRPr="00C7258D">
        <w:rPr>
          <w:i/>
          <w:szCs w:val="24"/>
        </w:rPr>
        <w:t>LB</w:t>
      </w:r>
      <w:r w:rsidR="00305ACB" w:rsidRPr="0092785C">
        <w:rPr>
          <w:szCs w:val="24"/>
        </w:rPr>
        <w:t xml:space="preserve"> ont le même effet.  Leur application en l</w:t>
      </w:r>
      <w:r w:rsidR="00BA1CC2">
        <w:rPr>
          <w:szCs w:val="24"/>
        </w:rPr>
        <w:t>’</w:t>
      </w:r>
      <w:r w:rsidR="00305ACB" w:rsidRPr="0092785C">
        <w:rPr>
          <w:szCs w:val="24"/>
        </w:rPr>
        <w:t>espèce donne priorité à la sûreté d</w:t>
      </w:r>
      <w:r w:rsidR="00BA1CC2">
        <w:rPr>
          <w:szCs w:val="24"/>
        </w:rPr>
        <w:t>’</w:t>
      </w:r>
      <w:r w:rsidR="007D3E9A" w:rsidRPr="0092785C">
        <w:rPr>
          <w:szCs w:val="24"/>
        </w:rPr>
        <w:t xml:space="preserve">Innovation </w:t>
      </w:r>
      <w:proofErr w:type="spellStart"/>
      <w:r w:rsidR="007D3E9A" w:rsidRPr="0092785C">
        <w:rPr>
          <w:szCs w:val="24"/>
        </w:rPr>
        <w:t>Credit</w:t>
      </w:r>
      <w:proofErr w:type="spellEnd"/>
      <w:r w:rsidR="007D3E9A" w:rsidRPr="0092785C">
        <w:rPr>
          <w:szCs w:val="24"/>
        </w:rPr>
        <w:t xml:space="preserve"> Union</w:t>
      </w:r>
      <w:r w:rsidR="00305ACB" w:rsidRPr="0092785C">
        <w:rPr>
          <w:szCs w:val="24"/>
        </w:rPr>
        <w:t>.</w:t>
      </w:r>
    </w:p>
    <w:p w:rsidR="007834A8" w:rsidRPr="0092785C" w:rsidRDefault="0043088E" w:rsidP="001A107D">
      <w:pPr>
        <w:pStyle w:val="SCCNormalDoubleSpacing"/>
        <w:keepNext/>
        <w:widowControl w:val="0"/>
        <w:rPr>
          <w:b/>
          <w:lang w:val="en-US"/>
        </w:rPr>
      </w:pPr>
      <w:r w:rsidRPr="0092785C">
        <w:rPr>
          <w:b/>
          <w:lang w:val="en-US"/>
        </w:rPr>
        <w:t>Jurisprudence</w:t>
      </w:r>
    </w:p>
    <w:p w:rsidR="00B4628A" w:rsidRPr="0092785C" w:rsidRDefault="00B4628A" w:rsidP="001A107D">
      <w:pPr>
        <w:pStyle w:val="SCCNormalDoubleSpacing"/>
        <w:keepNext/>
        <w:widowControl w:val="0"/>
        <w:rPr>
          <w:b/>
          <w:lang w:val="en-US"/>
        </w:rPr>
      </w:pPr>
    </w:p>
    <w:p w:rsidR="002E6705" w:rsidRPr="0092785C" w:rsidRDefault="00B4628A" w:rsidP="001A107D">
      <w:pPr>
        <w:keepNext/>
        <w:widowControl w:val="0"/>
        <w:tabs>
          <w:tab w:val="left" w:pos="720"/>
          <w:tab w:val="left" w:pos="6480"/>
        </w:tabs>
        <w:spacing w:line="480" w:lineRule="auto"/>
        <w:jc w:val="both"/>
        <w:rPr>
          <w:lang w:val="en-US"/>
        </w:rPr>
      </w:pPr>
      <w:r w:rsidRPr="0092785C">
        <w:rPr>
          <w:b/>
          <w:lang w:val="en-US"/>
        </w:rPr>
        <w:tab/>
      </w:r>
      <w:proofErr w:type="spellStart"/>
      <w:r w:rsidR="0043088E" w:rsidRPr="0092785C">
        <w:rPr>
          <w:b/>
          <w:lang w:val="en-US"/>
        </w:rPr>
        <w:t>Arrêts</w:t>
      </w:r>
      <w:proofErr w:type="spellEnd"/>
      <w:r w:rsidR="0043088E" w:rsidRPr="0092785C">
        <w:rPr>
          <w:b/>
          <w:lang w:val="en-US"/>
        </w:rPr>
        <w:t xml:space="preserve"> </w:t>
      </w:r>
      <w:r w:rsidR="00031121" w:rsidRPr="0092785C">
        <w:rPr>
          <w:b/>
          <w:lang w:val="en-US"/>
        </w:rPr>
        <w:t xml:space="preserve">appliqués : </w:t>
      </w:r>
      <w:proofErr w:type="spellStart"/>
      <w:r w:rsidR="00031121" w:rsidRPr="0092785C">
        <w:rPr>
          <w:i/>
          <w:iCs/>
          <w:lang w:val="en-US"/>
        </w:rPr>
        <w:t>Banque</w:t>
      </w:r>
      <w:proofErr w:type="spellEnd"/>
      <w:r w:rsidR="00031121" w:rsidRPr="0092785C">
        <w:rPr>
          <w:i/>
          <w:iCs/>
          <w:lang w:val="en-US"/>
        </w:rPr>
        <w:t xml:space="preserve"> de Montréal c. Hall</w:t>
      </w:r>
      <w:r w:rsidR="00031121" w:rsidRPr="0092785C">
        <w:rPr>
          <w:lang w:val="en-US"/>
        </w:rPr>
        <w:t xml:space="preserve">, [1990] 1 R.C.S. 121; </w:t>
      </w:r>
      <w:proofErr w:type="spellStart"/>
      <w:r w:rsidR="00031121" w:rsidRPr="0092785C">
        <w:rPr>
          <w:i/>
          <w:iCs/>
          <w:lang w:val="en-US"/>
        </w:rPr>
        <w:t>Banque</w:t>
      </w:r>
      <w:proofErr w:type="spellEnd"/>
      <w:r w:rsidR="00031121" w:rsidRPr="0092785C">
        <w:rPr>
          <w:i/>
          <w:iCs/>
          <w:lang w:val="en-US"/>
        </w:rPr>
        <w:t xml:space="preserve"> Royale du Canada c. Sparrow Electric Corp.</w:t>
      </w:r>
      <w:r w:rsidR="00031121" w:rsidRPr="0092785C">
        <w:rPr>
          <w:lang w:val="en-US"/>
        </w:rPr>
        <w:t xml:space="preserve">, [1997] 1 R.C.S. 411; </w:t>
      </w:r>
      <w:proofErr w:type="spellStart"/>
      <w:r w:rsidR="00031121" w:rsidRPr="0092785C">
        <w:rPr>
          <w:b/>
          <w:lang w:val="en-US"/>
        </w:rPr>
        <w:t>arrêts</w:t>
      </w:r>
      <w:proofErr w:type="spellEnd"/>
      <w:r w:rsidR="00031121" w:rsidRPr="0092785C">
        <w:rPr>
          <w:b/>
          <w:lang w:val="en-US"/>
        </w:rPr>
        <w:t xml:space="preserve"> </w:t>
      </w:r>
      <w:proofErr w:type="spellStart"/>
      <w:r w:rsidR="0043088E" w:rsidRPr="0092785C">
        <w:rPr>
          <w:b/>
          <w:lang w:val="en-US"/>
        </w:rPr>
        <w:t>mentionnés</w:t>
      </w:r>
      <w:proofErr w:type="spellEnd"/>
      <w:r w:rsidR="00F33658" w:rsidRPr="0092785C">
        <w:rPr>
          <w:b/>
          <w:lang w:val="en-US"/>
        </w:rPr>
        <w:t> </w:t>
      </w:r>
      <w:r w:rsidR="002E6705" w:rsidRPr="0092785C">
        <w:rPr>
          <w:b/>
          <w:lang w:val="en-US"/>
        </w:rPr>
        <w:t>:</w:t>
      </w:r>
      <w:r w:rsidR="00172A04" w:rsidRPr="0092785C">
        <w:rPr>
          <w:lang w:val="en-US"/>
        </w:rPr>
        <w:t xml:space="preserve"> </w:t>
      </w:r>
      <w:proofErr w:type="spellStart"/>
      <w:r w:rsidR="00444A6D" w:rsidRPr="0092785C">
        <w:rPr>
          <w:i/>
          <w:iCs/>
          <w:lang w:val="en-US"/>
        </w:rPr>
        <w:t>Banque</w:t>
      </w:r>
      <w:proofErr w:type="spellEnd"/>
      <w:r w:rsidR="00444A6D" w:rsidRPr="0092785C">
        <w:rPr>
          <w:i/>
          <w:iCs/>
          <w:lang w:val="en-US"/>
        </w:rPr>
        <w:t xml:space="preserve"> Royale du Canada c. Radius Credit Union Ltd.</w:t>
      </w:r>
      <w:r w:rsidR="00444A6D" w:rsidRPr="0092785C">
        <w:rPr>
          <w:lang w:val="en-US"/>
        </w:rPr>
        <w:t xml:space="preserve">, 2010 CSC </w:t>
      </w:r>
      <w:r w:rsidR="00EA3BAB" w:rsidRPr="0092785C">
        <w:rPr>
          <w:lang w:val="en-US"/>
        </w:rPr>
        <w:t>48</w:t>
      </w:r>
      <w:r w:rsidR="00C7258D">
        <w:rPr>
          <w:lang w:val="en-US"/>
        </w:rPr>
        <w:t xml:space="preserve">, [2010] 3 R.C.S. </w:t>
      </w:r>
      <w:r w:rsidR="00072021">
        <w:rPr>
          <w:lang w:val="en-US"/>
        </w:rPr>
        <w:t>38</w:t>
      </w:r>
      <w:r w:rsidR="00444A6D" w:rsidRPr="0092785C">
        <w:rPr>
          <w:lang w:val="en-US"/>
        </w:rPr>
        <w:t xml:space="preserve">; </w:t>
      </w:r>
      <w:r w:rsidR="00444A6D" w:rsidRPr="0092785C">
        <w:rPr>
          <w:i/>
          <w:iCs/>
          <w:lang w:val="en-US"/>
        </w:rPr>
        <w:t xml:space="preserve">Bell </w:t>
      </w:r>
      <w:proofErr w:type="spellStart"/>
      <w:r w:rsidR="00444A6D" w:rsidRPr="0092785C">
        <w:rPr>
          <w:i/>
          <w:iCs/>
          <w:lang w:val="en-US"/>
        </w:rPr>
        <w:t>ExpressVu</w:t>
      </w:r>
      <w:proofErr w:type="spellEnd"/>
      <w:r w:rsidR="00444A6D" w:rsidRPr="0092785C">
        <w:rPr>
          <w:i/>
          <w:iCs/>
          <w:lang w:val="en-US"/>
        </w:rPr>
        <w:t xml:space="preserve"> Limited Partnership c. Rex</w:t>
      </w:r>
      <w:r w:rsidR="00444A6D" w:rsidRPr="0092785C">
        <w:rPr>
          <w:lang w:val="en-US"/>
        </w:rPr>
        <w:t xml:space="preserve">, 2002 CSC 42, [2002] 2 R.C.S. 559; </w:t>
      </w:r>
      <w:r w:rsidR="00444A6D" w:rsidRPr="0092785C">
        <w:rPr>
          <w:i/>
          <w:iCs/>
          <w:lang w:val="en-US"/>
        </w:rPr>
        <w:t>Royal Bank of Canada c. Agricultural Credit Corp. of Saskatchewan</w:t>
      </w:r>
      <w:r w:rsidR="00444A6D" w:rsidRPr="0092785C">
        <w:rPr>
          <w:lang w:val="en-US"/>
        </w:rPr>
        <w:t xml:space="preserve"> (1994), 115 D.L.R. (4th) 569; </w:t>
      </w:r>
      <w:r w:rsidR="00444A6D" w:rsidRPr="0092785C">
        <w:rPr>
          <w:i/>
          <w:iCs/>
          <w:lang w:val="en-US"/>
        </w:rPr>
        <w:t xml:space="preserve">Landry Pulpwood Co. c. </w:t>
      </w:r>
      <w:proofErr w:type="spellStart"/>
      <w:r w:rsidR="00444A6D" w:rsidRPr="0092785C">
        <w:rPr>
          <w:i/>
          <w:iCs/>
          <w:lang w:val="en-US"/>
        </w:rPr>
        <w:t>Banque</w:t>
      </w:r>
      <w:proofErr w:type="spellEnd"/>
      <w:r w:rsidR="00444A6D" w:rsidRPr="0092785C">
        <w:rPr>
          <w:i/>
          <w:iCs/>
          <w:lang w:val="en-US"/>
        </w:rPr>
        <w:t xml:space="preserve"> </w:t>
      </w:r>
      <w:proofErr w:type="spellStart"/>
      <w:r w:rsidR="00444A6D" w:rsidRPr="0092785C">
        <w:rPr>
          <w:i/>
          <w:iCs/>
          <w:lang w:val="en-US"/>
        </w:rPr>
        <w:t>Canadienne</w:t>
      </w:r>
      <w:proofErr w:type="spellEnd"/>
      <w:r w:rsidR="00444A6D" w:rsidRPr="0092785C">
        <w:rPr>
          <w:i/>
          <w:iCs/>
          <w:lang w:val="en-US"/>
        </w:rPr>
        <w:t xml:space="preserve"> </w:t>
      </w:r>
      <w:proofErr w:type="spellStart"/>
      <w:r w:rsidR="00444A6D" w:rsidRPr="0092785C">
        <w:rPr>
          <w:i/>
          <w:iCs/>
          <w:lang w:val="en-US"/>
        </w:rPr>
        <w:t>Nationale</w:t>
      </w:r>
      <w:proofErr w:type="spellEnd"/>
      <w:r w:rsidR="00444A6D" w:rsidRPr="0092785C">
        <w:rPr>
          <w:lang w:val="en-US"/>
        </w:rPr>
        <w:t xml:space="preserve">, [1927] R.C.S. 605; </w:t>
      </w:r>
      <w:proofErr w:type="spellStart"/>
      <w:r w:rsidR="00444A6D" w:rsidRPr="0092785C">
        <w:rPr>
          <w:i/>
          <w:iCs/>
          <w:lang w:val="en-US"/>
        </w:rPr>
        <w:t>Giffen</w:t>
      </w:r>
      <w:proofErr w:type="spellEnd"/>
      <w:r w:rsidR="00444A6D" w:rsidRPr="0092785C">
        <w:rPr>
          <w:i/>
          <w:iCs/>
          <w:lang w:val="en-US"/>
        </w:rPr>
        <w:t xml:space="preserve"> (Re)</w:t>
      </w:r>
      <w:r w:rsidR="00444A6D" w:rsidRPr="0092785C">
        <w:rPr>
          <w:lang w:val="en-US"/>
        </w:rPr>
        <w:t>, [1998] 1 R.C.S. 91.</w:t>
      </w:r>
    </w:p>
    <w:p w:rsidR="007834A8" w:rsidRPr="0092785C" w:rsidRDefault="007834A8" w:rsidP="001A107D">
      <w:pPr>
        <w:pStyle w:val="SCCNormalDoubleSpacing"/>
        <w:rPr>
          <w:lang w:val="en-US"/>
        </w:rPr>
      </w:pPr>
    </w:p>
    <w:p w:rsidR="00231F3A" w:rsidRPr="0092785C" w:rsidRDefault="0043088E" w:rsidP="001A107D">
      <w:pPr>
        <w:pStyle w:val="SCCNormalDoubleSpacing"/>
        <w:keepNext/>
        <w:widowControl w:val="0"/>
        <w:rPr>
          <w:b/>
        </w:rPr>
      </w:pPr>
      <w:r w:rsidRPr="0092785C">
        <w:rPr>
          <w:b/>
        </w:rPr>
        <w:t>Lois</w:t>
      </w:r>
      <w:r w:rsidR="002E6705" w:rsidRPr="0092785C">
        <w:rPr>
          <w:b/>
        </w:rPr>
        <w:t xml:space="preserve"> </w:t>
      </w:r>
      <w:r w:rsidR="008A6558" w:rsidRPr="0092785C">
        <w:rPr>
          <w:b/>
        </w:rPr>
        <w:t>et</w:t>
      </w:r>
      <w:r w:rsidR="002E6705" w:rsidRPr="0092785C">
        <w:rPr>
          <w:b/>
        </w:rPr>
        <w:t xml:space="preserve"> </w:t>
      </w:r>
      <w:r w:rsidRPr="0092785C">
        <w:rPr>
          <w:b/>
        </w:rPr>
        <w:t>rè</w:t>
      </w:r>
      <w:r w:rsidR="002E6705" w:rsidRPr="0092785C">
        <w:rPr>
          <w:b/>
        </w:rPr>
        <w:t>gl</w:t>
      </w:r>
      <w:r w:rsidRPr="0092785C">
        <w:rPr>
          <w:b/>
        </w:rPr>
        <w:t>ements</w:t>
      </w:r>
      <w:r w:rsidR="002E6705" w:rsidRPr="0092785C">
        <w:rPr>
          <w:b/>
        </w:rPr>
        <w:t xml:space="preserve"> </w:t>
      </w:r>
      <w:r w:rsidRPr="0092785C">
        <w:rPr>
          <w:b/>
        </w:rPr>
        <w:t>c</w:t>
      </w:r>
      <w:r w:rsidR="002E6705" w:rsidRPr="0092785C">
        <w:rPr>
          <w:b/>
        </w:rPr>
        <w:t>it</w:t>
      </w:r>
      <w:r w:rsidRPr="0092785C">
        <w:rPr>
          <w:b/>
        </w:rPr>
        <w:t>és</w:t>
      </w:r>
    </w:p>
    <w:p w:rsidR="000A5321" w:rsidRPr="0092785C" w:rsidRDefault="000A5321" w:rsidP="001A107D">
      <w:pPr>
        <w:pStyle w:val="SCCNormalDoubleSpacing"/>
        <w:keepNext/>
        <w:widowControl w:val="0"/>
        <w:ind w:left="540" w:hanging="540"/>
      </w:pPr>
    </w:p>
    <w:p w:rsidR="00B07FF5" w:rsidRPr="0092785C" w:rsidRDefault="00B07FF5" w:rsidP="001A107D">
      <w:pPr>
        <w:keepNext/>
        <w:widowControl w:val="0"/>
        <w:tabs>
          <w:tab w:val="left" w:pos="-1440"/>
          <w:tab w:val="left" w:pos="-720"/>
          <w:tab w:val="left" w:pos="0"/>
          <w:tab w:val="left" w:pos="1152"/>
          <w:tab w:val="left" w:pos="1569"/>
          <w:tab w:val="left" w:pos="1843"/>
          <w:tab w:val="left" w:pos="2260"/>
          <w:tab w:val="left" w:pos="6480"/>
        </w:tabs>
        <w:ind w:left="540" w:hanging="540"/>
        <w:jc w:val="both"/>
      </w:pPr>
      <w:r w:rsidRPr="0092785C">
        <w:rPr>
          <w:i/>
          <w:iCs/>
        </w:rPr>
        <w:t>Acte des banques</w:t>
      </w:r>
      <w:r w:rsidRPr="0092785C">
        <w:t>, L.C. 1890, ch.</w:t>
      </w:r>
      <w:r w:rsidR="005D37C8" w:rsidRPr="0092785C">
        <w:t> </w:t>
      </w:r>
      <w:r w:rsidRPr="0092785C">
        <w:t>31, art</w:t>
      </w:r>
      <w:r w:rsidR="005D37C8" w:rsidRPr="0092785C">
        <w:t>. </w:t>
      </w:r>
      <w:r w:rsidRPr="0092785C">
        <w:t>74.</w:t>
      </w:r>
    </w:p>
    <w:p w:rsidR="00B07FF5" w:rsidRPr="0092785C" w:rsidRDefault="00B07FF5" w:rsidP="001A107D">
      <w:pPr>
        <w:tabs>
          <w:tab w:val="left" w:pos="-1440"/>
          <w:tab w:val="left" w:pos="-720"/>
          <w:tab w:val="left" w:pos="0"/>
          <w:tab w:val="left" w:pos="1152"/>
          <w:tab w:val="left" w:pos="1569"/>
          <w:tab w:val="left" w:pos="1843"/>
          <w:tab w:val="left" w:pos="2260"/>
          <w:tab w:val="left" w:pos="6480"/>
        </w:tabs>
        <w:ind w:left="540" w:hanging="540"/>
        <w:jc w:val="both"/>
      </w:pPr>
    </w:p>
    <w:p w:rsidR="002E2FF8" w:rsidRPr="0092785C" w:rsidRDefault="002E2FF8" w:rsidP="001A107D">
      <w:pPr>
        <w:tabs>
          <w:tab w:val="left" w:pos="-1440"/>
          <w:tab w:val="left" w:pos="-720"/>
          <w:tab w:val="left" w:pos="0"/>
          <w:tab w:val="left" w:pos="1152"/>
          <w:tab w:val="left" w:pos="1569"/>
          <w:tab w:val="left" w:pos="1843"/>
          <w:tab w:val="left" w:pos="2260"/>
          <w:tab w:val="left" w:pos="6480"/>
        </w:tabs>
        <w:ind w:left="540" w:hanging="540"/>
        <w:jc w:val="both"/>
      </w:pPr>
      <w:r w:rsidRPr="0092785C">
        <w:rPr>
          <w:i/>
        </w:rPr>
        <w:t>Code civil du Bas Canada</w:t>
      </w:r>
      <w:r w:rsidRPr="0092785C">
        <w:t>.</w:t>
      </w:r>
    </w:p>
    <w:p w:rsidR="002E2FF8" w:rsidRPr="0092785C" w:rsidRDefault="002E2FF8" w:rsidP="001A107D">
      <w:pPr>
        <w:tabs>
          <w:tab w:val="left" w:pos="-1440"/>
          <w:tab w:val="left" w:pos="-720"/>
          <w:tab w:val="left" w:pos="0"/>
          <w:tab w:val="left" w:pos="1152"/>
          <w:tab w:val="left" w:pos="1569"/>
          <w:tab w:val="left" w:pos="1843"/>
          <w:tab w:val="left" w:pos="2260"/>
          <w:tab w:val="left" w:pos="6480"/>
        </w:tabs>
        <w:ind w:left="540" w:hanging="540"/>
        <w:jc w:val="both"/>
      </w:pPr>
    </w:p>
    <w:p w:rsidR="00B07FF5" w:rsidRPr="0092785C" w:rsidRDefault="00B07FF5" w:rsidP="001A107D">
      <w:pPr>
        <w:tabs>
          <w:tab w:val="left" w:pos="-1440"/>
          <w:tab w:val="left" w:pos="-720"/>
          <w:tab w:val="left" w:pos="0"/>
          <w:tab w:val="left" w:pos="1152"/>
          <w:tab w:val="left" w:pos="1569"/>
          <w:tab w:val="left" w:pos="1843"/>
          <w:tab w:val="left" w:pos="2260"/>
          <w:tab w:val="left" w:pos="6480"/>
        </w:tabs>
        <w:ind w:left="540" w:hanging="540"/>
        <w:jc w:val="both"/>
      </w:pPr>
      <w:r w:rsidRPr="0092785C">
        <w:rPr>
          <w:i/>
          <w:iCs/>
        </w:rPr>
        <w:t>Code civil du Québec</w:t>
      </w:r>
      <w:r w:rsidR="005D37C8" w:rsidRPr="0092785C">
        <w:t>, L.Q. 1991, ch. </w:t>
      </w:r>
      <w:r w:rsidRPr="0092785C">
        <w:t>64</w:t>
      </w:r>
      <w:r w:rsidR="002E2FF8" w:rsidRPr="0092785C">
        <w:t xml:space="preserve">, Livre </w:t>
      </w:r>
      <w:r w:rsidR="00862813">
        <w:t>s</w:t>
      </w:r>
      <w:r w:rsidR="002E2FF8" w:rsidRPr="0092785C">
        <w:t>ix</w:t>
      </w:r>
      <w:r w:rsidR="00F53730" w:rsidRPr="0092785C">
        <w:t>ième</w:t>
      </w:r>
      <w:r w:rsidRPr="0092785C">
        <w:t>.</w:t>
      </w:r>
    </w:p>
    <w:p w:rsidR="002E2FF8" w:rsidRPr="0092785C" w:rsidRDefault="002E2FF8" w:rsidP="001A107D">
      <w:pPr>
        <w:tabs>
          <w:tab w:val="left" w:pos="-1440"/>
          <w:tab w:val="left" w:pos="-720"/>
          <w:tab w:val="left" w:pos="0"/>
          <w:tab w:val="left" w:pos="1152"/>
          <w:tab w:val="left" w:pos="1569"/>
          <w:tab w:val="left" w:pos="1843"/>
          <w:tab w:val="left" w:pos="2260"/>
          <w:tab w:val="left" w:pos="6480"/>
        </w:tabs>
        <w:ind w:left="540" w:hanging="540"/>
        <w:jc w:val="both"/>
      </w:pPr>
    </w:p>
    <w:p w:rsidR="00F53730" w:rsidRPr="0092785C" w:rsidRDefault="00F53730" w:rsidP="001A107D">
      <w:pPr>
        <w:tabs>
          <w:tab w:val="left" w:pos="-1440"/>
          <w:tab w:val="left" w:pos="-720"/>
          <w:tab w:val="left" w:pos="0"/>
          <w:tab w:val="left" w:pos="1152"/>
          <w:tab w:val="left" w:pos="1569"/>
          <w:tab w:val="left" w:pos="1843"/>
          <w:tab w:val="left" w:pos="2260"/>
          <w:tab w:val="left" w:pos="6480"/>
        </w:tabs>
        <w:ind w:left="540" w:hanging="540"/>
        <w:jc w:val="both"/>
      </w:pPr>
      <w:r w:rsidRPr="0092785C">
        <w:rPr>
          <w:i/>
        </w:rPr>
        <w:t>Loi d</w:t>
      </w:r>
      <w:r w:rsidR="00BA1CC2">
        <w:rPr>
          <w:i/>
        </w:rPr>
        <w:t>’</w:t>
      </w:r>
      <w:r w:rsidRPr="0092785C">
        <w:rPr>
          <w:i/>
        </w:rPr>
        <w:t>harmonisation n</w:t>
      </w:r>
      <w:r w:rsidRPr="0092785C">
        <w:rPr>
          <w:i/>
          <w:vertAlign w:val="superscript"/>
        </w:rPr>
        <w:t>o</w:t>
      </w:r>
      <w:r w:rsidR="005D37C8" w:rsidRPr="0092785C">
        <w:rPr>
          <w:i/>
        </w:rPr>
        <w:t> </w:t>
      </w:r>
      <w:r w:rsidRPr="0092785C">
        <w:rPr>
          <w:i/>
        </w:rPr>
        <w:t>1 du droit fédéral avec le droit civil</w:t>
      </w:r>
      <w:r w:rsidR="00CC790A" w:rsidRPr="0092785C">
        <w:t>, L.C. 2001, ch. 4, préambule</w:t>
      </w:r>
      <w:r w:rsidRPr="0092785C">
        <w:t>.</w:t>
      </w:r>
    </w:p>
    <w:p w:rsidR="00F53730" w:rsidRPr="0092785C" w:rsidRDefault="00F53730" w:rsidP="001A107D">
      <w:pPr>
        <w:tabs>
          <w:tab w:val="left" w:pos="-1440"/>
          <w:tab w:val="left" w:pos="-720"/>
          <w:tab w:val="left" w:pos="0"/>
          <w:tab w:val="left" w:pos="1152"/>
          <w:tab w:val="left" w:pos="1569"/>
          <w:tab w:val="left" w:pos="1843"/>
          <w:tab w:val="left" w:pos="2260"/>
          <w:tab w:val="left" w:pos="6480"/>
        </w:tabs>
        <w:ind w:left="540" w:hanging="540"/>
        <w:jc w:val="both"/>
      </w:pPr>
    </w:p>
    <w:p w:rsidR="00F53730" w:rsidRPr="0092785C" w:rsidRDefault="00F53730" w:rsidP="001A107D">
      <w:pPr>
        <w:tabs>
          <w:tab w:val="left" w:pos="-1440"/>
          <w:tab w:val="left" w:pos="-720"/>
          <w:tab w:val="left" w:pos="0"/>
          <w:tab w:val="left" w:pos="1152"/>
          <w:tab w:val="left" w:pos="1569"/>
          <w:tab w:val="left" w:pos="1843"/>
          <w:tab w:val="left" w:pos="2260"/>
          <w:tab w:val="left" w:pos="6480"/>
        </w:tabs>
        <w:ind w:left="540" w:hanging="540"/>
        <w:jc w:val="both"/>
      </w:pPr>
      <w:r w:rsidRPr="0092785C">
        <w:rPr>
          <w:i/>
        </w:rPr>
        <w:t>Loi d</w:t>
      </w:r>
      <w:r w:rsidR="00BA1CC2">
        <w:rPr>
          <w:i/>
        </w:rPr>
        <w:t>’</w:t>
      </w:r>
      <w:r w:rsidRPr="0092785C">
        <w:rPr>
          <w:i/>
        </w:rPr>
        <w:t>interprétation</w:t>
      </w:r>
      <w:r w:rsidR="00CC790A" w:rsidRPr="0092785C">
        <w:t>, L.R.C. 1985, ch. I-21, art. </w:t>
      </w:r>
      <w:r w:rsidRPr="0092785C">
        <w:t>8.1.</w:t>
      </w:r>
    </w:p>
    <w:p w:rsidR="00F53730" w:rsidRPr="0092785C" w:rsidRDefault="00F53730" w:rsidP="001A107D">
      <w:pPr>
        <w:tabs>
          <w:tab w:val="left" w:pos="-1440"/>
          <w:tab w:val="left" w:pos="-720"/>
          <w:tab w:val="left" w:pos="0"/>
          <w:tab w:val="left" w:pos="1152"/>
          <w:tab w:val="left" w:pos="1569"/>
          <w:tab w:val="left" w:pos="1843"/>
          <w:tab w:val="left" w:pos="2260"/>
          <w:tab w:val="left" w:pos="6480"/>
        </w:tabs>
        <w:ind w:left="540" w:hanging="540"/>
        <w:jc w:val="both"/>
      </w:pPr>
    </w:p>
    <w:p w:rsidR="002E2FF8" w:rsidRPr="0092785C" w:rsidRDefault="002E2FF8" w:rsidP="001A107D">
      <w:pPr>
        <w:tabs>
          <w:tab w:val="left" w:pos="-1440"/>
          <w:tab w:val="left" w:pos="-720"/>
          <w:tab w:val="left" w:pos="0"/>
          <w:tab w:val="left" w:pos="1152"/>
          <w:tab w:val="left" w:pos="1569"/>
          <w:tab w:val="left" w:pos="1843"/>
          <w:tab w:val="left" w:pos="2260"/>
          <w:tab w:val="left" w:pos="6480"/>
        </w:tabs>
        <w:ind w:left="540" w:hanging="540"/>
        <w:jc w:val="both"/>
      </w:pPr>
      <w:r w:rsidRPr="0092785C">
        <w:rPr>
          <w:i/>
          <w:iCs/>
        </w:rPr>
        <w:lastRenderedPageBreak/>
        <w:t>Loi sur les banques</w:t>
      </w:r>
      <w:r w:rsidR="00CC790A" w:rsidRPr="0092785C">
        <w:t>, L.C. 1991, ch. 46, art. </w:t>
      </w:r>
      <w:r w:rsidRPr="0092785C">
        <w:t>425(1), 427, 428, 435(2).</w:t>
      </w:r>
    </w:p>
    <w:p w:rsidR="00862813" w:rsidRPr="00BA1CC2" w:rsidRDefault="00862813" w:rsidP="001A107D">
      <w:pPr>
        <w:tabs>
          <w:tab w:val="left" w:pos="-1440"/>
          <w:tab w:val="left" w:pos="-720"/>
          <w:tab w:val="left" w:pos="0"/>
          <w:tab w:val="left" w:pos="1152"/>
          <w:tab w:val="left" w:pos="1569"/>
          <w:tab w:val="left" w:pos="1843"/>
          <w:tab w:val="left" w:pos="2260"/>
          <w:tab w:val="left" w:pos="6480"/>
        </w:tabs>
        <w:ind w:left="540" w:hanging="540"/>
        <w:jc w:val="both"/>
        <w:rPr>
          <w:i/>
          <w:iCs/>
        </w:rPr>
      </w:pPr>
    </w:p>
    <w:p w:rsidR="00B07FF5" w:rsidRPr="0092785C" w:rsidRDefault="00B07FF5" w:rsidP="001A107D">
      <w:pPr>
        <w:tabs>
          <w:tab w:val="left" w:pos="-1440"/>
          <w:tab w:val="left" w:pos="-720"/>
          <w:tab w:val="left" w:pos="0"/>
          <w:tab w:val="left" w:pos="1152"/>
          <w:tab w:val="left" w:pos="1569"/>
          <w:tab w:val="left" w:pos="1843"/>
          <w:tab w:val="left" w:pos="2260"/>
          <w:tab w:val="left" w:pos="6480"/>
        </w:tabs>
        <w:ind w:left="540" w:hanging="540"/>
        <w:jc w:val="both"/>
        <w:rPr>
          <w:lang w:val="en-US"/>
        </w:rPr>
      </w:pPr>
      <w:proofErr w:type="gramStart"/>
      <w:r w:rsidRPr="0092785C">
        <w:rPr>
          <w:i/>
          <w:iCs/>
          <w:lang w:val="en-US"/>
        </w:rPr>
        <w:t>Personal Property Security Act</w:t>
      </w:r>
      <w:r w:rsidRPr="0092785C">
        <w:rPr>
          <w:lang w:val="en-US"/>
        </w:rPr>
        <w:t>, S.S. 1979-</w:t>
      </w:r>
      <w:r w:rsidR="00CC790A" w:rsidRPr="0092785C">
        <w:rPr>
          <w:lang w:val="en-US"/>
        </w:rPr>
        <w:t xml:space="preserve">80, </w:t>
      </w:r>
      <w:proofErr w:type="spellStart"/>
      <w:r w:rsidR="00CC790A" w:rsidRPr="0092785C">
        <w:rPr>
          <w:lang w:val="en-US"/>
        </w:rPr>
        <w:t>ch</w:t>
      </w:r>
      <w:proofErr w:type="spellEnd"/>
      <w:r w:rsidR="00CC790A" w:rsidRPr="0092785C">
        <w:rPr>
          <w:lang w:val="en-US"/>
        </w:rPr>
        <w:t>. </w:t>
      </w:r>
      <w:r w:rsidRPr="0092785C">
        <w:rPr>
          <w:lang w:val="en-US"/>
        </w:rPr>
        <w:t xml:space="preserve">P-6.1 </w:t>
      </w:r>
      <w:r w:rsidR="00CC790A" w:rsidRPr="0092785C">
        <w:rPr>
          <w:lang w:val="en-GB"/>
        </w:rPr>
        <w:t xml:space="preserve">[abr. S.S. 1993, </w:t>
      </w:r>
      <w:proofErr w:type="spellStart"/>
      <w:r w:rsidR="00CC790A" w:rsidRPr="0092785C">
        <w:rPr>
          <w:lang w:val="en-GB"/>
        </w:rPr>
        <w:t>ch</w:t>
      </w:r>
      <w:proofErr w:type="spellEnd"/>
      <w:r w:rsidR="00CC790A" w:rsidRPr="0092785C">
        <w:rPr>
          <w:lang w:val="en-GB"/>
        </w:rPr>
        <w:t>. </w:t>
      </w:r>
      <w:r w:rsidRPr="0092785C">
        <w:rPr>
          <w:lang w:val="en-GB"/>
        </w:rPr>
        <w:t>P-6.2, art.</w:t>
      </w:r>
      <w:r w:rsidR="00CC790A" w:rsidRPr="0092785C">
        <w:rPr>
          <w:lang w:val="en-GB"/>
        </w:rPr>
        <w:t> </w:t>
      </w:r>
      <w:r w:rsidRPr="0092785C">
        <w:rPr>
          <w:lang w:val="en-GB"/>
        </w:rPr>
        <w:t>72]</w:t>
      </w:r>
      <w:r w:rsidRPr="0092785C">
        <w:rPr>
          <w:lang w:val="en-US"/>
        </w:rPr>
        <w:t>.</w:t>
      </w:r>
      <w:proofErr w:type="gramEnd"/>
    </w:p>
    <w:p w:rsidR="00B07FF5" w:rsidRPr="0092785C" w:rsidRDefault="00B07FF5" w:rsidP="001A107D">
      <w:pPr>
        <w:tabs>
          <w:tab w:val="left" w:pos="-1440"/>
          <w:tab w:val="left" w:pos="-720"/>
          <w:tab w:val="left" w:pos="0"/>
          <w:tab w:val="left" w:pos="1152"/>
          <w:tab w:val="left" w:pos="1569"/>
          <w:tab w:val="left" w:pos="1843"/>
          <w:tab w:val="left" w:pos="2260"/>
          <w:tab w:val="left" w:pos="6480"/>
        </w:tabs>
        <w:ind w:left="540" w:hanging="540"/>
        <w:jc w:val="both"/>
        <w:rPr>
          <w:lang w:val="en-US"/>
        </w:rPr>
      </w:pPr>
    </w:p>
    <w:p w:rsidR="00B07FF5" w:rsidRPr="0092785C" w:rsidRDefault="00B07FF5" w:rsidP="001A107D">
      <w:pPr>
        <w:tabs>
          <w:tab w:val="left" w:pos="-1440"/>
          <w:tab w:val="left" w:pos="-720"/>
          <w:tab w:val="left" w:pos="0"/>
          <w:tab w:val="left" w:pos="1152"/>
          <w:tab w:val="left" w:pos="1569"/>
          <w:tab w:val="left" w:pos="1843"/>
          <w:tab w:val="left" w:pos="2260"/>
          <w:tab w:val="left" w:pos="6480"/>
        </w:tabs>
        <w:ind w:left="540" w:hanging="540"/>
        <w:jc w:val="both"/>
        <w:rPr>
          <w:lang w:val="en-US"/>
        </w:rPr>
      </w:pPr>
      <w:proofErr w:type="gramStart"/>
      <w:r w:rsidRPr="0092785C">
        <w:rPr>
          <w:i/>
          <w:iCs/>
          <w:lang w:val="en-US"/>
        </w:rPr>
        <w:t>Personal Property Security Act, 1967</w:t>
      </w:r>
      <w:r w:rsidR="00CC790A" w:rsidRPr="0092785C">
        <w:rPr>
          <w:lang w:val="en-US"/>
        </w:rPr>
        <w:t xml:space="preserve">, S.O. 1967, </w:t>
      </w:r>
      <w:proofErr w:type="spellStart"/>
      <w:r w:rsidR="00CC790A" w:rsidRPr="0092785C">
        <w:rPr>
          <w:lang w:val="en-US"/>
        </w:rPr>
        <w:t>ch</w:t>
      </w:r>
      <w:proofErr w:type="spellEnd"/>
      <w:r w:rsidR="00CC790A" w:rsidRPr="0092785C">
        <w:rPr>
          <w:lang w:val="en-US"/>
        </w:rPr>
        <w:t>. </w:t>
      </w:r>
      <w:r w:rsidRPr="0092785C">
        <w:rPr>
          <w:lang w:val="en-US"/>
        </w:rPr>
        <w:t>73.</w:t>
      </w:r>
      <w:proofErr w:type="gramEnd"/>
    </w:p>
    <w:p w:rsidR="00B07FF5" w:rsidRPr="0092785C" w:rsidRDefault="00B07FF5" w:rsidP="001A107D">
      <w:pPr>
        <w:tabs>
          <w:tab w:val="left" w:pos="-1440"/>
          <w:tab w:val="left" w:pos="-720"/>
          <w:tab w:val="left" w:pos="0"/>
          <w:tab w:val="left" w:pos="1152"/>
          <w:tab w:val="left" w:pos="1569"/>
          <w:tab w:val="left" w:pos="1843"/>
          <w:tab w:val="left" w:pos="2260"/>
          <w:tab w:val="left" w:pos="6480"/>
        </w:tabs>
        <w:ind w:left="540" w:hanging="540"/>
        <w:jc w:val="both"/>
        <w:rPr>
          <w:lang w:val="en-US"/>
        </w:rPr>
      </w:pPr>
    </w:p>
    <w:p w:rsidR="00B07FF5" w:rsidRPr="00BA1CC2" w:rsidRDefault="00B07FF5" w:rsidP="001A107D">
      <w:pPr>
        <w:tabs>
          <w:tab w:val="left" w:pos="-1440"/>
          <w:tab w:val="left" w:pos="-720"/>
          <w:tab w:val="left" w:pos="0"/>
          <w:tab w:val="left" w:pos="1152"/>
          <w:tab w:val="left" w:pos="1569"/>
          <w:tab w:val="left" w:pos="1843"/>
          <w:tab w:val="left" w:pos="2260"/>
          <w:tab w:val="left" w:pos="6480"/>
        </w:tabs>
        <w:ind w:left="540" w:hanging="540"/>
        <w:jc w:val="both"/>
      </w:pPr>
      <w:proofErr w:type="gramStart"/>
      <w:r w:rsidRPr="0092785C">
        <w:rPr>
          <w:i/>
          <w:iCs/>
          <w:lang w:val="en-US"/>
        </w:rPr>
        <w:t>Personal Property Security Act, 1993</w:t>
      </w:r>
      <w:r w:rsidR="00CC790A" w:rsidRPr="0092785C">
        <w:rPr>
          <w:lang w:val="en-US"/>
        </w:rPr>
        <w:t xml:space="preserve">, S.S. 1993, </w:t>
      </w:r>
      <w:proofErr w:type="spellStart"/>
      <w:r w:rsidR="00CC790A" w:rsidRPr="0092785C">
        <w:rPr>
          <w:lang w:val="en-US"/>
        </w:rPr>
        <w:t>ch</w:t>
      </w:r>
      <w:proofErr w:type="spellEnd"/>
      <w:r w:rsidR="00CC790A" w:rsidRPr="0092785C">
        <w:rPr>
          <w:lang w:val="en-US"/>
        </w:rPr>
        <w:t>. </w:t>
      </w:r>
      <w:r w:rsidR="00CC790A" w:rsidRPr="00BA1CC2">
        <w:t>P-6.2, art.</w:t>
      </w:r>
      <w:proofErr w:type="gramEnd"/>
      <w:r w:rsidR="00CC790A" w:rsidRPr="00BA1CC2">
        <w:t> </w:t>
      </w:r>
      <w:r w:rsidRPr="00BA1CC2">
        <w:t>2(1</w:t>
      </w:r>
      <w:proofErr w:type="gramStart"/>
      <w:r w:rsidRPr="00BA1CC2">
        <w:t>)(</w:t>
      </w:r>
      <w:proofErr w:type="gramEnd"/>
      <w:r w:rsidRPr="00BA1CC2">
        <w:t>pp), (</w:t>
      </w:r>
      <w:proofErr w:type="spellStart"/>
      <w:r w:rsidRPr="00BA1CC2">
        <w:t>qq</w:t>
      </w:r>
      <w:proofErr w:type="spellEnd"/>
      <w:r w:rsidRPr="00BA1CC2">
        <w:t>), 3(1)(a), 4, 9(2), 10, 12, 18, 20(2), (3), 25, 35(1), 59, 60, 66, 72.</w:t>
      </w:r>
    </w:p>
    <w:p w:rsidR="00862813" w:rsidRPr="00BA1CC2" w:rsidRDefault="00862813" w:rsidP="001A107D">
      <w:pPr>
        <w:tabs>
          <w:tab w:val="left" w:pos="-1440"/>
          <w:tab w:val="left" w:pos="-720"/>
          <w:tab w:val="left" w:pos="0"/>
          <w:tab w:val="left" w:pos="1152"/>
          <w:tab w:val="left" w:pos="1569"/>
          <w:tab w:val="left" w:pos="1843"/>
          <w:tab w:val="left" w:pos="2260"/>
          <w:tab w:val="left" w:pos="6480"/>
        </w:tabs>
        <w:ind w:left="540" w:hanging="540"/>
        <w:jc w:val="both"/>
      </w:pPr>
    </w:p>
    <w:p w:rsidR="00B07FF5" w:rsidRPr="00BA1CC2" w:rsidRDefault="00B07FF5" w:rsidP="001A107D">
      <w:pPr>
        <w:tabs>
          <w:tab w:val="left" w:pos="-1440"/>
          <w:tab w:val="left" w:pos="-720"/>
          <w:tab w:val="left" w:pos="0"/>
          <w:tab w:val="left" w:pos="1152"/>
          <w:tab w:val="left" w:pos="1569"/>
          <w:tab w:val="left" w:pos="1843"/>
          <w:tab w:val="left" w:pos="2260"/>
          <w:tab w:val="left" w:pos="6480"/>
        </w:tabs>
        <w:ind w:left="540" w:hanging="540"/>
        <w:jc w:val="both"/>
      </w:pPr>
      <w:r w:rsidRPr="00BA1CC2">
        <w:rPr>
          <w:i/>
          <w:iCs/>
        </w:rPr>
        <w:t>Uniform Commercial Code</w:t>
      </w:r>
      <w:r w:rsidR="00862813" w:rsidRPr="00BA1CC2">
        <w:rPr>
          <w:i/>
          <w:iCs/>
        </w:rPr>
        <w:t xml:space="preserve"> </w:t>
      </w:r>
      <w:r w:rsidR="00862813" w:rsidRPr="00BA1CC2">
        <w:rPr>
          <w:iCs/>
        </w:rPr>
        <w:t>[</w:t>
      </w:r>
      <w:proofErr w:type="spellStart"/>
      <w:r w:rsidR="00862813" w:rsidRPr="00BA1CC2">
        <w:rPr>
          <w:iCs/>
        </w:rPr>
        <w:t>rév</w:t>
      </w:r>
      <w:proofErr w:type="spellEnd"/>
      <w:r w:rsidR="00862813" w:rsidRPr="00BA1CC2">
        <w:rPr>
          <w:iCs/>
        </w:rPr>
        <w:t>. 2000]</w:t>
      </w:r>
      <w:r w:rsidRPr="00BA1CC2">
        <w:t>, art.</w:t>
      </w:r>
      <w:r w:rsidR="00CC790A" w:rsidRPr="00BA1CC2">
        <w:t> </w:t>
      </w:r>
      <w:r w:rsidRPr="00BA1CC2">
        <w:t>9.</w:t>
      </w:r>
    </w:p>
    <w:p w:rsidR="00694BE6" w:rsidRPr="00BA1CC2" w:rsidRDefault="00694BE6" w:rsidP="001A107D">
      <w:pPr>
        <w:pStyle w:val="SCCNormalDoubleSpacing"/>
        <w:ind w:left="540" w:hanging="540"/>
      </w:pPr>
    </w:p>
    <w:p w:rsidR="002E6705" w:rsidRPr="0092785C" w:rsidRDefault="0043088E" w:rsidP="001A107D">
      <w:pPr>
        <w:pStyle w:val="SCCNormalDoubleSpacing"/>
        <w:keepNext/>
        <w:widowControl w:val="0"/>
        <w:rPr>
          <w:b/>
        </w:rPr>
      </w:pPr>
      <w:r w:rsidRPr="0092785C">
        <w:rPr>
          <w:b/>
        </w:rPr>
        <w:t>Doctrine</w:t>
      </w:r>
      <w:r w:rsidR="002E6705" w:rsidRPr="0092785C">
        <w:rPr>
          <w:b/>
        </w:rPr>
        <w:t xml:space="preserve"> </w:t>
      </w:r>
      <w:r w:rsidRPr="0092785C">
        <w:rPr>
          <w:b/>
        </w:rPr>
        <w:t>c</w:t>
      </w:r>
      <w:r w:rsidR="002E6705" w:rsidRPr="0092785C">
        <w:rPr>
          <w:b/>
        </w:rPr>
        <w:t>it</w:t>
      </w:r>
      <w:r w:rsidRPr="0092785C">
        <w:rPr>
          <w:b/>
        </w:rPr>
        <w:t>é</w:t>
      </w:r>
      <w:r w:rsidR="002E6705" w:rsidRPr="0092785C">
        <w:rPr>
          <w:b/>
        </w:rPr>
        <w:t>e</w:t>
      </w:r>
    </w:p>
    <w:p w:rsidR="000A5321" w:rsidRPr="0092785C" w:rsidRDefault="000A5321" w:rsidP="001A107D">
      <w:pPr>
        <w:pStyle w:val="SCCNormalDoubleSpacing"/>
        <w:keepNext/>
        <w:widowControl w:val="0"/>
        <w:ind w:left="540" w:hanging="540"/>
      </w:pPr>
    </w:p>
    <w:p w:rsidR="00B07FF5" w:rsidRPr="0092785C" w:rsidRDefault="00B07FF5" w:rsidP="001A107D">
      <w:pPr>
        <w:keepNext/>
        <w:widowControl w:val="0"/>
        <w:tabs>
          <w:tab w:val="left" w:pos="-1440"/>
          <w:tab w:val="left" w:pos="-720"/>
          <w:tab w:val="left" w:pos="0"/>
          <w:tab w:val="left" w:pos="1152"/>
          <w:tab w:val="left" w:pos="1569"/>
          <w:tab w:val="left" w:pos="1843"/>
          <w:tab w:val="left" w:pos="2260"/>
          <w:tab w:val="left" w:pos="6480"/>
        </w:tabs>
        <w:ind w:left="540" w:hanging="540"/>
        <w:jc w:val="both"/>
      </w:pPr>
      <w:r w:rsidRPr="0092785C">
        <w:t xml:space="preserve">Canada. </w:t>
      </w:r>
      <w:r w:rsidR="00CC790A" w:rsidRPr="0092785C">
        <w:t xml:space="preserve"> </w:t>
      </w:r>
      <w:r w:rsidRPr="0092785C">
        <w:t xml:space="preserve">Commission du droit. </w:t>
      </w:r>
      <w:r w:rsidR="00CC790A" w:rsidRPr="0092785C">
        <w:t xml:space="preserve"> </w:t>
      </w:r>
      <w:r w:rsidRPr="0092785C">
        <w:rPr>
          <w:i/>
          <w:iCs/>
        </w:rPr>
        <w:t>La Loi sur les banques et la modernisation du droit canadien des sûretés</w:t>
      </w:r>
      <w:r w:rsidRPr="0092785C">
        <w:t xml:space="preserve">. </w:t>
      </w:r>
      <w:r w:rsidR="00CC790A" w:rsidRPr="0092785C">
        <w:t xml:space="preserve"> Ottawa </w:t>
      </w:r>
      <w:r w:rsidRPr="0092785C">
        <w:t>: La Commission, 2004.</w:t>
      </w:r>
    </w:p>
    <w:p w:rsidR="00B07FF5" w:rsidRPr="0092785C" w:rsidRDefault="00B07FF5" w:rsidP="001A107D">
      <w:pPr>
        <w:tabs>
          <w:tab w:val="left" w:pos="-1440"/>
          <w:tab w:val="left" w:pos="-720"/>
          <w:tab w:val="left" w:pos="0"/>
          <w:tab w:val="left" w:pos="1152"/>
          <w:tab w:val="left" w:pos="1569"/>
          <w:tab w:val="left" w:pos="1843"/>
          <w:tab w:val="left" w:pos="2260"/>
          <w:tab w:val="left" w:pos="6480"/>
        </w:tabs>
        <w:ind w:left="540" w:hanging="540"/>
        <w:jc w:val="both"/>
      </w:pPr>
    </w:p>
    <w:p w:rsidR="00B07FF5" w:rsidRPr="0092785C" w:rsidRDefault="00B07FF5" w:rsidP="001A107D">
      <w:pPr>
        <w:tabs>
          <w:tab w:val="left" w:pos="-1440"/>
          <w:tab w:val="left" w:pos="-720"/>
          <w:tab w:val="left" w:pos="0"/>
          <w:tab w:val="left" w:pos="1152"/>
          <w:tab w:val="left" w:pos="1569"/>
          <w:tab w:val="left" w:pos="1843"/>
          <w:tab w:val="left" w:pos="2260"/>
          <w:tab w:val="left" w:pos="6480"/>
        </w:tabs>
        <w:ind w:left="540" w:hanging="540"/>
        <w:jc w:val="both"/>
        <w:rPr>
          <w:lang w:val="en-CA"/>
        </w:rPr>
      </w:pPr>
      <w:r w:rsidRPr="0092785C">
        <w:t>Conférence pour l</w:t>
      </w:r>
      <w:r w:rsidRPr="0092785C">
        <w:rPr>
          <w:lang w:val="en-GB"/>
        </w:rPr>
        <w:sym w:font="WP TypographicSymbols" w:char="003D"/>
      </w:r>
      <w:r w:rsidRPr="0092785C">
        <w:t xml:space="preserve">harmonisation des lois au Canada. </w:t>
      </w:r>
      <w:r w:rsidRPr="0092785C">
        <w:rPr>
          <w:i/>
          <w:iCs/>
        </w:rPr>
        <w:t>Conférence pour l</w:t>
      </w:r>
      <w:r w:rsidRPr="0092785C">
        <w:rPr>
          <w:i/>
          <w:iCs/>
          <w:lang w:val="en-GB"/>
        </w:rPr>
        <w:sym w:font="WP TypographicSymbols" w:char="003D"/>
      </w:r>
      <w:r w:rsidRPr="0092785C">
        <w:rPr>
          <w:i/>
          <w:iCs/>
        </w:rPr>
        <w:t xml:space="preserve">harmonisation des lois au Canada </w:t>
      </w:r>
      <w:r w:rsidRPr="0092785C">
        <w:rPr>
          <w:i/>
          <w:iCs/>
          <w:lang w:val="en-GB"/>
        </w:rPr>
        <w:sym w:font="WP TypographicSymbols" w:char="0043"/>
      </w:r>
      <w:r w:rsidRPr="0092785C">
        <w:rPr>
          <w:i/>
          <w:iCs/>
        </w:rPr>
        <w:t xml:space="preserve"> Stratégie du droit commercial</w:t>
      </w:r>
      <w:r w:rsidR="00CC790A" w:rsidRPr="0092785C">
        <w:t>, vol. </w:t>
      </w:r>
      <w:r w:rsidRPr="0092785C">
        <w:t xml:space="preserve">1 et 2. </w:t>
      </w:r>
      <w:r w:rsidR="00CC790A" w:rsidRPr="0092785C">
        <w:t xml:space="preserve"> </w:t>
      </w:r>
      <w:proofErr w:type="gramStart"/>
      <w:r w:rsidR="00CC790A" w:rsidRPr="0092785C">
        <w:rPr>
          <w:lang w:val="en-CA"/>
        </w:rPr>
        <w:t>Ottawa </w:t>
      </w:r>
      <w:r w:rsidRPr="0092785C">
        <w:rPr>
          <w:lang w:val="en-CA"/>
        </w:rPr>
        <w:t>:</w:t>
      </w:r>
      <w:proofErr w:type="gramEnd"/>
      <w:r w:rsidRPr="0092785C">
        <w:rPr>
          <w:lang w:val="en-CA"/>
        </w:rPr>
        <w:t xml:space="preserve"> La </w:t>
      </w:r>
      <w:proofErr w:type="spellStart"/>
      <w:r w:rsidRPr="0092785C">
        <w:rPr>
          <w:lang w:val="en-CA"/>
        </w:rPr>
        <w:t>Conférence</w:t>
      </w:r>
      <w:proofErr w:type="spellEnd"/>
      <w:r w:rsidRPr="0092785C">
        <w:rPr>
          <w:lang w:val="en-CA"/>
        </w:rPr>
        <w:t>, 2005 (</w:t>
      </w:r>
      <w:proofErr w:type="spellStart"/>
      <w:r w:rsidRPr="0092785C">
        <w:rPr>
          <w:lang w:val="en-CA"/>
        </w:rPr>
        <w:t>feuilles</w:t>
      </w:r>
      <w:proofErr w:type="spellEnd"/>
      <w:r w:rsidRPr="0092785C">
        <w:rPr>
          <w:lang w:val="en-CA"/>
        </w:rPr>
        <w:t xml:space="preserve"> mobiles </w:t>
      </w:r>
      <w:proofErr w:type="spellStart"/>
      <w:r w:rsidRPr="0092785C">
        <w:rPr>
          <w:lang w:val="en-CA"/>
        </w:rPr>
        <w:t>mises</w:t>
      </w:r>
      <w:proofErr w:type="spellEnd"/>
      <w:r w:rsidRPr="0092785C">
        <w:rPr>
          <w:lang w:val="en-CA"/>
        </w:rPr>
        <w:t xml:space="preserve"> à jour 2010).</w:t>
      </w:r>
    </w:p>
    <w:p w:rsidR="00B07FF5" w:rsidRPr="0092785C" w:rsidRDefault="00B07FF5" w:rsidP="001A107D">
      <w:pPr>
        <w:tabs>
          <w:tab w:val="left" w:pos="-1440"/>
          <w:tab w:val="left" w:pos="-720"/>
          <w:tab w:val="left" w:pos="0"/>
          <w:tab w:val="left" w:pos="1152"/>
          <w:tab w:val="left" w:pos="1569"/>
          <w:tab w:val="left" w:pos="1843"/>
          <w:tab w:val="left" w:pos="2260"/>
          <w:tab w:val="left" w:pos="6480"/>
        </w:tabs>
        <w:ind w:left="540" w:hanging="540"/>
        <w:jc w:val="both"/>
        <w:rPr>
          <w:lang w:val="en-CA"/>
        </w:rPr>
      </w:pPr>
    </w:p>
    <w:p w:rsidR="00B07FF5" w:rsidRPr="0092785C" w:rsidRDefault="00CC790A" w:rsidP="001A107D">
      <w:pPr>
        <w:tabs>
          <w:tab w:val="left" w:pos="-1440"/>
          <w:tab w:val="left" w:pos="-720"/>
          <w:tab w:val="left" w:pos="0"/>
          <w:tab w:val="left" w:pos="1152"/>
          <w:tab w:val="left" w:pos="1569"/>
          <w:tab w:val="left" w:pos="1843"/>
          <w:tab w:val="left" w:pos="2260"/>
          <w:tab w:val="left" w:pos="6480"/>
        </w:tabs>
        <w:ind w:left="540" w:hanging="540"/>
        <w:jc w:val="both"/>
        <w:rPr>
          <w:lang w:val="en-GB"/>
        </w:rPr>
      </w:pPr>
      <w:proofErr w:type="spellStart"/>
      <w:r w:rsidRPr="0092785C">
        <w:rPr>
          <w:lang w:val="en-CA"/>
        </w:rPr>
        <w:t>Cuming</w:t>
      </w:r>
      <w:proofErr w:type="spellEnd"/>
      <w:r w:rsidRPr="0092785C">
        <w:rPr>
          <w:lang w:val="en-CA"/>
        </w:rPr>
        <w:t>, Ronald </w:t>
      </w:r>
      <w:r w:rsidR="00B07FF5" w:rsidRPr="0092785C">
        <w:rPr>
          <w:lang w:val="en-CA"/>
        </w:rPr>
        <w:t>C.</w:t>
      </w:r>
      <w:r w:rsidRPr="0092785C">
        <w:rPr>
          <w:lang w:val="en-CA"/>
        </w:rPr>
        <w:t> </w:t>
      </w:r>
      <w:r w:rsidR="00B07FF5" w:rsidRPr="0092785C">
        <w:rPr>
          <w:lang w:val="en-CA"/>
        </w:rPr>
        <w:t xml:space="preserve">C. </w:t>
      </w:r>
      <w:r w:rsidRPr="0092785C">
        <w:rPr>
          <w:lang w:val="en-GB"/>
        </w:rPr>
        <w:t>«</w:t>
      </w:r>
      <w:r w:rsidRPr="0092785C">
        <w:rPr>
          <w:lang w:val="en-CA"/>
        </w:rPr>
        <w:t> </w:t>
      </w:r>
      <w:r w:rsidRPr="0092785C">
        <w:rPr>
          <w:lang w:val="en-GB"/>
        </w:rPr>
        <w:t xml:space="preserve">Case </w:t>
      </w:r>
      <w:proofErr w:type="gramStart"/>
      <w:r w:rsidRPr="0092785C">
        <w:rPr>
          <w:lang w:val="en-GB"/>
        </w:rPr>
        <w:t>Comment </w:t>
      </w:r>
      <w:r w:rsidR="00B07FF5" w:rsidRPr="0092785C">
        <w:rPr>
          <w:lang w:val="en-GB"/>
        </w:rPr>
        <w:t>:</w:t>
      </w:r>
      <w:proofErr w:type="gramEnd"/>
      <w:r w:rsidR="00B07FF5" w:rsidRPr="0092785C">
        <w:rPr>
          <w:lang w:val="en-GB"/>
        </w:rPr>
        <w:t xml:space="preserve"> </w:t>
      </w:r>
      <w:r w:rsidR="00B07FF5" w:rsidRPr="0092785C">
        <w:rPr>
          <w:i/>
          <w:iCs/>
          <w:lang w:val="en-GB"/>
        </w:rPr>
        <w:t xml:space="preserve">Innovation Credit Union v. Bank of Montreal </w:t>
      </w:r>
      <w:r w:rsidR="00090A72" w:rsidRPr="0092785C">
        <w:rPr>
          <w:szCs w:val="24"/>
        </w:rPr>
        <w:fldChar w:fldCharType="begin"/>
      </w:r>
      <w:r w:rsidRPr="0092785C">
        <w:rPr>
          <w:szCs w:val="24"/>
          <w:lang w:val="en-CA"/>
        </w:rPr>
        <w:instrText xml:space="preserve"> SEQ CHAPTER \h \r 1</w:instrText>
      </w:r>
      <w:r w:rsidR="00090A72" w:rsidRPr="0092785C">
        <w:rPr>
          <w:szCs w:val="24"/>
        </w:rPr>
        <w:fldChar w:fldCharType="end"/>
      </w:r>
      <w:r w:rsidRPr="0092785C">
        <w:rPr>
          <w:szCs w:val="24"/>
          <w:lang w:val="en-US"/>
        </w:rPr>
        <w:t>—</w:t>
      </w:r>
      <w:r w:rsidR="00B07FF5" w:rsidRPr="0092785C">
        <w:rPr>
          <w:lang w:val="en-GB"/>
        </w:rPr>
        <w:t xml:space="preserve"> Interface between the </w:t>
      </w:r>
      <w:r w:rsidR="00B07FF5" w:rsidRPr="0092785C">
        <w:rPr>
          <w:i/>
          <w:iCs/>
          <w:lang w:val="en-GB"/>
        </w:rPr>
        <w:t>PPSA</w:t>
      </w:r>
      <w:r w:rsidR="00B07FF5" w:rsidRPr="0092785C">
        <w:rPr>
          <w:lang w:val="en-GB"/>
        </w:rPr>
        <w:t xml:space="preserve"> and Section 427 of the </w:t>
      </w:r>
      <w:r w:rsidR="00B07FF5" w:rsidRPr="0092785C">
        <w:rPr>
          <w:i/>
          <w:iCs/>
          <w:lang w:val="en-GB"/>
        </w:rPr>
        <w:t>Bank Act</w:t>
      </w:r>
      <w:r w:rsidRPr="0092785C">
        <w:rPr>
          <w:i/>
          <w:iCs/>
          <w:lang w:val="en-GB"/>
        </w:rPr>
        <w:t> </w:t>
      </w:r>
      <w:r w:rsidR="00B07FF5" w:rsidRPr="0092785C">
        <w:rPr>
          <w:lang w:val="en-GB"/>
        </w:rPr>
        <w:t>: Desirable</w:t>
      </w:r>
      <w:r w:rsidRPr="0092785C">
        <w:rPr>
          <w:lang w:val="en-GB"/>
        </w:rPr>
        <w:t xml:space="preserve"> Policy vs. Hard Legal Analysis »</w:t>
      </w:r>
      <w:r w:rsidR="00B07FF5" w:rsidRPr="0092785C">
        <w:rPr>
          <w:lang w:val="en-GB"/>
        </w:rPr>
        <w:t xml:space="preserve"> (2008), 71 </w:t>
      </w:r>
      <w:r w:rsidR="00B07FF5" w:rsidRPr="0092785C">
        <w:rPr>
          <w:i/>
          <w:iCs/>
          <w:lang w:val="en-GB"/>
        </w:rPr>
        <w:t>Sask. L. Rev.</w:t>
      </w:r>
      <w:r w:rsidR="00B07FF5" w:rsidRPr="0092785C">
        <w:rPr>
          <w:lang w:val="en-GB"/>
        </w:rPr>
        <w:t xml:space="preserve"> 143.</w:t>
      </w:r>
    </w:p>
    <w:p w:rsidR="00862813" w:rsidRPr="0092785C" w:rsidRDefault="00862813" w:rsidP="00862813">
      <w:pPr>
        <w:tabs>
          <w:tab w:val="left" w:pos="-1440"/>
          <w:tab w:val="left" w:pos="-720"/>
          <w:tab w:val="left" w:pos="0"/>
          <w:tab w:val="left" w:pos="1152"/>
          <w:tab w:val="left" w:pos="1569"/>
          <w:tab w:val="left" w:pos="1843"/>
          <w:tab w:val="left" w:pos="2260"/>
          <w:tab w:val="left" w:pos="6480"/>
        </w:tabs>
        <w:ind w:left="540" w:hanging="540"/>
        <w:jc w:val="both"/>
        <w:rPr>
          <w:lang w:val="en-GB"/>
        </w:rPr>
      </w:pPr>
    </w:p>
    <w:p w:rsidR="00862813" w:rsidRPr="0092785C" w:rsidRDefault="00862813" w:rsidP="00862813">
      <w:pPr>
        <w:tabs>
          <w:tab w:val="left" w:pos="-1440"/>
          <w:tab w:val="left" w:pos="-720"/>
          <w:tab w:val="left" w:pos="0"/>
          <w:tab w:val="left" w:pos="1152"/>
          <w:tab w:val="left" w:pos="1569"/>
          <w:tab w:val="left" w:pos="1843"/>
          <w:tab w:val="left" w:pos="2260"/>
          <w:tab w:val="left" w:pos="6480"/>
        </w:tabs>
        <w:ind w:left="540" w:hanging="540"/>
        <w:jc w:val="both"/>
        <w:rPr>
          <w:lang w:val="en-GB"/>
        </w:rPr>
      </w:pPr>
      <w:proofErr w:type="spellStart"/>
      <w:proofErr w:type="gramStart"/>
      <w:r w:rsidRPr="0092785C">
        <w:rPr>
          <w:lang w:val="en-GB"/>
        </w:rPr>
        <w:t>Cuming</w:t>
      </w:r>
      <w:proofErr w:type="spellEnd"/>
      <w:r w:rsidRPr="0092785C">
        <w:rPr>
          <w:lang w:val="en-GB"/>
        </w:rPr>
        <w:t>, Ronald C. C., and Roderick J. Wood.</w:t>
      </w:r>
      <w:proofErr w:type="gramEnd"/>
      <w:r w:rsidRPr="0092785C">
        <w:rPr>
          <w:lang w:val="en-GB"/>
        </w:rPr>
        <w:t xml:space="preserve"> </w:t>
      </w:r>
      <w:proofErr w:type="gramStart"/>
      <w:r w:rsidRPr="0092785C">
        <w:rPr>
          <w:lang w:val="en-GB"/>
        </w:rPr>
        <w:t>«</w:t>
      </w:r>
      <w:r w:rsidRPr="0092785C">
        <w:rPr>
          <w:lang w:val="en-CA"/>
        </w:rPr>
        <w:t> </w:t>
      </w:r>
      <w:r w:rsidRPr="0092785C">
        <w:rPr>
          <w:lang w:val="en-GB"/>
        </w:rPr>
        <w:t xml:space="preserve">Compatibility of Federal and Provincial Personal Property Security Law » (1986), 65 </w:t>
      </w:r>
      <w:r w:rsidRPr="0092785C">
        <w:rPr>
          <w:i/>
          <w:iCs/>
          <w:lang w:val="en-GB"/>
        </w:rPr>
        <w:t>R. du B. can.</w:t>
      </w:r>
      <w:proofErr w:type="gramEnd"/>
      <w:r w:rsidRPr="0092785C">
        <w:rPr>
          <w:lang w:val="en-GB"/>
        </w:rPr>
        <w:t xml:space="preserve"> 267.</w:t>
      </w:r>
    </w:p>
    <w:p w:rsidR="00B07FF5" w:rsidRPr="0092785C" w:rsidRDefault="00B07FF5" w:rsidP="001A107D">
      <w:pPr>
        <w:tabs>
          <w:tab w:val="left" w:pos="-1440"/>
          <w:tab w:val="left" w:pos="-720"/>
          <w:tab w:val="left" w:pos="0"/>
          <w:tab w:val="left" w:pos="1152"/>
          <w:tab w:val="left" w:pos="1569"/>
          <w:tab w:val="left" w:pos="1843"/>
          <w:tab w:val="left" w:pos="2260"/>
          <w:tab w:val="left" w:pos="6480"/>
        </w:tabs>
        <w:ind w:left="540" w:hanging="540"/>
        <w:jc w:val="both"/>
        <w:rPr>
          <w:lang w:val="en-GB"/>
        </w:rPr>
      </w:pPr>
    </w:p>
    <w:p w:rsidR="00B07FF5" w:rsidRPr="0092785C" w:rsidRDefault="00CC790A" w:rsidP="001A107D">
      <w:pPr>
        <w:tabs>
          <w:tab w:val="left" w:pos="-1440"/>
          <w:tab w:val="left" w:pos="-720"/>
          <w:tab w:val="left" w:pos="0"/>
          <w:tab w:val="left" w:pos="1152"/>
          <w:tab w:val="left" w:pos="1569"/>
          <w:tab w:val="left" w:pos="1843"/>
          <w:tab w:val="left" w:pos="2260"/>
          <w:tab w:val="left" w:pos="6480"/>
        </w:tabs>
        <w:ind w:left="540" w:hanging="540"/>
        <w:jc w:val="both"/>
        <w:rPr>
          <w:lang w:val="en-GB"/>
        </w:rPr>
      </w:pPr>
      <w:proofErr w:type="spellStart"/>
      <w:proofErr w:type="gramStart"/>
      <w:r w:rsidRPr="0092785C">
        <w:rPr>
          <w:lang w:val="en-GB"/>
        </w:rPr>
        <w:t>Cuming</w:t>
      </w:r>
      <w:proofErr w:type="spellEnd"/>
      <w:r w:rsidRPr="0092785C">
        <w:rPr>
          <w:lang w:val="en-GB"/>
        </w:rPr>
        <w:t>, Ronald C. </w:t>
      </w:r>
      <w:r w:rsidR="00B07FF5" w:rsidRPr="0092785C">
        <w:rPr>
          <w:lang w:val="en-GB"/>
        </w:rPr>
        <w:t>C</w:t>
      </w:r>
      <w:r w:rsidRPr="0092785C">
        <w:rPr>
          <w:lang w:val="en-GB"/>
        </w:rPr>
        <w:t>., Catherine Walsh and Roderick </w:t>
      </w:r>
      <w:r w:rsidR="00B07FF5" w:rsidRPr="0092785C">
        <w:rPr>
          <w:lang w:val="en-GB"/>
        </w:rPr>
        <w:t>J. Wood.</w:t>
      </w:r>
      <w:proofErr w:type="gramEnd"/>
      <w:r w:rsidR="00B07FF5" w:rsidRPr="0092785C">
        <w:rPr>
          <w:i/>
          <w:iCs/>
          <w:lang w:val="en-GB"/>
        </w:rPr>
        <w:t xml:space="preserve"> </w:t>
      </w:r>
      <w:proofErr w:type="gramStart"/>
      <w:r w:rsidR="00B07FF5" w:rsidRPr="0092785C">
        <w:rPr>
          <w:i/>
          <w:iCs/>
          <w:lang w:val="en-GB"/>
        </w:rPr>
        <w:t>Personal Property Security Law</w:t>
      </w:r>
      <w:r w:rsidRPr="0092785C">
        <w:rPr>
          <w:lang w:val="en-GB"/>
        </w:rPr>
        <w:t>.</w:t>
      </w:r>
      <w:proofErr w:type="gramEnd"/>
      <w:r w:rsidRPr="0092785C">
        <w:rPr>
          <w:lang w:val="en-GB"/>
        </w:rPr>
        <w:t xml:space="preserve"> </w:t>
      </w:r>
      <w:proofErr w:type="gramStart"/>
      <w:r w:rsidRPr="0092785C">
        <w:rPr>
          <w:lang w:val="en-GB"/>
        </w:rPr>
        <w:t>Toronto </w:t>
      </w:r>
      <w:r w:rsidR="00B07FF5" w:rsidRPr="0092785C">
        <w:rPr>
          <w:lang w:val="en-GB"/>
        </w:rPr>
        <w:t>:</w:t>
      </w:r>
      <w:proofErr w:type="gramEnd"/>
      <w:r w:rsidR="00B07FF5" w:rsidRPr="0092785C">
        <w:rPr>
          <w:lang w:val="en-GB"/>
        </w:rPr>
        <w:t xml:space="preserve"> Irwin Law, 2005.</w:t>
      </w:r>
    </w:p>
    <w:p w:rsidR="00B07FF5" w:rsidRPr="0092785C" w:rsidRDefault="00B07FF5" w:rsidP="001A107D">
      <w:pPr>
        <w:tabs>
          <w:tab w:val="left" w:pos="-1440"/>
          <w:tab w:val="left" w:pos="-720"/>
          <w:tab w:val="left" w:pos="0"/>
          <w:tab w:val="left" w:pos="1152"/>
          <w:tab w:val="left" w:pos="1569"/>
          <w:tab w:val="left" w:pos="1843"/>
          <w:tab w:val="left" w:pos="2260"/>
          <w:tab w:val="left" w:pos="6480"/>
        </w:tabs>
        <w:ind w:left="540" w:hanging="540"/>
        <w:jc w:val="both"/>
        <w:rPr>
          <w:lang w:val="en-GB"/>
        </w:rPr>
      </w:pPr>
    </w:p>
    <w:p w:rsidR="00B07FF5" w:rsidRPr="0092785C" w:rsidRDefault="00CC790A" w:rsidP="001A107D">
      <w:pPr>
        <w:tabs>
          <w:tab w:val="left" w:pos="-1440"/>
          <w:tab w:val="left" w:pos="-720"/>
          <w:tab w:val="left" w:pos="0"/>
          <w:tab w:val="left" w:pos="1152"/>
          <w:tab w:val="left" w:pos="1569"/>
          <w:tab w:val="left" w:pos="1843"/>
          <w:tab w:val="left" w:pos="2260"/>
          <w:tab w:val="left" w:pos="6480"/>
        </w:tabs>
        <w:ind w:left="540" w:hanging="540"/>
        <w:jc w:val="both"/>
        <w:rPr>
          <w:lang w:val="en-GB"/>
        </w:rPr>
      </w:pPr>
      <w:proofErr w:type="spellStart"/>
      <w:r w:rsidRPr="0092785C">
        <w:rPr>
          <w:lang w:val="en-GB"/>
        </w:rPr>
        <w:t>Moull</w:t>
      </w:r>
      <w:proofErr w:type="spellEnd"/>
      <w:r w:rsidRPr="0092785C">
        <w:rPr>
          <w:lang w:val="en-GB"/>
        </w:rPr>
        <w:t>, William </w:t>
      </w:r>
      <w:r w:rsidR="00B07FF5" w:rsidRPr="0092785C">
        <w:rPr>
          <w:lang w:val="en-GB"/>
        </w:rPr>
        <w:t xml:space="preserve">D. </w:t>
      </w:r>
      <w:r w:rsidRPr="0092785C">
        <w:rPr>
          <w:lang w:val="en-GB"/>
        </w:rPr>
        <w:t xml:space="preserve">« Security </w:t>
      </w:r>
      <w:proofErr w:type="gramStart"/>
      <w:r w:rsidRPr="0092785C">
        <w:rPr>
          <w:lang w:val="en-GB"/>
        </w:rPr>
        <w:t>Under</w:t>
      </w:r>
      <w:proofErr w:type="gramEnd"/>
      <w:r w:rsidRPr="0092785C">
        <w:rPr>
          <w:lang w:val="en-GB"/>
        </w:rPr>
        <w:t xml:space="preserve"> Sections </w:t>
      </w:r>
      <w:r w:rsidR="00B07FF5" w:rsidRPr="0092785C">
        <w:rPr>
          <w:lang w:val="en-GB"/>
        </w:rPr>
        <w:t>177 and 178 of the Bank Act</w:t>
      </w:r>
      <w:r w:rsidRPr="0092785C">
        <w:rPr>
          <w:lang w:val="en-GB"/>
        </w:rPr>
        <w:t> »</w:t>
      </w:r>
      <w:r w:rsidR="00B07FF5" w:rsidRPr="0092785C">
        <w:rPr>
          <w:lang w:val="en-GB"/>
        </w:rPr>
        <w:t xml:space="preserve"> (1986), 65 </w:t>
      </w:r>
      <w:r w:rsidR="00B07FF5" w:rsidRPr="0092785C">
        <w:rPr>
          <w:i/>
          <w:iCs/>
          <w:lang w:val="en-GB"/>
        </w:rPr>
        <w:t>R. du B. can.</w:t>
      </w:r>
      <w:r w:rsidR="00B07FF5" w:rsidRPr="0092785C">
        <w:rPr>
          <w:lang w:val="en-GB"/>
        </w:rPr>
        <w:t xml:space="preserve"> 242.</w:t>
      </w:r>
    </w:p>
    <w:p w:rsidR="00B07FF5" w:rsidRPr="0092785C" w:rsidRDefault="00B07FF5" w:rsidP="001A107D">
      <w:pPr>
        <w:tabs>
          <w:tab w:val="left" w:pos="-1440"/>
          <w:tab w:val="left" w:pos="-720"/>
          <w:tab w:val="left" w:pos="0"/>
          <w:tab w:val="left" w:pos="1152"/>
          <w:tab w:val="left" w:pos="1569"/>
          <w:tab w:val="left" w:pos="1843"/>
          <w:tab w:val="left" w:pos="2260"/>
          <w:tab w:val="left" w:pos="6480"/>
        </w:tabs>
        <w:ind w:left="540" w:hanging="540"/>
        <w:jc w:val="both"/>
        <w:rPr>
          <w:lang w:val="en-GB"/>
        </w:rPr>
      </w:pPr>
    </w:p>
    <w:p w:rsidR="00B07FF5" w:rsidRPr="0092785C" w:rsidRDefault="00B07FF5" w:rsidP="001A107D">
      <w:pPr>
        <w:tabs>
          <w:tab w:val="left" w:pos="-1440"/>
          <w:tab w:val="left" w:pos="-720"/>
          <w:tab w:val="left" w:pos="0"/>
          <w:tab w:val="left" w:pos="1152"/>
          <w:tab w:val="left" w:pos="1569"/>
          <w:tab w:val="left" w:pos="1843"/>
          <w:tab w:val="left" w:pos="2260"/>
          <w:tab w:val="left" w:pos="6480"/>
        </w:tabs>
        <w:ind w:left="540" w:hanging="540"/>
        <w:jc w:val="both"/>
        <w:rPr>
          <w:lang w:val="en-GB"/>
        </w:rPr>
      </w:pPr>
      <w:proofErr w:type="gramStart"/>
      <w:r w:rsidRPr="0092785C">
        <w:rPr>
          <w:lang w:val="en-GB"/>
        </w:rPr>
        <w:t>Poirier, Marc-</w:t>
      </w:r>
      <w:proofErr w:type="spellStart"/>
      <w:r w:rsidRPr="0092785C">
        <w:rPr>
          <w:lang w:val="en-GB"/>
        </w:rPr>
        <w:t>Alexandre</w:t>
      </w:r>
      <w:proofErr w:type="spellEnd"/>
      <w:r w:rsidRPr="0092785C">
        <w:rPr>
          <w:lang w:val="en-GB"/>
        </w:rPr>
        <w:t>.</w:t>
      </w:r>
      <w:proofErr w:type="gramEnd"/>
      <w:r w:rsidRPr="0092785C">
        <w:rPr>
          <w:lang w:val="en-GB"/>
        </w:rPr>
        <w:t xml:space="preserve"> </w:t>
      </w:r>
      <w:r w:rsidR="00CC790A" w:rsidRPr="0092785C">
        <w:rPr>
          <w:lang w:val="en-GB"/>
        </w:rPr>
        <w:t>« </w:t>
      </w:r>
      <w:r w:rsidRPr="0092785C">
        <w:rPr>
          <w:lang w:val="en-GB"/>
        </w:rPr>
        <w:t>Analysis of the Interaction between Secur</w:t>
      </w:r>
      <w:r w:rsidR="00CC790A" w:rsidRPr="0092785C">
        <w:rPr>
          <w:lang w:val="en-GB"/>
        </w:rPr>
        <w:t>ity under Section </w:t>
      </w:r>
      <w:r w:rsidRPr="0092785C">
        <w:rPr>
          <w:lang w:val="en-GB"/>
        </w:rPr>
        <w:t xml:space="preserve">427 of </w:t>
      </w:r>
      <w:r w:rsidR="00CC790A" w:rsidRPr="0092785C">
        <w:rPr>
          <w:lang w:val="en-GB"/>
        </w:rPr>
        <w:t xml:space="preserve">the Bank Act and Provincial </w:t>
      </w:r>
      <w:proofErr w:type="gramStart"/>
      <w:r w:rsidR="00CC790A" w:rsidRPr="0092785C">
        <w:rPr>
          <w:lang w:val="en-GB"/>
        </w:rPr>
        <w:t>Law </w:t>
      </w:r>
      <w:r w:rsidRPr="0092785C">
        <w:rPr>
          <w:lang w:val="en-GB"/>
        </w:rPr>
        <w:t>:</w:t>
      </w:r>
      <w:proofErr w:type="gramEnd"/>
      <w:r w:rsidRPr="0092785C">
        <w:rPr>
          <w:lang w:val="en-GB"/>
        </w:rPr>
        <w:t xml:space="preserve"> A </w:t>
      </w:r>
      <w:proofErr w:type="spellStart"/>
      <w:r w:rsidRPr="0092785C">
        <w:rPr>
          <w:lang w:val="en-GB"/>
        </w:rPr>
        <w:t>Bijural</w:t>
      </w:r>
      <w:proofErr w:type="spellEnd"/>
      <w:r w:rsidRPr="0092785C">
        <w:rPr>
          <w:lang w:val="en-GB"/>
        </w:rPr>
        <w:t xml:space="preserve"> Perspective</w:t>
      </w:r>
      <w:r w:rsidR="00CC790A" w:rsidRPr="0092785C">
        <w:rPr>
          <w:lang w:val="en-GB"/>
        </w:rPr>
        <w:t xml:space="preserve"> » </w:t>
      </w:r>
      <w:r w:rsidRPr="0092785C">
        <w:rPr>
          <w:lang w:val="en-GB"/>
        </w:rPr>
        <w:t xml:space="preserve">(2003), 63 </w:t>
      </w:r>
      <w:r w:rsidRPr="0092785C">
        <w:rPr>
          <w:i/>
          <w:iCs/>
          <w:lang w:val="en-GB"/>
        </w:rPr>
        <w:t>R. du B.</w:t>
      </w:r>
      <w:r w:rsidRPr="0092785C">
        <w:rPr>
          <w:lang w:val="en-GB"/>
        </w:rPr>
        <w:t xml:space="preserve"> 289.</w:t>
      </w:r>
    </w:p>
    <w:p w:rsidR="00B07FF5" w:rsidRPr="0092785C" w:rsidRDefault="00B07FF5" w:rsidP="001A107D">
      <w:pPr>
        <w:tabs>
          <w:tab w:val="left" w:pos="-1440"/>
          <w:tab w:val="left" w:pos="-720"/>
          <w:tab w:val="left" w:pos="0"/>
          <w:tab w:val="left" w:pos="1152"/>
          <w:tab w:val="left" w:pos="1569"/>
          <w:tab w:val="left" w:pos="1843"/>
          <w:tab w:val="left" w:pos="2260"/>
          <w:tab w:val="left" w:pos="6480"/>
        </w:tabs>
        <w:ind w:left="540" w:hanging="540"/>
        <w:jc w:val="both"/>
        <w:rPr>
          <w:lang w:val="en-GB"/>
        </w:rPr>
      </w:pPr>
    </w:p>
    <w:p w:rsidR="00B07FF5" w:rsidRPr="0092785C" w:rsidRDefault="00B07FF5" w:rsidP="001A107D">
      <w:pPr>
        <w:tabs>
          <w:tab w:val="left" w:pos="-1440"/>
          <w:tab w:val="left" w:pos="-720"/>
          <w:tab w:val="left" w:pos="0"/>
          <w:tab w:val="left" w:pos="1152"/>
          <w:tab w:val="left" w:pos="1569"/>
          <w:tab w:val="left" w:pos="1843"/>
          <w:tab w:val="left" w:pos="2260"/>
          <w:tab w:val="left" w:pos="6480"/>
        </w:tabs>
        <w:ind w:left="540" w:hanging="540"/>
        <w:jc w:val="both"/>
        <w:rPr>
          <w:lang w:val="en-GB"/>
        </w:rPr>
      </w:pPr>
      <w:r w:rsidRPr="0092785C">
        <w:rPr>
          <w:lang w:val="en-GB"/>
        </w:rPr>
        <w:t xml:space="preserve">Saskatchewan. </w:t>
      </w:r>
      <w:r w:rsidR="00CC790A" w:rsidRPr="0092785C">
        <w:rPr>
          <w:lang w:val="en-GB"/>
        </w:rPr>
        <w:t xml:space="preserve"> </w:t>
      </w:r>
      <w:proofErr w:type="gramStart"/>
      <w:r w:rsidRPr="0092785C">
        <w:rPr>
          <w:lang w:val="en-GB"/>
        </w:rPr>
        <w:t>Law Reform Commission.</w:t>
      </w:r>
      <w:proofErr w:type="gramEnd"/>
      <w:r w:rsidRPr="0092785C">
        <w:rPr>
          <w:lang w:val="en-GB"/>
        </w:rPr>
        <w:t xml:space="preserve"> </w:t>
      </w:r>
      <w:r w:rsidR="00CC790A" w:rsidRPr="0092785C">
        <w:rPr>
          <w:lang w:val="en-GB"/>
        </w:rPr>
        <w:t xml:space="preserve"> </w:t>
      </w:r>
      <w:proofErr w:type="gramStart"/>
      <w:r w:rsidRPr="0092785C">
        <w:rPr>
          <w:i/>
          <w:iCs/>
          <w:lang w:val="en-GB"/>
        </w:rPr>
        <w:t>Tentative Proposals for a New Personal Property Security Act</w:t>
      </w:r>
      <w:r w:rsidRPr="0092785C">
        <w:rPr>
          <w:lang w:val="en-GB"/>
        </w:rPr>
        <w:t>.</w:t>
      </w:r>
      <w:proofErr w:type="gramEnd"/>
      <w:r w:rsidRPr="0092785C">
        <w:rPr>
          <w:lang w:val="en-GB"/>
        </w:rPr>
        <w:t xml:space="preserve"> </w:t>
      </w:r>
      <w:r w:rsidR="008030AB" w:rsidRPr="0092785C">
        <w:rPr>
          <w:lang w:val="en-GB"/>
        </w:rPr>
        <w:t xml:space="preserve"> </w:t>
      </w:r>
      <w:proofErr w:type="gramStart"/>
      <w:r w:rsidRPr="0092785C">
        <w:rPr>
          <w:lang w:val="en-GB"/>
        </w:rPr>
        <w:t>Saskatoon</w:t>
      </w:r>
      <w:r w:rsidR="00EA3BAB" w:rsidRPr="0092785C">
        <w:rPr>
          <w:lang w:val="en-GB"/>
        </w:rPr>
        <w:t xml:space="preserve"> </w:t>
      </w:r>
      <w:r w:rsidRPr="0092785C">
        <w:rPr>
          <w:lang w:val="en-GB"/>
        </w:rPr>
        <w:t>:</w:t>
      </w:r>
      <w:proofErr w:type="gramEnd"/>
      <w:r w:rsidRPr="0092785C">
        <w:rPr>
          <w:lang w:val="en-GB"/>
        </w:rPr>
        <w:t xml:space="preserve"> The Commission, 1990.</w:t>
      </w:r>
    </w:p>
    <w:p w:rsidR="00B07FF5" w:rsidRPr="0092785C" w:rsidRDefault="00B07FF5" w:rsidP="001A107D">
      <w:pPr>
        <w:tabs>
          <w:tab w:val="left" w:pos="-1440"/>
          <w:tab w:val="left" w:pos="-720"/>
          <w:tab w:val="left" w:pos="0"/>
          <w:tab w:val="left" w:pos="1152"/>
          <w:tab w:val="left" w:pos="1569"/>
          <w:tab w:val="left" w:pos="1843"/>
          <w:tab w:val="left" w:pos="2260"/>
          <w:tab w:val="left" w:pos="6480"/>
        </w:tabs>
        <w:ind w:left="540" w:hanging="540"/>
        <w:jc w:val="both"/>
        <w:rPr>
          <w:lang w:val="en-GB"/>
        </w:rPr>
      </w:pPr>
    </w:p>
    <w:p w:rsidR="00B07FF5" w:rsidRPr="0092785C" w:rsidRDefault="00B07FF5" w:rsidP="001A107D">
      <w:pPr>
        <w:tabs>
          <w:tab w:val="left" w:pos="-1440"/>
          <w:tab w:val="left" w:pos="-720"/>
          <w:tab w:val="left" w:pos="0"/>
          <w:tab w:val="left" w:pos="1152"/>
          <w:tab w:val="left" w:pos="1569"/>
          <w:tab w:val="left" w:pos="1843"/>
          <w:tab w:val="left" w:pos="2260"/>
          <w:tab w:val="left" w:pos="6480"/>
        </w:tabs>
        <w:ind w:left="540" w:hanging="540"/>
        <w:jc w:val="both"/>
        <w:rPr>
          <w:lang w:val="en-GB"/>
        </w:rPr>
      </w:pPr>
      <w:proofErr w:type="spellStart"/>
      <w:r w:rsidRPr="0092785C">
        <w:rPr>
          <w:lang w:val="en-GB"/>
        </w:rPr>
        <w:lastRenderedPageBreak/>
        <w:t>Ziegel</w:t>
      </w:r>
      <w:proofErr w:type="spellEnd"/>
      <w:r w:rsidRPr="0092785C">
        <w:rPr>
          <w:lang w:val="en-GB"/>
        </w:rPr>
        <w:t xml:space="preserve">, Jacob S. </w:t>
      </w:r>
      <w:r w:rsidR="00CC790A" w:rsidRPr="0092785C">
        <w:rPr>
          <w:lang w:val="en-GB"/>
        </w:rPr>
        <w:t>« </w:t>
      </w:r>
      <w:r w:rsidRPr="0092785C">
        <w:rPr>
          <w:lang w:val="en-GB"/>
        </w:rPr>
        <w:t>Interaction of Personal Property Security Legislation and Security Interests Under the Bank Act</w:t>
      </w:r>
      <w:r w:rsidR="00CC790A" w:rsidRPr="0092785C">
        <w:rPr>
          <w:lang w:val="en-GB"/>
        </w:rPr>
        <w:t> »</w:t>
      </w:r>
      <w:r w:rsidRPr="0092785C">
        <w:rPr>
          <w:lang w:val="en-GB"/>
        </w:rPr>
        <w:t xml:space="preserve"> (1986-87), 12 </w:t>
      </w:r>
      <w:r w:rsidR="00072021">
        <w:rPr>
          <w:i/>
          <w:iCs/>
          <w:lang w:val="en-GB"/>
        </w:rPr>
        <w:t xml:space="preserve">Rev. can. </w:t>
      </w:r>
      <w:proofErr w:type="gramStart"/>
      <w:r w:rsidR="00072021">
        <w:rPr>
          <w:i/>
          <w:iCs/>
          <w:lang w:val="en-GB"/>
        </w:rPr>
        <w:t xml:space="preserve">dr. comm. </w:t>
      </w:r>
      <w:r w:rsidRPr="0092785C">
        <w:rPr>
          <w:lang w:val="en-GB"/>
        </w:rPr>
        <w:t>73.</w:t>
      </w:r>
      <w:proofErr w:type="gramEnd"/>
    </w:p>
    <w:p w:rsidR="00B07FF5" w:rsidRPr="0092785C" w:rsidRDefault="00B07FF5" w:rsidP="001A107D">
      <w:pPr>
        <w:tabs>
          <w:tab w:val="left" w:pos="-1440"/>
          <w:tab w:val="left" w:pos="-720"/>
          <w:tab w:val="left" w:pos="0"/>
          <w:tab w:val="left" w:pos="1152"/>
          <w:tab w:val="left" w:pos="1569"/>
          <w:tab w:val="left" w:pos="1843"/>
          <w:tab w:val="left" w:pos="2260"/>
          <w:tab w:val="left" w:pos="6480"/>
        </w:tabs>
        <w:ind w:left="540" w:hanging="540"/>
        <w:jc w:val="both"/>
        <w:rPr>
          <w:lang w:val="en-GB"/>
        </w:rPr>
      </w:pPr>
    </w:p>
    <w:p w:rsidR="00B07FF5" w:rsidRPr="0092785C" w:rsidRDefault="00B07FF5" w:rsidP="001A107D">
      <w:pPr>
        <w:tabs>
          <w:tab w:val="left" w:pos="-1440"/>
          <w:tab w:val="left" w:pos="-720"/>
          <w:tab w:val="left" w:pos="0"/>
          <w:tab w:val="left" w:pos="1152"/>
          <w:tab w:val="left" w:pos="1569"/>
          <w:tab w:val="left" w:pos="1843"/>
          <w:tab w:val="left" w:pos="2260"/>
          <w:tab w:val="left" w:pos="6480"/>
        </w:tabs>
        <w:ind w:left="540" w:hanging="540"/>
        <w:jc w:val="both"/>
        <w:rPr>
          <w:lang w:val="en-GB"/>
        </w:rPr>
      </w:pPr>
      <w:r w:rsidRPr="0092785C">
        <w:rPr>
          <w:lang w:val="en-GB"/>
        </w:rPr>
        <w:t xml:space="preserve">Ziff, Bruce. </w:t>
      </w:r>
      <w:r w:rsidR="00CC790A" w:rsidRPr="0092785C">
        <w:rPr>
          <w:lang w:val="en-GB"/>
        </w:rPr>
        <w:t xml:space="preserve"> </w:t>
      </w:r>
      <w:r w:rsidRPr="0092785C">
        <w:rPr>
          <w:i/>
          <w:iCs/>
          <w:lang w:val="en-GB"/>
        </w:rPr>
        <w:t>Principles of Property Law</w:t>
      </w:r>
      <w:r w:rsidR="00CC790A" w:rsidRPr="0092785C">
        <w:rPr>
          <w:lang w:val="en-GB"/>
        </w:rPr>
        <w:t xml:space="preserve">, 4th ed. </w:t>
      </w:r>
      <w:proofErr w:type="gramStart"/>
      <w:r w:rsidR="00CC790A" w:rsidRPr="0092785C">
        <w:rPr>
          <w:lang w:val="en-GB"/>
        </w:rPr>
        <w:t>Toronto</w:t>
      </w:r>
      <w:r w:rsidR="00EA3BAB" w:rsidRPr="0092785C">
        <w:rPr>
          <w:lang w:val="en-GB"/>
        </w:rPr>
        <w:t xml:space="preserve"> </w:t>
      </w:r>
      <w:r w:rsidR="00CC790A" w:rsidRPr="0092785C">
        <w:rPr>
          <w:lang w:val="en-GB"/>
        </w:rPr>
        <w:t>:</w:t>
      </w:r>
      <w:proofErr w:type="gramEnd"/>
      <w:r w:rsidR="00CC790A" w:rsidRPr="0092785C">
        <w:rPr>
          <w:lang w:val="en-GB"/>
        </w:rPr>
        <w:t xml:space="preserve"> </w:t>
      </w:r>
      <w:r w:rsidRPr="0092785C">
        <w:rPr>
          <w:lang w:val="en-GB"/>
        </w:rPr>
        <w:t>Thomson, 2006.</w:t>
      </w:r>
    </w:p>
    <w:p w:rsidR="000A5321" w:rsidRPr="0092785C" w:rsidRDefault="000A5321" w:rsidP="001A107D">
      <w:pPr>
        <w:pStyle w:val="SCCNormalDoubleSpacing"/>
        <w:spacing w:line="240" w:lineRule="auto"/>
        <w:ind w:left="540" w:hanging="540"/>
        <w:rPr>
          <w:lang w:val="en-GB"/>
        </w:rPr>
      </w:pPr>
    </w:p>
    <w:p w:rsidR="001A107D" w:rsidRPr="0092785C" w:rsidRDefault="001A107D" w:rsidP="001A107D">
      <w:pPr>
        <w:pStyle w:val="SCCNormalDoubleSpacing"/>
        <w:ind w:left="540" w:hanging="540"/>
        <w:rPr>
          <w:lang w:val="en-GB"/>
        </w:rPr>
      </w:pPr>
    </w:p>
    <w:p w:rsidR="00B07FF5" w:rsidRPr="0092785C" w:rsidRDefault="001C153D" w:rsidP="001A107D">
      <w:pPr>
        <w:tabs>
          <w:tab w:val="left" w:pos="0"/>
          <w:tab w:val="left" w:pos="720"/>
          <w:tab w:val="left" w:pos="6480"/>
        </w:tabs>
        <w:spacing w:line="480" w:lineRule="auto"/>
        <w:jc w:val="both"/>
      </w:pPr>
      <w:r w:rsidRPr="0092785C">
        <w:rPr>
          <w:lang w:val="en-GB"/>
        </w:rPr>
        <w:tab/>
      </w:r>
      <w:r w:rsidR="009B57B3" w:rsidRPr="0092785C">
        <w:rPr>
          <w:lang w:val="en-GB"/>
        </w:rPr>
        <w:t>P</w:t>
      </w:r>
      <w:r w:rsidR="0043088E" w:rsidRPr="0092785C">
        <w:rPr>
          <w:lang w:val="en-GB"/>
        </w:rPr>
        <w:t xml:space="preserve">OURVOI </w:t>
      </w:r>
      <w:proofErr w:type="spellStart"/>
      <w:r w:rsidR="00B07FF5" w:rsidRPr="0092785C">
        <w:rPr>
          <w:lang w:val="en-GB"/>
        </w:rPr>
        <w:t>contre</w:t>
      </w:r>
      <w:proofErr w:type="spellEnd"/>
      <w:r w:rsidR="00B07FF5" w:rsidRPr="0092785C">
        <w:rPr>
          <w:lang w:val="en-GB"/>
        </w:rPr>
        <w:t xml:space="preserve"> un </w:t>
      </w:r>
      <w:proofErr w:type="spellStart"/>
      <w:r w:rsidR="00B07FF5" w:rsidRPr="0092785C">
        <w:rPr>
          <w:lang w:val="en-GB"/>
        </w:rPr>
        <w:t>arrêt</w:t>
      </w:r>
      <w:proofErr w:type="spellEnd"/>
      <w:r w:rsidR="00B07FF5" w:rsidRPr="0092785C">
        <w:rPr>
          <w:lang w:val="en-GB"/>
        </w:rPr>
        <w:t xml:space="preserve"> de la </w:t>
      </w:r>
      <w:proofErr w:type="spellStart"/>
      <w:r w:rsidR="00B07FF5" w:rsidRPr="0092785C">
        <w:rPr>
          <w:lang w:val="en-GB"/>
        </w:rPr>
        <w:t>Cour</w:t>
      </w:r>
      <w:proofErr w:type="spellEnd"/>
      <w:r w:rsidR="00B07FF5" w:rsidRPr="0092785C">
        <w:rPr>
          <w:lang w:val="en-GB"/>
        </w:rPr>
        <w:t xml:space="preserve"> d</w:t>
      </w:r>
      <w:r w:rsidR="00B07FF5" w:rsidRPr="0092785C">
        <w:sym w:font="WP TypographicSymbols" w:char="003D"/>
      </w:r>
      <w:proofErr w:type="spellStart"/>
      <w:r w:rsidR="00B07FF5" w:rsidRPr="0092785C">
        <w:rPr>
          <w:lang w:val="en-GB"/>
        </w:rPr>
        <w:t>appel</w:t>
      </w:r>
      <w:proofErr w:type="spellEnd"/>
      <w:r w:rsidR="00B07FF5" w:rsidRPr="0092785C">
        <w:rPr>
          <w:lang w:val="en-GB"/>
        </w:rPr>
        <w:t xml:space="preserve"> de la Saskatchewan (les </w:t>
      </w:r>
      <w:proofErr w:type="spellStart"/>
      <w:r w:rsidR="00B07FF5" w:rsidRPr="0092785C">
        <w:rPr>
          <w:lang w:val="en-GB"/>
        </w:rPr>
        <w:t>juges</w:t>
      </w:r>
      <w:proofErr w:type="spellEnd"/>
      <w:r w:rsidR="00B07FF5" w:rsidRPr="0092785C">
        <w:rPr>
          <w:lang w:val="en-GB"/>
        </w:rPr>
        <w:t xml:space="preserve"> </w:t>
      </w:r>
      <w:proofErr w:type="spellStart"/>
      <w:r w:rsidR="00B07FF5" w:rsidRPr="0092785C">
        <w:rPr>
          <w:lang w:val="en-GB"/>
        </w:rPr>
        <w:t>Sherstobitoff</w:t>
      </w:r>
      <w:proofErr w:type="spellEnd"/>
      <w:r w:rsidR="00B07FF5" w:rsidRPr="0092785C">
        <w:rPr>
          <w:lang w:val="en-GB"/>
        </w:rPr>
        <w:t xml:space="preserve">, Jackson et Smith), 2009 SKCA 35, 324 Sask. R. 160, 451 W.A.C. 160, 306 D.L.R. (4th) 407, [2009] 8 W.W.R. 473, 51 C.B.R. (5th) 163, 14 P.P.S.A.C. (3d) 149, [2009] S.J. </w:t>
      </w:r>
      <w:r w:rsidR="001A107D" w:rsidRPr="0092785C">
        <w:rPr>
          <w:lang w:val="en-GB"/>
        </w:rPr>
        <w:t>No. </w:t>
      </w:r>
      <w:r w:rsidR="00B07FF5" w:rsidRPr="0092785C">
        <w:rPr>
          <w:lang w:val="en-GB"/>
        </w:rPr>
        <w:t xml:space="preserve">147 (QL), 2009 </w:t>
      </w:r>
      <w:proofErr w:type="spellStart"/>
      <w:r w:rsidR="00B07FF5" w:rsidRPr="0092785C">
        <w:rPr>
          <w:lang w:val="en-GB"/>
        </w:rPr>
        <w:t>CarswellSask</w:t>
      </w:r>
      <w:proofErr w:type="spellEnd"/>
      <w:r w:rsidR="00B07FF5" w:rsidRPr="0092785C">
        <w:rPr>
          <w:lang w:val="en-GB"/>
        </w:rPr>
        <w:t xml:space="preserve"> 156, qui a </w:t>
      </w:r>
      <w:proofErr w:type="spellStart"/>
      <w:r w:rsidR="00B07FF5" w:rsidRPr="0092785C">
        <w:rPr>
          <w:lang w:val="en-GB"/>
        </w:rPr>
        <w:t>infirmé</w:t>
      </w:r>
      <w:proofErr w:type="spellEnd"/>
      <w:r w:rsidR="00B07FF5" w:rsidRPr="0092785C">
        <w:rPr>
          <w:lang w:val="en-GB"/>
        </w:rPr>
        <w:t xml:space="preserve"> </w:t>
      </w:r>
      <w:proofErr w:type="spellStart"/>
      <w:r w:rsidR="00B07FF5" w:rsidRPr="0092785C">
        <w:rPr>
          <w:lang w:val="en-GB"/>
        </w:rPr>
        <w:t>une</w:t>
      </w:r>
      <w:proofErr w:type="spellEnd"/>
      <w:r w:rsidR="00B07FF5" w:rsidRPr="0092785C">
        <w:rPr>
          <w:lang w:val="en-GB"/>
        </w:rPr>
        <w:t xml:space="preserve"> </w:t>
      </w:r>
      <w:proofErr w:type="spellStart"/>
      <w:r w:rsidR="00B07FF5" w:rsidRPr="0092785C">
        <w:rPr>
          <w:lang w:val="en-GB"/>
        </w:rPr>
        <w:t>décision</w:t>
      </w:r>
      <w:proofErr w:type="spellEnd"/>
      <w:r w:rsidR="00B07FF5" w:rsidRPr="0092785C">
        <w:rPr>
          <w:lang w:val="en-GB"/>
        </w:rPr>
        <w:t xml:space="preserve"> du </w:t>
      </w:r>
      <w:proofErr w:type="spellStart"/>
      <w:r w:rsidR="00B07FF5" w:rsidRPr="0092785C">
        <w:rPr>
          <w:lang w:val="en-GB"/>
        </w:rPr>
        <w:t>juge</w:t>
      </w:r>
      <w:proofErr w:type="spellEnd"/>
      <w:r w:rsidR="00B07FF5" w:rsidRPr="0092785C">
        <w:rPr>
          <w:lang w:val="en-GB"/>
        </w:rPr>
        <w:t xml:space="preserve"> </w:t>
      </w:r>
      <w:proofErr w:type="spellStart"/>
      <w:r w:rsidR="00B07FF5" w:rsidRPr="0092785C">
        <w:rPr>
          <w:lang w:val="en-GB"/>
        </w:rPr>
        <w:t>Zarzeczny</w:t>
      </w:r>
      <w:proofErr w:type="spellEnd"/>
      <w:r w:rsidR="00B07FF5" w:rsidRPr="0092785C">
        <w:rPr>
          <w:lang w:val="en-GB"/>
        </w:rPr>
        <w:t xml:space="preserve">, 2007 SKQB 471, 306 Sask. R. 227, [2008] 4 W.W.R. 143, 39 C.B.R. (5th) 260, 12 P.P.S.A.C. (3d) 223, [2007] S.J. </w:t>
      </w:r>
      <w:r w:rsidR="00EA3BAB" w:rsidRPr="0092785C">
        <w:rPr>
          <w:lang w:val="en-GB"/>
        </w:rPr>
        <w:t>No.</w:t>
      </w:r>
      <w:r w:rsidR="001A107D" w:rsidRPr="0092785C">
        <w:rPr>
          <w:lang w:val="en-GB"/>
        </w:rPr>
        <w:t> </w:t>
      </w:r>
      <w:r w:rsidR="00B07FF5" w:rsidRPr="0092785C">
        <w:rPr>
          <w:lang w:val="en-GB"/>
        </w:rPr>
        <w:t xml:space="preserve">679 (QL), 2007 </w:t>
      </w:r>
      <w:proofErr w:type="spellStart"/>
      <w:r w:rsidR="00B07FF5" w:rsidRPr="0092785C">
        <w:rPr>
          <w:lang w:val="en-GB"/>
        </w:rPr>
        <w:t>CarswellSask</w:t>
      </w:r>
      <w:proofErr w:type="spellEnd"/>
      <w:r w:rsidR="00B07FF5" w:rsidRPr="0092785C">
        <w:rPr>
          <w:lang w:val="en-GB"/>
        </w:rPr>
        <w:t xml:space="preserve"> 748. </w:t>
      </w:r>
      <w:r w:rsidR="00851340" w:rsidRPr="0092785C">
        <w:rPr>
          <w:lang w:val="en-GB"/>
        </w:rPr>
        <w:t xml:space="preserve"> </w:t>
      </w:r>
      <w:r w:rsidR="00B07FF5" w:rsidRPr="0092785C">
        <w:t xml:space="preserve">Pourvoi </w:t>
      </w:r>
      <w:r w:rsidR="0036198D" w:rsidRPr="0092785C">
        <w:t>rejeté</w:t>
      </w:r>
      <w:r w:rsidR="00B07FF5" w:rsidRPr="0092785C">
        <w:t>.</w:t>
      </w:r>
    </w:p>
    <w:p w:rsidR="00966913" w:rsidRPr="0092785C" w:rsidRDefault="00966913" w:rsidP="001A107D">
      <w:pPr>
        <w:pStyle w:val="SCCNormalDoubleSpacing"/>
      </w:pPr>
    </w:p>
    <w:p w:rsidR="00B07FF5" w:rsidRPr="0092785C" w:rsidRDefault="00B4628A" w:rsidP="001A107D">
      <w:pPr>
        <w:tabs>
          <w:tab w:val="left" w:pos="-1440"/>
          <w:tab w:val="left" w:pos="-720"/>
          <w:tab w:val="left" w:pos="0"/>
          <w:tab w:val="left" w:pos="720"/>
          <w:tab w:val="left" w:pos="1152"/>
          <w:tab w:val="left" w:pos="1569"/>
          <w:tab w:val="left" w:pos="1843"/>
          <w:tab w:val="left" w:pos="2260"/>
          <w:tab w:val="left" w:pos="6480"/>
        </w:tabs>
        <w:spacing w:line="480" w:lineRule="auto"/>
        <w:jc w:val="both"/>
      </w:pPr>
      <w:r w:rsidRPr="0092785C">
        <w:rPr>
          <w:i/>
          <w:iCs/>
        </w:rPr>
        <w:tab/>
      </w:r>
      <w:r w:rsidR="001A107D" w:rsidRPr="0092785C">
        <w:rPr>
          <w:i/>
          <w:iCs/>
        </w:rPr>
        <w:t>Rick </w:t>
      </w:r>
      <w:r w:rsidR="00B07FF5" w:rsidRPr="0092785C">
        <w:rPr>
          <w:i/>
          <w:iCs/>
        </w:rPr>
        <w:t>M.</w:t>
      </w:r>
      <w:r w:rsidR="00B07FF5" w:rsidRPr="0092785C">
        <w:t xml:space="preserve"> </w:t>
      </w:r>
      <w:r w:rsidR="00B07FF5" w:rsidRPr="0092785C">
        <w:rPr>
          <w:i/>
          <w:iCs/>
        </w:rPr>
        <w:t xml:space="preserve">Van </w:t>
      </w:r>
      <w:proofErr w:type="spellStart"/>
      <w:r w:rsidR="00B07FF5" w:rsidRPr="0092785C">
        <w:rPr>
          <w:i/>
          <w:iCs/>
        </w:rPr>
        <w:t>Beselaere</w:t>
      </w:r>
      <w:proofErr w:type="spellEnd"/>
      <w:r w:rsidR="00B07FF5" w:rsidRPr="0092785C">
        <w:t xml:space="preserve"> et </w:t>
      </w:r>
      <w:r w:rsidR="00851340" w:rsidRPr="0092785C">
        <w:rPr>
          <w:i/>
          <w:iCs/>
        </w:rPr>
        <w:t>Peter </w:t>
      </w:r>
      <w:r w:rsidR="00B07FF5" w:rsidRPr="0092785C">
        <w:rPr>
          <w:i/>
          <w:iCs/>
        </w:rPr>
        <w:t xml:space="preserve">T. </w:t>
      </w:r>
      <w:proofErr w:type="spellStart"/>
      <w:r w:rsidR="00B07FF5" w:rsidRPr="0092785C">
        <w:rPr>
          <w:i/>
          <w:iCs/>
        </w:rPr>
        <w:t>Bergbusch</w:t>
      </w:r>
      <w:proofErr w:type="spellEnd"/>
      <w:r w:rsidR="00B07FF5" w:rsidRPr="0092785C">
        <w:t>, pour l</w:t>
      </w:r>
      <w:r w:rsidR="00B07FF5" w:rsidRPr="0092785C">
        <w:sym w:font="WP TypographicSymbols" w:char="003D"/>
      </w:r>
      <w:r w:rsidR="00B07FF5" w:rsidRPr="0092785C">
        <w:t>appelante.</w:t>
      </w:r>
    </w:p>
    <w:p w:rsidR="00B07FF5" w:rsidRPr="0092785C" w:rsidRDefault="00B07FF5" w:rsidP="001A107D">
      <w:pPr>
        <w:tabs>
          <w:tab w:val="left" w:pos="-1440"/>
          <w:tab w:val="left" w:pos="-720"/>
          <w:tab w:val="left" w:pos="0"/>
          <w:tab w:val="left" w:pos="1152"/>
          <w:tab w:val="left" w:pos="1569"/>
          <w:tab w:val="left" w:pos="1843"/>
          <w:tab w:val="left" w:pos="2260"/>
          <w:tab w:val="left" w:pos="6480"/>
        </w:tabs>
        <w:spacing w:line="480" w:lineRule="auto"/>
        <w:jc w:val="both"/>
      </w:pPr>
    </w:p>
    <w:p w:rsidR="00B07FF5" w:rsidRPr="0092785C" w:rsidRDefault="00B4628A" w:rsidP="001A107D">
      <w:pPr>
        <w:tabs>
          <w:tab w:val="left" w:pos="-1440"/>
          <w:tab w:val="left" w:pos="-720"/>
          <w:tab w:val="left" w:pos="0"/>
          <w:tab w:val="left" w:pos="720"/>
          <w:tab w:val="left" w:pos="1152"/>
          <w:tab w:val="left" w:pos="1569"/>
          <w:tab w:val="left" w:pos="1843"/>
          <w:tab w:val="left" w:pos="2260"/>
          <w:tab w:val="left" w:pos="6480"/>
        </w:tabs>
        <w:spacing w:line="480" w:lineRule="auto"/>
        <w:jc w:val="both"/>
      </w:pPr>
      <w:r w:rsidRPr="0092785C">
        <w:rPr>
          <w:i/>
          <w:iCs/>
        </w:rPr>
        <w:tab/>
      </w:r>
      <w:r w:rsidR="00851340" w:rsidRPr="0092785C">
        <w:rPr>
          <w:i/>
          <w:iCs/>
        </w:rPr>
        <w:t>Donald </w:t>
      </w:r>
      <w:r w:rsidR="00B07FF5" w:rsidRPr="0092785C">
        <w:rPr>
          <w:i/>
          <w:iCs/>
        </w:rPr>
        <w:t>H.</w:t>
      </w:r>
      <w:r w:rsidR="00B07FF5" w:rsidRPr="0092785C">
        <w:t xml:space="preserve"> </w:t>
      </w:r>
      <w:proofErr w:type="spellStart"/>
      <w:r w:rsidR="00B07FF5" w:rsidRPr="0092785C">
        <w:rPr>
          <w:i/>
          <w:iCs/>
        </w:rPr>
        <w:t>Layh</w:t>
      </w:r>
      <w:proofErr w:type="spellEnd"/>
      <w:r w:rsidR="00B07FF5" w:rsidRPr="0092785C">
        <w:t xml:space="preserve">, </w:t>
      </w:r>
      <w:proofErr w:type="gramStart"/>
      <w:r w:rsidR="00B07FF5" w:rsidRPr="0092785C">
        <w:rPr>
          <w:i/>
          <w:iCs/>
        </w:rPr>
        <w:t>c.r.</w:t>
      </w:r>
      <w:r w:rsidR="00B07FF5" w:rsidRPr="0092785C">
        <w:t>,</w:t>
      </w:r>
      <w:proofErr w:type="gramEnd"/>
      <w:r w:rsidR="00B07FF5" w:rsidRPr="0092785C">
        <w:t xml:space="preserve"> et </w:t>
      </w:r>
      <w:r w:rsidR="00851340" w:rsidRPr="0092785C">
        <w:rPr>
          <w:i/>
          <w:iCs/>
        </w:rPr>
        <w:t>Shawn </w:t>
      </w:r>
      <w:r w:rsidR="00B07FF5" w:rsidRPr="0092785C">
        <w:rPr>
          <w:i/>
          <w:iCs/>
        </w:rPr>
        <w:t>M. Patenaude</w:t>
      </w:r>
      <w:r w:rsidR="00B07FF5" w:rsidRPr="0092785C">
        <w:t>, pour l</w:t>
      </w:r>
      <w:r w:rsidR="00B07FF5" w:rsidRPr="0092785C">
        <w:sym w:font="WP TypographicSymbols" w:char="003D"/>
      </w:r>
      <w:r w:rsidR="00B07FF5" w:rsidRPr="0092785C">
        <w:t>intimée.</w:t>
      </w:r>
    </w:p>
    <w:p w:rsidR="00B07FF5" w:rsidRDefault="00B07FF5" w:rsidP="001A107D">
      <w:pPr>
        <w:tabs>
          <w:tab w:val="left" w:pos="-1440"/>
          <w:tab w:val="left" w:pos="-720"/>
          <w:tab w:val="left" w:pos="0"/>
          <w:tab w:val="left" w:pos="1152"/>
          <w:tab w:val="left" w:pos="1569"/>
          <w:tab w:val="left" w:pos="1843"/>
          <w:tab w:val="left" w:pos="2260"/>
          <w:tab w:val="left" w:pos="6480"/>
        </w:tabs>
        <w:spacing w:line="480" w:lineRule="auto"/>
        <w:jc w:val="both"/>
      </w:pPr>
    </w:p>
    <w:p w:rsidR="00862813" w:rsidRDefault="00862813" w:rsidP="001A107D">
      <w:pPr>
        <w:tabs>
          <w:tab w:val="left" w:pos="-1440"/>
          <w:tab w:val="left" w:pos="-720"/>
          <w:tab w:val="left" w:pos="0"/>
          <w:tab w:val="left" w:pos="1152"/>
          <w:tab w:val="left" w:pos="1569"/>
          <w:tab w:val="left" w:pos="1843"/>
          <w:tab w:val="left" w:pos="2260"/>
          <w:tab w:val="left" w:pos="6480"/>
        </w:tabs>
        <w:spacing w:line="480" w:lineRule="auto"/>
        <w:jc w:val="both"/>
      </w:pPr>
      <w:r>
        <w:tab/>
      </w:r>
      <w:r w:rsidRPr="00C639B9">
        <w:rPr>
          <w:szCs w:val="24"/>
        </w:rPr>
        <w:t>Version française du jugement</w:t>
      </w:r>
      <w:r>
        <w:rPr>
          <w:szCs w:val="24"/>
        </w:rPr>
        <w:t xml:space="preserve"> de la Cour</w:t>
      </w:r>
      <w:r w:rsidRPr="00C639B9">
        <w:rPr>
          <w:szCs w:val="24"/>
        </w:rPr>
        <w:t xml:space="preserve"> rendu par</w:t>
      </w:r>
    </w:p>
    <w:p w:rsidR="00862813" w:rsidRPr="0092785C" w:rsidRDefault="00862813" w:rsidP="001A107D">
      <w:pPr>
        <w:tabs>
          <w:tab w:val="left" w:pos="-1440"/>
          <w:tab w:val="left" w:pos="-720"/>
          <w:tab w:val="left" w:pos="0"/>
          <w:tab w:val="left" w:pos="1152"/>
          <w:tab w:val="left" w:pos="1569"/>
          <w:tab w:val="left" w:pos="1843"/>
          <w:tab w:val="left" w:pos="2260"/>
          <w:tab w:val="left" w:pos="6480"/>
        </w:tabs>
        <w:spacing w:line="480" w:lineRule="auto"/>
        <w:jc w:val="both"/>
      </w:pPr>
    </w:p>
    <w:p w:rsidR="00DC4439" w:rsidRPr="0092785C" w:rsidRDefault="00DC4439" w:rsidP="00DC4439">
      <w:pPr>
        <w:tabs>
          <w:tab w:val="left" w:pos="-1440"/>
          <w:tab w:val="left" w:pos="-720"/>
          <w:tab w:val="left" w:pos="1170"/>
        </w:tabs>
        <w:spacing w:after="480" w:line="480" w:lineRule="auto"/>
      </w:pPr>
      <w:r w:rsidRPr="0092785C">
        <w:tab/>
      </w:r>
      <w:r w:rsidR="00862813">
        <w:t>L</w:t>
      </w:r>
      <w:r w:rsidRPr="0092785C">
        <w:rPr>
          <w:smallCaps/>
          <w:spacing w:val="3"/>
        </w:rPr>
        <w:t>a juge Charron</w:t>
      </w:r>
      <w:r w:rsidRPr="0092785C">
        <w:rPr>
          <w:spacing w:val="3"/>
        </w:rPr>
        <w:t xml:space="preserve"> </w:t>
      </w:r>
      <w:r w:rsidRPr="0092785C">
        <w:t xml:space="preserve">— </w:t>
      </w:r>
    </w:p>
    <w:p w:rsidR="00DC4439" w:rsidRPr="0092785C" w:rsidRDefault="00862813" w:rsidP="00862813">
      <w:pPr>
        <w:keepNext/>
        <w:tabs>
          <w:tab w:val="left" w:pos="-1440"/>
          <w:tab w:val="left" w:pos="-720"/>
          <w:tab w:val="left" w:pos="540"/>
          <w:tab w:val="left" w:pos="1152"/>
        </w:tabs>
        <w:spacing w:after="480" w:line="480" w:lineRule="auto"/>
      </w:pPr>
      <w:r>
        <w:lastRenderedPageBreak/>
        <w:t>1.</w:t>
      </w:r>
      <w:r>
        <w:tab/>
      </w:r>
      <w:r w:rsidR="00DC4439" w:rsidRPr="0092785C">
        <w:rPr>
          <w:u w:val="single"/>
        </w:rPr>
        <w:t>Aperçu</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spacing w:val="3"/>
          <w:lang w:val="fr-CA"/>
        </w:rPr>
        <w:t xml:space="preserve">Il est </w:t>
      </w:r>
      <w:r w:rsidRPr="0092785C">
        <w:rPr>
          <w:lang w:val="fr-CA"/>
        </w:rPr>
        <w:t>question</w:t>
      </w:r>
      <w:r w:rsidRPr="0092785C">
        <w:rPr>
          <w:spacing w:val="3"/>
          <w:lang w:val="fr-CA"/>
        </w:rPr>
        <w:t>, dans le présent pourvoi et dans l</w:t>
      </w:r>
      <w:r w:rsidR="00BA1CC2">
        <w:rPr>
          <w:spacing w:val="3"/>
          <w:lang w:val="fr-CA"/>
        </w:rPr>
        <w:t>’</w:t>
      </w:r>
      <w:r w:rsidRPr="0092785C">
        <w:rPr>
          <w:spacing w:val="3"/>
          <w:lang w:val="fr-CA"/>
        </w:rPr>
        <w:t xml:space="preserve">affaire connexe, </w:t>
      </w:r>
      <w:r w:rsidRPr="0092785C">
        <w:rPr>
          <w:i/>
          <w:spacing w:val="3"/>
          <w:lang w:val="fr-CA"/>
        </w:rPr>
        <w:t xml:space="preserve">Banque Royale du Canada c. Radius </w:t>
      </w:r>
      <w:proofErr w:type="spellStart"/>
      <w:r w:rsidRPr="0092785C">
        <w:rPr>
          <w:i/>
          <w:spacing w:val="3"/>
          <w:lang w:val="fr-CA"/>
        </w:rPr>
        <w:t>Credit</w:t>
      </w:r>
      <w:proofErr w:type="spellEnd"/>
      <w:r w:rsidRPr="0092785C">
        <w:rPr>
          <w:i/>
          <w:spacing w:val="3"/>
          <w:lang w:val="fr-CA"/>
        </w:rPr>
        <w:t xml:space="preserve"> Union Ltd</w:t>
      </w:r>
      <w:r w:rsidR="00862813">
        <w:rPr>
          <w:i/>
          <w:spacing w:val="3"/>
          <w:lang w:val="fr-CA"/>
        </w:rPr>
        <w:t>.</w:t>
      </w:r>
      <w:r w:rsidRPr="0092785C">
        <w:rPr>
          <w:spacing w:val="3"/>
          <w:lang w:val="fr-CA"/>
        </w:rPr>
        <w:t>, 2010 CSC 48</w:t>
      </w:r>
      <w:r w:rsidR="00862813">
        <w:rPr>
          <w:spacing w:val="3"/>
          <w:lang w:val="fr-CA"/>
        </w:rPr>
        <w:t xml:space="preserve">, [2010] 3 R.C.S. </w:t>
      </w:r>
      <w:r w:rsidR="00072021">
        <w:rPr>
          <w:spacing w:val="3"/>
          <w:lang w:val="fr-CA"/>
        </w:rPr>
        <w:t>38</w:t>
      </w:r>
      <w:r w:rsidRPr="0092785C">
        <w:rPr>
          <w:spacing w:val="3"/>
          <w:lang w:val="fr-CA"/>
        </w:rPr>
        <w:t xml:space="preserve">, de sûretés concurrentes prises en application de la </w:t>
      </w:r>
      <w:r w:rsidRPr="0092785C">
        <w:rPr>
          <w:i/>
          <w:spacing w:val="3"/>
          <w:lang w:val="fr-CA"/>
        </w:rPr>
        <w:t>Loi sur les banques</w:t>
      </w:r>
      <w:r w:rsidRPr="0092785C">
        <w:rPr>
          <w:spacing w:val="3"/>
          <w:lang w:val="fr-CA"/>
        </w:rPr>
        <w:t>, L.C. 1991, ch. 46 (« </w:t>
      </w:r>
      <w:r w:rsidRPr="00862813">
        <w:rPr>
          <w:i/>
          <w:spacing w:val="3"/>
          <w:lang w:val="fr-CA"/>
        </w:rPr>
        <w:t>LB</w:t>
      </w:r>
      <w:r w:rsidRPr="0092785C">
        <w:rPr>
          <w:spacing w:val="3"/>
          <w:lang w:val="fr-CA"/>
        </w:rPr>
        <w:t xml:space="preserve"> »), et de </w:t>
      </w:r>
      <w:r w:rsidRPr="0092785C">
        <w:rPr>
          <w:i/>
          <w:spacing w:val="3"/>
          <w:lang w:val="fr-CA"/>
        </w:rPr>
        <w:t>The</w:t>
      </w:r>
      <w:r w:rsidRPr="0092785C">
        <w:rPr>
          <w:spacing w:val="3"/>
          <w:lang w:val="fr-CA"/>
        </w:rPr>
        <w:t xml:space="preserve"> </w:t>
      </w:r>
      <w:proofErr w:type="spellStart"/>
      <w:r w:rsidRPr="0092785C">
        <w:rPr>
          <w:i/>
          <w:spacing w:val="3"/>
          <w:lang w:val="fr-CA"/>
        </w:rPr>
        <w:t>Personal</w:t>
      </w:r>
      <w:proofErr w:type="spellEnd"/>
      <w:r w:rsidRPr="0092785C">
        <w:rPr>
          <w:i/>
          <w:spacing w:val="3"/>
          <w:lang w:val="fr-CA"/>
        </w:rPr>
        <w:t xml:space="preserve"> </w:t>
      </w:r>
      <w:proofErr w:type="spellStart"/>
      <w:r w:rsidRPr="0092785C">
        <w:rPr>
          <w:i/>
          <w:spacing w:val="3"/>
          <w:lang w:val="fr-CA"/>
        </w:rPr>
        <w:t>Property</w:t>
      </w:r>
      <w:proofErr w:type="spellEnd"/>
      <w:r w:rsidRPr="0092785C">
        <w:rPr>
          <w:i/>
          <w:spacing w:val="3"/>
          <w:lang w:val="fr-CA"/>
        </w:rPr>
        <w:t xml:space="preserve"> Security </w:t>
      </w:r>
      <w:proofErr w:type="spellStart"/>
      <w:r w:rsidRPr="0092785C">
        <w:rPr>
          <w:i/>
          <w:spacing w:val="3"/>
          <w:lang w:val="fr-CA"/>
        </w:rPr>
        <w:t>Act</w:t>
      </w:r>
      <w:proofErr w:type="spellEnd"/>
      <w:r w:rsidRPr="0092785C">
        <w:rPr>
          <w:i/>
          <w:spacing w:val="3"/>
          <w:lang w:val="fr-CA"/>
        </w:rPr>
        <w:t xml:space="preserve">, 1993 </w:t>
      </w:r>
      <w:r w:rsidRPr="0092785C">
        <w:rPr>
          <w:spacing w:val="3"/>
          <w:lang w:val="fr-CA"/>
        </w:rPr>
        <w:t>de la Saskatchewan, S.S. 1993, ch. P-6.2 (« </w:t>
      </w:r>
      <w:r w:rsidRPr="00862813">
        <w:rPr>
          <w:i/>
          <w:spacing w:val="3"/>
          <w:lang w:val="fr-CA"/>
        </w:rPr>
        <w:t>PPSA</w:t>
      </w:r>
      <w:r w:rsidRPr="0092785C">
        <w:rPr>
          <w:spacing w:val="3"/>
          <w:lang w:val="fr-CA"/>
        </w:rPr>
        <w:t> »).  Pour régler le litige, il faut examiner l</w:t>
      </w:r>
      <w:r w:rsidR="00BA1CC2">
        <w:rPr>
          <w:spacing w:val="3"/>
          <w:lang w:val="fr-CA"/>
        </w:rPr>
        <w:t>’</w:t>
      </w:r>
      <w:r w:rsidRPr="0092785C">
        <w:rPr>
          <w:spacing w:val="3"/>
          <w:lang w:val="fr-CA"/>
        </w:rPr>
        <w:t>interaction entre, d</w:t>
      </w:r>
      <w:r w:rsidR="00BA1CC2">
        <w:rPr>
          <w:spacing w:val="3"/>
          <w:lang w:val="fr-CA"/>
        </w:rPr>
        <w:t>’</w:t>
      </w:r>
      <w:r w:rsidRPr="0092785C">
        <w:rPr>
          <w:spacing w:val="3"/>
          <w:lang w:val="fr-CA"/>
        </w:rPr>
        <w:t xml:space="preserve">une part, le régime de garantie, vieux et quelque peu archaïque, établi par la </w:t>
      </w:r>
      <w:r w:rsidRPr="00862813">
        <w:rPr>
          <w:i/>
          <w:spacing w:val="3"/>
          <w:lang w:val="fr-CA"/>
        </w:rPr>
        <w:t>LB</w:t>
      </w:r>
      <w:r w:rsidRPr="0092785C">
        <w:rPr>
          <w:spacing w:val="3"/>
          <w:lang w:val="fr-CA"/>
        </w:rPr>
        <w:t xml:space="preserve"> et, d</w:t>
      </w:r>
      <w:r w:rsidR="00BA1CC2">
        <w:rPr>
          <w:spacing w:val="3"/>
          <w:lang w:val="fr-CA"/>
        </w:rPr>
        <w:t>’</w:t>
      </w:r>
      <w:r w:rsidRPr="0092785C">
        <w:rPr>
          <w:spacing w:val="3"/>
          <w:lang w:val="fr-CA"/>
        </w:rPr>
        <w:t xml:space="preserve">autre part, le régime provincial moderne créé par la </w:t>
      </w:r>
      <w:r w:rsidRPr="00862813">
        <w:rPr>
          <w:i/>
          <w:spacing w:val="3"/>
          <w:lang w:val="fr-CA"/>
        </w:rPr>
        <w:t>PPSA</w:t>
      </w:r>
      <w:r w:rsidRPr="0092785C">
        <w:rPr>
          <w:spacing w:val="3"/>
          <w:lang w:val="fr-CA"/>
        </w:rPr>
        <w:t>.  Celle-ci, ainsi que d</w:t>
      </w:r>
      <w:r w:rsidR="00BA1CC2">
        <w:rPr>
          <w:spacing w:val="3"/>
          <w:lang w:val="fr-CA"/>
        </w:rPr>
        <w:t>’</w:t>
      </w:r>
      <w:r w:rsidRPr="0092785C">
        <w:rPr>
          <w:spacing w:val="3"/>
          <w:lang w:val="fr-CA"/>
        </w:rPr>
        <w:t xml:space="preserve">autres lois provinciales en matière de sûretés mobilières, ont changé radicalement la manière dont on percevait les sûretés lorsque la </w:t>
      </w:r>
      <w:r w:rsidRPr="00862813">
        <w:rPr>
          <w:i/>
          <w:spacing w:val="3"/>
          <w:lang w:val="fr-CA"/>
        </w:rPr>
        <w:t>LB</w:t>
      </w:r>
      <w:r w:rsidRPr="0092785C">
        <w:rPr>
          <w:spacing w:val="3"/>
          <w:lang w:val="fr-CA"/>
        </w:rPr>
        <w:t xml:space="preserve"> a été adoptée, il y a plus d</w:t>
      </w:r>
      <w:r w:rsidR="00BA1CC2">
        <w:rPr>
          <w:spacing w:val="3"/>
          <w:lang w:val="fr-CA"/>
        </w:rPr>
        <w:t>’</w:t>
      </w:r>
      <w:r w:rsidRPr="0092785C">
        <w:rPr>
          <w:spacing w:val="3"/>
          <w:lang w:val="fr-CA"/>
        </w:rPr>
        <w:t>un siècle.  Comme il fallait s</w:t>
      </w:r>
      <w:r w:rsidR="00BA1CC2">
        <w:rPr>
          <w:spacing w:val="3"/>
          <w:lang w:val="fr-CA"/>
        </w:rPr>
        <w:t>’</w:t>
      </w:r>
      <w:r w:rsidRPr="0092785C">
        <w:rPr>
          <w:spacing w:val="3"/>
          <w:lang w:val="fr-CA"/>
        </w:rPr>
        <w:t>y attendre, l</w:t>
      </w:r>
      <w:r w:rsidR="00BA1CC2">
        <w:rPr>
          <w:spacing w:val="3"/>
          <w:lang w:val="fr-CA"/>
        </w:rPr>
        <w:t>’</w:t>
      </w:r>
      <w:r w:rsidRPr="0092785C">
        <w:rPr>
          <w:spacing w:val="3"/>
          <w:lang w:val="fr-CA"/>
        </w:rPr>
        <w:t>interaction entre les deux régimes a donné lieu à de multiples conflits, d</w:t>
      </w:r>
      <w:r w:rsidR="00BA1CC2">
        <w:rPr>
          <w:spacing w:val="3"/>
          <w:lang w:val="fr-CA"/>
        </w:rPr>
        <w:t>’</w:t>
      </w:r>
      <w:r w:rsidRPr="0092785C">
        <w:rPr>
          <w:spacing w:val="3"/>
          <w:lang w:val="fr-CA"/>
        </w:rPr>
        <w:t>une grande diversité.  En fait, il semble exister un large consensus sur l</w:t>
      </w:r>
      <w:r w:rsidR="00BA1CC2">
        <w:rPr>
          <w:spacing w:val="3"/>
          <w:lang w:val="fr-CA"/>
        </w:rPr>
        <w:t>’</w:t>
      </w:r>
      <w:r w:rsidRPr="0092785C">
        <w:rPr>
          <w:spacing w:val="3"/>
          <w:lang w:val="fr-CA"/>
        </w:rPr>
        <w:t>impossibilité de résoudre entièrement les difficultés qui surgissent sans une réforme législative.  Or, aucune mesure législative en ce sens ne semble imminente.  La Cour doit donc trancher les deux affaires qui lui sont soumises et fournir quelques indications dans ce domaine nébuleux du droit.</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En l</w:t>
      </w:r>
      <w:r w:rsidR="00BA1CC2">
        <w:rPr>
          <w:lang w:val="fr-CA"/>
        </w:rPr>
        <w:t>’</w:t>
      </w:r>
      <w:r w:rsidRPr="0092785C">
        <w:rPr>
          <w:lang w:val="fr-CA"/>
        </w:rPr>
        <w:t xml:space="preserve">espèce, le pourvoi porte sur un conflit de priorité entre une sûreté antérieure non enregistrée consentie en application de la </w:t>
      </w:r>
      <w:r w:rsidRPr="00862813">
        <w:rPr>
          <w:i/>
          <w:lang w:val="fr-CA"/>
        </w:rPr>
        <w:t>PPSA</w:t>
      </w:r>
      <w:r w:rsidRPr="0092785C">
        <w:rPr>
          <w:lang w:val="fr-CA"/>
        </w:rPr>
        <w:t xml:space="preserve"> sur du matériel agricole mobilier appartenant au débiteur et une garantie subséquente sur les mêmes biens, obtenue et enregistrée sous le régime de la </w:t>
      </w:r>
      <w:r w:rsidRPr="00862813">
        <w:rPr>
          <w:i/>
          <w:lang w:val="fr-CA"/>
        </w:rPr>
        <w:t>LB</w:t>
      </w:r>
      <w:r w:rsidRPr="0092785C">
        <w:rPr>
          <w:lang w:val="fr-CA"/>
        </w:rPr>
        <w:t xml:space="preserve">.  En première instance, le juge </w:t>
      </w:r>
      <w:r w:rsidRPr="0092785C">
        <w:rPr>
          <w:lang w:val="fr-CA"/>
        </w:rPr>
        <w:lastRenderedPageBreak/>
        <w:t xml:space="preserve">des requêtes a décidé que, comme la </w:t>
      </w:r>
      <w:r w:rsidR="00862813">
        <w:rPr>
          <w:lang w:val="fr-CA"/>
        </w:rPr>
        <w:t>C</w:t>
      </w:r>
      <w:r w:rsidRPr="0092785C">
        <w:rPr>
          <w:lang w:val="fr-CA"/>
        </w:rPr>
        <w:t>oopérative de crédit n</w:t>
      </w:r>
      <w:r w:rsidR="00BA1CC2">
        <w:rPr>
          <w:lang w:val="fr-CA"/>
        </w:rPr>
        <w:t>’</w:t>
      </w:r>
      <w:r w:rsidRPr="0092785C">
        <w:rPr>
          <w:lang w:val="fr-CA"/>
        </w:rPr>
        <w:t>avait pas parfait sa sûreté en l</w:t>
      </w:r>
      <w:r w:rsidR="00BA1CC2">
        <w:rPr>
          <w:lang w:val="fr-CA"/>
        </w:rPr>
        <w:t>’</w:t>
      </w:r>
      <w:r w:rsidRPr="0092785C">
        <w:rPr>
          <w:lang w:val="fr-CA"/>
        </w:rPr>
        <w:t xml:space="preserve">enregistrant comme le prévoit la </w:t>
      </w:r>
      <w:r w:rsidRPr="00862813">
        <w:rPr>
          <w:i/>
          <w:lang w:val="fr-CA"/>
        </w:rPr>
        <w:t>PPSA</w:t>
      </w:r>
      <w:r w:rsidRPr="0092785C">
        <w:rPr>
          <w:lang w:val="fr-CA"/>
        </w:rPr>
        <w:t>, la sûreté de la banque avait priorité.  De l</w:t>
      </w:r>
      <w:r w:rsidR="00BA1CC2">
        <w:rPr>
          <w:lang w:val="fr-CA"/>
        </w:rPr>
        <w:t>’</w:t>
      </w:r>
      <w:r w:rsidRPr="0092785C">
        <w:rPr>
          <w:lang w:val="fr-CA"/>
        </w:rPr>
        <w:t>avis du juge, la règle de priorité prévue par l</w:t>
      </w:r>
      <w:r w:rsidR="00BA1CC2">
        <w:rPr>
          <w:lang w:val="fr-CA"/>
        </w:rPr>
        <w:t>’</w:t>
      </w:r>
      <w:r w:rsidRPr="0092785C">
        <w:rPr>
          <w:lang w:val="fr-CA"/>
        </w:rPr>
        <w:t xml:space="preserve">art. 428 de la </w:t>
      </w:r>
      <w:r w:rsidRPr="0092785C">
        <w:rPr>
          <w:i/>
          <w:lang w:val="fr-CA"/>
        </w:rPr>
        <w:t>Loi sur les banques</w:t>
      </w:r>
      <w:r w:rsidRPr="0092785C">
        <w:rPr>
          <w:lang w:val="fr-CA"/>
        </w:rPr>
        <w:t>, prévoyant qu</w:t>
      </w:r>
      <w:r w:rsidR="00BA1CC2">
        <w:rPr>
          <w:lang w:val="fr-CA"/>
        </w:rPr>
        <w:t>’</w:t>
      </w:r>
      <w:r w:rsidRPr="0092785C">
        <w:rPr>
          <w:lang w:val="fr-CA"/>
        </w:rPr>
        <w:t xml:space="preserve">une garantie consentie en vertu de cette loi prime les droits subséquemment acquis sur le bien, donne aussi priorité à la garantie de la Banque sur les droits </w:t>
      </w:r>
      <w:r w:rsidRPr="0092785C">
        <w:rPr>
          <w:i/>
          <w:lang w:val="fr-CA"/>
        </w:rPr>
        <w:t>de priorité</w:t>
      </w:r>
      <w:r w:rsidRPr="0092785C">
        <w:rPr>
          <w:lang w:val="fr-CA"/>
        </w:rPr>
        <w:t xml:space="preserve"> acquis subséquemment (2007 SKQB 471, 306 </w:t>
      </w:r>
      <w:proofErr w:type="spellStart"/>
      <w:r w:rsidRPr="0092785C">
        <w:rPr>
          <w:lang w:val="fr-CA"/>
        </w:rPr>
        <w:t>Sask</w:t>
      </w:r>
      <w:proofErr w:type="spellEnd"/>
      <w:r w:rsidRPr="0092785C">
        <w:rPr>
          <w:lang w:val="fr-CA"/>
        </w:rPr>
        <w:t>. R. 227).  La Cour d</w:t>
      </w:r>
      <w:r w:rsidR="00BA1CC2">
        <w:rPr>
          <w:lang w:val="fr-CA"/>
        </w:rPr>
        <w:t>’</w:t>
      </w:r>
      <w:r w:rsidRPr="0092785C">
        <w:rPr>
          <w:lang w:val="fr-CA"/>
        </w:rPr>
        <w:t>appel de la Saskatchewan a accueilli l</w:t>
      </w:r>
      <w:r w:rsidR="00BA1CC2">
        <w:rPr>
          <w:lang w:val="fr-CA"/>
        </w:rPr>
        <w:t>’</w:t>
      </w:r>
      <w:r w:rsidRPr="0092785C">
        <w:rPr>
          <w:lang w:val="fr-CA"/>
        </w:rPr>
        <w:t>appel, concluant que cette interprétation de l</w:t>
      </w:r>
      <w:r w:rsidR="00BA1CC2">
        <w:rPr>
          <w:lang w:val="fr-CA"/>
        </w:rPr>
        <w:t>’</w:t>
      </w:r>
      <w:r w:rsidRPr="0092785C">
        <w:rPr>
          <w:lang w:val="fr-CA"/>
        </w:rPr>
        <w:t>art. 428 ne peut être étayée.  Si l</w:t>
      </w:r>
      <w:r w:rsidR="00BA1CC2">
        <w:rPr>
          <w:lang w:val="fr-CA"/>
        </w:rPr>
        <w:t>’</w:t>
      </w:r>
      <w:r w:rsidRPr="0092785C">
        <w:rPr>
          <w:lang w:val="fr-CA"/>
        </w:rPr>
        <w:t xml:space="preserve">on interprète bien les par. 427(2) et 435(2) de la </w:t>
      </w:r>
      <w:r w:rsidRPr="00862813">
        <w:rPr>
          <w:i/>
          <w:lang w:val="fr-CA"/>
        </w:rPr>
        <w:t>LB</w:t>
      </w:r>
      <w:r w:rsidRPr="0092785C">
        <w:rPr>
          <w:lang w:val="fr-CA"/>
        </w:rPr>
        <w:t>, il faut appliquer le droit des biens provincial pour établir l</w:t>
      </w:r>
      <w:r w:rsidR="00BA1CC2">
        <w:rPr>
          <w:lang w:val="fr-CA"/>
        </w:rPr>
        <w:t>’</w:t>
      </w:r>
      <w:r w:rsidRPr="0092785C">
        <w:rPr>
          <w:lang w:val="fr-CA"/>
        </w:rPr>
        <w:t>effet d</w:t>
      </w:r>
      <w:r w:rsidR="00BA1CC2">
        <w:rPr>
          <w:lang w:val="fr-CA"/>
        </w:rPr>
        <w:t>’</w:t>
      </w:r>
      <w:r w:rsidRPr="0092785C">
        <w:rPr>
          <w:lang w:val="fr-CA"/>
        </w:rPr>
        <w:t>une sûreté antérieure.  En l</w:t>
      </w:r>
      <w:r w:rsidR="00BA1CC2">
        <w:rPr>
          <w:lang w:val="fr-CA"/>
        </w:rPr>
        <w:t>’</w:t>
      </w:r>
      <w:r w:rsidRPr="0092785C">
        <w:rPr>
          <w:lang w:val="fr-CA"/>
        </w:rPr>
        <w:t xml:space="preserve">occurrence, la première sûreté, régie par la </w:t>
      </w:r>
      <w:r w:rsidRPr="00862813">
        <w:rPr>
          <w:i/>
          <w:lang w:val="fr-CA"/>
        </w:rPr>
        <w:t>PPSA</w:t>
      </w:r>
      <w:r w:rsidRPr="0092785C">
        <w:rPr>
          <w:lang w:val="fr-CA"/>
        </w:rPr>
        <w:t xml:space="preserve">, avait priorité sur la garantie relevant de la </w:t>
      </w:r>
      <w:r w:rsidRPr="00862813">
        <w:rPr>
          <w:i/>
          <w:lang w:val="fr-CA"/>
        </w:rPr>
        <w:t>LB</w:t>
      </w:r>
      <w:r w:rsidRPr="0092785C">
        <w:rPr>
          <w:lang w:val="fr-CA"/>
        </w:rPr>
        <w:t xml:space="preserve"> parce que l</w:t>
      </w:r>
      <w:r w:rsidR="00BA1CC2">
        <w:rPr>
          <w:lang w:val="fr-CA"/>
        </w:rPr>
        <w:t>’</w:t>
      </w:r>
      <w:r w:rsidRPr="0092785C">
        <w:rPr>
          <w:lang w:val="fr-CA"/>
        </w:rPr>
        <w:t>intérêt acquis par la Banque n</w:t>
      </w:r>
      <w:r w:rsidR="00BA1CC2">
        <w:rPr>
          <w:lang w:val="fr-CA"/>
        </w:rPr>
        <w:t>’</w:t>
      </w:r>
      <w:r w:rsidRPr="0092785C">
        <w:rPr>
          <w:lang w:val="fr-CA"/>
        </w:rPr>
        <w:t xml:space="preserve">était pas supérieur à celui que détenait le débiteur lui-même au moment où il lui a consenti cette garantie.  La garantie de la </w:t>
      </w:r>
      <w:r w:rsidR="00862813">
        <w:rPr>
          <w:lang w:val="fr-CA"/>
        </w:rPr>
        <w:t>B</w:t>
      </w:r>
      <w:r w:rsidRPr="0092785C">
        <w:rPr>
          <w:lang w:val="fr-CA"/>
        </w:rPr>
        <w:t xml:space="preserve">anque était donc subordonnée à la sûreté antérieure de la </w:t>
      </w:r>
      <w:r w:rsidR="00862813">
        <w:rPr>
          <w:lang w:val="fr-CA"/>
        </w:rPr>
        <w:t>C</w:t>
      </w:r>
      <w:r w:rsidRPr="0092785C">
        <w:rPr>
          <w:lang w:val="fr-CA"/>
        </w:rPr>
        <w:t xml:space="preserve">oopérative de crédit, sans égard au fait que la sûreté de la </w:t>
      </w:r>
      <w:r w:rsidR="00862813">
        <w:rPr>
          <w:lang w:val="fr-CA"/>
        </w:rPr>
        <w:t>C</w:t>
      </w:r>
      <w:r w:rsidRPr="0092785C">
        <w:rPr>
          <w:lang w:val="fr-CA"/>
        </w:rPr>
        <w:t>oopérative de crédit n</w:t>
      </w:r>
      <w:r w:rsidR="00BA1CC2">
        <w:rPr>
          <w:lang w:val="fr-CA"/>
        </w:rPr>
        <w:t>’</w:t>
      </w:r>
      <w:r w:rsidRPr="0092785C">
        <w:rPr>
          <w:lang w:val="fr-CA"/>
        </w:rPr>
        <w:t xml:space="preserve">avait pas été parfaite (2009 SKCA 35, 324 </w:t>
      </w:r>
      <w:proofErr w:type="spellStart"/>
      <w:r w:rsidRPr="0092785C">
        <w:rPr>
          <w:lang w:val="fr-CA"/>
        </w:rPr>
        <w:t>Sask</w:t>
      </w:r>
      <w:proofErr w:type="spellEnd"/>
      <w:r w:rsidRPr="0092785C">
        <w:rPr>
          <w:lang w:val="fr-CA"/>
        </w:rPr>
        <w:t>. R. 160).</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En appel devant la Cour, la Banque de Montréal fait valoir qu</w:t>
      </w:r>
      <w:r w:rsidR="00BA1CC2">
        <w:rPr>
          <w:lang w:val="fr-CA"/>
        </w:rPr>
        <w:t>’</w:t>
      </w:r>
      <w:r w:rsidRPr="0092785C">
        <w:rPr>
          <w:lang w:val="fr-CA"/>
        </w:rPr>
        <w:t xml:space="preserve">aucun intérêt </w:t>
      </w:r>
      <w:proofErr w:type="spellStart"/>
      <w:r w:rsidRPr="0092785C">
        <w:rPr>
          <w:lang w:val="fr-CA"/>
        </w:rPr>
        <w:t>propriétal</w:t>
      </w:r>
      <w:proofErr w:type="spellEnd"/>
      <w:r w:rsidRPr="0092785C">
        <w:rPr>
          <w:lang w:val="fr-CA"/>
        </w:rPr>
        <w:t xml:space="preserve"> dans les biens n</w:t>
      </w:r>
      <w:r w:rsidR="00BA1CC2">
        <w:rPr>
          <w:lang w:val="fr-CA"/>
        </w:rPr>
        <w:t>’</w:t>
      </w:r>
      <w:r w:rsidRPr="0092785C">
        <w:rPr>
          <w:lang w:val="fr-CA"/>
        </w:rPr>
        <w:t xml:space="preserve">a été conféré à la </w:t>
      </w:r>
      <w:r w:rsidR="00862813">
        <w:rPr>
          <w:lang w:val="fr-CA"/>
        </w:rPr>
        <w:t>C</w:t>
      </w:r>
      <w:r w:rsidRPr="0092785C">
        <w:rPr>
          <w:lang w:val="fr-CA"/>
        </w:rPr>
        <w:t xml:space="preserve">oopérative de crédit par le contrat de sûreté conclu sous le régime de la </w:t>
      </w:r>
      <w:r w:rsidRPr="00862813">
        <w:rPr>
          <w:i/>
          <w:lang w:val="fr-CA"/>
        </w:rPr>
        <w:t>PPSA</w:t>
      </w:r>
      <w:r w:rsidRPr="0092785C">
        <w:rPr>
          <w:lang w:val="fr-CA"/>
        </w:rPr>
        <w:t xml:space="preserve"> et que, par conséquent, la </w:t>
      </w:r>
      <w:r w:rsidR="00862813">
        <w:rPr>
          <w:lang w:val="fr-CA"/>
        </w:rPr>
        <w:t>B</w:t>
      </w:r>
      <w:r w:rsidRPr="0092785C">
        <w:rPr>
          <w:lang w:val="fr-CA"/>
        </w:rPr>
        <w:t xml:space="preserve">anque a acquis un intérêt non grevé sur les biens du débiteur quand elle a obtenu sa garantie sous le régime de la </w:t>
      </w:r>
      <w:r w:rsidRPr="00862813">
        <w:rPr>
          <w:i/>
          <w:lang w:val="fr-CA"/>
        </w:rPr>
        <w:t>LB</w:t>
      </w:r>
      <w:r w:rsidRPr="0092785C">
        <w:rPr>
          <w:lang w:val="fr-CA"/>
        </w:rPr>
        <w:t>.  Subsidiairement, la Banque de Montréal fait valoir que la règle de la priorité chronologique ne devrait pas s</w:t>
      </w:r>
      <w:r w:rsidR="00BA1CC2">
        <w:rPr>
          <w:lang w:val="fr-CA"/>
        </w:rPr>
        <w:t>’</w:t>
      </w:r>
      <w:r w:rsidRPr="0092785C">
        <w:rPr>
          <w:lang w:val="fr-CA"/>
        </w:rPr>
        <w:t>appliquer de manière à donner priorité au premier contrat de sûreté conclu, car les banques n</w:t>
      </w:r>
      <w:r w:rsidR="00BA1CC2">
        <w:rPr>
          <w:lang w:val="fr-CA"/>
        </w:rPr>
        <w:t>’</w:t>
      </w:r>
      <w:r w:rsidRPr="0092785C">
        <w:rPr>
          <w:lang w:val="fr-CA"/>
        </w:rPr>
        <w:t xml:space="preserve">ont aucun moyen de </w:t>
      </w:r>
      <w:r w:rsidRPr="0092785C">
        <w:rPr>
          <w:lang w:val="fr-CA"/>
        </w:rPr>
        <w:lastRenderedPageBreak/>
        <w:t>constater l</w:t>
      </w:r>
      <w:r w:rsidR="00BA1CC2">
        <w:rPr>
          <w:lang w:val="fr-CA"/>
        </w:rPr>
        <w:t>’</w:t>
      </w:r>
      <w:r w:rsidRPr="0092785C">
        <w:rPr>
          <w:lang w:val="fr-CA"/>
        </w:rPr>
        <w:t xml:space="preserve">existence de sûretés consenties sous le régime de la </w:t>
      </w:r>
      <w:r w:rsidRPr="00862813">
        <w:rPr>
          <w:i/>
          <w:lang w:val="fr-CA"/>
        </w:rPr>
        <w:t>PPSA</w:t>
      </w:r>
      <w:r w:rsidRPr="0092785C">
        <w:rPr>
          <w:lang w:val="fr-CA"/>
        </w:rPr>
        <w:t xml:space="preserve"> qui ne sont ni révélées ni enregistrées.  Puisque le fait de donner priorité à ces droits sur ceux acquis subséquemment en vertu de la </w:t>
      </w:r>
      <w:r w:rsidRPr="00862813">
        <w:rPr>
          <w:i/>
          <w:lang w:val="fr-CA"/>
        </w:rPr>
        <w:t>LB</w:t>
      </w:r>
      <w:r w:rsidRPr="0092785C">
        <w:rPr>
          <w:lang w:val="fr-CA"/>
        </w:rPr>
        <w:t xml:space="preserve"> exposerait les banques à des risques commerciaux déraisonnables, il faudrait modifier la règle de façon à donner priorité au premier contrat de sûreté enregistré.</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À mon avis, la prétention de la Banque qu</w:t>
      </w:r>
      <w:r w:rsidR="00BA1CC2">
        <w:rPr>
          <w:lang w:val="fr-CA"/>
        </w:rPr>
        <w:t>’</w:t>
      </w:r>
      <w:r w:rsidRPr="0092785C">
        <w:rPr>
          <w:lang w:val="fr-CA"/>
        </w:rPr>
        <w:t>aucun intérêt affectant le titre du débiteur n</w:t>
      </w:r>
      <w:r w:rsidR="00BA1CC2">
        <w:rPr>
          <w:lang w:val="fr-CA"/>
        </w:rPr>
        <w:t>’</w:t>
      </w:r>
      <w:r w:rsidRPr="0092785C">
        <w:rPr>
          <w:lang w:val="fr-CA"/>
        </w:rPr>
        <w:t xml:space="preserve">a été accordé à la </w:t>
      </w:r>
      <w:r w:rsidR="00862813">
        <w:rPr>
          <w:lang w:val="fr-CA"/>
        </w:rPr>
        <w:t>C</w:t>
      </w:r>
      <w:r w:rsidRPr="0092785C">
        <w:rPr>
          <w:lang w:val="fr-CA"/>
        </w:rPr>
        <w:t>oopérative de crédit lorsqu</w:t>
      </w:r>
      <w:r w:rsidR="00BA1CC2">
        <w:rPr>
          <w:lang w:val="fr-CA"/>
        </w:rPr>
        <w:t>’</w:t>
      </w:r>
      <w:r w:rsidRPr="0092785C">
        <w:rPr>
          <w:lang w:val="fr-CA"/>
        </w:rPr>
        <w:t>elle a obtenu sa sûreté antérieure, mais non parfaite, ne peut être étayée en droit.  La Cour d</w:t>
      </w:r>
      <w:r w:rsidR="00BA1CC2">
        <w:rPr>
          <w:lang w:val="fr-CA"/>
        </w:rPr>
        <w:t>’</w:t>
      </w:r>
      <w:r w:rsidRPr="0092785C">
        <w:rPr>
          <w:lang w:val="fr-CA"/>
        </w:rPr>
        <w:t xml:space="preserve">appel a interprété correctement la </w:t>
      </w:r>
      <w:r w:rsidRPr="00862813">
        <w:rPr>
          <w:i/>
          <w:lang w:val="fr-CA"/>
        </w:rPr>
        <w:t>LB</w:t>
      </w:r>
      <w:r w:rsidRPr="0092785C">
        <w:rPr>
          <w:lang w:val="fr-CA"/>
        </w:rPr>
        <w:t xml:space="preserve">.  Lorsque la Banque de Montréal a pris sa garantie en vertu de la </w:t>
      </w:r>
      <w:r w:rsidRPr="00862813">
        <w:rPr>
          <w:i/>
          <w:lang w:val="fr-CA"/>
        </w:rPr>
        <w:t>LB</w:t>
      </w:r>
      <w:r w:rsidRPr="0092785C">
        <w:rPr>
          <w:lang w:val="fr-CA"/>
        </w:rPr>
        <w:t xml:space="preserve">, le débiteur avait déjà accordé une sûreté sur ce bien à la </w:t>
      </w:r>
      <w:r w:rsidR="00B677AF">
        <w:rPr>
          <w:lang w:val="fr-CA"/>
        </w:rPr>
        <w:t>C</w:t>
      </w:r>
      <w:r w:rsidRPr="0092785C">
        <w:rPr>
          <w:lang w:val="fr-CA"/>
        </w:rPr>
        <w:t xml:space="preserve">oopérative de crédit sous le régime de la </w:t>
      </w:r>
      <w:r w:rsidRPr="00862813">
        <w:rPr>
          <w:i/>
          <w:lang w:val="fr-CA"/>
        </w:rPr>
        <w:t>PPSA</w:t>
      </w:r>
      <w:r w:rsidRPr="0092785C">
        <w:rPr>
          <w:lang w:val="fr-CA"/>
        </w:rPr>
        <w:t>.  Comme je vais l</w:t>
      </w:r>
      <w:r w:rsidR="00BA1CC2">
        <w:rPr>
          <w:lang w:val="fr-CA"/>
        </w:rPr>
        <w:t>’</w:t>
      </w:r>
      <w:r w:rsidRPr="0092785C">
        <w:rPr>
          <w:lang w:val="fr-CA"/>
        </w:rPr>
        <w:t>expliquer ci-dessous, l</w:t>
      </w:r>
      <w:r w:rsidR="00BA1CC2">
        <w:rPr>
          <w:lang w:val="fr-CA"/>
        </w:rPr>
        <w:t>’</w:t>
      </w:r>
      <w:r w:rsidRPr="0092785C">
        <w:rPr>
          <w:lang w:val="fr-CA"/>
        </w:rPr>
        <w:t xml:space="preserve">intérêt acquis par la </w:t>
      </w:r>
      <w:r w:rsidR="00862813">
        <w:rPr>
          <w:lang w:val="fr-CA"/>
        </w:rPr>
        <w:t>C</w:t>
      </w:r>
      <w:r w:rsidRPr="0092785C">
        <w:rPr>
          <w:lang w:val="fr-CA"/>
        </w:rPr>
        <w:t xml:space="preserve">oopérative de crédit en application de la loi correspond à un droit </w:t>
      </w:r>
      <w:proofErr w:type="spellStart"/>
      <w:r w:rsidRPr="0092785C">
        <w:rPr>
          <w:lang w:val="fr-CA"/>
        </w:rPr>
        <w:t>propriétal</w:t>
      </w:r>
      <w:proofErr w:type="spellEnd"/>
      <w:r w:rsidRPr="0092785C">
        <w:rPr>
          <w:lang w:val="fr-CA"/>
        </w:rPr>
        <w:t xml:space="preserve"> en </w:t>
      </w:r>
      <w:proofErr w:type="spellStart"/>
      <w:r w:rsidRPr="0092785C">
        <w:rPr>
          <w:lang w:val="fr-CA"/>
        </w:rPr>
        <w:t>common</w:t>
      </w:r>
      <w:proofErr w:type="spellEnd"/>
      <w:r w:rsidRPr="0092785C">
        <w:rPr>
          <w:lang w:val="fr-CA"/>
        </w:rPr>
        <w:t xml:space="preserve"> </w:t>
      </w:r>
      <w:proofErr w:type="spellStart"/>
      <w:r w:rsidRPr="0092785C">
        <w:rPr>
          <w:lang w:val="fr-CA"/>
        </w:rPr>
        <w:t>law</w:t>
      </w:r>
      <w:proofErr w:type="spellEnd"/>
      <w:r w:rsidRPr="0092785C">
        <w:rPr>
          <w:lang w:val="fr-CA"/>
        </w:rPr>
        <w:t>, de sorte que la garantie obtenue par la Banque lui est subordonnée.  L</w:t>
      </w:r>
      <w:r w:rsidR="00BA1CC2">
        <w:rPr>
          <w:lang w:val="fr-CA"/>
        </w:rPr>
        <w:t>’</w:t>
      </w:r>
      <w:r w:rsidRPr="0092785C">
        <w:rPr>
          <w:lang w:val="fr-CA"/>
        </w:rPr>
        <w:t>argument de la Banque selon lequel cette interprétation donne des résultats absurdes sur le plan commercial fait écho aux nombreuses demandes de réforme législative et n</w:t>
      </w:r>
      <w:r w:rsidR="00BA1CC2">
        <w:rPr>
          <w:lang w:val="fr-CA"/>
        </w:rPr>
        <w:t>’</w:t>
      </w:r>
      <w:r w:rsidRPr="0092785C">
        <w:rPr>
          <w:lang w:val="fr-CA"/>
        </w:rPr>
        <w:t>est pas dénué de fondement.  Toutefois, dans l</w:t>
      </w:r>
      <w:r w:rsidR="00BA1CC2">
        <w:rPr>
          <w:lang w:val="fr-CA"/>
        </w:rPr>
        <w:t>’</w:t>
      </w:r>
      <w:r w:rsidRPr="0092785C">
        <w:rPr>
          <w:lang w:val="fr-CA"/>
        </w:rPr>
        <w:t>état actuel des choses, aucune interprétation acceptable du régime législatif actuel ne permettrait aux tribunaux d</w:t>
      </w:r>
      <w:r w:rsidR="00BA1CC2">
        <w:rPr>
          <w:lang w:val="fr-CA"/>
        </w:rPr>
        <w:t>’</w:t>
      </w:r>
      <w:r w:rsidRPr="0092785C">
        <w:rPr>
          <w:lang w:val="fr-CA"/>
        </w:rPr>
        <w:t>établir une règle conférant priorité au premier enregistrement ou, subsidiairement, à la première sûreté parfaite, comme le propose la Banque.</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Je suis d</w:t>
      </w:r>
      <w:r w:rsidR="00BA1CC2">
        <w:rPr>
          <w:lang w:val="fr-CA"/>
        </w:rPr>
        <w:t>’</w:t>
      </w:r>
      <w:r w:rsidRPr="0092785C">
        <w:rPr>
          <w:lang w:val="fr-CA"/>
        </w:rPr>
        <w:t>avis de rejeter l</w:t>
      </w:r>
      <w:r w:rsidR="00BA1CC2">
        <w:rPr>
          <w:lang w:val="fr-CA"/>
        </w:rPr>
        <w:t>’</w:t>
      </w:r>
      <w:r w:rsidRPr="0092785C">
        <w:rPr>
          <w:lang w:val="fr-CA"/>
        </w:rPr>
        <w:t>appel.</w:t>
      </w:r>
    </w:p>
    <w:p w:rsidR="00DC4439" w:rsidRPr="0092785C" w:rsidRDefault="00DC4439" w:rsidP="00B677AF">
      <w:pPr>
        <w:pStyle w:val="ListParagraph"/>
        <w:keepNext/>
        <w:tabs>
          <w:tab w:val="left" w:pos="540"/>
          <w:tab w:val="left" w:pos="1152"/>
        </w:tabs>
        <w:spacing w:after="480" w:line="480" w:lineRule="auto"/>
        <w:ind w:left="0"/>
        <w:jc w:val="both"/>
        <w:rPr>
          <w:spacing w:val="3"/>
          <w:lang w:val="fr-CA"/>
        </w:rPr>
      </w:pPr>
      <w:r w:rsidRPr="0092785C">
        <w:rPr>
          <w:spacing w:val="3"/>
          <w:lang w:val="fr-CA"/>
        </w:rPr>
        <w:lastRenderedPageBreak/>
        <w:t>2.</w:t>
      </w:r>
      <w:r w:rsidR="00B677AF">
        <w:rPr>
          <w:spacing w:val="3"/>
          <w:lang w:val="fr-CA"/>
        </w:rPr>
        <w:tab/>
      </w:r>
      <w:r w:rsidRPr="0092785C">
        <w:rPr>
          <w:spacing w:val="3"/>
          <w:u w:val="single"/>
          <w:lang w:val="fr-CA"/>
        </w:rPr>
        <w:t>Les faits et les décisions des juridictions inférieures</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James </w:t>
      </w:r>
      <w:proofErr w:type="spellStart"/>
      <w:r w:rsidRPr="0092785C">
        <w:rPr>
          <w:lang w:val="fr-CA"/>
        </w:rPr>
        <w:t>Buist</w:t>
      </w:r>
      <w:proofErr w:type="spellEnd"/>
      <w:r w:rsidRPr="0092785C">
        <w:rPr>
          <w:lang w:val="fr-CA"/>
        </w:rPr>
        <w:t>, un agriculteur de la Saskatchewan, a contracté un prêt auprès de l</w:t>
      </w:r>
      <w:r w:rsidR="00BA1CC2">
        <w:rPr>
          <w:lang w:val="fr-CA"/>
        </w:rPr>
        <w:t>’</w:t>
      </w:r>
      <w:r w:rsidRPr="0092785C">
        <w:rPr>
          <w:lang w:val="fr-CA"/>
        </w:rPr>
        <w:t xml:space="preserve">Innovation </w:t>
      </w:r>
      <w:proofErr w:type="spellStart"/>
      <w:r w:rsidRPr="0092785C">
        <w:rPr>
          <w:lang w:val="fr-CA"/>
        </w:rPr>
        <w:t>Credit</w:t>
      </w:r>
      <w:proofErr w:type="spellEnd"/>
      <w:r w:rsidRPr="0092785C">
        <w:rPr>
          <w:lang w:val="fr-CA"/>
        </w:rPr>
        <w:t xml:space="preserve"> Union (la « Coopérative de crédit »).  Pour obtenir ce prêt, il a consenti à la Coopérative de crédit une sûreté sur tous ses biens actuels et futurs sous le régime de la </w:t>
      </w:r>
      <w:r w:rsidRPr="00B677AF">
        <w:rPr>
          <w:i/>
          <w:lang w:val="fr-CA"/>
        </w:rPr>
        <w:t>PPSA</w:t>
      </w:r>
      <w:r w:rsidRPr="0092785C">
        <w:rPr>
          <w:lang w:val="fr-CA"/>
        </w:rPr>
        <w:t xml:space="preserve"> en signant un contrat de sûreté daté du 7 octobre 1991.  La Coopérative de crédit n</w:t>
      </w:r>
      <w:r w:rsidR="00BA1CC2">
        <w:rPr>
          <w:lang w:val="fr-CA"/>
        </w:rPr>
        <w:t>’</w:t>
      </w:r>
      <w:r w:rsidRPr="0092785C">
        <w:rPr>
          <w:lang w:val="fr-CA"/>
        </w:rPr>
        <w:t>a enregistré cette sûreté que le 28 juin 2004.</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M. </w:t>
      </w:r>
      <w:proofErr w:type="spellStart"/>
      <w:r w:rsidRPr="0092785C">
        <w:rPr>
          <w:lang w:val="fr-CA"/>
        </w:rPr>
        <w:t>Buist</w:t>
      </w:r>
      <w:proofErr w:type="spellEnd"/>
      <w:r w:rsidRPr="0092785C">
        <w:rPr>
          <w:lang w:val="fr-CA"/>
        </w:rPr>
        <w:t xml:space="preserve"> a emprunté de l</w:t>
      </w:r>
      <w:r w:rsidR="00BA1CC2">
        <w:rPr>
          <w:lang w:val="fr-CA"/>
        </w:rPr>
        <w:t>’</w:t>
      </w:r>
      <w:r w:rsidRPr="0092785C">
        <w:rPr>
          <w:lang w:val="fr-CA"/>
        </w:rPr>
        <w:t>argent à la Banque de Montréal après avoir contracté son emprunt auprès de la Coopérative de crédit.  Pour garantir son prêt, la Banque a conclu des contrats de sûreté avec M. </w:t>
      </w:r>
      <w:proofErr w:type="spellStart"/>
      <w:r w:rsidRPr="0092785C">
        <w:rPr>
          <w:lang w:val="fr-CA"/>
        </w:rPr>
        <w:t>Buist</w:t>
      </w:r>
      <w:proofErr w:type="spellEnd"/>
      <w:r w:rsidRPr="0092785C">
        <w:rPr>
          <w:lang w:val="fr-CA"/>
        </w:rPr>
        <w:t xml:space="preserve"> entre 1998 et janvier 2004, obtenant ainsi une garantie valable en application de la </w:t>
      </w:r>
      <w:r w:rsidRPr="00B677AF">
        <w:rPr>
          <w:i/>
          <w:lang w:val="fr-CA"/>
        </w:rPr>
        <w:t>LB</w:t>
      </w:r>
      <w:r w:rsidRPr="0092785C">
        <w:rPr>
          <w:i/>
          <w:lang w:val="fr-CA"/>
        </w:rPr>
        <w:t xml:space="preserve"> </w:t>
      </w:r>
      <w:r w:rsidRPr="0092785C">
        <w:rPr>
          <w:lang w:val="fr-CA"/>
        </w:rPr>
        <w:t>sur une bonne partie des biens déjà visés par la sûreté de la Coopérative de crédit.  Dans ses demandes de financement, M. </w:t>
      </w:r>
      <w:proofErr w:type="spellStart"/>
      <w:r w:rsidRPr="0092785C">
        <w:rPr>
          <w:lang w:val="fr-CA"/>
        </w:rPr>
        <w:t>Buist</w:t>
      </w:r>
      <w:proofErr w:type="spellEnd"/>
      <w:r w:rsidRPr="0092785C">
        <w:rPr>
          <w:lang w:val="fr-CA"/>
        </w:rPr>
        <w:t xml:space="preserve"> n</w:t>
      </w:r>
      <w:r w:rsidR="00BA1CC2">
        <w:rPr>
          <w:lang w:val="fr-CA"/>
        </w:rPr>
        <w:t>’</w:t>
      </w:r>
      <w:r w:rsidRPr="0092785C">
        <w:rPr>
          <w:lang w:val="fr-CA"/>
        </w:rPr>
        <w:t>avait pas révélé à la Banque l</w:t>
      </w:r>
      <w:r w:rsidR="00BA1CC2">
        <w:rPr>
          <w:lang w:val="fr-CA"/>
        </w:rPr>
        <w:t>’</w:t>
      </w:r>
      <w:r w:rsidRPr="0092785C">
        <w:rPr>
          <w:lang w:val="fr-CA"/>
        </w:rPr>
        <w:t>existence des prêts qu</w:t>
      </w:r>
      <w:r w:rsidR="00BA1CC2">
        <w:rPr>
          <w:lang w:val="fr-CA"/>
        </w:rPr>
        <w:t>’</w:t>
      </w:r>
      <w:r w:rsidRPr="0092785C">
        <w:rPr>
          <w:lang w:val="fr-CA"/>
        </w:rPr>
        <w:t>il avait obtenus de la Coopérative de crédit et de la sûreté qu</w:t>
      </w:r>
      <w:r w:rsidR="00BA1CC2">
        <w:rPr>
          <w:lang w:val="fr-CA"/>
        </w:rPr>
        <w:t>’</w:t>
      </w:r>
      <w:r w:rsidRPr="0092785C">
        <w:rPr>
          <w:lang w:val="fr-CA"/>
        </w:rPr>
        <w:t xml:space="preserve">il lui avait consentie.  La Banque a fait des recherches dans les registres des sûretés établis sous le régime de la </w:t>
      </w:r>
      <w:r w:rsidRPr="00B677AF">
        <w:rPr>
          <w:i/>
          <w:lang w:val="fr-CA"/>
        </w:rPr>
        <w:t>PPSA</w:t>
      </w:r>
      <w:r w:rsidRPr="0092785C">
        <w:rPr>
          <w:lang w:val="fr-CA"/>
        </w:rPr>
        <w:t xml:space="preserve"> et de la </w:t>
      </w:r>
      <w:r w:rsidRPr="00B677AF">
        <w:rPr>
          <w:i/>
          <w:lang w:val="fr-CA"/>
        </w:rPr>
        <w:t>LB</w:t>
      </w:r>
      <w:r w:rsidRPr="0092785C">
        <w:rPr>
          <w:lang w:val="fr-CA"/>
        </w:rPr>
        <w:t>, mais ces recherches n</w:t>
      </w:r>
      <w:r w:rsidR="00BA1CC2">
        <w:rPr>
          <w:lang w:val="fr-CA"/>
        </w:rPr>
        <w:t>’</w:t>
      </w:r>
      <w:r w:rsidRPr="0092785C">
        <w:rPr>
          <w:lang w:val="fr-CA"/>
        </w:rPr>
        <w:t>ont révélé l</w:t>
      </w:r>
      <w:r w:rsidR="00BA1CC2">
        <w:rPr>
          <w:lang w:val="fr-CA"/>
        </w:rPr>
        <w:t>’</w:t>
      </w:r>
      <w:r w:rsidRPr="0092785C">
        <w:rPr>
          <w:lang w:val="fr-CA"/>
        </w:rPr>
        <w:t>existence d</w:t>
      </w:r>
      <w:r w:rsidR="00BA1CC2">
        <w:rPr>
          <w:lang w:val="fr-CA"/>
        </w:rPr>
        <w:t>’</w:t>
      </w:r>
      <w:r w:rsidRPr="0092785C">
        <w:rPr>
          <w:lang w:val="fr-CA"/>
        </w:rPr>
        <w:t>aucune sûreté antérieure, puisque la sûreté de la Coopérative de crédit n</w:t>
      </w:r>
      <w:r w:rsidR="00BA1CC2">
        <w:rPr>
          <w:lang w:val="fr-CA"/>
        </w:rPr>
        <w:t>’</w:t>
      </w:r>
      <w:r w:rsidRPr="0092785C">
        <w:rPr>
          <w:lang w:val="fr-CA"/>
        </w:rPr>
        <w:t>avait pas été enregistrée.</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M. </w:t>
      </w:r>
      <w:proofErr w:type="spellStart"/>
      <w:r w:rsidRPr="0092785C">
        <w:rPr>
          <w:lang w:val="fr-CA"/>
        </w:rPr>
        <w:t>Buist</w:t>
      </w:r>
      <w:proofErr w:type="spellEnd"/>
      <w:r w:rsidRPr="0092785C">
        <w:rPr>
          <w:lang w:val="fr-CA"/>
        </w:rPr>
        <w:t xml:space="preserve"> a fini par cesser de rembourser ses prêts et, en décembre 2004, la Banque a saisi certains des biens de M. </w:t>
      </w:r>
      <w:proofErr w:type="spellStart"/>
      <w:r w:rsidRPr="0092785C">
        <w:rPr>
          <w:lang w:val="fr-CA"/>
        </w:rPr>
        <w:t>Buist</w:t>
      </w:r>
      <w:proofErr w:type="spellEnd"/>
      <w:r w:rsidRPr="0092785C">
        <w:rPr>
          <w:lang w:val="fr-CA"/>
        </w:rPr>
        <w:t xml:space="preserve"> visés par sa garantie régie par la </w:t>
      </w:r>
      <w:r w:rsidRPr="00B677AF">
        <w:rPr>
          <w:i/>
          <w:lang w:val="fr-CA"/>
        </w:rPr>
        <w:t>LB</w:t>
      </w:r>
      <w:r w:rsidRPr="0092785C">
        <w:rPr>
          <w:lang w:val="fr-CA"/>
        </w:rPr>
        <w:t>.  La Coopérative de crédit s</w:t>
      </w:r>
      <w:r w:rsidR="00BA1CC2">
        <w:rPr>
          <w:lang w:val="fr-CA"/>
        </w:rPr>
        <w:t>’</w:t>
      </w:r>
      <w:r w:rsidRPr="0092785C">
        <w:rPr>
          <w:lang w:val="fr-CA"/>
        </w:rPr>
        <w:t xml:space="preserve">est adressée à la Cour du Banc de la Reine en application </w:t>
      </w:r>
      <w:r w:rsidRPr="0092785C">
        <w:rPr>
          <w:lang w:val="fr-CA"/>
        </w:rPr>
        <w:lastRenderedPageBreak/>
        <w:t>de l</w:t>
      </w:r>
      <w:r w:rsidR="00BA1CC2">
        <w:rPr>
          <w:lang w:val="fr-CA"/>
        </w:rPr>
        <w:t>’</w:t>
      </w:r>
      <w:r w:rsidRPr="0092785C">
        <w:rPr>
          <w:lang w:val="fr-CA"/>
        </w:rPr>
        <w:t xml:space="preserve">art. 66 de la </w:t>
      </w:r>
      <w:r w:rsidRPr="00B677AF">
        <w:rPr>
          <w:i/>
          <w:lang w:val="fr-CA"/>
        </w:rPr>
        <w:t>PPSA</w:t>
      </w:r>
      <w:r w:rsidRPr="0092785C">
        <w:rPr>
          <w:lang w:val="fr-CA"/>
        </w:rPr>
        <w:t xml:space="preserve"> pour se faire reconnaître la priorité sur le produit de l</w:t>
      </w:r>
      <w:r w:rsidR="00BA1CC2">
        <w:rPr>
          <w:lang w:val="fr-CA"/>
        </w:rPr>
        <w:t>’</w:t>
      </w:r>
      <w:r w:rsidRPr="0092785C">
        <w:rPr>
          <w:lang w:val="fr-CA"/>
        </w:rPr>
        <w:t>aliénation des biens.</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Le juge </w:t>
      </w:r>
      <w:proofErr w:type="spellStart"/>
      <w:r w:rsidRPr="0092785C">
        <w:rPr>
          <w:lang w:val="fr-CA"/>
        </w:rPr>
        <w:t>Zarzeczny</w:t>
      </w:r>
      <w:proofErr w:type="spellEnd"/>
      <w:r w:rsidRPr="0092785C">
        <w:rPr>
          <w:lang w:val="fr-CA"/>
        </w:rPr>
        <w:t xml:space="preserve">, qui a instruit la demande, a tranché en faveur de la Banque de Montréal, statuant que la sûreté non enregistrée sous le régime de la </w:t>
      </w:r>
      <w:r w:rsidRPr="00B677AF">
        <w:rPr>
          <w:i/>
          <w:lang w:val="fr-CA"/>
        </w:rPr>
        <w:t>PPSA</w:t>
      </w:r>
      <w:r w:rsidRPr="0092785C">
        <w:rPr>
          <w:lang w:val="fr-CA"/>
        </w:rPr>
        <w:t xml:space="preserve"> était subordonnée à la garantie obtenue par la Banque en vertu de la </w:t>
      </w:r>
      <w:r w:rsidRPr="00B677AF">
        <w:rPr>
          <w:i/>
          <w:lang w:val="fr-CA"/>
        </w:rPr>
        <w:t>LB</w:t>
      </w:r>
      <w:r w:rsidRPr="0092785C">
        <w:rPr>
          <w:lang w:val="fr-CA"/>
        </w:rPr>
        <w:t xml:space="preserve">.  Le juge </w:t>
      </w:r>
      <w:proofErr w:type="spellStart"/>
      <w:proofErr w:type="gramStart"/>
      <w:r w:rsidRPr="0092785C">
        <w:rPr>
          <w:lang w:val="fr-CA"/>
        </w:rPr>
        <w:t>Zarzeczny</w:t>
      </w:r>
      <w:proofErr w:type="spellEnd"/>
      <w:r w:rsidRPr="0092785C">
        <w:rPr>
          <w:lang w:val="fr-CA"/>
        </w:rPr>
        <w:t xml:space="preserve"> a</w:t>
      </w:r>
      <w:proofErr w:type="gramEnd"/>
      <w:r w:rsidRPr="0092785C">
        <w:rPr>
          <w:lang w:val="fr-CA"/>
        </w:rPr>
        <w:t xml:space="preserve"> conclu que la règle de priorité établie par l</w:t>
      </w:r>
      <w:r w:rsidR="00BA1CC2">
        <w:rPr>
          <w:lang w:val="fr-CA"/>
        </w:rPr>
        <w:t>’</w:t>
      </w:r>
      <w:r w:rsidRPr="0092785C">
        <w:rPr>
          <w:lang w:val="fr-CA"/>
        </w:rPr>
        <w:t xml:space="preserve">art. 428 de la </w:t>
      </w:r>
      <w:r w:rsidRPr="00B677AF">
        <w:rPr>
          <w:i/>
          <w:lang w:val="fr-CA"/>
        </w:rPr>
        <w:t>LB</w:t>
      </w:r>
      <w:r w:rsidRPr="0092785C">
        <w:rPr>
          <w:lang w:val="fr-CA"/>
        </w:rPr>
        <w:t xml:space="preserve"> — prévoyant qu</w:t>
      </w:r>
      <w:r w:rsidR="00BA1CC2">
        <w:rPr>
          <w:lang w:val="fr-CA"/>
        </w:rPr>
        <w:t>’</w:t>
      </w:r>
      <w:r w:rsidRPr="0092785C">
        <w:rPr>
          <w:lang w:val="fr-CA"/>
        </w:rPr>
        <w:t xml:space="preserve">une garantie obtenue au titre de la </w:t>
      </w:r>
      <w:r w:rsidRPr="00B677AF">
        <w:rPr>
          <w:i/>
          <w:lang w:val="fr-CA"/>
        </w:rPr>
        <w:t>LB</w:t>
      </w:r>
      <w:r w:rsidRPr="0092785C">
        <w:rPr>
          <w:lang w:val="fr-CA"/>
        </w:rPr>
        <w:t xml:space="preserve"> prime « tous les droits subséquemment acquis sur [les] biens » — donne aussi priorité à la garantie d</w:t>
      </w:r>
      <w:r w:rsidR="00BA1CC2">
        <w:rPr>
          <w:lang w:val="fr-CA"/>
        </w:rPr>
        <w:t>’</w:t>
      </w:r>
      <w:r w:rsidRPr="0092785C">
        <w:rPr>
          <w:lang w:val="fr-CA"/>
        </w:rPr>
        <w:t xml:space="preserve">une banque sur les droits de priorité acquis subséquemment.  Pour ce motif, le juge </w:t>
      </w:r>
      <w:proofErr w:type="spellStart"/>
      <w:r w:rsidRPr="0092785C">
        <w:rPr>
          <w:lang w:val="fr-CA"/>
        </w:rPr>
        <w:t>Zarzeczny</w:t>
      </w:r>
      <w:proofErr w:type="spellEnd"/>
      <w:r w:rsidRPr="0092785C">
        <w:rPr>
          <w:lang w:val="fr-CA"/>
        </w:rPr>
        <w:t xml:space="preserve"> a décidé qu</w:t>
      </w:r>
      <w:r w:rsidR="00BA1CC2">
        <w:rPr>
          <w:lang w:val="fr-CA"/>
        </w:rPr>
        <w:t>’</w:t>
      </w:r>
      <w:r w:rsidRPr="0092785C">
        <w:rPr>
          <w:lang w:val="fr-CA"/>
        </w:rPr>
        <w:t xml:space="preserve">une sûreté régie par la </w:t>
      </w:r>
      <w:r w:rsidRPr="00B677AF">
        <w:rPr>
          <w:i/>
          <w:lang w:val="fr-CA"/>
        </w:rPr>
        <w:t>PPSA</w:t>
      </w:r>
      <w:r w:rsidRPr="0092785C">
        <w:rPr>
          <w:lang w:val="fr-CA"/>
        </w:rPr>
        <w:t xml:space="preserve"> n</w:t>
      </w:r>
      <w:r w:rsidR="00BA1CC2">
        <w:rPr>
          <w:lang w:val="fr-CA"/>
        </w:rPr>
        <w:t>’</w:t>
      </w:r>
      <w:r w:rsidRPr="0092785C">
        <w:rPr>
          <w:lang w:val="fr-CA"/>
        </w:rPr>
        <w:t xml:space="preserve">a priorité sur une garantie prise subséquemment en vertu de la </w:t>
      </w:r>
      <w:r w:rsidRPr="00B677AF">
        <w:rPr>
          <w:i/>
          <w:lang w:val="fr-CA"/>
        </w:rPr>
        <w:t>LB</w:t>
      </w:r>
      <w:r w:rsidRPr="0092785C">
        <w:rPr>
          <w:lang w:val="fr-CA"/>
        </w:rPr>
        <w:t xml:space="preserve"> qu</w:t>
      </w:r>
      <w:r w:rsidR="00BA1CC2">
        <w:rPr>
          <w:lang w:val="fr-CA"/>
        </w:rPr>
        <w:t>’</w:t>
      </w:r>
      <w:r w:rsidRPr="0092785C">
        <w:rPr>
          <w:lang w:val="fr-CA"/>
        </w:rPr>
        <w:t>à condition d</w:t>
      </w:r>
      <w:r w:rsidR="00BA1CC2">
        <w:rPr>
          <w:lang w:val="fr-CA"/>
        </w:rPr>
        <w:t>’</w:t>
      </w:r>
      <w:r w:rsidRPr="0092785C">
        <w:rPr>
          <w:lang w:val="fr-CA"/>
        </w:rPr>
        <w:t>avoir été parfaite avant que la banque n</w:t>
      </w:r>
      <w:r w:rsidR="00BA1CC2">
        <w:rPr>
          <w:lang w:val="fr-CA"/>
        </w:rPr>
        <w:t>’</w:t>
      </w:r>
      <w:r w:rsidRPr="0092785C">
        <w:rPr>
          <w:lang w:val="fr-CA"/>
        </w:rPr>
        <w:t>obtienne sa garantie.  Comme la Coopérative de crédit n</w:t>
      </w:r>
      <w:r w:rsidR="00BA1CC2">
        <w:rPr>
          <w:lang w:val="fr-CA"/>
        </w:rPr>
        <w:t>’</w:t>
      </w:r>
      <w:r w:rsidRPr="0092785C">
        <w:rPr>
          <w:lang w:val="fr-CA"/>
        </w:rPr>
        <w:t>a obtenu priorité en enregistrant sa sûreté qu</w:t>
      </w:r>
      <w:r w:rsidR="00BA1CC2">
        <w:rPr>
          <w:lang w:val="fr-CA"/>
        </w:rPr>
        <w:t>’</w:t>
      </w:r>
      <w:r w:rsidRPr="0092785C">
        <w:rPr>
          <w:i/>
          <w:lang w:val="fr-CA"/>
        </w:rPr>
        <w:t>après</w:t>
      </w:r>
      <w:r w:rsidRPr="0092785C">
        <w:rPr>
          <w:lang w:val="fr-CA"/>
        </w:rPr>
        <w:t xml:space="preserve"> l</w:t>
      </w:r>
      <w:r w:rsidR="00BA1CC2">
        <w:rPr>
          <w:lang w:val="fr-CA"/>
        </w:rPr>
        <w:t>’</w:t>
      </w:r>
      <w:r w:rsidRPr="0092785C">
        <w:rPr>
          <w:lang w:val="fr-CA"/>
        </w:rPr>
        <w:t xml:space="preserve">obtention par la Banque de sa garantie en vertu de la </w:t>
      </w:r>
      <w:r w:rsidRPr="00B677AF">
        <w:rPr>
          <w:i/>
          <w:lang w:val="fr-CA"/>
        </w:rPr>
        <w:t>LB</w:t>
      </w:r>
      <w:r w:rsidRPr="0092785C">
        <w:rPr>
          <w:lang w:val="fr-CA"/>
        </w:rPr>
        <w:t xml:space="preserve">, le juge </w:t>
      </w:r>
      <w:proofErr w:type="spellStart"/>
      <w:r w:rsidRPr="0092785C">
        <w:rPr>
          <w:lang w:val="fr-CA"/>
        </w:rPr>
        <w:t>Zarzeczny</w:t>
      </w:r>
      <w:proofErr w:type="spellEnd"/>
      <w:r w:rsidRPr="0092785C">
        <w:rPr>
          <w:lang w:val="fr-CA"/>
        </w:rPr>
        <w:t xml:space="preserve"> a accordé priorité de rang à la Banque en application de l</w:t>
      </w:r>
      <w:r w:rsidR="00BA1CC2">
        <w:rPr>
          <w:lang w:val="fr-CA"/>
        </w:rPr>
        <w:t>’</w:t>
      </w:r>
      <w:r w:rsidRPr="0092785C">
        <w:rPr>
          <w:lang w:val="fr-CA"/>
        </w:rPr>
        <w:t>art. 428.</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En plus de considérer raisonnable l</w:t>
      </w:r>
      <w:r w:rsidR="00BA1CC2">
        <w:rPr>
          <w:lang w:val="fr-CA"/>
        </w:rPr>
        <w:t>’</w:t>
      </w:r>
      <w:r w:rsidRPr="0092785C">
        <w:rPr>
          <w:lang w:val="fr-CA"/>
        </w:rPr>
        <w:t xml:space="preserve">interprétation susmentionnée du texte de la </w:t>
      </w:r>
      <w:r w:rsidRPr="00B677AF">
        <w:rPr>
          <w:i/>
          <w:lang w:val="fr-CA"/>
        </w:rPr>
        <w:t>LB</w:t>
      </w:r>
      <w:r w:rsidRPr="0092785C">
        <w:rPr>
          <w:lang w:val="fr-CA"/>
        </w:rPr>
        <w:t xml:space="preserve">, le juge </w:t>
      </w:r>
      <w:proofErr w:type="spellStart"/>
      <w:r w:rsidRPr="0092785C">
        <w:rPr>
          <w:lang w:val="fr-CA"/>
        </w:rPr>
        <w:t>Zarzeczny</w:t>
      </w:r>
      <w:proofErr w:type="spellEnd"/>
      <w:r w:rsidRPr="0092785C">
        <w:rPr>
          <w:lang w:val="fr-CA"/>
        </w:rPr>
        <w:t xml:space="preserve"> s</w:t>
      </w:r>
      <w:r w:rsidR="00BA1CC2">
        <w:rPr>
          <w:lang w:val="fr-CA"/>
        </w:rPr>
        <w:t>’</w:t>
      </w:r>
      <w:r w:rsidRPr="0092785C">
        <w:rPr>
          <w:lang w:val="fr-CA"/>
        </w:rPr>
        <w:t>est dit d</w:t>
      </w:r>
      <w:r w:rsidR="00BA1CC2">
        <w:rPr>
          <w:lang w:val="fr-CA"/>
        </w:rPr>
        <w:t>’</w:t>
      </w:r>
      <w:r w:rsidRPr="0092785C">
        <w:rPr>
          <w:lang w:val="fr-CA"/>
        </w:rPr>
        <w:t>avis qu</w:t>
      </w:r>
      <w:r w:rsidR="00BA1CC2">
        <w:rPr>
          <w:lang w:val="fr-CA"/>
        </w:rPr>
        <w:t>’</w:t>
      </w:r>
      <w:r w:rsidRPr="0092785C">
        <w:rPr>
          <w:lang w:val="fr-CA"/>
        </w:rPr>
        <w:t>elle favorisait l</w:t>
      </w:r>
      <w:r w:rsidR="00BA1CC2">
        <w:rPr>
          <w:lang w:val="fr-CA"/>
        </w:rPr>
        <w:t>’</w:t>
      </w:r>
      <w:r w:rsidRPr="0092785C">
        <w:rPr>
          <w:lang w:val="fr-CA"/>
        </w:rPr>
        <w:t>atteinte de deux objectifs de principe intégrés à la loi.  Premièrement, elle permettait d</w:t>
      </w:r>
      <w:r w:rsidR="00BA1CC2">
        <w:rPr>
          <w:lang w:val="fr-CA"/>
        </w:rPr>
        <w:t>’</w:t>
      </w:r>
      <w:r w:rsidRPr="0092785C">
        <w:rPr>
          <w:lang w:val="fr-CA"/>
        </w:rPr>
        <w:t xml:space="preserve">harmoniser la </w:t>
      </w:r>
      <w:r w:rsidRPr="00B677AF">
        <w:rPr>
          <w:i/>
          <w:lang w:val="fr-CA"/>
        </w:rPr>
        <w:t>PPSA</w:t>
      </w:r>
      <w:r w:rsidRPr="0092785C">
        <w:rPr>
          <w:lang w:val="fr-CA"/>
        </w:rPr>
        <w:t xml:space="preserve"> et la </w:t>
      </w:r>
      <w:r w:rsidRPr="00B677AF">
        <w:rPr>
          <w:i/>
          <w:lang w:val="fr-CA"/>
        </w:rPr>
        <w:t>LB</w:t>
      </w:r>
      <w:r w:rsidRPr="0092785C">
        <w:rPr>
          <w:lang w:val="fr-CA"/>
        </w:rPr>
        <w:t>, et de régler les conflits éventuels entre ces deux lois.  Deuxièmement, elle contribuait à l</w:t>
      </w:r>
      <w:r w:rsidR="00BA1CC2">
        <w:rPr>
          <w:lang w:val="fr-CA"/>
        </w:rPr>
        <w:t>’</w:t>
      </w:r>
      <w:r w:rsidRPr="0092785C">
        <w:rPr>
          <w:lang w:val="fr-CA"/>
        </w:rPr>
        <w:t xml:space="preserve">efficacité et à la prévisibilité en matière de prêts commerciaux. </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lastRenderedPageBreak/>
        <w:t>La Cour d</w:t>
      </w:r>
      <w:r w:rsidR="00BA1CC2">
        <w:rPr>
          <w:lang w:val="fr-CA"/>
        </w:rPr>
        <w:t>’</w:t>
      </w:r>
      <w:r w:rsidRPr="0092785C">
        <w:rPr>
          <w:lang w:val="fr-CA"/>
        </w:rPr>
        <w:t>appel de la Saskatchewan a infirmé à l</w:t>
      </w:r>
      <w:r w:rsidR="00BA1CC2">
        <w:rPr>
          <w:lang w:val="fr-CA"/>
        </w:rPr>
        <w:t>’</w:t>
      </w:r>
      <w:r w:rsidRPr="0092785C">
        <w:rPr>
          <w:lang w:val="fr-CA"/>
        </w:rPr>
        <w:t xml:space="preserve">unanimité la décision du juge </w:t>
      </w:r>
      <w:proofErr w:type="spellStart"/>
      <w:r w:rsidRPr="0092785C">
        <w:rPr>
          <w:lang w:val="fr-CA"/>
        </w:rPr>
        <w:t>Zarzeczny</w:t>
      </w:r>
      <w:proofErr w:type="spellEnd"/>
      <w:r w:rsidRPr="0092785C">
        <w:rPr>
          <w:lang w:val="fr-CA"/>
        </w:rPr>
        <w:t>.  La juge Jackson, s</w:t>
      </w:r>
      <w:r w:rsidR="00BA1CC2">
        <w:rPr>
          <w:lang w:val="fr-CA"/>
        </w:rPr>
        <w:t>’</w:t>
      </w:r>
      <w:r w:rsidRPr="0092785C">
        <w:rPr>
          <w:lang w:val="fr-CA"/>
        </w:rPr>
        <w:t>exprimant au nom de la cour, a fait une analyse approfondie de la jurisprudence et a décidé, en définitive, que l</w:t>
      </w:r>
      <w:r w:rsidR="00BA1CC2">
        <w:rPr>
          <w:lang w:val="fr-CA"/>
        </w:rPr>
        <w:t>’</w:t>
      </w:r>
      <w:r w:rsidRPr="0092785C">
        <w:rPr>
          <w:lang w:val="fr-CA"/>
        </w:rPr>
        <w:t xml:space="preserve">art. 428 de la </w:t>
      </w:r>
      <w:r w:rsidRPr="00B677AF">
        <w:rPr>
          <w:i/>
          <w:lang w:val="fr-CA"/>
        </w:rPr>
        <w:t>LB</w:t>
      </w:r>
      <w:r w:rsidRPr="0092785C">
        <w:rPr>
          <w:lang w:val="fr-CA"/>
        </w:rPr>
        <w:t xml:space="preserve"> ne réglait pas le dossier, comme l</w:t>
      </w:r>
      <w:r w:rsidR="00BA1CC2">
        <w:rPr>
          <w:lang w:val="fr-CA"/>
        </w:rPr>
        <w:t>’</w:t>
      </w:r>
      <w:r w:rsidRPr="0092785C">
        <w:rPr>
          <w:lang w:val="fr-CA"/>
        </w:rPr>
        <w:t xml:space="preserve">avait conclu le juge </w:t>
      </w:r>
      <w:proofErr w:type="spellStart"/>
      <w:r w:rsidRPr="0092785C">
        <w:rPr>
          <w:lang w:val="fr-CA"/>
        </w:rPr>
        <w:t>Zarzeczny</w:t>
      </w:r>
      <w:proofErr w:type="spellEnd"/>
      <w:r w:rsidRPr="0092785C">
        <w:rPr>
          <w:lang w:val="fr-CA"/>
        </w:rPr>
        <w:t>.  La Cour d</w:t>
      </w:r>
      <w:r w:rsidR="00BA1CC2">
        <w:rPr>
          <w:lang w:val="fr-CA"/>
        </w:rPr>
        <w:t>’</w:t>
      </w:r>
      <w:r w:rsidRPr="0092785C">
        <w:rPr>
          <w:lang w:val="fr-CA"/>
        </w:rPr>
        <w:t>appel s</w:t>
      </w:r>
      <w:r w:rsidR="00BA1CC2">
        <w:rPr>
          <w:lang w:val="fr-CA"/>
        </w:rPr>
        <w:t>’</w:t>
      </w:r>
      <w:r w:rsidRPr="0092785C">
        <w:rPr>
          <w:lang w:val="fr-CA"/>
        </w:rPr>
        <w:t>est plutôt fondée sur les par</w:t>
      </w:r>
      <w:r w:rsidR="00B677AF">
        <w:rPr>
          <w:lang w:val="fr-CA"/>
        </w:rPr>
        <w:t xml:space="preserve">. </w:t>
      </w:r>
      <w:r w:rsidRPr="0092785C">
        <w:rPr>
          <w:lang w:val="fr-CA"/>
        </w:rPr>
        <w:t xml:space="preserve">427(2) et 435(2) de la </w:t>
      </w:r>
      <w:r w:rsidRPr="00B677AF">
        <w:rPr>
          <w:i/>
          <w:lang w:val="fr-CA"/>
        </w:rPr>
        <w:t>LB</w:t>
      </w:r>
      <w:r w:rsidRPr="0092785C">
        <w:rPr>
          <w:lang w:val="fr-CA"/>
        </w:rPr>
        <w:t xml:space="preserve"> pour résoudre le conflit.  La juge Jackson a déclaré que, selon ces dispositions, la Banque a seulement acquis les droit et titre que le débiteur pouvait lui transmettre lorsqu</w:t>
      </w:r>
      <w:r w:rsidR="00BA1CC2">
        <w:rPr>
          <w:lang w:val="fr-CA"/>
        </w:rPr>
        <w:t>’</w:t>
      </w:r>
      <w:r w:rsidRPr="0092785C">
        <w:rPr>
          <w:lang w:val="fr-CA"/>
        </w:rPr>
        <w:t xml:space="preserve">elle a pris sa sûreté en vertu de la </w:t>
      </w:r>
      <w:r w:rsidRPr="00B677AF">
        <w:rPr>
          <w:i/>
          <w:lang w:val="fr-CA"/>
        </w:rPr>
        <w:t>LB</w:t>
      </w:r>
      <w:r w:rsidRPr="0092785C">
        <w:rPr>
          <w:lang w:val="fr-CA"/>
        </w:rPr>
        <w:t xml:space="preserve">.  À ce moment-là, le débiteur avait déjà accordé un intérêt sur les biens à la Coopérative de crédit en lui consentant une sûreté sous le régime de la </w:t>
      </w:r>
      <w:r w:rsidRPr="00B677AF">
        <w:rPr>
          <w:i/>
          <w:lang w:val="fr-CA"/>
        </w:rPr>
        <w:t>PPSA</w:t>
      </w:r>
      <w:r w:rsidRPr="0092785C">
        <w:rPr>
          <w:lang w:val="fr-CA"/>
        </w:rPr>
        <w:t>.  La garantie de la Banque sur les biens était donc subordonnée à la sûreté antérieure de la Coopérative de crédit, et celle-ci avait la priorité sur le produit de l</w:t>
      </w:r>
      <w:r w:rsidR="00BA1CC2">
        <w:rPr>
          <w:lang w:val="fr-CA"/>
        </w:rPr>
        <w:t>’</w:t>
      </w:r>
      <w:r w:rsidRPr="0092785C">
        <w:rPr>
          <w:lang w:val="fr-CA"/>
        </w:rPr>
        <w:t>aliénation des biens.</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La Banque de Montréal interjette maintenant appel devant la Cour. </w:t>
      </w:r>
    </w:p>
    <w:p w:rsidR="00DC4439" w:rsidRPr="0092785C" w:rsidRDefault="00DC4439" w:rsidP="00B677AF">
      <w:pPr>
        <w:pStyle w:val="ListParagraph"/>
        <w:keepNext/>
        <w:tabs>
          <w:tab w:val="left" w:pos="540"/>
          <w:tab w:val="left" w:pos="1152"/>
        </w:tabs>
        <w:spacing w:after="480" w:line="480" w:lineRule="auto"/>
        <w:ind w:left="0"/>
        <w:jc w:val="both"/>
        <w:rPr>
          <w:spacing w:val="3"/>
        </w:rPr>
      </w:pPr>
      <w:r w:rsidRPr="0092785C">
        <w:rPr>
          <w:spacing w:val="3"/>
        </w:rPr>
        <w:t>3.</w:t>
      </w:r>
      <w:r w:rsidR="00B677AF">
        <w:rPr>
          <w:spacing w:val="3"/>
        </w:rPr>
        <w:tab/>
      </w:r>
      <w:r w:rsidRPr="0092785C">
        <w:rPr>
          <w:spacing w:val="3"/>
          <w:u w:val="single"/>
        </w:rPr>
        <w:t>Analyse</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La </w:t>
      </w:r>
      <w:r w:rsidRPr="00B677AF">
        <w:rPr>
          <w:i/>
          <w:lang w:val="fr-CA"/>
        </w:rPr>
        <w:t>LB</w:t>
      </w:r>
      <w:r w:rsidRPr="0092785C">
        <w:rPr>
          <w:lang w:val="fr-CA"/>
        </w:rPr>
        <w:t xml:space="preserve"> et la </w:t>
      </w:r>
      <w:r w:rsidRPr="00B677AF">
        <w:rPr>
          <w:i/>
          <w:lang w:val="fr-CA"/>
        </w:rPr>
        <w:t>PPSA</w:t>
      </w:r>
      <w:r w:rsidRPr="0092785C">
        <w:rPr>
          <w:lang w:val="fr-CA"/>
        </w:rPr>
        <w:t xml:space="preserve"> permettent toutes deux aux créanciers de consentir des prêts garantis en prenant des sûretés sur les biens d</w:t>
      </w:r>
      <w:r w:rsidR="00BA1CC2">
        <w:rPr>
          <w:lang w:val="fr-CA"/>
        </w:rPr>
        <w:t>’</w:t>
      </w:r>
      <w:r w:rsidRPr="0092785C">
        <w:rPr>
          <w:lang w:val="fr-CA"/>
        </w:rPr>
        <w:t>un débiteur, mais ces lois ont des origines et des cadres conceptuels radicalement différents.  Je vais donc exposer brièvement l</w:t>
      </w:r>
      <w:r w:rsidR="00BA1CC2">
        <w:rPr>
          <w:lang w:val="fr-CA"/>
        </w:rPr>
        <w:t>’</w:t>
      </w:r>
      <w:r w:rsidRPr="0092785C">
        <w:rPr>
          <w:lang w:val="fr-CA"/>
        </w:rPr>
        <w:t>historique et la structure de chacune pour situer l</w:t>
      </w:r>
      <w:r w:rsidR="00BA1CC2">
        <w:rPr>
          <w:lang w:val="fr-CA"/>
        </w:rPr>
        <w:t>’</w:t>
      </w:r>
      <w:r w:rsidRPr="0092785C">
        <w:rPr>
          <w:lang w:val="fr-CA"/>
        </w:rPr>
        <w:t>analyse qui suit.</w:t>
      </w:r>
    </w:p>
    <w:p w:rsidR="00DC4439" w:rsidRPr="00B677AF" w:rsidRDefault="00DC4439" w:rsidP="00B677AF">
      <w:pPr>
        <w:pStyle w:val="ListParagraph"/>
        <w:keepNext/>
        <w:tabs>
          <w:tab w:val="left" w:pos="540"/>
          <w:tab w:val="left" w:pos="1152"/>
        </w:tabs>
        <w:spacing w:after="480" w:line="480" w:lineRule="auto"/>
        <w:ind w:left="0"/>
        <w:jc w:val="both"/>
        <w:rPr>
          <w:spacing w:val="3"/>
          <w:lang w:val="fr-CA"/>
        </w:rPr>
      </w:pPr>
      <w:r w:rsidRPr="00B677AF">
        <w:rPr>
          <w:spacing w:val="3"/>
          <w:lang w:val="fr-CA"/>
        </w:rPr>
        <w:lastRenderedPageBreak/>
        <w:t>3.1</w:t>
      </w:r>
      <w:r w:rsidR="00B677AF" w:rsidRPr="00B677AF">
        <w:rPr>
          <w:spacing w:val="3"/>
          <w:lang w:val="fr-CA"/>
        </w:rPr>
        <w:tab/>
      </w:r>
      <w:r w:rsidRPr="00B677AF">
        <w:rPr>
          <w:i/>
          <w:spacing w:val="3"/>
          <w:lang w:val="fr-CA"/>
        </w:rPr>
        <w:t>La Loi sur les banques</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Le régime législatif qui est aujourd</w:t>
      </w:r>
      <w:r w:rsidR="00BA1CC2">
        <w:rPr>
          <w:lang w:val="fr-CA"/>
        </w:rPr>
        <w:t>’</w:t>
      </w:r>
      <w:r w:rsidRPr="0092785C">
        <w:rPr>
          <w:lang w:val="fr-CA"/>
        </w:rPr>
        <w:t>hui fondé sur l</w:t>
      </w:r>
      <w:r w:rsidR="00BA1CC2">
        <w:rPr>
          <w:lang w:val="fr-CA"/>
        </w:rPr>
        <w:t>’</w:t>
      </w:r>
      <w:r w:rsidRPr="0092785C">
        <w:rPr>
          <w:lang w:val="fr-CA"/>
        </w:rPr>
        <w:t xml:space="preserve">art. 427 de la </w:t>
      </w:r>
      <w:r w:rsidRPr="00B677AF">
        <w:rPr>
          <w:i/>
          <w:lang w:val="fr-CA"/>
        </w:rPr>
        <w:t>LB</w:t>
      </w:r>
      <w:r w:rsidRPr="0092785C">
        <w:rPr>
          <w:lang w:val="fr-CA"/>
        </w:rPr>
        <w:t xml:space="preserve"> et qui permet aux banques, de compétence fédérale, de prendre des sûretés sur certaines catégories de biens des débiteurs afin d</w:t>
      </w:r>
      <w:r w:rsidR="00BA1CC2">
        <w:rPr>
          <w:lang w:val="fr-CA"/>
        </w:rPr>
        <w:t>’</w:t>
      </w:r>
      <w:r w:rsidRPr="0092785C">
        <w:rPr>
          <w:lang w:val="fr-CA"/>
        </w:rPr>
        <w:t>obtenir des garanties, fait partie intégrante du secteur du crédit garanti au Canada essentiellement dans sa forme actuelle depuis l</w:t>
      </w:r>
      <w:r w:rsidR="00BA1CC2">
        <w:rPr>
          <w:lang w:val="fr-CA"/>
        </w:rPr>
        <w:t>’</w:t>
      </w:r>
      <w:r w:rsidRPr="0092785C">
        <w:rPr>
          <w:lang w:val="fr-CA"/>
        </w:rPr>
        <w:t>adoption, en 1890, de l</w:t>
      </w:r>
      <w:r w:rsidR="00BA1CC2">
        <w:rPr>
          <w:lang w:val="fr-CA"/>
        </w:rPr>
        <w:t>’</w:t>
      </w:r>
      <w:r w:rsidRPr="0092785C">
        <w:rPr>
          <w:lang w:val="fr-CA"/>
        </w:rPr>
        <w:t>art. 74 de l</w:t>
      </w:r>
      <w:r w:rsidR="00BA1CC2">
        <w:rPr>
          <w:lang w:val="fr-CA"/>
        </w:rPr>
        <w:t>’</w:t>
      </w:r>
      <w:r w:rsidRPr="0092785C">
        <w:rPr>
          <w:i/>
          <w:lang w:val="fr-CA"/>
        </w:rPr>
        <w:t>Acte des banques</w:t>
      </w:r>
      <w:r w:rsidRPr="0092785C">
        <w:rPr>
          <w:lang w:val="fr-CA"/>
        </w:rPr>
        <w:t>, L.C. 1890, ch. 31 : voir W. D. </w:t>
      </w:r>
      <w:proofErr w:type="spellStart"/>
      <w:r w:rsidRPr="0092785C">
        <w:rPr>
          <w:lang w:val="fr-CA"/>
        </w:rPr>
        <w:t>Moull</w:t>
      </w:r>
      <w:proofErr w:type="spellEnd"/>
      <w:r w:rsidRPr="0092785C">
        <w:rPr>
          <w:lang w:val="fr-CA"/>
        </w:rPr>
        <w:t xml:space="preserve">, « Security Under Sections 177 and 178 of the Bank </w:t>
      </w:r>
      <w:proofErr w:type="spellStart"/>
      <w:r w:rsidRPr="0092785C">
        <w:rPr>
          <w:lang w:val="fr-CA"/>
        </w:rPr>
        <w:t>Act</w:t>
      </w:r>
      <w:proofErr w:type="spellEnd"/>
      <w:r w:rsidRPr="0092785C">
        <w:rPr>
          <w:lang w:val="fr-CA"/>
        </w:rPr>
        <w:t> » (1986), 65 </w:t>
      </w:r>
      <w:r w:rsidRPr="0092785C">
        <w:rPr>
          <w:i/>
          <w:lang w:val="fr-CA"/>
        </w:rPr>
        <w:t xml:space="preserve">R. du B. </w:t>
      </w:r>
      <w:proofErr w:type="spellStart"/>
      <w:r w:rsidRPr="0092785C">
        <w:rPr>
          <w:i/>
          <w:lang w:val="fr-CA"/>
        </w:rPr>
        <w:t>can</w:t>
      </w:r>
      <w:proofErr w:type="spellEnd"/>
      <w:r w:rsidRPr="0092785C">
        <w:rPr>
          <w:i/>
          <w:lang w:val="fr-CA"/>
        </w:rPr>
        <w:t>.</w:t>
      </w:r>
      <w:r w:rsidRPr="0092785C">
        <w:rPr>
          <w:lang w:val="fr-CA"/>
        </w:rPr>
        <w:t xml:space="preserve"> 242, p. 243.  Pendant près d</w:t>
      </w:r>
      <w:r w:rsidR="00BA1CC2">
        <w:rPr>
          <w:lang w:val="fr-CA"/>
        </w:rPr>
        <w:t>’</w:t>
      </w:r>
      <w:r w:rsidRPr="0092785C">
        <w:rPr>
          <w:lang w:val="fr-CA"/>
        </w:rPr>
        <w:t>un siècle avant l</w:t>
      </w:r>
      <w:r w:rsidR="00BA1CC2">
        <w:rPr>
          <w:lang w:val="fr-CA"/>
        </w:rPr>
        <w:t>’</w:t>
      </w:r>
      <w:r w:rsidRPr="0092785C">
        <w:rPr>
          <w:lang w:val="fr-CA"/>
        </w:rPr>
        <w:t xml:space="preserve">adoption de lois comme la </w:t>
      </w:r>
      <w:r w:rsidRPr="00B677AF">
        <w:rPr>
          <w:i/>
          <w:lang w:val="fr-CA"/>
        </w:rPr>
        <w:t>PPSA</w:t>
      </w:r>
      <w:r w:rsidRPr="0092785C">
        <w:rPr>
          <w:lang w:val="fr-CA"/>
        </w:rPr>
        <w:t xml:space="preserve"> de la Saskatchewan, la </w:t>
      </w:r>
      <w:r w:rsidRPr="00B677AF">
        <w:rPr>
          <w:i/>
          <w:lang w:val="fr-CA"/>
        </w:rPr>
        <w:t>LB</w:t>
      </w:r>
      <w:r w:rsidRPr="0092785C">
        <w:rPr>
          <w:i/>
          <w:lang w:val="fr-CA"/>
        </w:rPr>
        <w:t xml:space="preserve"> </w:t>
      </w:r>
      <w:r w:rsidRPr="0092785C">
        <w:rPr>
          <w:lang w:val="fr-CA"/>
        </w:rPr>
        <w:t xml:space="preserve">a fourni aux banques, de compétence fédérale, un mécanisme leur permettant de consentir des prêts garantis qui était assurément supérieur aux mécanismes que leur offraient alors la </w:t>
      </w:r>
      <w:proofErr w:type="spellStart"/>
      <w:r w:rsidRPr="0092785C">
        <w:rPr>
          <w:lang w:val="fr-CA"/>
        </w:rPr>
        <w:t>common</w:t>
      </w:r>
      <w:proofErr w:type="spellEnd"/>
      <w:r w:rsidRPr="0092785C">
        <w:rPr>
          <w:lang w:val="fr-CA"/>
        </w:rPr>
        <w:t xml:space="preserve"> </w:t>
      </w:r>
      <w:proofErr w:type="spellStart"/>
      <w:r w:rsidRPr="0092785C">
        <w:rPr>
          <w:lang w:val="fr-CA"/>
        </w:rPr>
        <w:t>law</w:t>
      </w:r>
      <w:proofErr w:type="spellEnd"/>
      <w:r w:rsidRPr="0092785C">
        <w:rPr>
          <w:lang w:val="fr-CA"/>
        </w:rPr>
        <w:t xml:space="preserve"> et l</w:t>
      </w:r>
      <w:r w:rsidR="00BA1CC2">
        <w:rPr>
          <w:lang w:val="fr-CA"/>
        </w:rPr>
        <w:t>’</w:t>
      </w:r>
      <w:proofErr w:type="spellStart"/>
      <w:r w:rsidRPr="0092785C">
        <w:rPr>
          <w:lang w:val="fr-CA"/>
        </w:rPr>
        <w:t>equity</w:t>
      </w:r>
      <w:proofErr w:type="spellEnd"/>
      <w:r w:rsidRPr="0092785C">
        <w:rPr>
          <w:lang w:val="fr-CA"/>
        </w:rPr>
        <w:t xml:space="preserve"> pour obtenir une sûreté.  Ce mécanisme a eu pour effet de faciliter considérablement l</w:t>
      </w:r>
      <w:r w:rsidR="00BA1CC2">
        <w:rPr>
          <w:lang w:val="fr-CA"/>
        </w:rPr>
        <w:t>’</w:t>
      </w:r>
      <w:r w:rsidRPr="0092785C">
        <w:rPr>
          <w:lang w:val="fr-CA"/>
        </w:rPr>
        <w:t>obtention de prêts par les entreprises canadiennes ayant besoin de capitaux.  En fait, comme le juge La Forest l</w:t>
      </w:r>
      <w:r w:rsidR="00BA1CC2">
        <w:rPr>
          <w:lang w:val="fr-CA"/>
        </w:rPr>
        <w:t>’</w:t>
      </w:r>
      <w:r w:rsidRPr="0092785C">
        <w:rPr>
          <w:lang w:val="fr-CA"/>
        </w:rPr>
        <w:t xml:space="preserve">a fait remarquer dans </w:t>
      </w:r>
      <w:r w:rsidRPr="0092785C">
        <w:rPr>
          <w:i/>
          <w:lang w:val="fr-CA"/>
        </w:rPr>
        <w:t>Banque de Montréal c. Hall</w:t>
      </w:r>
      <w:r w:rsidRPr="0092785C">
        <w:rPr>
          <w:lang w:val="fr-CA"/>
        </w:rPr>
        <w:t>, [1990] 1 R.C.S. 121, à la p. 140, la garantie maintenant prévue par l</w:t>
      </w:r>
      <w:r w:rsidR="00BA1CC2">
        <w:rPr>
          <w:lang w:val="fr-CA"/>
        </w:rPr>
        <w:t>’</w:t>
      </w:r>
      <w:r w:rsidRPr="0092785C">
        <w:rPr>
          <w:lang w:val="fr-CA"/>
        </w:rPr>
        <w:t>art. 427 a « joué un rôle primordial en permettant à plusieurs groupes qui jouent un rôle-clé dans l</w:t>
      </w:r>
      <w:r w:rsidR="00BA1CC2">
        <w:rPr>
          <w:lang w:val="fr-CA"/>
        </w:rPr>
        <w:t>’</w:t>
      </w:r>
      <w:r w:rsidRPr="0092785C">
        <w:rPr>
          <w:lang w:val="fr-CA"/>
        </w:rPr>
        <w:t>économie nationale d</w:t>
      </w:r>
      <w:r w:rsidR="00BA1CC2">
        <w:rPr>
          <w:lang w:val="fr-CA"/>
        </w:rPr>
        <w:t>’</w:t>
      </w:r>
      <w:r w:rsidRPr="0092785C">
        <w:rPr>
          <w:lang w:val="fr-CA"/>
        </w:rPr>
        <w:t xml:space="preserve">obtenir plus facilement des capitaux ». </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La structure générale du régime de garanties établi par la </w:t>
      </w:r>
      <w:r w:rsidRPr="00B677AF">
        <w:rPr>
          <w:i/>
          <w:lang w:val="fr-CA"/>
        </w:rPr>
        <w:t>LB</w:t>
      </w:r>
      <w:r w:rsidRPr="0092785C">
        <w:rPr>
          <w:lang w:val="fr-CA"/>
        </w:rPr>
        <w:t xml:space="preserve"> peut être résumée comme suit.  Le paragraphe 427(1) autorise les banques à consentir des prêts à divers emprunteurs à différentes fins et à prendre une garantie sur des catégories particulières de biens lorsqu</w:t>
      </w:r>
      <w:r w:rsidR="00BA1CC2">
        <w:rPr>
          <w:lang w:val="fr-CA"/>
        </w:rPr>
        <w:t>’</w:t>
      </w:r>
      <w:r w:rsidRPr="0092785C">
        <w:rPr>
          <w:lang w:val="fr-CA"/>
        </w:rPr>
        <w:t>elles consentent ces prêts.  Selon le par</w:t>
      </w:r>
      <w:r w:rsidR="00B677AF">
        <w:rPr>
          <w:lang w:val="fr-CA"/>
        </w:rPr>
        <w:t xml:space="preserve">. </w:t>
      </w:r>
      <w:r w:rsidRPr="0092785C">
        <w:rPr>
          <w:lang w:val="fr-CA"/>
        </w:rPr>
        <w:t xml:space="preserve">427(2), la </w:t>
      </w:r>
      <w:r w:rsidRPr="0092785C">
        <w:rPr>
          <w:lang w:val="fr-CA"/>
        </w:rPr>
        <w:lastRenderedPageBreak/>
        <w:t>banque acquiert certains droits et pouvoirs sur les biens sur remise d</w:t>
      </w:r>
      <w:r w:rsidR="00BA1CC2">
        <w:rPr>
          <w:lang w:val="fr-CA"/>
        </w:rPr>
        <w:t>’</w:t>
      </w:r>
      <w:r w:rsidRPr="0092785C">
        <w:rPr>
          <w:lang w:val="fr-CA"/>
        </w:rPr>
        <w:t>un document lui accordant une garantie à l</w:t>
      </w:r>
      <w:r w:rsidR="00BA1CC2">
        <w:rPr>
          <w:lang w:val="fr-CA"/>
        </w:rPr>
        <w:t>’</w:t>
      </w:r>
      <w:r w:rsidRPr="0092785C">
        <w:rPr>
          <w:lang w:val="fr-CA"/>
        </w:rPr>
        <w:t>égard de ces biens.  Plus précisément, en ce qui concerne le présent appel, l</w:t>
      </w:r>
      <w:r w:rsidR="00BA1CC2">
        <w:rPr>
          <w:lang w:val="fr-CA"/>
        </w:rPr>
        <w:t>’</w:t>
      </w:r>
      <w:r w:rsidRPr="0092785C">
        <w:rPr>
          <w:lang w:val="fr-CA"/>
        </w:rPr>
        <w:t>al. 427(2)</w:t>
      </w:r>
      <w:r w:rsidRPr="0092785C">
        <w:rPr>
          <w:i/>
          <w:lang w:val="fr-CA"/>
        </w:rPr>
        <w:t>c</w:t>
      </w:r>
      <w:r w:rsidRPr="0092785C">
        <w:rPr>
          <w:lang w:val="fr-CA"/>
        </w:rPr>
        <w:t xml:space="preserve">) accorde à la banque qui obtient une garantie sous le régime de la </w:t>
      </w:r>
      <w:r w:rsidRPr="00B677AF">
        <w:rPr>
          <w:i/>
          <w:lang w:val="fr-CA"/>
        </w:rPr>
        <w:t>LB</w:t>
      </w:r>
      <w:r w:rsidRPr="0092785C">
        <w:rPr>
          <w:i/>
          <w:lang w:val="fr-CA"/>
        </w:rPr>
        <w:t xml:space="preserve"> </w:t>
      </w:r>
      <w:r w:rsidRPr="0092785C">
        <w:rPr>
          <w:lang w:val="fr-CA"/>
        </w:rPr>
        <w:t>« les mêmes droits que si la banque avait acquis un récépissé d</w:t>
      </w:r>
      <w:r w:rsidR="00BA1CC2">
        <w:rPr>
          <w:lang w:val="fr-CA"/>
        </w:rPr>
        <w:t>’</w:t>
      </w:r>
      <w:r w:rsidRPr="0092785C">
        <w:rPr>
          <w:lang w:val="fr-CA"/>
        </w:rPr>
        <w:t>entrepôt ou un connaissement visant ces biens »; quant au par. 435(2), il précise que le récépissé ou le connaissement confère à la banque qui l</w:t>
      </w:r>
      <w:r w:rsidR="00BA1CC2">
        <w:rPr>
          <w:lang w:val="fr-CA"/>
        </w:rPr>
        <w:t>’</w:t>
      </w:r>
      <w:r w:rsidRPr="0092785C">
        <w:rPr>
          <w:lang w:val="fr-CA"/>
        </w:rPr>
        <w:t>acquiert les droit et titre qu</w:t>
      </w:r>
      <w:r w:rsidR="00BA1CC2">
        <w:rPr>
          <w:lang w:val="fr-CA"/>
        </w:rPr>
        <w:t>’</w:t>
      </w:r>
      <w:r w:rsidRPr="0092785C">
        <w:rPr>
          <w:lang w:val="fr-CA"/>
        </w:rPr>
        <w:t>avait le propriétaire des biens.  Comme nous le verrons plus loin, l</w:t>
      </w:r>
      <w:r w:rsidR="00BA1CC2">
        <w:rPr>
          <w:lang w:val="fr-CA"/>
        </w:rPr>
        <w:t>’</w:t>
      </w:r>
      <w:r w:rsidRPr="0092785C">
        <w:rPr>
          <w:lang w:val="fr-CA"/>
        </w:rPr>
        <w:t>al. 427(2)</w:t>
      </w:r>
      <w:r w:rsidRPr="0092785C">
        <w:rPr>
          <w:i/>
          <w:lang w:val="fr-CA"/>
        </w:rPr>
        <w:t>c</w:t>
      </w:r>
      <w:r w:rsidRPr="0092785C">
        <w:rPr>
          <w:lang w:val="fr-CA"/>
        </w:rPr>
        <w:t>) et le par. 435(2) revêtent une importance capitale pour la question qui nous occupe, car la banque ne peut acquérir sur le bien, aux termes de ceux-ci, un intérêt supérieur à celui que détenait le débiteur au moment pertinent.  Le paragraphe 427(4) ajoute que la banque ne pourra pas opposer sa garantie aux tiers, à moins d</w:t>
      </w:r>
      <w:r w:rsidR="00BA1CC2">
        <w:rPr>
          <w:lang w:val="fr-CA"/>
        </w:rPr>
        <w:t>’</w:t>
      </w:r>
      <w:r w:rsidRPr="0092785C">
        <w:rPr>
          <w:lang w:val="fr-CA"/>
        </w:rPr>
        <w:t>avoir enregistré un préavis auprès de l</w:t>
      </w:r>
      <w:r w:rsidR="00BA1CC2">
        <w:rPr>
          <w:lang w:val="fr-CA"/>
        </w:rPr>
        <w:t>’</w:t>
      </w:r>
      <w:r w:rsidRPr="0092785C">
        <w:rPr>
          <w:lang w:val="fr-CA"/>
        </w:rPr>
        <w:t>autorité compétente.  Enfin, le par</w:t>
      </w:r>
      <w:r w:rsidR="00B677AF">
        <w:rPr>
          <w:lang w:val="fr-CA"/>
        </w:rPr>
        <w:t xml:space="preserve">. </w:t>
      </w:r>
      <w:r w:rsidRPr="0092785C">
        <w:rPr>
          <w:lang w:val="fr-CA"/>
        </w:rPr>
        <w:t>427(3) fournit à la banque un moyen efficace de réaliser sa garantie en lui permettant de saisir les biens dans l</w:t>
      </w:r>
      <w:r w:rsidR="00BA1CC2">
        <w:rPr>
          <w:lang w:val="fr-CA"/>
        </w:rPr>
        <w:t>’</w:t>
      </w:r>
      <w:r w:rsidRPr="0092785C">
        <w:rPr>
          <w:lang w:val="fr-CA"/>
        </w:rPr>
        <w:t xml:space="preserve">éventualité où un prêt ne lui serait pas remboursé. </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La </w:t>
      </w:r>
      <w:r w:rsidRPr="00B677AF">
        <w:rPr>
          <w:i/>
          <w:lang w:val="fr-CA"/>
        </w:rPr>
        <w:t>LB</w:t>
      </w:r>
      <w:r w:rsidRPr="0092785C">
        <w:rPr>
          <w:i/>
          <w:lang w:val="fr-CA"/>
        </w:rPr>
        <w:t xml:space="preserve"> </w:t>
      </w:r>
      <w:r w:rsidRPr="0092785C">
        <w:rPr>
          <w:lang w:val="fr-CA"/>
        </w:rPr>
        <w:t>contient relativement peu de dispositions traitant expressément de la question de savoir si une garantie obtenue sous le régime de cette loi a priorité sur d</w:t>
      </w:r>
      <w:r w:rsidR="00BA1CC2">
        <w:rPr>
          <w:lang w:val="fr-CA"/>
        </w:rPr>
        <w:t>’</w:t>
      </w:r>
      <w:r w:rsidRPr="0092785C">
        <w:rPr>
          <w:lang w:val="fr-CA"/>
        </w:rPr>
        <w:t>autres sûretés sur le même bien.  Quant à la question qui nous occupe, il importe particulièrement de noter que, même si l</w:t>
      </w:r>
      <w:r w:rsidR="00BA1CC2">
        <w:rPr>
          <w:lang w:val="fr-CA"/>
        </w:rPr>
        <w:t>’</w:t>
      </w:r>
      <w:r w:rsidRPr="0092785C">
        <w:rPr>
          <w:lang w:val="fr-CA"/>
        </w:rPr>
        <w:t xml:space="preserve">art. 428 accorde explicitement la priorité à une garantie régie par la </w:t>
      </w:r>
      <w:r w:rsidRPr="00B677AF">
        <w:rPr>
          <w:i/>
          <w:lang w:val="fr-CA"/>
        </w:rPr>
        <w:t>LB</w:t>
      </w:r>
      <w:r w:rsidRPr="0092785C">
        <w:rPr>
          <w:i/>
          <w:lang w:val="fr-CA"/>
        </w:rPr>
        <w:t xml:space="preserve"> </w:t>
      </w:r>
      <w:r w:rsidRPr="0092785C">
        <w:rPr>
          <w:lang w:val="fr-CA"/>
        </w:rPr>
        <w:t xml:space="preserve">sur « tous les droits subséquemment acquis sur [les] biens », cette loi ne dit rien sur les intérêts concurrents acquis par des tiers </w:t>
      </w:r>
      <w:r w:rsidRPr="0092785C">
        <w:rPr>
          <w:i/>
          <w:lang w:val="fr-CA"/>
        </w:rPr>
        <w:t xml:space="preserve">avant </w:t>
      </w:r>
      <w:r w:rsidRPr="0092785C">
        <w:rPr>
          <w:lang w:val="fr-CA"/>
        </w:rPr>
        <w:t xml:space="preserve">que la garantie de la banque ne grève les biens.  Par conséquent, la </w:t>
      </w:r>
      <w:r w:rsidRPr="00B677AF">
        <w:rPr>
          <w:i/>
          <w:lang w:val="fr-CA"/>
        </w:rPr>
        <w:t>LB</w:t>
      </w:r>
      <w:r w:rsidRPr="0092785C">
        <w:rPr>
          <w:i/>
          <w:lang w:val="fr-CA"/>
        </w:rPr>
        <w:t xml:space="preserve"> </w:t>
      </w:r>
      <w:r w:rsidRPr="0092785C">
        <w:rPr>
          <w:lang w:val="fr-CA"/>
        </w:rPr>
        <w:t>n</w:t>
      </w:r>
      <w:r w:rsidR="00BA1CC2">
        <w:rPr>
          <w:lang w:val="fr-CA"/>
        </w:rPr>
        <w:t>’</w:t>
      </w:r>
      <w:r w:rsidRPr="0092785C">
        <w:rPr>
          <w:lang w:val="fr-CA"/>
        </w:rPr>
        <w:t>offre pas d</w:t>
      </w:r>
      <w:r w:rsidR="00BA1CC2">
        <w:rPr>
          <w:lang w:val="fr-CA"/>
        </w:rPr>
        <w:t>’</w:t>
      </w:r>
      <w:r w:rsidRPr="0092785C">
        <w:rPr>
          <w:lang w:val="fr-CA"/>
        </w:rPr>
        <w:t>autre moyen de régler la plupart des conflits de priorité que l</w:t>
      </w:r>
      <w:r w:rsidR="00BA1CC2">
        <w:rPr>
          <w:lang w:val="fr-CA"/>
        </w:rPr>
        <w:t>’</w:t>
      </w:r>
      <w:r w:rsidRPr="0092785C">
        <w:rPr>
          <w:lang w:val="fr-CA"/>
        </w:rPr>
        <w:t xml:space="preserve">examen de la question de </w:t>
      </w:r>
      <w:r w:rsidRPr="0092785C">
        <w:rPr>
          <w:lang w:val="fr-CA"/>
        </w:rPr>
        <w:lastRenderedPageBreak/>
        <w:t xml:space="preserve">savoir si, selon les principes applicables du droit des biens, les droits </w:t>
      </w:r>
      <w:proofErr w:type="spellStart"/>
      <w:r w:rsidRPr="0092785C">
        <w:rPr>
          <w:lang w:val="fr-CA"/>
        </w:rPr>
        <w:t>propriétaux</w:t>
      </w:r>
      <w:proofErr w:type="spellEnd"/>
      <w:r w:rsidRPr="0092785C">
        <w:rPr>
          <w:lang w:val="fr-CA"/>
        </w:rPr>
        <w:t xml:space="preserve"> conférés à la banque par le par. 427(2) l</w:t>
      </w:r>
      <w:r w:rsidR="00BA1CC2">
        <w:rPr>
          <w:lang w:val="fr-CA"/>
        </w:rPr>
        <w:t>’</w:t>
      </w:r>
      <w:r w:rsidRPr="0092785C">
        <w:rPr>
          <w:lang w:val="fr-CA"/>
        </w:rPr>
        <w:t xml:space="preserve">emportent sur les intérêts </w:t>
      </w:r>
      <w:proofErr w:type="spellStart"/>
      <w:r w:rsidRPr="0092785C">
        <w:rPr>
          <w:lang w:val="fr-CA"/>
        </w:rPr>
        <w:t>propriétaux</w:t>
      </w:r>
      <w:proofErr w:type="spellEnd"/>
      <w:r w:rsidRPr="0092785C">
        <w:rPr>
          <w:lang w:val="fr-CA"/>
        </w:rPr>
        <w:t xml:space="preserve"> concurrents.  On peut donc considérer la </w:t>
      </w:r>
      <w:r w:rsidRPr="00B677AF">
        <w:rPr>
          <w:i/>
          <w:lang w:val="fr-CA"/>
        </w:rPr>
        <w:t>LB</w:t>
      </w:r>
      <w:r w:rsidRPr="0092785C">
        <w:rPr>
          <w:i/>
          <w:lang w:val="fr-CA"/>
        </w:rPr>
        <w:t xml:space="preserve"> </w:t>
      </w:r>
      <w:r w:rsidRPr="0092785C">
        <w:rPr>
          <w:lang w:val="fr-CA"/>
        </w:rPr>
        <w:t xml:space="preserve">comme un régime de sûretés axé sur la propriété.  Cette approche se distingue nettement de celle adoptée dans les lois provinciales modernes en matière de sûretés mobilières comme la </w:t>
      </w:r>
      <w:r w:rsidRPr="00B677AF">
        <w:rPr>
          <w:i/>
          <w:lang w:val="fr-CA"/>
        </w:rPr>
        <w:t>PPSA</w:t>
      </w:r>
      <w:r w:rsidRPr="0092785C">
        <w:rPr>
          <w:lang w:val="fr-CA"/>
        </w:rPr>
        <w:t>, dont je vais parler maintenant.</w:t>
      </w:r>
    </w:p>
    <w:p w:rsidR="00DC4439" w:rsidRPr="0092785C" w:rsidRDefault="00DC4439" w:rsidP="00B677AF">
      <w:pPr>
        <w:pStyle w:val="ListParagraph"/>
        <w:keepNext/>
        <w:tabs>
          <w:tab w:val="left" w:pos="540"/>
          <w:tab w:val="left" w:pos="1152"/>
        </w:tabs>
        <w:spacing w:after="480" w:line="480" w:lineRule="auto"/>
        <w:ind w:left="0"/>
        <w:jc w:val="both"/>
        <w:rPr>
          <w:spacing w:val="3"/>
        </w:rPr>
      </w:pPr>
      <w:r w:rsidRPr="0092785C">
        <w:rPr>
          <w:spacing w:val="3"/>
        </w:rPr>
        <w:t>3.2</w:t>
      </w:r>
      <w:r w:rsidR="00B677AF">
        <w:rPr>
          <w:spacing w:val="3"/>
        </w:rPr>
        <w:tab/>
      </w:r>
      <w:r w:rsidRPr="0092785C">
        <w:rPr>
          <w:i/>
          <w:spacing w:val="3"/>
        </w:rPr>
        <w:t>The Personal Property Security Act</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Bien qu</w:t>
      </w:r>
      <w:r w:rsidR="00BA1CC2">
        <w:rPr>
          <w:lang w:val="fr-CA"/>
        </w:rPr>
        <w:t>’</w:t>
      </w:r>
      <w:r w:rsidRPr="0092785C">
        <w:rPr>
          <w:lang w:val="fr-CA"/>
        </w:rPr>
        <w:t>elles existent depuis peu, les lois provinciales régissant les sûretés mobilières établissent le cadre juridique dominant du crédit garanti partout au Canada.  S</w:t>
      </w:r>
      <w:r w:rsidR="00BA1CC2">
        <w:rPr>
          <w:lang w:val="fr-CA"/>
        </w:rPr>
        <w:t>’</w:t>
      </w:r>
      <w:r w:rsidRPr="0092785C">
        <w:rPr>
          <w:lang w:val="fr-CA"/>
        </w:rPr>
        <w:t>inspirant en partie de l</w:t>
      </w:r>
      <w:r w:rsidR="00BA1CC2">
        <w:rPr>
          <w:lang w:val="fr-CA"/>
        </w:rPr>
        <w:t>’</w:t>
      </w:r>
      <w:r w:rsidRPr="0092785C">
        <w:rPr>
          <w:lang w:val="fr-CA"/>
        </w:rPr>
        <w:t>art</w:t>
      </w:r>
      <w:r w:rsidR="00B677AF">
        <w:rPr>
          <w:lang w:val="fr-CA"/>
        </w:rPr>
        <w:t xml:space="preserve">. </w:t>
      </w:r>
      <w:r w:rsidRPr="0092785C">
        <w:rPr>
          <w:lang w:val="fr-CA"/>
        </w:rPr>
        <w:t xml:space="preserve">9 du </w:t>
      </w:r>
      <w:r w:rsidRPr="0092785C">
        <w:rPr>
          <w:i/>
          <w:lang w:val="fr-CA"/>
        </w:rPr>
        <w:t>Uniform Commercial Code</w:t>
      </w:r>
      <w:r w:rsidRPr="0092785C">
        <w:rPr>
          <w:lang w:val="fr-CA"/>
        </w:rPr>
        <w:t xml:space="preserve"> </w:t>
      </w:r>
      <w:r w:rsidR="00B677AF">
        <w:rPr>
          <w:lang w:val="fr-CA"/>
        </w:rPr>
        <w:t>(</w:t>
      </w:r>
      <w:proofErr w:type="spellStart"/>
      <w:r w:rsidR="00B677AF">
        <w:rPr>
          <w:lang w:val="fr-CA"/>
        </w:rPr>
        <w:t>rév</w:t>
      </w:r>
      <w:proofErr w:type="spellEnd"/>
      <w:r w:rsidR="00B677AF">
        <w:rPr>
          <w:lang w:val="fr-CA"/>
        </w:rPr>
        <w:t xml:space="preserve">. 2000) </w:t>
      </w:r>
      <w:r w:rsidRPr="0092785C">
        <w:rPr>
          <w:lang w:val="fr-CA"/>
        </w:rPr>
        <w:t xml:space="preserve">des États-Unis, tous les territoires et toutes les provinces de </w:t>
      </w:r>
      <w:proofErr w:type="spellStart"/>
      <w:r w:rsidRPr="0092785C">
        <w:rPr>
          <w:lang w:val="fr-CA"/>
        </w:rPr>
        <w:t>common</w:t>
      </w:r>
      <w:proofErr w:type="spellEnd"/>
      <w:r w:rsidRPr="0092785C">
        <w:rPr>
          <w:lang w:val="fr-CA"/>
        </w:rPr>
        <w:t xml:space="preserve"> </w:t>
      </w:r>
      <w:proofErr w:type="spellStart"/>
      <w:r w:rsidRPr="0092785C">
        <w:rPr>
          <w:lang w:val="fr-CA"/>
        </w:rPr>
        <w:t>law</w:t>
      </w:r>
      <w:proofErr w:type="spellEnd"/>
      <w:r w:rsidRPr="0092785C">
        <w:rPr>
          <w:lang w:val="fr-CA"/>
        </w:rPr>
        <w:t xml:space="preserve"> ont adopté leur propre loi en matière de sûretés mobilières, à commencer par la </w:t>
      </w:r>
      <w:proofErr w:type="spellStart"/>
      <w:r w:rsidRPr="0092785C">
        <w:rPr>
          <w:i/>
          <w:lang w:val="fr-CA"/>
        </w:rPr>
        <w:t>Personal</w:t>
      </w:r>
      <w:proofErr w:type="spellEnd"/>
      <w:r w:rsidRPr="0092785C">
        <w:rPr>
          <w:i/>
          <w:lang w:val="fr-CA"/>
        </w:rPr>
        <w:t xml:space="preserve"> </w:t>
      </w:r>
      <w:proofErr w:type="spellStart"/>
      <w:r w:rsidRPr="0092785C">
        <w:rPr>
          <w:i/>
          <w:lang w:val="fr-CA"/>
        </w:rPr>
        <w:t>Property</w:t>
      </w:r>
      <w:proofErr w:type="spellEnd"/>
      <w:r w:rsidRPr="0092785C">
        <w:rPr>
          <w:i/>
          <w:lang w:val="fr-CA"/>
        </w:rPr>
        <w:t xml:space="preserve"> Security </w:t>
      </w:r>
      <w:proofErr w:type="spellStart"/>
      <w:r w:rsidRPr="0092785C">
        <w:rPr>
          <w:i/>
          <w:lang w:val="fr-CA"/>
        </w:rPr>
        <w:t>Act</w:t>
      </w:r>
      <w:proofErr w:type="spellEnd"/>
      <w:r w:rsidRPr="0092785C">
        <w:rPr>
          <w:i/>
          <w:lang w:val="fr-CA"/>
        </w:rPr>
        <w:t>, 1967</w:t>
      </w:r>
      <w:r w:rsidRPr="0092785C">
        <w:rPr>
          <w:lang w:val="fr-CA"/>
        </w:rPr>
        <w:t>, S.O. 1967, ch. 73, de l</w:t>
      </w:r>
      <w:r w:rsidR="00BA1CC2">
        <w:rPr>
          <w:lang w:val="fr-CA"/>
        </w:rPr>
        <w:t>’</w:t>
      </w:r>
      <w:r w:rsidRPr="0092785C">
        <w:rPr>
          <w:lang w:val="fr-CA"/>
        </w:rPr>
        <w:t>Ontario en 1967.  Le Québec dispose de son propre régime de droit civil, qui a aussi subi des modifications relativement récentes à l</w:t>
      </w:r>
      <w:r w:rsidR="00BA1CC2">
        <w:rPr>
          <w:lang w:val="fr-CA"/>
        </w:rPr>
        <w:t>’</w:t>
      </w:r>
      <w:r w:rsidRPr="0092785C">
        <w:rPr>
          <w:lang w:val="fr-CA"/>
        </w:rPr>
        <w:t>occasion de l</w:t>
      </w:r>
      <w:r w:rsidR="00BA1CC2">
        <w:rPr>
          <w:lang w:val="fr-CA"/>
        </w:rPr>
        <w:t>’</w:t>
      </w:r>
      <w:r w:rsidRPr="0092785C">
        <w:rPr>
          <w:lang w:val="fr-CA"/>
        </w:rPr>
        <w:t xml:space="preserve">entrée en vigueur du nouveau </w:t>
      </w:r>
      <w:r w:rsidRPr="0092785C">
        <w:rPr>
          <w:i/>
          <w:lang w:val="fr-CA"/>
        </w:rPr>
        <w:t>Code civil du Québec</w:t>
      </w:r>
      <w:r w:rsidRPr="0092785C">
        <w:rPr>
          <w:lang w:val="fr-CA"/>
        </w:rPr>
        <w:t>, L.Q. 1991, c. 64,</w:t>
      </w:r>
      <w:r w:rsidRPr="0092785C">
        <w:rPr>
          <w:i/>
          <w:lang w:val="fr-CA"/>
        </w:rPr>
        <w:t xml:space="preserve"> </w:t>
      </w:r>
      <w:r w:rsidRPr="0092785C">
        <w:rPr>
          <w:lang w:val="fr-CA"/>
        </w:rPr>
        <w:t>en 1994</w:t>
      </w:r>
      <w:r w:rsidR="00B677AF">
        <w:rPr>
          <w:lang w:val="fr-CA"/>
        </w:rPr>
        <w:t xml:space="preserve"> (maintenant L.R.Q., ch. C-1991)</w:t>
      </w:r>
      <w:r w:rsidRPr="0092785C">
        <w:rPr>
          <w:lang w:val="fr-CA"/>
        </w:rPr>
        <w:t>.  Bien que les différents ressorts qui ont édicté leur propre loi en matière de sûretés mobilières en aient modifié certaines dispositions afin de l</w:t>
      </w:r>
      <w:r w:rsidR="00BA1CC2">
        <w:rPr>
          <w:lang w:val="fr-CA"/>
        </w:rPr>
        <w:t>’</w:t>
      </w:r>
      <w:r w:rsidRPr="0092785C">
        <w:rPr>
          <w:lang w:val="fr-CA"/>
        </w:rPr>
        <w:t xml:space="preserve">adapter à une situation particulière ou à des objectifs précis, la structure générale de chacune de ces lois est essentiellement la même.  La Saskatchewan a adopté pour la première fois une loi de ce genre en 1980 en édictant </w:t>
      </w:r>
      <w:r w:rsidRPr="0092785C">
        <w:rPr>
          <w:i/>
          <w:lang w:val="fr-CA"/>
        </w:rPr>
        <w:t xml:space="preserve">The </w:t>
      </w:r>
      <w:proofErr w:type="spellStart"/>
      <w:r w:rsidRPr="0092785C">
        <w:rPr>
          <w:i/>
          <w:lang w:val="fr-CA"/>
        </w:rPr>
        <w:t>Personal</w:t>
      </w:r>
      <w:proofErr w:type="spellEnd"/>
      <w:r w:rsidRPr="0092785C">
        <w:rPr>
          <w:i/>
          <w:lang w:val="fr-CA"/>
        </w:rPr>
        <w:t xml:space="preserve"> </w:t>
      </w:r>
      <w:proofErr w:type="spellStart"/>
      <w:r w:rsidRPr="0092785C">
        <w:rPr>
          <w:i/>
          <w:lang w:val="fr-CA"/>
        </w:rPr>
        <w:t>Property</w:t>
      </w:r>
      <w:proofErr w:type="spellEnd"/>
      <w:r w:rsidRPr="0092785C">
        <w:rPr>
          <w:i/>
          <w:lang w:val="fr-CA"/>
        </w:rPr>
        <w:t xml:space="preserve"> Security </w:t>
      </w:r>
      <w:proofErr w:type="spellStart"/>
      <w:r w:rsidRPr="0092785C">
        <w:rPr>
          <w:i/>
          <w:lang w:val="fr-CA"/>
        </w:rPr>
        <w:t>Act</w:t>
      </w:r>
      <w:proofErr w:type="spellEnd"/>
      <w:r w:rsidRPr="0092785C">
        <w:rPr>
          <w:lang w:val="fr-CA"/>
        </w:rPr>
        <w:t xml:space="preserve">, S.S. 1979-80, ch. P-6.1.  Cette </w:t>
      </w:r>
      <w:r w:rsidRPr="0092785C">
        <w:rPr>
          <w:lang w:val="fr-CA"/>
        </w:rPr>
        <w:lastRenderedPageBreak/>
        <w:t xml:space="preserve">ancienne loi a été abrogée et remplacée par </w:t>
      </w:r>
      <w:r w:rsidRPr="0092785C">
        <w:rPr>
          <w:i/>
          <w:lang w:val="fr-CA"/>
        </w:rPr>
        <w:t>The</w:t>
      </w:r>
      <w:r w:rsidRPr="0092785C">
        <w:rPr>
          <w:lang w:val="fr-CA"/>
        </w:rPr>
        <w:t xml:space="preserve"> </w:t>
      </w:r>
      <w:proofErr w:type="spellStart"/>
      <w:r w:rsidRPr="0092785C">
        <w:rPr>
          <w:i/>
          <w:lang w:val="fr-CA"/>
        </w:rPr>
        <w:t>Personal</w:t>
      </w:r>
      <w:proofErr w:type="spellEnd"/>
      <w:r w:rsidRPr="0092785C">
        <w:rPr>
          <w:i/>
          <w:lang w:val="fr-CA"/>
        </w:rPr>
        <w:t xml:space="preserve"> </w:t>
      </w:r>
      <w:proofErr w:type="spellStart"/>
      <w:r w:rsidRPr="0092785C">
        <w:rPr>
          <w:i/>
          <w:lang w:val="fr-CA"/>
        </w:rPr>
        <w:t>Property</w:t>
      </w:r>
      <w:proofErr w:type="spellEnd"/>
      <w:r w:rsidRPr="0092785C">
        <w:rPr>
          <w:i/>
          <w:lang w:val="fr-CA"/>
        </w:rPr>
        <w:t xml:space="preserve"> Security </w:t>
      </w:r>
      <w:proofErr w:type="spellStart"/>
      <w:r w:rsidRPr="0092785C">
        <w:rPr>
          <w:i/>
          <w:lang w:val="fr-CA"/>
        </w:rPr>
        <w:t>Act</w:t>
      </w:r>
      <w:proofErr w:type="spellEnd"/>
      <w:r w:rsidRPr="0092785C">
        <w:rPr>
          <w:i/>
          <w:lang w:val="fr-CA"/>
        </w:rPr>
        <w:t>, 1993</w:t>
      </w:r>
      <w:r w:rsidRPr="0092785C">
        <w:rPr>
          <w:lang w:val="fr-CA"/>
        </w:rPr>
        <w:t xml:space="preserve"> en cause en l</w:t>
      </w:r>
      <w:r w:rsidR="00BA1CC2">
        <w:rPr>
          <w:lang w:val="fr-CA"/>
        </w:rPr>
        <w:t>’</w:t>
      </w:r>
      <w:r w:rsidRPr="0092785C">
        <w:rPr>
          <w:lang w:val="fr-CA"/>
        </w:rPr>
        <w:t xml:space="preserve">espèce (art. 72). </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À l</w:t>
      </w:r>
      <w:r w:rsidR="00BA1CC2">
        <w:rPr>
          <w:lang w:val="fr-CA"/>
        </w:rPr>
        <w:t>’</w:t>
      </w:r>
      <w:r w:rsidRPr="0092785C">
        <w:rPr>
          <w:lang w:val="fr-CA"/>
        </w:rPr>
        <w:t xml:space="preserve">instar de toutes les autres lois provinciales en matière de sûretés mobilières, la </w:t>
      </w:r>
      <w:r w:rsidRPr="00B677AF">
        <w:rPr>
          <w:i/>
          <w:lang w:val="fr-CA"/>
        </w:rPr>
        <w:t>PPSA</w:t>
      </w:r>
      <w:r w:rsidRPr="0092785C">
        <w:rPr>
          <w:lang w:val="fr-CA"/>
        </w:rPr>
        <w:t xml:space="preserve"> de la Saskatchewan a grandement clarifié, simplifié et rationalisé le droit du crédit garanti sur des biens personnels en enlevant essentiellement toute pertinence aux distinctions entre la vaste gamme d</w:t>
      </w:r>
      <w:r w:rsidR="00BA1CC2">
        <w:rPr>
          <w:lang w:val="fr-CA"/>
        </w:rPr>
        <w:t>’</w:t>
      </w:r>
      <w:r w:rsidRPr="0092785C">
        <w:rPr>
          <w:lang w:val="fr-CA"/>
        </w:rPr>
        <w:t xml:space="preserve">instruments utilisés en </w:t>
      </w:r>
      <w:proofErr w:type="spellStart"/>
      <w:r w:rsidRPr="0092785C">
        <w:rPr>
          <w:lang w:val="fr-CA"/>
        </w:rPr>
        <w:t>common</w:t>
      </w:r>
      <w:proofErr w:type="spellEnd"/>
      <w:r w:rsidRPr="0092785C">
        <w:rPr>
          <w:lang w:val="fr-CA"/>
        </w:rPr>
        <w:t xml:space="preserve"> </w:t>
      </w:r>
      <w:proofErr w:type="spellStart"/>
      <w:r w:rsidRPr="0092785C">
        <w:rPr>
          <w:lang w:val="fr-CA"/>
        </w:rPr>
        <w:t>law</w:t>
      </w:r>
      <w:proofErr w:type="spellEnd"/>
      <w:r w:rsidRPr="0092785C">
        <w:rPr>
          <w:lang w:val="fr-CA"/>
        </w:rPr>
        <w:t xml:space="preserve"> et en </w:t>
      </w:r>
      <w:proofErr w:type="spellStart"/>
      <w:r w:rsidRPr="0092785C">
        <w:rPr>
          <w:lang w:val="fr-CA"/>
        </w:rPr>
        <w:t>equity</w:t>
      </w:r>
      <w:proofErr w:type="spellEnd"/>
      <w:r w:rsidRPr="0092785C">
        <w:rPr>
          <w:i/>
          <w:lang w:val="fr-CA"/>
        </w:rPr>
        <w:t xml:space="preserve"> </w:t>
      </w:r>
      <w:r w:rsidRPr="0092785C">
        <w:rPr>
          <w:lang w:val="fr-CA"/>
        </w:rPr>
        <w:t>pour la constitution d</w:t>
      </w:r>
      <w:r w:rsidR="00BA1CC2">
        <w:rPr>
          <w:lang w:val="fr-CA"/>
        </w:rPr>
        <w:t>’</w:t>
      </w:r>
      <w:r w:rsidRPr="0092785C">
        <w:rPr>
          <w:lang w:val="fr-CA"/>
        </w:rPr>
        <w:t>une sûreté mobilière sur le bien d</w:t>
      </w:r>
      <w:r w:rsidR="00BA1CC2">
        <w:rPr>
          <w:lang w:val="fr-CA"/>
        </w:rPr>
        <w:t>’</w:t>
      </w:r>
      <w:r w:rsidRPr="0092785C">
        <w:rPr>
          <w:lang w:val="fr-CA"/>
        </w:rPr>
        <w:t>autrui.  Elle emploie à cette fin une approche fonctionnelle pour déterminer quelles sûretés tombent sous le coup de ses dispositions.  L</w:t>
      </w:r>
      <w:r w:rsidR="00BA1CC2">
        <w:rPr>
          <w:lang w:val="fr-CA"/>
        </w:rPr>
        <w:t>’</w:t>
      </w:r>
      <w:r w:rsidRPr="0092785C">
        <w:rPr>
          <w:lang w:val="fr-CA"/>
        </w:rPr>
        <w:t xml:space="preserve">alinéa 3(1)a) de la </w:t>
      </w:r>
      <w:r w:rsidRPr="00BA1CC2">
        <w:rPr>
          <w:i/>
          <w:lang w:val="fr-CA"/>
        </w:rPr>
        <w:t>PPSA</w:t>
      </w:r>
      <w:r w:rsidRPr="0092785C">
        <w:rPr>
          <w:lang w:val="fr-CA"/>
        </w:rPr>
        <w:t xml:space="preserve"> prévoit qu</w:t>
      </w:r>
      <w:r w:rsidR="00BA1CC2">
        <w:rPr>
          <w:lang w:val="fr-CA"/>
        </w:rPr>
        <w:t>’</w:t>
      </w:r>
      <w:r w:rsidRPr="0092785C">
        <w:rPr>
          <w:lang w:val="fr-CA"/>
        </w:rPr>
        <w:t>elle s</w:t>
      </w:r>
      <w:r w:rsidR="00BA1CC2">
        <w:rPr>
          <w:lang w:val="fr-CA"/>
        </w:rPr>
        <w:t>’</w:t>
      </w:r>
      <w:r w:rsidRPr="0092785C">
        <w:rPr>
          <w:lang w:val="fr-CA"/>
        </w:rPr>
        <w:t>applique [</w:t>
      </w:r>
      <w:r w:rsidRPr="0092785C">
        <w:rPr>
          <w:smallCaps/>
          <w:lang w:val="fr-CA"/>
        </w:rPr>
        <w:t xml:space="preserve">traduction] </w:t>
      </w:r>
      <w:r w:rsidRPr="0092785C">
        <w:rPr>
          <w:lang w:val="fr-CA"/>
        </w:rPr>
        <w:t>« aux opérations qui constituent essentiellement une sûreté, quelles que soient leur forme et la personne ayant un droit de propriété sur les biens grevés</w:t>
      </w:r>
      <w:r w:rsidR="00072021">
        <w:rPr>
          <w:lang w:val="fr-CA"/>
        </w:rPr>
        <w:t> »</w:t>
      </w:r>
      <w:r w:rsidRPr="0092785C">
        <w:rPr>
          <w:lang w:val="fr-CA"/>
        </w:rPr>
        <w:t>.  Selon la définition donnée à l</w:t>
      </w:r>
      <w:r w:rsidR="00BA1CC2">
        <w:rPr>
          <w:lang w:val="fr-CA"/>
        </w:rPr>
        <w:t>’</w:t>
      </w:r>
      <w:r w:rsidRPr="0092785C">
        <w:rPr>
          <w:lang w:val="fr-CA"/>
        </w:rPr>
        <w:t>al. 2(1</w:t>
      </w:r>
      <w:proofErr w:type="gramStart"/>
      <w:r w:rsidRPr="0092785C">
        <w:rPr>
          <w:lang w:val="fr-CA"/>
        </w:rPr>
        <w:t>)</w:t>
      </w:r>
      <w:proofErr w:type="spellStart"/>
      <w:r w:rsidRPr="0092785C">
        <w:rPr>
          <w:lang w:val="fr-CA"/>
        </w:rPr>
        <w:t>qq</w:t>
      </w:r>
      <w:proofErr w:type="spellEnd"/>
      <w:proofErr w:type="gramEnd"/>
      <w:r w:rsidRPr="0092785C">
        <w:rPr>
          <w:lang w:val="fr-CA"/>
        </w:rPr>
        <w:t xml:space="preserve">), </w:t>
      </w:r>
      <w:r w:rsidR="00072021">
        <w:rPr>
          <w:lang w:val="fr-CA"/>
        </w:rPr>
        <w:t>« </w:t>
      </w:r>
      <w:r w:rsidRPr="0092785C">
        <w:rPr>
          <w:lang w:val="fr-CA"/>
        </w:rPr>
        <w:t>tout intérêt dans des biens personnels qui garantit le paiement ou l</w:t>
      </w:r>
      <w:r w:rsidR="00BA1CC2">
        <w:rPr>
          <w:lang w:val="fr-CA"/>
        </w:rPr>
        <w:t>’</w:t>
      </w:r>
      <w:r w:rsidRPr="0092785C">
        <w:rPr>
          <w:lang w:val="fr-CA"/>
        </w:rPr>
        <w:t>exécution d</w:t>
      </w:r>
      <w:r w:rsidR="00BA1CC2">
        <w:rPr>
          <w:lang w:val="fr-CA"/>
        </w:rPr>
        <w:t>’</w:t>
      </w:r>
      <w:r w:rsidRPr="0092785C">
        <w:rPr>
          <w:lang w:val="fr-CA"/>
        </w:rPr>
        <w:t>une obligation</w:t>
      </w:r>
      <w:r w:rsidR="00072021">
        <w:rPr>
          <w:lang w:val="fr-CA"/>
        </w:rPr>
        <w:t> »</w:t>
      </w:r>
      <w:r w:rsidRPr="0092785C">
        <w:rPr>
          <w:lang w:val="fr-CA"/>
        </w:rPr>
        <w:t xml:space="preserve"> constitue une sûreté, sous réserve de certaines exceptions qui ne sont pas pertinentes en l</w:t>
      </w:r>
      <w:r w:rsidR="00BA1CC2">
        <w:rPr>
          <w:lang w:val="fr-CA"/>
        </w:rPr>
        <w:t>’</w:t>
      </w:r>
      <w:r w:rsidRPr="0092785C">
        <w:rPr>
          <w:lang w:val="fr-CA"/>
        </w:rPr>
        <w:t xml:space="preserve">espèce.  Selon ces dispositions, la </w:t>
      </w:r>
      <w:r w:rsidRPr="00BA1CC2">
        <w:rPr>
          <w:i/>
          <w:lang w:val="fr-CA"/>
        </w:rPr>
        <w:t>PPSA</w:t>
      </w:r>
      <w:r w:rsidRPr="0092785C">
        <w:rPr>
          <w:lang w:val="fr-CA"/>
        </w:rPr>
        <w:t xml:space="preserve"> s</w:t>
      </w:r>
      <w:r w:rsidR="00BA1CC2">
        <w:rPr>
          <w:lang w:val="fr-CA"/>
        </w:rPr>
        <w:t>’</w:t>
      </w:r>
      <w:r w:rsidRPr="0092785C">
        <w:rPr>
          <w:lang w:val="fr-CA"/>
        </w:rPr>
        <w:t>applique à pratiquement tout ce qui joue le rôle d</w:t>
      </w:r>
      <w:r w:rsidR="00BA1CC2">
        <w:rPr>
          <w:lang w:val="fr-CA"/>
        </w:rPr>
        <w:t>’</w:t>
      </w:r>
      <w:r w:rsidRPr="0092785C">
        <w:rPr>
          <w:lang w:val="fr-CA"/>
        </w:rPr>
        <w:t xml:space="preserve">une sûreté. </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Les lois actuelles en matière de sûretés mobilières, comme la </w:t>
      </w:r>
      <w:r w:rsidRPr="00BA1CC2">
        <w:rPr>
          <w:i/>
          <w:lang w:val="fr-CA"/>
        </w:rPr>
        <w:t>PPSA</w:t>
      </w:r>
      <w:r w:rsidRPr="0092785C">
        <w:rPr>
          <w:lang w:val="fr-CA"/>
        </w:rPr>
        <w:t xml:space="preserve"> de la Saskatchewan en cause ici, emploient aussi un cadre conceptuel radicalement différent de celui de la </w:t>
      </w:r>
      <w:r w:rsidRPr="00BA1CC2">
        <w:rPr>
          <w:i/>
          <w:lang w:val="fr-CA"/>
        </w:rPr>
        <w:t>LB</w:t>
      </w:r>
      <w:r w:rsidRPr="0092785C">
        <w:rPr>
          <w:i/>
          <w:lang w:val="fr-CA"/>
        </w:rPr>
        <w:t xml:space="preserve"> </w:t>
      </w:r>
      <w:r w:rsidRPr="0092785C">
        <w:rPr>
          <w:lang w:val="fr-CA"/>
        </w:rPr>
        <w:t>et des mécanismes de crédit garanti qu</w:t>
      </w:r>
      <w:r w:rsidR="00BA1CC2">
        <w:rPr>
          <w:lang w:val="fr-CA"/>
        </w:rPr>
        <w:t>’</w:t>
      </w:r>
      <w:r w:rsidRPr="0092785C">
        <w:rPr>
          <w:lang w:val="fr-CA"/>
        </w:rPr>
        <w:t xml:space="preserve">offre la </w:t>
      </w:r>
      <w:proofErr w:type="spellStart"/>
      <w:r w:rsidRPr="0092785C">
        <w:rPr>
          <w:lang w:val="fr-CA"/>
        </w:rPr>
        <w:t>common</w:t>
      </w:r>
      <w:proofErr w:type="spellEnd"/>
      <w:r w:rsidRPr="0092785C">
        <w:rPr>
          <w:lang w:val="fr-CA"/>
        </w:rPr>
        <w:t xml:space="preserve"> </w:t>
      </w:r>
      <w:proofErr w:type="spellStart"/>
      <w:r w:rsidRPr="0092785C">
        <w:rPr>
          <w:lang w:val="fr-CA"/>
        </w:rPr>
        <w:t>law</w:t>
      </w:r>
      <w:proofErr w:type="spellEnd"/>
      <w:r w:rsidRPr="0092785C">
        <w:rPr>
          <w:lang w:val="fr-CA"/>
        </w:rPr>
        <w:t xml:space="preserve">.  Contrairement au régime axé sur la propriété qui est établi par la </w:t>
      </w:r>
      <w:r w:rsidRPr="00BA1CC2">
        <w:rPr>
          <w:i/>
          <w:lang w:val="fr-CA"/>
        </w:rPr>
        <w:t>LB</w:t>
      </w:r>
      <w:r w:rsidRPr="0092785C">
        <w:rPr>
          <w:lang w:val="fr-CA"/>
        </w:rPr>
        <w:t xml:space="preserve">, les lois actuelles en matière de sûretés mobilières peuvent être considérées comme axées sur </w:t>
      </w:r>
      <w:r w:rsidRPr="0092785C">
        <w:rPr>
          <w:lang w:val="fr-CA"/>
        </w:rPr>
        <w:lastRenderedPageBreak/>
        <w:t xml:space="preserve">la priorité de rang.  La </w:t>
      </w:r>
      <w:r w:rsidRPr="00BA1CC2">
        <w:rPr>
          <w:i/>
          <w:lang w:val="fr-CA"/>
        </w:rPr>
        <w:t>PPSA</w:t>
      </w:r>
      <w:r w:rsidRPr="0092785C">
        <w:rPr>
          <w:lang w:val="fr-CA"/>
        </w:rPr>
        <w:t xml:space="preserve"> offre des solutions aux conflits de priorité qui ne reposent ni sur la notion de titre en </w:t>
      </w:r>
      <w:proofErr w:type="spellStart"/>
      <w:r w:rsidRPr="0092785C">
        <w:rPr>
          <w:lang w:val="fr-CA"/>
        </w:rPr>
        <w:t>common</w:t>
      </w:r>
      <w:proofErr w:type="spellEnd"/>
      <w:r w:rsidRPr="0092785C">
        <w:rPr>
          <w:lang w:val="fr-CA"/>
        </w:rPr>
        <w:t xml:space="preserve"> </w:t>
      </w:r>
      <w:proofErr w:type="spellStart"/>
      <w:r w:rsidRPr="0092785C">
        <w:rPr>
          <w:lang w:val="fr-CA"/>
        </w:rPr>
        <w:t>law</w:t>
      </w:r>
      <w:proofErr w:type="spellEnd"/>
      <w:r w:rsidRPr="0092785C">
        <w:rPr>
          <w:lang w:val="fr-CA"/>
        </w:rPr>
        <w:t>, ni sur les concepts de droit bénéficiaire ou de droit de rachat reconnus par l</w:t>
      </w:r>
      <w:r w:rsidR="00BA1CC2">
        <w:rPr>
          <w:lang w:val="fr-CA"/>
        </w:rPr>
        <w:t>’</w:t>
      </w:r>
      <w:proofErr w:type="spellStart"/>
      <w:r w:rsidRPr="0092785C">
        <w:rPr>
          <w:lang w:val="fr-CA"/>
        </w:rPr>
        <w:t>equity</w:t>
      </w:r>
      <w:proofErr w:type="spellEnd"/>
      <w:r w:rsidRPr="0092785C">
        <w:rPr>
          <w:lang w:val="fr-CA"/>
        </w:rPr>
        <w:t>.  Elle établit plutôt, dans les limites de son champ d</w:t>
      </w:r>
      <w:r w:rsidR="00BA1CC2">
        <w:rPr>
          <w:lang w:val="fr-CA"/>
        </w:rPr>
        <w:t>’</w:t>
      </w:r>
      <w:r w:rsidRPr="0092785C">
        <w:rPr>
          <w:lang w:val="fr-CA"/>
        </w:rPr>
        <w:t>application, un code de règles établissant un ordre de priorité entre différentes sûretés ainsi qu</w:t>
      </w:r>
      <w:r w:rsidR="00BA1CC2">
        <w:rPr>
          <w:lang w:val="fr-CA"/>
        </w:rPr>
        <w:t>’</w:t>
      </w:r>
      <w:r w:rsidRPr="0092785C">
        <w:rPr>
          <w:lang w:val="fr-CA"/>
        </w:rPr>
        <w:t>entre les sûretés et les autres intérêts sur les biens donnés en garantie, sans égard à l</w:t>
      </w:r>
      <w:r w:rsidR="00BA1CC2">
        <w:rPr>
          <w:lang w:val="fr-CA"/>
        </w:rPr>
        <w:t>’</w:t>
      </w:r>
      <w:r w:rsidRPr="0092785C">
        <w:rPr>
          <w:lang w:val="fr-CA"/>
        </w:rPr>
        <w:t>identité du détenteur du titre sur les biens.</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Une sûreté constituée sous le régime de la </w:t>
      </w:r>
      <w:r w:rsidRPr="00BA1CC2">
        <w:rPr>
          <w:i/>
          <w:lang w:val="fr-CA"/>
        </w:rPr>
        <w:t>PPSA</w:t>
      </w:r>
      <w:r w:rsidRPr="0092785C">
        <w:rPr>
          <w:lang w:val="fr-CA"/>
        </w:rPr>
        <w:t xml:space="preserve"> est aussi opposable aux tiers.  L</w:t>
      </w:r>
      <w:r w:rsidR="00BA1CC2">
        <w:rPr>
          <w:lang w:val="fr-CA"/>
        </w:rPr>
        <w:t>’</w:t>
      </w:r>
      <w:r w:rsidRPr="0092785C">
        <w:rPr>
          <w:lang w:val="fr-CA"/>
        </w:rPr>
        <w:t>article 10 précise les critères auxquels une sûreté doit répondre pour être opposable aux tiers selon les biens en cause.  Dans un cas comme celui-ci, où la sûreté vise du matériel tangible, l</w:t>
      </w:r>
      <w:r w:rsidR="00BA1CC2">
        <w:rPr>
          <w:lang w:val="fr-CA"/>
        </w:rPr>
        <w:t>’</w:t>
      </w:r>
      <w:r w:rsidRPr="0092785C">
        <w:rPr>
          <w:lang w:val="fr-CA"/>
        </w:rPr>
        <w:t>al</w:t>
      </w:r>
      <w:r w:rsidR="00BA1CC2">
        <w:rPr>
          <w:lang w:val="fr-CA"/>
        </w:rPr>
        <w:t xml:space="preserve">. </w:t>
      </w:r>
      <w:r w:rsidRPr="0092785C">
        <w:rPr>
          <w:lang w:val="fr-CA"/>
        </w:rPr>
        <w:t>10(1)d) exige principalement l</w:t>
      </w:r>
      <w:r w:rsidR="00BA1CC2">
        <w:rPr>
          <w:lang w:val="fr-CA"/>
        </w:rPr>
        <w:t>’</w:t>
      </w:r>
      <w:r w:rsidRPr="0092785C">
        <w:rPr>
          <w:lang w:val="fr-CA"/>
        </w:rPr>
        <w:t>existence d</w:t>
      </w:r>
      <w:r w:rsidR="00BA1CC2">
        <w:rPr>
          <w:lang w:val="fr-CA"/>
        </w:rPr>
        <w:t>’</w:t>
      </w:r>
      <w:r w:rsidRPr="0092785C">
        <w:rPr>
          <w:lang w:val="fr-CA"/>
        </w:rPr>
        <w:t xml:space="preserve">un contrat de sûreté signé contenant une description des biens.  La question de savoir si la sûreté a grevé les biens et à quel moment est un des concepts clés de la </w:t>
      </w:r>
      <w:r w:rsidRPr="00BA1CC2">
        <w:rPr>
          <w:i/>
          <w:lang w:val="fr-CA"/>
        </w:rPr>
        <w:t>PPSA</w:t>
      </w:r>
      <w:r w:rsidRPr="0092785C">
        <w:rPr>
          <w:lang w:val="fr-CA"/>
        </w:rPr>
        <w:t xml:space="preserve">.  Dans le cas de sûretés concurrentes prises sous le régime de la </w:t>
      </w:r>
      <w:r w:rsidRPr="00BA1CC2">
        <w:rPr>
          <w:i/>
          <w:lang w:val="fr-CA"/>
        </w:rPr>
        <w:t>PPSA</w:t>
      </w:r>
      <w:r w:rsidRPr="0092785C">
        <w:rPr>
          <w:lang w:val="fr-CA"/>
        </w:rPr>
        <w:t>, cette question revêt une importance capitale, car elle détermine le moment où le créancier a acquis un intérêt dans un bien particulier.  Lorsque le débiteur est propriétaire du bien lors de l</w:t>
      </w:r>
      <w:r w:rsidR="00BA1CC2">
        <w:rPr>
          <w:lang w:val="fr-CA"/>
        </w:rPr>
        <w:t>’</w:t>
      </w:r>
      <w:r w:rsidRPr="0092785C">
        <w:rPr>
          <w:lang w:val="fr-CA"/>
        </w:rPr>
        <w:t>exécution du contrat de sûreté, le créancier obtient une sûreté sur le bien en consentant ou en promettant de consentir du crédit au débiteur, sauf si les parties ont convenu de reporter le moment où les biens seront grevés.  Plus précisément, l</w:t>
      </w:r>
      <w:r w:rsidR="00BA1CC2">
        <w:rPr>
          <w:lang w:val="fr-CA"/>
        </w:rPr>
        <w:t>’</w:t>
      </w:r>
      <w:r w:rsidRPr="0092785C">
        <w:rPr>
          <w:lang w:val="fr-CA"/>
        </w:rPr>
        <w:t xml:space="preserve">art. 12 de la </w:t>
      </w:r>
      <w:r w:rsidRPr="00BA1CC2">
        <w:rPr>
          <w:i/>
          <w:lang w:val="fr-CA"/>
        </w:rPr>
        <w:t>PPSA</w:t>
      </w:r>
      <w:r w:rsidRPr="0092785C">
        <w:rPr>
          <w:lang w:val="fr-CA"/>
        </w:rPr>
        <w:t xml:space="preserve"> prévoit qu</w:t>
      </w:r>
      <w:r w:rsidR="00BA1CC2">
        <w:rPr>
          <w:lang w:val="fr-CA"/>
        </w:rPr>
        <w:t>’</w:t>
      </w:r>
      <w:r w:rsidRPr="0092785C">
        <w:rPr>
          <w:lang w:val="fr-CA"/>
        </w:rPr>
        <w:t>une sûreté grève les biens dans les circonstances suivantes :</w:t>
      </w:r>
    </w:p>
    <w:p w:rsidR="00DC4439" w:rsidRPr="0092785C" w:rsidRDefault="00DC4439" w:rsidP="00DC4439">
      <w:pPr>
        <w:pStyle w:val="Citation1"/>
        <w:spacing w:after="240"/>
        <w:contextualSpacing w:val="0"/>
      </w:pPr>
      <w:r w:rsidRPr="0092785C">
        <w:t>[</w:t>
      </w:r>
      <w:r w:rsidR="00BA1CC2" w:rsidRPr="00BA1CC2">
        <w:rPr>
          <w:smallCaps/>
        </w:rPr>
        <w:t>t</w:t>
      </w:r>
      <w:r w:rsidRPr="00BA1CC2">
        <w:rPr>
          <w:smallCaps/>
        </w:rPr>
        <w:t>raduction</w:t>
      </w:r>
      <w:r w:rsidRPr="0092785C">
        <w:t>]</w:t>
      </w:r>
    </w:p>
    <w:p w:rsidR="00DC4439" w:rsidRPr="0092785C" w:rsidRDefault="00DC4439" w:rsidP="00BA1CC2">
      <w:pPr>
        <w:pStyle w:val="Citation1"/>
        <w:spacing w:after="240"/>
        <w:ind w:firstLine="4"/>
        <w:contextualSpacing w:val="0"/>
      </w:pPr>
      <w:r w:rsidRPr="0092785C">
        <w:rPr>
          <w:b/>
        </w:rPr>
        <w:t>12</w:t>
      </w:r>
      <w:r w:rsidR="00BA1CC2">
        <w:rPr>
          <w:b/>
        </w:rPr>
        <w:t xml:space="preserve">. </w:t>
      </w:r>
      <w:r w:rsidRPr="00BA1CC2">
        <w:t>(1</w:t>
      </w:r>
      <w:proofErr w:type="gramStart"/>
      <w:r w:rsidRPr="00BA1CC2">
        <w:t>)</w:t>
      </w:r>
      <w:r w:rsidRPr="0092785C">
        <w:t xml:space="preserve"> .</w:t>
      </w:r>
      <w:proofErr w:type="gramEnd"/>
      <w:r w:rsidRPr="0092785C">
        <w:t> . .</w:t>
      </w:r>
    </w:p>
    <w:p w:rsidR="00DC4439" w:rsidRPr="0092785C" w:rsidRDefault="00DC4439" w:rsidP="00DC4439">
      <w:pPr>
        <w:pStyle w:val="Citation1"/>
        <w:spacing w:after="240"/>
        <w:ind w:left="1530"/>
        <w:contextualSpacing w:val="0"/>
      </w:pPr>
      <w:r w:rsidRPr="0092785C">
        <w:lastRenderedPageBreak/>
        <w:t>a)</w:t>
      </w:r>
      <w:r w:rsidR="00BA1CC2">
        <w:tab/>
      </w:r>
      <w:r w:rsidRPr="0092785C">
        <w:t>une prestation est fournie à son égard;</w:t>
      </w:r>
    </w:p>
    <w:p w:rsidR="00DC4439" w:rsidRPr="0092785C" w:rsidRDefault="00DC4439" w:rsidP="00DC4439">
      <w:pPr>
        <w:pStyle w:val="Citation1"/>
        <w:spacing w:after="240"/>
        <w:ind w:left="1530"/>
        <w:contextualSpacing w:val="0"/>
      </w:pPr>
      <w:r w:rsidRPr="0092785C">
        <w:t>b)</w:t>
      </w:r>
      <w:r w:rsidR="00BA1CC2">
        <w:tab/>
      </w:r>
      <w:r w:rsidRPr="0092785C">
        <w:t>le débiteur a des droits sur les biens grevés ou le pouvoir de transférer ces droits à un créancier garanti;</w:t>
      </w:r>
    </w:p>
    <w:p w:rsidR="00DC4439" w:rsidRPr="0092785C" w:rsidRDefault="00DC4439" w:rsidP="00DC4439">
      <w:pPr>
        <w:pStyle w:val="Citation1"/>
        <w:spacing w:after="240"/>
        <w:ind w:left="1530"/>
        <w:contextualSpacing w:val="0"/>
      </w:pPr>
      <w:r w:rsidRPr="0092785C">
        <w:t>c)</w:t>
      </w:r>
      <w:r w:rsidR="00BA1CC2">
        <w:tab/>
      </w:r>
      <w:r w:rsidRPr="0092785C">
        <w:t>sauf aux fins de l</w:t>
      </w:r>
      <w:r w:rsidR="00BA1CC2">
        <w:t>’</w:t>
      </w:r>
      <w:r w:rsidRPr="0092785C">
        <w:t>exercice de droits entre les parties au contrat de sûreté, elle est opposable conformément à l</w:t>
      </w:r>
      <w:r w:rsidR="00BA1CC2">
        <w:t>’</w:t>
      </w:r>
      <w:r w:rsidRPr="0092785C">
        <w:t>article 10;</w:t>
      </w:r>
    </w:p>
    <w:p w:rsidR="00DC4439" w:rsidRPr="0092785C" w:rsidRDefault="00DC4439" w:rsidP="00DC4439">
      <w:pPr>
        <w:pStyle w:val="Citation1"/>
      </w:pPr>
      <w:proofErr w:type="gramStart"/>
      <w:r w:rsidRPr="0092785C">
        <w:t>à</w:t>
      </w:r>
      <w:proofErr w:type="gramEnd"/>
      <w:r w:rsidRPr="0092785C">
        <w:t xml:space="preserve"> moins que les parties ne conviennent expressément de reporter la date à laquelle la sûreté prendra effet, auquel cas les biens ne deviennent grevés qu</w:t>
      </w:r>
      <w:r w:rsidR="00BA1CC2">
        <w:t>’</w:t>
      </w:r>
      <w:r w:rsidRPr="0092785C">
        <w:t xml:space="preserve">à la date indiquée dans le contrat. </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Une sûreté grevant un bien peut être parfaite ou non.  À l</w:t>
      </w:r>
      <w:r w:rsidR="00BA1CC2">
        <w:rPr>
          <w:lang w:val="fr-CA"/>
        </w:rPr>
        <w:t>’</w:t>
      </w:r>
      <w:r w:rsidRPr="0092785C">
        <w:rPr>
          <w:lang w:val="fr-CA"/>
        </w:rPr>
        <w:t xml:space="preserve">instar du </w:t>
      </w:r>
      <w:proofErr w:type="spellStart"/>
      <w:r w:rsidRPr="0092785C">
        <w:rPr>
          <w:lang w:val="fr-CA"/>
        </w:rPr>
        <w:t>grèvement</w:t>
      </w:r>
      <w:proofErr w:type="spellEnd"/>
      <w:r w:rsidRPr="0092785C">
        <w:rPr>
          <w:lang w:val="fr-CA"/>
        </w:rPr>
        <w:t xml:space="preserve">, la perfection est un concept clé de la </w:t>
      </w:r>
      <w:r w:rsidRPr="00BA1CC2">
        <w:rPr>
          <w:i/>
          <w:lang w:val="fr-CA"/>
        </w:rPr>
        <w:t>PPSA</w:t>
      </w:r>
      <w:r w:rsidRPr="0092785C">
        <w:rPr>
          <w:lang w:val="fr-CA"/>
        </w:rPr>
        <w:t>.  Si la perfection revêt de l</w:t>
      </w:r>
      <w:r w:rsidR="00BA1CC2">
        <w:rPr>
          <w:lang w:val="fr-CA"/>
        </w:rPr>
        <w:t>’</w:t>
      </w:r>
      <w:r w:rsidRPr="0092785C">
        <w:rPr>
          <w:lang w:val="fr-CA"/>
        </w:rPr>
        <w:t xml:space="preserve">importance dans le régime de la </w:t>
      </w:r>
      <w:r w:rsidRPr="00BA1CC2">
        <w:rPr>
          <w:i/>
          <w:lang w:val="fr-CA"/>
        </w:rPr>
        <w:t>PPSA</w:t>
      </w:r>
      <w:r w:rsidRPr="0092785C">
        <w:rPr>
          <w:lang w:val="fr-CA"/>
        </w:rPr>
        <w:t>, c</w:t>
      </w:r>
      <w:r w:rsidR="00BA1CC2">
        <w:rPr>
          <w:lang w:val="fr-CA"/>
        </w:rPr>
        <w:t>’</w:t>
      </w:r>
      <w:r w:rsidRPr="0092785C">
        <w:rPr>
          <w:lang w:val="fr-CA"/>
        </w:rPr>
        <w:t>est qu</w:t>
      </w:r>
      <w:r w:rsidR="00BA1CC2">
        <w:rPr>
          <w:lang w:val="fr-CA"/>
        </w:rPr>
        <w:t>’</w:t>
      </w:r>
      <w:r w:rsidRPr="0092785C">
        <w:rPr>
          <w:lang w:val="fr-CA"/>
        </w:rPr>
        <w:t>une sûreté parfaite a généralement priorité sur une sûreté non parfaite : al. 35(1)b).  En effet, sous réserve de certaines exceptions, la sûreté qui a été parfaite en premier confère au créancier garanti les droits les plus étendus qu</w:t>
      </w:r>
      <w:r w:rsidR="00BA1CC2">
        <w:rPr>
          <w:lang w:val="fr-CA"/>
        </w:rPr>
        <w:t>’</w:t>
      </w:r>
      <w:r w:rsidRPr="0092785C">
        <w:rPr>
          <w:lang w:val="fr-CA"/>
        </w:rPr>
        <w:t xml:space="preserve">il peut acquérir sous le régime de la </w:t>
      </w:r>
      <w:r w:rsidRPr="00BA1CC2">
        <w:rPr>
          <w:i/>
          <w:lang w:val="fr-CA"/>
        </w:rPr>
        <w:t>PPSA</w:t>
      </w:r>
      <w:r w:rsidRPr="0092785C">
        <w:rPr>
          <w:lang w:val="fr-CA"/>
        </w:rPr>
        <w:t>.  Il existe une foule de mécanismes de perfection d</w:t>
      </w:r>
      <w:r w:rsidR="00BA1CC2">
        <w:rPr>
          <w:lang w:val="fr-CA"/>
        </w:rPr>
        <w:t>’</w:t>
      </w:r>
      <w:r w:rsidRPr="0092785C">
        <w:rPr>
          <w:lang w:val="fr-CA"/>
        </w:rPr>
        <w:t>une sûreté qui n</w:t>
      </w:r>
      <w:r w:rsidR="00BA1CC2">
        <w:rPr>
          <w:lang w:val="fr-CA"/>
        </w:rPr>
        <w:t>’</w:t>
      </w:r>
      <w:r w:rsidRPr="0092785C">
        <w:rPr>
          <w:lang w:val="fr-CA"/>
        </w:rPr>
        <w:t>ont pas à être analysés en détail ici, mais il suffit de signaler que l</w:t>
      </w:r>
      <w:r w:rsidR="00BA1CC2">
        <w:rPr>
          <w:lang w:val="fr-CA"/>
        </w:rPr>
        <w:t>’</w:t>
      </w:r>
      <w:r w:rsidRPr="0092785C">
        <w:rPr>
          <w:lang w:val="fr-CA"/>
        </w:rPr>
        <w:t>enregistrement d</w:t>
      </w:r>
      <w:r w:rsidR="00BA1CC2">
        <w:rPr>
          <w:lang w:val="fr-CA"/>
        </w:rPr>
        <w:t>’</w:t>
      </w:r>
      <w:r w:rsidRPr="0092785C">
        <w:rPr>
          <w:lang w:val="fr-CA"/>
        </w:rPr>
        <w:t>un état de financement est l</w:t>
      </w:r>
      <w:r w:rsidR="00BA1CC2">
        <w:rPr>
          <w:lang w:val="fr-CA"/>
        </w:rPr>
        <w:t>’</w:t>
      </w:r>
      <w:r w:rsidRPr="0092785C">
        <w:rPr>
          <w:lang w:val="fr-CA"/>
        </w:rPr>
        <w:t xml:space="preserve">un des plus importants : art. 25.  Toutefois, contrairement aux conséquences prévues dans la </w:t>
      </w:r>
      <w:r w:rsidRPr="00BA1CC2">
        <w:rPr>
          <w:i/>
          <w:lang w:val="fr-CA"/>
        </w:rPr>
        <w:t>LB</w:t>
      </w:r>
      <w:r w:rsidRPr="0092785C">
        <w:rPr>
          <w:lang w:val="fr-CA"/>
        </w:rPr>
        <w:t>, le défaut d</w:t>
      </w:r>
      <w:r w:rsidR="00BA1CC2">
        <w:rPr>
          <w:lang w:val="fr-CA"/>
        </w:rPr>
        <w:t>’</w:t>
      </w:r>
      <w:r w:rsidRPr="0092785C">
        <w:rPr>
          <w:lang w:val="fr-CA"/>
        </w:rPr>
        <w:t>enregistrement d</w:t>
      </w:r>
      <w:r w:rsidR="00BA1CC2">
        <w:rPr>
          <w:lang w:val="fr-CA"/>
        </w:rPr>
        <w:t>’</w:t>
      </w:r>
      <w:r w:rsidRPr="0092785C">
        <w:rPr>
          <w:lang w:val="fr-CA"/>
        </w:rPr>
        <w:t xml:space="preserve">une sûreté sous le régime </w:t>
      </w:r>
      <w:r w:rsidR="00BA1CC2">
        <w:rPr>
          <w:lang w:val="fr-CA"/>
        </w:rPr>
        <w:t xml:space="preserve">de </w:t>
      </w:r>
      <w:r w:rsidRPr="0092785C">
        <w:rPr>
          <w:lang w:val="fr-CA"/>
        </w:rPr>
        <w:t xml:space="preserve">la </w:t>
      </w:r>
      <w:r w:rsidRPr="00BA1CC2">
        <w:rPr>
          <w:i/>
          <w:lang w:val="fr-CA"/>
        </w:rPr>
        <w:t>PPSA</w:t>
      </w:r>
      <w:r w:rsidRPr="0092785C">
        <w:rPr>
          <w:lang w:val="fr-CA"/>
        </w:rPr>
        <w:t xml:space="preserve"> n</w:t>
      </w:r>
      <w:r w:rsidR="00BA1CC2">
        <w:rPr>
          <w:lang w:val="fr-CA"/>
        </w:rPr>
        <w:t>’</w:t>
      </w:r>
      <w:r w:rsidRPr="0092785C">
        <w:rPr>
          <w:lang w:val="fr-CA"/>
        </w:rPr>
        <w:t>emporte pas la nullité des droits du créancier garanti vis-à-vis des tiers.</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La </w:t>
      </w:r>
      <w:r w:rsidRPr="00BA1CC2">
        <w:rPr>
          <w:i/>
          <w:lang w:val="fr-CA"/>
        </w:rPr>
        <w:t>PPSA</w:t>
      </w:r>
      <w:r w:rsidRPr="0092785C">
        <w:rPr>
          <w:lang w:val="fr-CA"/>
        </w:rPr>
        <w:t xml:space="preserve"> prévoit un éventail détaillé de règles pour résoudre les conflits de priorité entre des sûretés concurrentes; la perfection et diverses règles de priorité chronologique déterminent le rang des sûretés à défaut d</w:t>
      </w:r>
      <w:r w:rsidR="00BA1CC2">
        <w:rPr>
          <w:lang w:val="fr-CA"/>
        </w:rPr>
        <w:t>’</w:t>
      </w:r>
      <w:r w:rsidRPr="0092785C">
        <w:rPr>
          <w:lang w:val="fr-CA"/>
        </w:rPr>
        <w:t xml:space="preserve">une règle plus précise applicable à une situation donnée : par. 35(1).  Bien que la sûreté confère au créancier </w:t>
      </w:r>
      <w:r w:rsidRPr="0092785C">
        <w:rPr>
          <w:lang w:val="fr-CA"/>
        </w:rPr>
        <w:lastRenderedPageBreak/>
        <w:t xml:space="preserve">garanti un intérêt opposable à la fois au débiteur et aux tiers, la </w:t>
      </w:r>
      <w:r w:rsidRPr="00BA1CC2">
        <w:rPr>
          <w:i/>
          <w:lang w:val="fr-CA"/>
        </w:rPr>
        <w:t>PPSA</w:t>
      </w:r>
      <w:r w:rsidRPr="0092785C">
        <w:rPr>
          <w:lang w:val="fr-CA"/>
        </w:rPr>
        <w:t xml:space="preserve"> reconnaît à d</w:t>
      </w:r>
      <w:r w:rsidR="00BA1CC2">
        <w:rPr>
          <w:lang w:val="fr-CA"/>
        </w:rPr>
        <w:t>’</w:t>
      </w:r>
      <w:r w:rsidRPr="0092785C">
        <w:rPr>
          <w:lang w:val="fr-CA"/>
        </w:rPr>
        <w:t>autres personnes intéressées leurs intérêts dans les biens en subordonnant les droits des créanciers garantis à ceux de tiers dans certaines circonstances.  Par exemple, les sûretés non parfaites sont subordonnées aux droits d</w:t>
      </w:r>
      <w:r w:rsidR="00BA1CC2">
        <w:rPr>
          <w:lang w:val="fr-CA"/>
        </w:rPr>
        <w:t>’</w:t>
      </w:r>
      <w:r w:rsidRPr="0092785C">
        <w:rPr>
          <w:lang w:val="fr-CA"/>
        </w:rPr>
        <w:t>un syndic de faillite et, dans certaines situations, à ceux des acquéreurs à titre onéreux qui n</w:t>
      </w:r>
      <w:r w:rsidR="00BA1CC2">
        <w:rPr>
          <w:lang w:val="fr-CA"/>
        </w:rPr>
        <w:t>’</w:t>
      </w:r>
      <w:r w:rsidRPr="0092785C">
        <w:rPr>
          <w:lang w:val="fr-CA"/>
        </w:rPr>
        <w:t>en connaissaient pas l</w:t>
      </w:r>
      <w:r w:rsidR="00BA1CC2">
        <w:rPr>
          <w:lang w:val="fr-CA"/>
        </w:rPr>
        <w:t>’</w:t>
      </w:r>
      <w:r w:rsidRPr="0092785C">
        <w:rPr>
          <w:lang w:val="fr-CA"/>
        </w:rPr>
        <w:t xml:space="preserve">existence : par. 20(2) et (3).  En conséquence, la </w:t>
      </w:r>
      <w:r w:rsidRPr="00BA1CC2">
        <w:rPr>
          <w:i/>
          <w:lang w:val="fr-CA"/>
        </w:rPr>
        <w:t>PPSA</w:t>
      </w:r>
      <w:r w:rsidRPr="0092785C">
        <w:rPr>
          <w:lang w:val="fr-CA"/>
        </w:rPr>
        <w:t xml:space="preserve"> prévoit, dans les limites de son champ d</w:t>
      </w:r>
      <w:r w:rsidR="00BA1CC2">
        <w:rPr>
          <w:lang w:val="fr-CA"/>
        </w:rPr>
        <w:t>’</w:t>
      </w:r>
      <w:r w:rsidRPr="0092785C">
        <w:rPr>
          <w:lang w:val="fr-CA"/>
        </w:rPr>
        <w:t>application, un ensemble complet de règles déterminant l</w:t>
      </w:r>
      <w:r w:rsidR="00BA1CC2">
        <w:rPr>
          <w:lang w:val="fr-CA"/>
        </w:rPr>
        <w:t>’</w:t>
      </w:r>
      <w:r w:rsidRPr="0092785C">
        <w:rPr>
          <w:lang w:val="fr-CA"/>
        </w:rPr>
        <w:t xml:space="preserve">ordre de priorité des droits des créanciers et des tiers sur un bien particulier. </w:t>
      </w:r>
    </w:p>
    <w:p w:rsidR="00DC4439" w:rsidRPr="00BA1CC2"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La </w:t>
      </w:r>
      <w:r w:rsidRPr="00BA1CC2">
        <w:rPr>
          <w:i/>
          <w:lang w:val="fr-CA"/>
        </w:rPr>
        <w:t>PPSA</w:t>
      </w:r>
      <w:r w:rsidRPr="0092785C">
        <w:rPr>
          <w:lang w:val="fr-CA"/>
        </w:rPr>
        <w:t xml:space="preserve"> ne constitue cependant pas un code tout à fait exhaustif.  L</w:t>
      </w:r>
      <w:r w:rsidR="00BA1CC2">
        <w:rPr>
          <w:lang w:val="fr-CA"/>
        </w:rPr>
        <w:t>’</w:t>
      </w:r>
      <w:r w:rsidRPr="0092785C">
        <w:rPr>
          <w:lang w:val="fr-CA"/>
        </w:rPr>
        <w:t xml:space="preserve">article 4 de la </w:t>
      </w:r>
      <w:r w:rsidRPr="00BA1CC2">
        <w:rPr>
          <w:i/>
          <w:lang w:val="fr-CA"/>
        </w:rPr>
        <w:t>PPSA</w:t>
      </w:r>
      <w:r w:rsidRPr="0092785C">
        <w:rPr>
          <w:lang w:val="fr-CA"/>
        </w:rPr>
        <w:t xml:space="preserve"> énumère un certain nombre de situations dans lesquelles cette loi ne s</w:t>
      </w:r>
      <w:r w:rsidR="00BA1CC2">
        <w:rPr>
          <w:lang w:val="fr-CA"/>
        </w:rPr>
        <w:t>’</w:t>
      </w:r>
      <w:r w:rsidRPr="0092785C">
        <w:rPr>
          <w:lang w:val="fr-CA"/>
        </w:rPr>
        <w:t>applique pas.  En l</w:t>
      </w:r>
      <w:r w:rsidR="00BA1CC2">
        <w:rPr>
          <w:lang w:val="fr-CA"/>
        </w:rPr>
        <w:t>’</w:t>
      </w:r>
      <w:r w:rsidRPr="0092785C">
        <w:rPr>
          <w:lang w:val="fr-CA"/>
        </w:rPr>
        <w:t>espèce, l</w:t>
      </w:r>
      <w:r w:rsidR="00BA1CC2">
        <w:rPr>
          <w:lang w:val="fr-CA"/>
        </w:rPr>
        <w:t>’</w:t>
      </w:r>
      <w:r w:rsidRPr="0092785C">
        <w:rPr>
          <w:lang w:val="fr-CA"/>
        </w:rPr>
        <w:t xml:space="preserve">al. 4k) est pertinent, car il prévoit que la </w:t>
      </w:r>
      <w:r w:rsidR="00BA1CC2" w:rsidRPr="00BA1CC2">
        <w:rPr>
          <w:i/>
          <w:lang w:val="fr-CA"/>
        </w:rPr>
        <w:t>PPSA</w:t>
      </w:r>
      <w:r w:rsidRPr="0092785C">
        <w:rPr>
          <w:lang w:val="fr-CA"/>
        </w:rPr>
        <w:t xml:space="preserve"> ne s</w:t>
      </w:r>
      <w:r w:rsidR="00BA1CC2">
        <w:rPr>
          <w:lang w:val="fr-CA"/>
        </w:rPr>
        <w:t>’</w:t>
      </w:r>
      <w:r w:rsidRPr="0092785C">
        <w:rPr>
          <w:lang w:val="fr-CA"/>
        </w:rPr>
        <w:t>applique pas à [</w:t>
      </w:r>
      <w:r w:rsidRPr="0092785C">
        <w:rPr>
          <w:smallCaps/>
          <w:lang w:val="fr-CA"/>
        </w:rPr>
        <w:t>traduction</w:t>
      </w:r>
      <w:r w:rsidRPr="0092785C">
        <w:rPr>
          <w:lang w:val="fr-CA"/>
        </w:rPr>
        <w:t xml:space="preserve">] « un contrat de sûreté régi par une loi du Parlement du Canada [. . .] y compris tout accord régi par les articles 425 à 436 de la </w:t>
      </w:r>
      <w:r w:rsidRPr="0092785C">
        <w:rPr>
          <w:i/>
          <w:lang w:val="fr-CA"/>
        </w:rPr>
        <w:t>Loi sur les banques</w:t>
      </w:r>
      <w:r w:rsidRPr="0092785C">
        <w:rPr>
          <w:lang w:val="fr-CA"/>
        </w:rPr>
        <w:t xml:space="preserve"> ».  </w:t>
      </w:r>
      <w:r w:rsidRPr="00BA1CC2">
        <w:rPr>
          <w:lang w:val="fr-CA"/>
        </w:rPr>
        <w:t>Je parlerai davantage de cette disposition plus loin.</w:t>
      </w:r>
    </w:p>
    <w:p w:rsidR="00DC4439" w:rsidRPr="0092785C" w:rsidRDefault="00DC4439" w:rsidP="00DC4439">
      <w:pPr>
        <w:pStyle w:val="ListParagraph"/>
        <w:keepNext/>
        <w:tabs>
          <w:tab w:val="left" w:pos="1152"/>
        </w:tabs>
        <w:spacing w:after="480" w:line="480" w:lineRule="auto"/>
        <w:ind w:left="0"/>
        <w:jc w:val="both"/>
        <w:rPr>
          <w:spacing w:val="3"/>
          <w:lang w:val="fr-CA"/>
        </w:rPr>
      </w:pPr>
      <w:r w:rsidRPr="0092785C">
        <w:rPr>
          <w:spacing w:val="3"/>
          <w:lang w:val="fr-CA"/>
        </w:rPr>
        <w:t>3.3  </w:t>
      </w:r>
      <w:r w:rsidRPr="0092785C">
        <w:rPr>
          <w:i/>
          <w:spacing w:val="3"/>
          <w:lang w:val="fr-CA"/>
        </w:rPr>
        <w:t>La relation difficile entre la Loi sur les banques et la PPSA</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Le régime applicable aux garanties relevant de la </w:t>
      </w:r>
      <w:r w:rsidRPr="00BA1CC2">
        <w:rPr>
          <w:i/>
          <w:lang w:val="fr-CA"/>
        </w:rPr>
        <w:t>LB</w:t>
      </w:r>
      <w:r w:rsidRPr="0092785C">
        <w:rPr>
          <w:i/>
          <w:lang w:val="fr-CA"/>
        </w:rPr>
        <w:t xml:space="preserve"> </w:t>
      </w:r>
      <w:r w:rsidRPr="0092785C">
        <w:rPr>
          <w:lang w:val="fr-CA"/>
        </w:rPr>
        <w:t>a fait l</w:t>
      </w:r>
      <w:r w:rsidR="00BA1CC2">
        <w:rPr>
          <w:lang w:val="fr-CA"/>
        </w:rPr>
        <w:t>’</w:t>
      </w:r>
      <w:r w:rsidRPr="0092785C">
        <w:rPr>
          <w:lang w:val="fr-CA"/>
        </w:rPr>
        <w:t>objet de critiques.  Des commentateurs ont souligné en particulier l</w:t>
      </w:r>
      <w:r w:rsidR="00BA1CC2">
        <w:rPr>
          <w:lang w:val="fr-CA"/>
        </w:rPr>
        <w:t>’</w:t>
      </w:r>
      <w:r w:rsidRPr="0092785C">
        <w:rPr>
          <w:lang w:val="fr-CA"/>
        </w:rPr>
        <w:t xml:space="preserve">absence de cohérence entre les concepts archaïques qui sous-tendent la </w:t>
      </w:r>
      <w:r w:rsidRPr="00BA1CC2">
        <w:rPr>
          <w:i/>
          <w:lang w:val="fr-CA"/>
        </w:rPr>
        <w:t>LB</w:t>
      </w:r>
      <w:r w:rsidRPr="0092785C">
        <w:rPr>
          <w:i/>
          <w:lang w:val="fr-CA"/>
        </w:rPr>
        <w:t xml:space="preserve"> </w:t>
      </w:r>
      <w:r w:rsidRPr="0092785C">
        <w:rPr>
          <w:lang w:val="fr-CA"/>
        </w:rPr>
        <w:t>et les principes modernes consacrés dans les lois provinciales en matière de sûretés mobilières : voir, p. ex., M.</w:t>
      </w:r>
      <w:r w:rsidRPr="0092785C">
        <w:rPr>
          <w:lang w:val="fr-CA"/>
        </w:rPr>
        <w:noBreakHyphen/>
        <w:t>A. Poirier, « </w:t>
      </w:r>
      <w:proofErr w:type="spellStart"/>
      <w:r w:rsidRPr="0092785C">
        <w:rPr>
          <w:lang w:val="fr-CA"/>
        </w:rPr>
        <w:t>Analysis</w:t>
      </w:r>
      <w:proofErr w:type="spellEnd"/>
      <w:r w:rsidRPr="0092785C">
        <w:rPr>
          <w:lang w:val="fr-CA"/>
        </w:rPr>
        <w:t xml:space="preserve"> of the Interaction </w:t>
      </w:r>
      <w:proofErr w:type="spellStart"/>
      <w:r w:rsidRPr="0092785C">
        <w:rPr>
          <w:lang w:val="fr-CA"/>
        </w:rPr>
        <w:t>between</w:t>
      </w:r>
      <w:proofErr w:type="spellEnd"/>
      <w:r w:rsidRPr="0092785C">
        <w:rPr>
          <w:lang w:val="fr-CA"/>
        </w:rPr>
        <w:t xml:space="preserve"> Security </w:t>
      </w:r>
      <w:proofErr w:type="spellStart"/>
      <w:r w:rsidRPr="0092785C">
        <w:rPr>
          <w:lang w:val="fr-CA"/>
        </w:rPr>
        <w:t>under</w:t>
      </w:r>
      <w:proofErr w:type="spellEnd"/>
      <w:r w:rsidRPr="0092785C">
        <w:rPr>
          <w:lang w:val="fr-CA"/>
        </w:rPr>
        <w:t xml:space="preserve"> Section 427 of </w:t>
      </w:r>
      <w:r w:rsidRPr="0092785C">
        <w:rPr>
          <w:lang w:val="fr-CA"/>
        </w:rPr>
        <w:lastRenderedPageBreak/>
        <w:t xml:space="preserve">the Bank </w:t>
      </w:r>
      <w:proofErr w:type="spellStart"/>
      <w:r w:rsidRPr="0092785C">
        <w:rPr>
          <w:lang w:val="fr-CA"/>
        </w:rPr>
        <w:t>Act</w:t>
      </w:r>
      <w:proofErr w:type="spellEnd"/>
      <w:r w:rsidRPr="0092785C">
        <w:rPr>
          <w:lang w:val="fr-CA"/>
        </w:rPr>
        <w:t xml:space="preserve"> and Provincial Law</w:t>
      </w:r>
      <w:r w:rsidR="00BA1CC2">
        <w:rPr>
          <w:lang w:val="fr-CA"/>
        </w:rPr>
        <w:t xml:space="preserve"> </w:t>
      </w:r>
      <w:r w:rsidRPr="0092785C">
        <w:rPr>
          <w:lang w:val="fr-CA"/>
        </w:rPr>
        <w:t xml:space="preserve">:  A </w:t>
      </w:r>
      <w:proofErr w:type="spellStart"/>
      <w:r w:rsidRPr="0092785C">
        <w:rPr>
          <w:lang w:val="fr-CA"/>
        </w:rPr>
        <w:t>Bijural</w:t>
      </w:r>
      <w:proofErr w:type="spellEnd"/>
      <w:r w:rsidRPr="0092785C">
        <w:rPr>
          <w:lang w:val="fr-CA"/>
        </w:rPr>
        <w:t xml:space="preserve"> Perspective » (2003), 63 </w:t>
      </w:r>
      <w:r w:rsidRPr="0092785C">
        <w:rPr>
          <w:i/>
          <w:lang w:val="fr-CA"/>
        </w:rPr>
        <w:t>R. du B.</w:t>
      </w:r>
      <w:r w:rsidRPr="0092785C">
        <w:rPr>
          <w:lang w:val="fr-CA"/>
        </w:rPr>
        <w:t xml:space="preserve"> 289, p. 395</w:t>
      </w:r>
      <w:r w:rsidR="00BA1CC2">
        <w:rPr>
          <w:lang w:val="fr-CA"/>
        </w:rPr>
        <w:t>-</w:t>
      </w:r>
      <w:r w:rsidRPr="0092785C">
        <w:rPr>
          <w:lang w:val="fr-CA"/>
        </w:rPr>
        <w:t xml:space="preserve">400; Law </w:t>
      </w:r>
      <w:proofErr w:type="spellStart"/>
      <w:r w:rsidRPr="0092785C">
        <w:rPr>
          <w:lang w:val="fr-CA"/>
        </w:rPr>
        <w:t>Reform</w:t>
      </w:r>
      <w:proofErr w:type="spellEnd"/>
      <w:r w:rsidRPr="0092785C">
        <w:rPr>
          <w:lang w:val="fr-CA"/>
        </w:rPr>
        <w:t xml:space="preserve"> Commission of Saskatchewan, </w:t>
      </w:r>
      <w:r w:rsidRPr="0092785C">
        <w:rPr>
          <w:i/>
          <w:lang w:val="fr-CA"/>
        </w:rPr>
        <w:t xml:space="preserve">Tentative </w:t>
      </w:r>
      <w:proofErr w:type="spellStart"/>
      <w:r w:rsidRPr="0092785C">
        <w:rPr>
          <w:i/>
          <w:lang w:val="fr-CA"/>
        </w:rPr>
        <w:t>Proposals</w:t>
      </w:r>
      <w:proofErr w:type="spellEnd"/>
      <w:r w:rsidRPr="0092785C">
        <w:rPr>
          <w:i/>
          <w:lang w:val="fr-CA"/>
        </w:rPr>
        <w:t xml:space="preserve"> for a New </w:t>
      </w:r>
      <w:proofErr w:type="spellStart"/>
      <w:r w:rsidRPr="0092785C">
        <w:rPr>
          <w:i/>
          <w:lang w:val="fr-CA"/>
        </w:rPr>
        <w:t>Personal</w:t>
      </w:r>
      <w:proofErr w:type="spellEnd"/>
      <w:r w:rsidRPr="0092785C">
        <w:rPr>
          <w:i/>
          <w:lang w:val="fr-CA"/>
        </w:rPr>
        <w:t xml:space="preserve"> </w:t>
      </w:r>
      <w:proofErr w:type="spellStart"/>
      <w:r w:rsidRPr="0092785C">
        <w:rPr>
          <w:i/>
          <w:lang w:val="fr-CA"/>
        </w:rPr>
        <w:t>Property</w:t>
      </w:r>
      <w:proofErr w:type="spellEnd"/>
      <w:r w:rsidRPr="0092785C">
        <w:rPr>
          <w:i/>
          <w:lang w:val="fr-CA"/>
        </w:rPr>
        <w:t xml:space="preserve"> Security </w:t>
      </w:r>
      <w:proofErr w:type="spellStart"/>
      <w:r w:rsidRPr="0092785C">
        <w:rPr>
          <w:i/>
          <w:lang w:val="fr-CA"/>
        </w:rPr>
        <w:t>Act</w:t>
      </w:r>
      <w:proofErr w:type="spellEnd"/>
      <w:r w:rsidRPr="0092785C">
        <w:rPr>
          <w:lang w:val="fr-CA"/>
        </w:rPr>
        <w:t xml:space="preserve"> (1990); R. C. C. </w:t>
      </w:r>
      <w:proofErr w:type="spellStart"/>
      <w:r w:rsidRPr="0092785C">
        <w:rPr>
          <w:lang w:val="fr-CA"/>
        </w:rPr>
        <w:t>Cuming</w:t>
      </w:r>
      <w:proofErr w:type="spellEnd"/>
      <w:r w:rsidRPr="0092785C">
        <w:rPr>
          <w:lang w:val="fr-CA"/>
        </w:rPr>
        <w:t>, « Case Comment</w:t>
      </w:r>
      <w:r w:rsidR="00BA1CC2">
        <w:rPr>
          <w:lang w:val="fr-CA"/>
        </w:rPr>
        <w:t xml:space="preserve"> </w:t>
      </w:r>
      <w:r w:rsidRPr="0092785C">
        <w:rPr>
          <w:lang w:val="fr-CA"/>
        </w:rPr>
        <w:t xml:space="preserve">: </w:t>
      </w:r>
      <w:r w:rsidRPr="0092785C">
        <w:rPr>
          <w:i/>
          <w:lang w:val="fr-CA"/>
        </w:rPr>
        <w:t xml:space="preserve">Innovation </w:t>
      </w:r>
      <w:proofErr w:type="spellStart"/>
      <w:r w:rsidRPr="0092785C">
        <w:rPr>
          <w:i/>
          <w:lang w:val="fr-CA"/>
        </w:rPr>
        <w:t>Credit</w:t>
      </w:r>
      <w:proofErr w:type="spellEnd"/>
      <w:r w:rsidRPr="0092785C">
        <w:rPr>
          <w:i/>
          <w:lang w:val="fr-CA"/>
        </w:rPr>
        <w:t xml:space="preserve"> Union v. Bank of </w:t>
      </w:r>
      <w:proofErr w:type="spellStart"/>
      <w:r w:rsidRPr="0092785C">
        <w:rPr>
          <w:i/>
          <w:lang w:val="fr-CA"/>
        </w:rPr>
        <w:t>Montreal</w:t>
      </w:r>
      <w:proofErr w:type="spellEnd"/>
      <w:r w:rsidRPr="0092785C">
        <w:rPr>
          <w:i/>
          <w:lang w:val="fr-CA"/>
        </w:rPr>
        <w:t xml:space="preserve"> </w:t>
      </w:r>
      <w:r w:rsidR="002B1468">
        <w:rPr>
          <w:i/>
          <w:lang w:val="fr-CA"/>
        </w:rPr>
        <w:t>—</w:t>
      </w:r>
      <w:r w:rsidRPr="0092785C">
        <w:rPr>
          <w:lang w:val="fr-CA"/>
        </w:rPr>
        <w:t xml:space="preserve"> Interface </w:t>
      </w:r>
      <w:proofErr w:type="spellStart"/>
      <w:r w:rsidRPr="0092785C">
        <w:rPr>
          <w:lang w:val="fr-CA"/>
        </w:rPr>
        <w:t>between</w:t>
      </w:r>
      <w:proofErr w:type="spellEnd"/>
      <w:r w:rsidRPr="0092785C">
        <w:rPr>
          <w:lang w:val="fr-CA"/>
        </w:rPr>
        <w:t xml:space="preserve"> the </w:t>
      </w:r>
      <w:r w:rsidRPr="0092785C">
        <w:rPr>
          <w:i/>
          <w:lang w:val="fr-CA"/>
        </w:rPr>
        <w:t>PPSA</w:t>
      </w:r>
      <w:r w:rsidRPr="0092785C">
        <w:rPr>
          <w:lang w:val="fr-CA"/>
        </w:rPr>
        <w:t xml:space="preserve"> and Section 427 of the </w:t>
      </w:r>
      <w:r w:rsidRPr="0092785C">
        <w:rPr>
          <w:i/>
          <w:lang w:val="fr-CA"/>
        </w:rPr>
        <w:t xml:space="preserve">Bank </w:t>
      </w:r>
      <w:proofErr w:type="spellStart"/>
      <w:r w:rsidRPr="0092785C">
        <w:rPr>
          <w:i/>
          <w:lang w:val="fr-CA"/>
        </w:rPr>
        <w:t>Act</w:t>
      </w:r>
      <w:proofErr w:type="spellEnd"/>
      <w:r w:rsidR="00BA1CC2">
        <w:rPr>
          <w:i/>
          <w:lang w:val="fr-CA"/>
        </w:rPr>
        <w:t xml:space="preserve"> </w:t>
      </w:r>
      <w:r w:rsidRPr="0092785C">
        <w:rPr>
          <w:lang w:val="fr-CA"/>
        </w:rPr>
        <w:t xml:space="preserve">:  </w:t>
      </w:r>
      <w:proofErr w:type="spellStart"/>
      <w:r w:rsidRPr="0092785C">
        <w:rPr>
          <w:lang w:val="fr-CA"/>
        </w:rPr>
        <w:t>Desirable</w:t>
      </w:r>
      <w:proofErr w:type="spellEnd"/>
      <w:r w:rsidRPr="0092785C">
        <w:rPr>
          <w:lang w:val="fr-CA"/>
        </w:rPr>
        <w:t xml:space="preserve"> Policy vs. Hard </w:t>
      </w:r>
      <w:proofErr w:type="spellStart"/>
      <w:r w:rsidRPr="0092785C">
        <w:rPr>
          <w:lang w:val="fr-CA"/>
        </w:rPr>
        <w:t>Legal</w:t>
      </w:r>
      <w:proofErr w:type="spellEnd"/>
      <w:r w:rsidRPr="0092785C">
        <w:rPr>
          <w:lang w:val="fr-CA"/>
        </w:rPr>
        <w:t xml:space="preserve"> </w:t>
      </w:r>
      <w:proofErr w:type="spellStart"/>
      <w:r w:rsidRPr="0092785C">
        <w:rPr>
          <w:lang w:val="fr-CA"/>
        </w:rPr>
        <w:t>Analysis</w:t>
      </w:r>
      <w:proofErr w:type="spellEnd"/>
      <w:r w:rsidRPr="0092785C">
        <w:rPr>
          <w:lang w:val="fr-CA"/>
        </w:rPr>
        <w:t> » (2008), 71 </w:t>
      </w:r>
      <w:proofErr w:type="spellStart"/>
      <w:r w:rsidRPr="0092785C">
        <w:rPr>
          <w:i/>
          <w:lang w:val="fr-CA"/>
        </w:rPr>
        <w:t>Sask</w:t>
      </w:r>
      <w:proofErr w:type="spellEnd"/>
      <w:r w:rsidRPr="0092785C">
        <w:rPr>
          <w:i/>
          <w:lang w:val="fr-CA"/>
        </w:rPr>
        <w:t xml:space="preserve">. L. </w:t>
      </w:r>
      <w:proofErr w:type="spellStart"/>
      <w:r w:rsidRPr="0092785C">
        <w:rPr>
          <w:i/>
          <w:lang w:val="fr-CA"/>
        </w:rPr>
        <w:t>Rev</w:t>
      </w:r>
      <w:proofErr w:type="spellEnd"/>
      <w:r w:rsidRPr="0092785C">
        <w:rPr>
          <w:i/>
          <w:lang w:val="fr-CA"/>
        </w:rPr>
        <w:t>.</w:t>
      </w:r>
      <w:r w:rsidRPr="0092785C">
        <w:rPr>
          <w:lang w:val="fr-CA"/>
        </w:rPr>
        <w:t xml:space="preserve"> 143.</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En fait, il semble exister un large consensus sur la nécessité de modifier le régime de la </w:t>
      </w:r>
      <w:r w:rsidRPr="00BA1CC2">
        <w:rPr>
          <w:i/>
          <w:lang w:val="fr-CA"/>
        </w:rPr>
        <w:t>LB</w:t>
      </w:r>
      <w:r w:rsidRPr="0092785C">
        <w:rPr>
          <w:lang w:val="fr-CA"/>
        </w:rPr>
        <w:t xml:space="preserve"> pour l</w:t>
      </w:r>
      <w:r w:rsidR="00BA1CC2">
        <w:rPr>
          <w:lang w:val="fr-CA"/>
        </w:rPr>
        <w:t>’</w:t>
      </w:r>
      <w:r w:rsidRPr="0092785C">
        <w:rPr>
          <w:lang w:val="fr-CA"/>
        </w:rPr>
        <w:t>harmoniser avec ceux des lois provinciales en matière de sûretés mobilières, et certains commentateurs sont allés jusqu</w:t>
      </w:r>
      <w:r w:rsidR="00BA1CC2">
        <w:rPr>
          <w:lang w:val="fr-CA"/>
        </w:rPr>
        <w:t>’</w:t>
      </w:r>
      <w:r w:rsidRPr="0092785C">
        <w:rPr>
          <w:lang w:val="fr-CA"/>
        </w:rPr>
        <w:t>à proposer son abrogation pure et simple, faisant valoir l</w:t>
      </w:r>
      <w:r w:rsidR="00BA1CC2">
        <w:rPr>
          <w:lang w:val="fr-CA"/>
        </w:rPr>
        <w:t>’</w:t>
      </w:r>
      <w:r w:rsidRPr="0092785C">
        <w:rPr>
          <w:lang w:val="fr-CA"/>
        </w:rPr>
        <w:t>inutilité d</w:t>
      </w:r>
      <w:r w:rsidR="00BA1CC2">
        <w:rPr>
          <w:lang w:val="fr-CA"/>
        </w:rPr>
        <w:t>’</w:t>
      </w:r>
      <w:r w:rsidRPr="0092785C">
        <w:rPr>
          <w:lang w:val="fr-CA"/>
        </w:rPr>
        <w:t xml:space="preserve">un tel régime au regard des lois provinciales en vigueur en matière de sûretés mobilières : voir J. S. </w:t>
      </w:r>
      <w:proofErr w:type="spellStart"/>
      <w:r w:rsidRPr="0092785C">
        <w:rPr>
          <w:lang w:val="fr-CA"/>
        </w:rPr>
        <w:t>Ziegel</w:t>
      </w:r>
      <w:proofErr w:type="spellEnd"/>
      <w:r w:rsidRPr="0092785C">
        <w:rPr>
          <w:lang w:val="fr-CA"/>
        </w:rPr>
        <w:t xml:space="preserve">, « Interaction of </w:t>
      </w:r>
      <w:proofErr w:type="spellStart"/>
      <w:r w:rsidRPr="0092785C">
        <w:rPr>
          <w:lang w:val="fr-CA"/>
        </w:rPr>
        <w:t>Personal</w:t>
      </w:r>
      <w:proofErr w:type="spellEnd"/>
      <w:r w:rsidRPr="0092785C">
        <w:rPr>
          <w:lang w:val="fr-CA"/>
        </w:rPr>
        <w:t xml:space="preserve"> </w:t>
      </w:r>
      <w:proofErr w:type="spellStart"/>
      <w:r w:rsidRPr="0092785C">
        <w:rPr>
          <w:lang w:val="fr-CA"/>
        </w:rPr>
        <w:t>Property</w:t>
      </w:r>
      <w:proofErr w:type="spellEnd"/>
      <w:r w:rsidRPr="0092785C">
        <w:rPr>
          <w:lang w:val="fr-CA"/>
        </w:rPr>
        <w:t xml:space="preserve"> Security </w:t>
      </w:r>
      <w:proofErr w:type="spellStart"/>
      <w:r w:rsidRPr="0092785C">
        <w:rPr>
          <w:lang w:val="fr-CA"/>
        </w:rPr>
        <w:t>Legislation</w:t>
      </w:r>
      <w:proofErr w:type="spellEnd"/>
      <w:r w:rsidRPr="0092785C">
        <w:rPr>
          <w:lang w:val="fr-CA"/>
        </w:rPr>
        <w:t xml:space="preserve"> and Security </w:t>
      </w:r>
      <w:proofErr w:type="spellStart"/>
      <w:r w:rsidRPr="0092785C">
        <w:rPr>
          <w:lang w:val="fr-CA"/>
        </w:rPr>
        <w:t>Interests</w:t>
      </w:r>
      <w:proofErr w:type="spellEnd"/>
      <w:r w:rsidRPr="0092785C">
        <w:rPr>
          <w:lang w:val="fr-CA"/>
        </w:rPr>
        <w:t xml:space="preserve"> Under the Bank </w:t>
      </w:r>
      <w:proofErr w:type="spellStart"/>
      <w:r w:rsidRPr="0092785C">
        <w:rPr>
          <w:lang w:val="fr-CA"/>
        </w:rPr>
        <w:t>Act</w:t>
      </w:r>
      <w:proofErr w:type="spellEnd"/>
      <w:r w:rsidRPr="0092785C">
        <w:rPr>
          <w:lang w:val="fr-CA"/>
        </w:rPr>
        <w:t xml:space="preserve"> » (1986-87), 12 </w:t>
      </w:r>
      <w:proofErr w:type="spellStart"/>
      <w:r w:rsidR="00072021">
        <w:rPr>
          <w:i/>
          <w:lang w:val="fr-CA"/>
        </w:rPr>
        <w:t>Rev</w:t>
      </w:r>
      <w:proofErr w:type="spellEnd"/>
      <w:r w:rsidR="00072021">
        <w:rPr>
          <w:i/>
          <w:lang w:val="fr-CA"/>
        </w:rPr>
        <w:t xml:space="preserve">. </w:t>
      </w:r>
      <w:proofErr w:type="spellStart"/>
      <w:r w:rsidR="00072021">
        <w:rPr>
          <w:i/>
          <w:lang w:val="fr-CA"/>
        </w:rPr>
        <w:t>can</w:t>
      </w:r>
      <w:proofErr w:type="spellEnd"/>
      <w:r w:rsidR="00072021">
        <w:rPr>
          <w:i/>
          <w:lang w:val="fr-CA"/>
        </w:rPr>
        <w:t xml:space="preserve">. </w:t>
      </w:r>
      <w:proofErr w:type="spellStart"/>
      <w:r w:rsidR="00072021">
        <w:rPr>
          <w:i/>
          <w:lang w:val="fr-CA"/>
        </w:rPr>
        <w:t>dr</w:t>
      </w:r>
      <w:proofErr w:type="spellEnd"/>
      <w:r w:rsidR="00072021">
        <w:rPr>
          <w:i/>
          <w:lang w:val="fr-CA"/>
        </w:rPr>
        <w:t xml:space="preserve">. </w:t>
      </w:r>
      <w:proofErr w:type="spellStart"/>
      <w:r w:rsidR="00072021">
        <w:rPr>
          <w:i/>
          <w:lang w:val="fr-CA"/>
        </w:rPr>
        <w:t>comm</w:t>
      </w:r>
      <w:proofErr w:type="spellEnd"/>
      <w:r w:rsidR="00072021">
        <w:rPr>
          <w:i/>
          <w:lang w:val="fr-CA"/>
        </w:rPr>
        <w:t>.</w:t>
      </w:r>
      <w:r w:rsidRPr="0092785C">
        <w:rPr>
          <w:lang w:val="fr-CA"/>
        </w:rPr>
        <w:t xml:space="preserve"> 73, p. 91</w:t>
      </w:r>
      <w:r w:rsidR="00BA1CC2">
        <w:rPr>
          <w:lang w:val="fr-CA"/>
        </w:rPr>
        <w:t>-</w:t>
      </w:r>
      <w:r w:rsidRPr="0092785C">
        <w:rPr>
          <w:lang w:val="fr-CA"/>
        </w:rPr>
        <w:t>95; Conférence pour l</w:t>
      </w:r>
      <w:r w:rsidRPr="0092785C">
        <w:rPr>
          <w:lang w:val="en-GB"/>
        </w:rPr>
        <w:sym w:font="WP TypographicSymbols" w:char="003D"/>
      </w:r>
      <w:r w:rsidRPr="0092785C">
        <w:rPr>
          <w:lang w:val="fr-CA"/>
        </w:rPr>
        <w:t xml:space="preserve">harmonisation des lois au Canada, </w:t>
      </w:r>
      <w:r w:rsidRPr="0092785C">
        <w:rPr>
          <w:i/>
          <w:iCs/>
          <w:lang w:val="fr-CA"/>
        </w:rPr>
        <w:t>Conférence pour l</w:t>
      </w:r>
      <w:r w:rsidRPr="0092785C">
        <w:rPr>
          <w:i/>
          <w:iCs/>
          <w:lang w:val="en-GB"/>
        </w:rPr>
        <w:sym w:font="WP TypographicSymbols" w:char="003D"/>
      </w:r>
      <w:r w:rsidRPr="0092785C">
        <w:rPr>
          <w:i/>
          <w:iCs/>
          <w:lang w:val="fr-CA"/>
        </w:rPr>
        <w:t xml:space="preserve">harmonisation des lois au Canada </w:t>
      </w:r>
      <w:r w:rsidRPr="0092785C">
        <w:rPr>
          <w:i/>
          <w:iCs/>
          <w:lang w:val="en-GB"/>
        </w:rPr>
        <w:sym w:font="WP TypographicSymbols" w:char="0043"/>
      </w:r>
      <w:r w:rsidRPr="0092785C">
        <w:rPr>
          <w:i/>
          <w:iCs/>
          <w:lang w:val="fr-CA"/>
        </w:rPr>
        <w:t xml:space="preserve"> Stratégie du droit commercial</w:t>
      </w:r>
      <w:r w:rsidRPr="0092785C">
        <w:rPr>
          <w:iCs/>
          <w:lang w:val="fr-CA"/>
        </w:rPr>
        <w:t xml:space="preserve"> (feuilles mobiles);</w:t>
      </w:r>
      <w:r w:rsidRPr="0092785C">
        <w:rPr>
          <w:lang w:val="fr-CA"/>
        </w:rPr>
        <w:t xml:space="preserve"> Commission du droit du Canada, </w:t>
      </w:r>
      <w:r w:rsidRPr="0092785C">
        <w:rPr>
          <w:i/>
          <w:iCs/>
          <w:lang w:val="fr-CA"/>
        </w:rPr>
        <w:t>La Loi sur les banques et la modernisation du droit canadien des sûretés</w:t>
      </w:r>
      <w:r w:rsidRPr="0092785C">
        <w:rPr>
          <w:lang w:val="fr-CA"/>
        </w:rPr>
        <w:t xml:space="preserve"> (2004), p. 2</w:t>
      </w:r>
      <w:r w:rsidR="00BA1CC2">
        <w:rPr>
          <w:lang w:val="fr-CA"/>
        </w:rPr>
        <w:t>9-</w:t>
      </w:r>
      <w:r w:rsidRPr="0092785C">
        <w:rPr>
          <w:lang w:val="fr-CA"/>
        </w:rPr>
        <w:t>3</w:t>
      </w:r>
      <w:r w:rsidR="00BA1CC2">
        <w:rPr>
          <w:lang w:val="fr-CA"/>
        </w:rPr>
        <w:t>2</w:t>
      </w:r>
      <w:r w:rsidRPr="0092785C">
        <w:rPr>
          <w:lang w:val="fr-CA"/>
        </w:rPr>
        <w:t>.</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Il n</w:t>
      </w:r>
      <w:r w:rsidR="00BA1CC2">
        <w:rPr>
          <w:lang w:val="fr-CA"/>
        </w:rPr>
        <w:t>’</w:t>
      </w:r>
      <w:r w:rsidRPr="0092785C">
        <w:rPr>
          <w:lang w:val="fr-CA"/>
        </w:rPr>
        <w:t xml:space="preserve">y a aucun doute que les dispositions régissant les garanties prises sous le régime de la </w:t>
      </w:r>
      <w:r w:rsidRPr="00BA1CC2">
        <w:rPr>
          <w:i/>
          <w:lang w:val="fr-CA"/>
        </w:rPr>
        <w:t>LB</w:t>
      </w:r>
      <w:r w:rsidRPr="0092785C">
        <w:rPr>
          <w:i/>
          <w:lang w:val="fr-CA"/>
        </w:rPr>
        <w:t xml:space="preserve"> </w:t>
      </w:r>
      <w:r w:rsidRPr="0092785C">
        <w:rPr>
          <w:lang w:val="fr-CA"/>
        </w:rPr>
        <w:t>ont suscité des problèmes d</w:t>
      </w:r>
      <w:r w:rsidR="00BA1CC2">
        <w:rPr>
          <w:lang w:val="fr-CA"/>
        </w:rPr>
        <w:t>’</w:t>
      </w:r>
      <w:r w:rsidRPr="0092785C">
        <w:rPr>
          <w:lang w:val="fr-CA"/>
        </w:rPr>
        <w:t>interprétation, comme le démontrent la présente affaire et l</w:t>
      </w:r>
      <w:r w:rsidR="00BA1CC2">
        <w:rPr>
          <w:lang w:val="fr-CA"/>
        </w:rPr>
        <w:t>’</w:t>
      </w:r>
      <w:r w:rsidRPr="0092785C">
        <w:rPr>
          <w:lang w:val="fr-CA"/>
        </w:rPr>
        <w:t xml:space="preserve">affaire connexe.  La </w:t>
      </w:r>
      <w:r w:rsidRPr="00BA1CC2">
        <w:rPr>
          <w:i/>
          <w:lang w:val="fr-CA"/>
        </w:rPr>
        <w:t>LB</w:t>
      </w:r>
      <w:r w:rsidRPr="0092785C">
        <w:rPr>
          <w:lang w:val="fr-CA"/>
        </w:rPr>
        <w:t xml:space="preserve"> fait toutefois encore partie intégrante du domaine du crédit garanti au Canada, et les tribunaux n</w:t>
      </w:r>
      <w:r w:rsidR="00BA1CC2">
        <w:rPr>
          <w:lang w:val="fr-CA"/>
        </w:rPr>
        <w:t>’</w:t>
      </w:r>
      <w:r w:rsidRPr="0092785C">
        <w:rPr>
          <w:lang w:val="fr-CA"/>
        </w:rPr>
        <w:t>ont d</w:t>
      </w:r>
      <w:r w:rsidR="00BA1CC2">
        <w:rPr>
          <w:lang w:val="fr-CA"/>
        </w:rPr>
        <w:t>’</w:t>
      </w:r>
      <w:r w:rsidRPr="0092785C">
        <w:rPr>
          <w:lang w:val="fr-CA"/>
        </w:rPr>
        <w:t xml:space="preserve">autre </w:t>
      </w:r>
      <w:r w:rsidRPr="0092785C">
        <w:rPr>
          <w:lang w:val="fr-CA"/>
        </w:rPr>
        <w:lastRenderedPageBreak/>
        <w:t>choix que de résoudre ces difficultés du mieux qu</w:t>
      </w:r>
      <w:r w:rsidR="00BA1CC2">
        <w:rPr>
          <w:lang w:val="fr-CA"/>
        </w:rPr>
        <w:t>’</w:t>
      </w:r>
      <w:r w:rsidRPr="0092785C">
        <w:rPr>
          <w:lang w:val="fr-CA"/>
        </w:rPr>
        <w:t>ils peuvent en employant la méthode moderne d</w:t>
      </w:r>
      <w:r w:rsidR="00BA1CC2">
        <w:rPr>
          <w:lang w:val="fr-CA"/>
        </w:rPr>
        <w:t>’</w:t>
      </w:r>
      <w:r w:rsidRPr="0092785C">
        <w:rPr>
          <w:lang w:val="fr-CA"/>
        </w:rPr>
        <w:t xml:space="preserve">interprétation des lois et en tenant compte des principes constitutionnels applicables : voir </w:t>
      </w:r>
      <w:r w:rsidRPr="0092785C">
        <w:rPr>
          <w:i/>
          <w:lang w:val="fr-CA"/>
        </w:rPr>
        <w:t xml:space="preserve">Bell </w:t>
      </w:r>
      <w:proofErr w:type="spellStart"/>
      <w:r w:rsidRPr="0092785C">
        <w:rPr>
          <w:i/>
          <w:lang w:val="fr-CA"/>
        </w:rPr>
        <w:t>ExpressVu</w:t>
      </w:r>
      <w:proofErr w:type="spellEnd"/>
      <w:r w:rsidRPr="0092785C">
        <w:rPr>
          <w:i/>
          <w:lang w:val="fr-CA"/>
        </w:rPr>
        <w:t xml:space="preserve"> Limited </w:t>
      </w:r>
      <w:proofErr w:type="spellStart"/>
      <w:r w:rsidRPr="0092785C">
        <w:rPr>
          <w:i/>
          <w:lang w:val="fr-CA"/>
        </w:rPr>
        <w:t>Partnership</w:t>
      </w:r>
      <w:proofErr w:type="spellEnd"/>
      <w:r w:rsidRPr="0092785C">
        <w:rPr>
          <w:i/>
          <w:lang w:val="fr-CA"/>
        </w:rPr>
        <w:t xml:space="preserve"> c. Rex</w:t>
      </w:r>
      <w:r w:rsidRPr="0092785C">
        <w:rPr>
          <w:lang w:val="fr-CA"/>
        </w:rPr>
        <w:t>, 2002 CSC 42, [2002] 2 R.C.S. 559, par. 26.</w:t>
      </w:r>
    </w:p>
    <w:p w:rsidR="00DC4439" w:rsidRPr="0092785C" w:rsidRDefault="00DC4439" w:rsidP="00DC4439">
      <w:pPr>
        <w:pStyle w:val="ListParagraph"/>
        <w:keepNext/>
        <w:tabs>
          <w:tab w:val="left" w:pos="1152"/>
        </w:tabs>
        <w:spacing w:after="480" w:line="480" w:lineRule="auto"/>
        <w:ind w:left="0"/>
        <w:jc w:val="both"/>
        <w:rPr>
          <w:spacing w:val="3"/>
          <w:lang w:val="fr-CA"/>
        </w:rPr>
      </w:pPr>
      <w:r w:rsidRPr="0092785C">
        <w:rPr>
          <w:spacing w:val="3"/>
          <w:lang w:val="fr-CA"/>
        </w:rPr>
        <w:t>3.4  </w:t>
      </w:r>
      <w:r w:rsidRPr="0092785C">
        <w:rPr>
          <w:i/>
          <w:spacing w:val="3"/>
          <w:lang w:val="fr-CA"/>
        </w:rPr>
        <w:t>La résolution des conflits de priorité entre la Loi sur les banques et la PPSA</w:t>
      </w:r>
    </w:p>
    <w:p w:rsidR="00DC4439" w:rsidRPr="00A25648"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Dans </w:t>
      </w:r>
      <w:r w:rsidRPr="0092785C">
        <w:rPr>
          <w:i/>
          <w:lang w:val="fr-CA"/>
        </w:rPr>
        <w:t xml:space="preserve">Royal Bank of Canada c. Agricultural </w:t>
      </w:r>
      <w:proofErr w:type="spellStart"/>
      <w:r w:rsidRPr="0092785C">
        <w:rPr>
          <w:i/>
          <w:lang w:val="fr-CA"/>
        </w:rPr>
        <w:t>Credit</w:t>
      </w:r>
      <w:proofErr w:type="spellEnd"/>
      <w:r w:rsidRPr="0092785C">
        <w:rPr>
          <w:i/>
          <w:lang w:val="fr-CA"/>
        </w:rPr>
        <w:t xml:space="preserve"> Corp. of Saskatchewan</w:t>
      </w:r>
      <w:r w:rsidRPr="0092785C">
        <w:rPr>
          <w:lang w:val="fr-CA"/>
        </w:rPr>
        <w:t xml:space="preserve"> (1994), 115 D.L.R. (4th) 569, p. 586</w:t>
      </w:r>
      <w:r w:rsidR="00BA1CC2">
        <w:rPr>
          <w:lang w:val="fr-CA"/>
        </w:rPr>
        <w:t>-</w:t>
      </w:r>
      <w:r w:rsidRPr="0092785C">
        <w:rPr>
          <w:lang w:val="fr-CA"/>
        </w:rPr>
        <w:t>587, la Cour d</w:t>
      </w:r>
      <w:r w:rsidR="00BA1CC2">
        <w:rPr>
          <w:lang w:val="fr-CA"/>
        </w:rPr>
        <w:t>’</w:t>
      </w:r>
      <w:r w:rsidRPr="0092785C">
        <w:rPr>
          <w:lang w:val="fr-CA"/>
        </w:rPr>
        <w:t>appel de la Saskatchewan a formulé trois règles de base pour résoudre les conflits de priorité de cette nature : [</w:t>
      </w:r>
      <w:r w:rsidRPr="0092785C">
        <w:rPr>
          <w:smallCaps/>
          <w:lang w:val="fr-CA"/>
        </w:rPr>
        <w:t xml:space="preserve">traduction] </w:t>
      </w:r>
      <w:r w:rsidRPr="0092785C">
        <w:rPr>
          <w:lang w:val="fr-CA"/>
        </w:rPr>
        <w:t>« </w:t>
      </w:r>
      <w:r w:rsidR="00BA1CC2">
        <w:rPr>
          <w:lang w:val="fr-CA"/>
        </w:rPr>
        <w:t>(</w:t>
      </w:r>
      <w:r w:rsidRPr="0092785C">
        <w:rPr>
          <w:lang w:val="fr-CA"/>
        </w:rPr>
        <w:t xml:space="preserve">1) exclure la </w:t>
      </w:r>
      <w:r w:rsidR="00BA1CC2" w:rsidRPr="001F2B72">
        <w:rPr>
          <w:lang w:val="fr-CA"/>
        </w:rPr>
        <w:t>PPSA</w:t>
      </w:r>
      <w:r w:rsidRPr="0092785C">
        <w:rPr>
          <w:lang w:val="fr-CA"/>
        </w:rPr>
        <w:t xml:space="preserve"> de l</w:t>
      </w:r>
      <w:r w:rsidR="00BA1CC2">
        <w:rPr>
          <w:lang w:val="fr-CA"/>
        </w:rPr>
        <w:t>’</w:t>
      </w:r>
      <w:r w:rsidRPr="0092785C">
        <w:rPr>
          <w:lang w:val="fr-CA"/>
        </w:rPr>
        <w:t>analyse et établir la priorité comme si cette loi n</w:t>
      </w:r>
      <w:r w:rsidR="00BA1CC2">
        <w:rPr>
          <w:lang w:val="fr-CA"/>
        </w:rPr>
        <w:t>’</w:t>
      </w:r>
      <w:r w:rsidRPr="0092785C">
        <w:rPr>
          <w:lang w:val="fr-CA"/>
        </w:rPr>
        <w:t xml:space="preserve">existait pas; </w:t>
      </w:r>
      <w:r w:rsidR="00BA1CC2">
        <w:rPr>
          <w:lang w:val="fr-CA"/>
        </w:rPr>
        <w:t>(</w:t>
      </w:r>
      <w:r w:rsidRPr="0092785C">
        <w:rPr>
          <w:lang w:val="fr-CA"/>
        </w:rPr>
        <w:t xml:space="preserve">2) établir, dans la mesure du possible, la priorité selon les [dispositions applicables de la </w:t>
      </w:r>
      <w:r w:rsidRPr="00BA1CC2">
        <w:rPr>
          <w:i/>
          <w:lang w:val="fr-CA"/>
        </w:rPr>
        <w:t>LB</w:t>
      </w:r>
      <w:r w:rsidRPr="0092785C">
        <w:rPr>
          <w:lang w:val="fr-CA"/>
        </w:rPr>
        <w:t xml:space="preserve">]; </w:t>
      </w:r>
      <w:r w:rsidR="00BA1CC2">
        <w:rPr>
          <w:lang w:val="fr-CA"/>
        </w:rPr>
        <w:t>(</w:t>
      </w:r>
      <w:r w:rsidRPr="0092785C">
        <w:rPr>
          <w:lang w:val="fr-CA"/>
        </w:rPr>
        <w:t>3) appliquer, s</w:t>
      </w:r>
      <w:r w:rsidR="00BA1CC2">
        <w:rPr>
          <w:lang w:val="fr-CA"/>
        </w:rPr>
        <w:t>’</w:t>
      </w:r>
      <w:r w:rsidRPr="0092785C">
        <w:rPr>
          <w:lang w:val="fr-CA"/>
        </w:rPr>
        <w:t>il y a lieu, la règle de priorité chronologique ».  La Cour d</w:t>
      </w:r>
      <w:r w:rsidR="00BA1CC2">
        <w:rPr>
          <w:lang w:val="fr-CA"/>
        </w:rPr>
        <w:t>’</w:t>
      </w:r>
      <w:r w:rsidRPr="0092785C">
        <w:rPr>
          <w:lang w:val="fr-CA"/>
        </w:rPr>
        <w:t>appel a approuvé et appliqué ce cadre d</w:t>
      </w:r>
      <w:r w:rsidR="00BA1CC2">
        <w:rPr>
          <w:lang w:val="fr-CA"/>
        </w:rPr>
        <w:t>’</w:t>
      </w:r>
      <w:r w:rsidRPr="0092785C">
        <w:rPr>
          <w:lang w:val="fr-CA"/>
        </w:rPr>
        <w:t>analyse en l</w:t>
      </w:r>
      <w:r w:rsidR="00BA1CC2">
        <w:rPr>
          <w:lang w:val="fr-CA"/>
        </w:rPr>
        <w:t>’</w:t>
      </w:r>
      <w:r w:rsidRPr="0092785C">
        <w:rPr>
          <w:lang w:val="fr-CA"/>
        </w:rPr>
        <w:t>espèce et, bien qu</w:t>
      </w:r>
      <w:r w:rsidR="00BA1CC2">
        <w:rPr>
          <w:lang w:val="fr-CA"/>
        </w:rPr>
        <w:t>’</w:t>
      </w:r>
      <w:r w:rsidRPr="0092785C">
        <w:rPr>
          <w:lang w:val="fr-CA"/>
        </w:rPr>
        <w:t>il ne l</w:t>
      </w:r>
      <w:r w:rsidR="00BA1CC2">
        <w:rPr>
          <w:lang w:val="fr-CA"/>
        </w:rPr>
        <w:t>’</w:t>
      </w:r>
      <w:r w:rsidRPr="0092785C">
        <w:rPr>
          <w:lang w:val="fr-CA"/>
        </w:rPr>
        <w:t>ait pas menée à un résultat incorrect dans la présente affaire, il faut souligner que les règles formulées, interprétées strictement, ne concordent pas parfaitement avec les principes constitutionnels en jeu.  Il est exact de dire, conformément à l</w:t>
      </w:r>
      <w:r w:rsidR="00BA1CC2">
        <w:rPr>
          <w:lang w:val="fr-CA"/>
        </w:rPr>
        <w:t>’</w:t>
      </w:r>
      <w:r w:rsidRPr="0092785C">
        <w:rPr>
          <w:lang w:val="fr-CA"/>
        </w:rPr>
        <w:t xml:space="preserve">étape </w:t>
      </w:r>
      <w:r w:rsidR="00BA1CC2">
        <w:rPr>
          <w:lang w:val="fr-CA"/>
        </w:rPr>
        <w:t>(</w:t>
      </w:r>
      <w:r w:rsidRPr="0092785C">
        <w:rPr>
          <w:lang w:val="fr-CA"/>
        </w:rPr>
        <w:t>2</w:t>
      </w:r>
      <w:r w:rsidR="00BA1CC2">
        <w:rPr>
          <w:lang w:val="fr-CA"/>
        </w:rPr>
        <w:t>)</w:t>
      </w:r>
      <w:r w:rsidRPr="0092785C">
        <w:rPr>
          <w:lang w:val="fr-CA"/>
        </w:rPr>
        <w:t>, que la clé d</w:t>
      </w:r>
      <w:r w:rsidR="00BA1CC2">
        <w:rPr>
          <w:lang w:val="fr-CA"/>
        </w:rPr>
        <w:t>’</w:t>
      </w:r>
      <w:r w:rsidRPr="0092785C">
        <w:rPr>
          <w:lang w:val="fr-CA"/>
        </w:rPr>
        <w:t xml:space="preserve">un conflit de priorité entre une garantie régie par la </w:t>
      </w:r>
      <w:r w:rsidRPr="00BA1CC2">
        <w:rPr>
          <w:i/>
          <w:lang w:val="fr-CA"/>
        </w:rPr>
        <w:t>LB</w:t>
      </w:r>
      <w:r w:rsidRPr="0092785C">
        <w:rPr>
          <w:lang w:val="fr-CA"/>
        </w:rPr>
        <w:t xml:space="preserve"> et une sûreté relevant d</w:t>
      </w:r>
      <w:r w:rsidR="00BA1CC2">
        <w:rPr>
          <w:lang w:val="fr-CA"/>
        </w:rPr>
        <w:t>’</w:t>
      </w:r>
      <w:r w:rsidRPr="0092785C">
        <w:rPr>
          <w:lang w:val="fr-CA"/>
        </w:rPr>
        <w:t xml:space="preserve">une loi provinciale, telle la </w:t>
      </w:r>
      <w:r w:rsidR="00BA1CC2" w:rsidRPr="00BA1CC2">
        <w:rPr>
          <w:i/>
          <w:lang w:val="fr-CA"/>
        </w:rPr>
        <w:t>PPSA</w:t>
      </w:r>
      <w:r w:rsidRPr="0092785C">
        <w:rPr>
          <w:lang w:val="fr-CA"/>
        </w:rPr>
        <w:t xml:space="preserve">, se trouve dans la </w:t>
      </w:r>
      <w:r w:rsidRPr="00BA1CC2">
        <w:rPr>
          <w:i/>
          <w:lang w:val="fr-CA"/>
        </w:rPr>
        <w:t>LB</w:t>
      </w:r>
      <w:r w:rsidRPr="0092785C">
        <w:rPr>
          <w:lang w:val="fr-CA"/>
        </w:rPr>
        <w:t xml:space="preserve"> elle-même : </w:t>
      </w:r>
      <w:r w:rsidRPr="0092785C">
        <w:rPr>
          <w:i/>
          <w:lang w:val="fr-CA"/>
        </w:rPr>
        <w:t xml:space="preserve">Landry </w:t>
      </w:r>
      <w:proofErr w:type="spellStart"/>
      <w:r w:rsidRPr="0092785C">
        <w:rPr>
          <w:i/>
          <w:lang w:val="fr-CA"/>
        </w:rPr>
        <w:t>Pulpwood</w:t>
      </w:r>
      <w:proofErr w:type="spellEnd"/>
      <w:r w:rsidRPr="0092785C">
        <w:rPr>
          <w:i/>
          <w:lang w:val="fr-CA"/>
        </w:rPr>
        <w:t xml:space="preserve"> Co. c. Banque Canadienne Nationale</w:t>
      </w:r>
      <w:r w:rsidRPr="0092785C">
        <w:rPr>
          <w:lang w:val="fr-CA"/>
        </w:rPr>
        <w:t xml:space="preserve">, [1927] R.C.S. 605, p. 615.  Il ne faut cependant pas écarter complètement la </w:t>
      </w:r>
      <w:r w:rsidR="00BA1CC2" w:rsidRPr="00BA1CC2">
        <w:rPr>
          <w:i/>
          <w:lang w:val="fr-CA"/>
        </w:rPr>
        <w:t>PPSA</w:t>
      </w:r>
      <w:r w:rsidRPr="0092785C">
        <w:rPr>
          <w:lang w:val="fr-CA"/>
        </w:rPr>
        <w:t>, comme le laisse peut-être entendre l</w:t>
      </w:r>
      <w:r w:rsidR="00BA1CC2">
        <w:rPr>
          <w:lang w:val="fr-CA"/>
        </w:rPr>
        <w:t>’</w:t>
      </w:r>
      <w:r w:rsidRPr="0092785C">
        <w:rPr>
          <w:lang w:val="fr-CA"/>
        </w:rPr>
        <w:t xml:space="preserve">étape </w:t>
      </w:r>
      <w:r w:rsidR="00BA1CC2">
        <w:rPr>
          <w:lang w:val="fr-CA"/>
        </w:rPr>
        <w:t>(</w:t>
      </w:r>
      <w:r w:rsidRPr="0092785C">
        <w:rPr>
          <w:lang w:val="fr-CA"/>
        </w:rPr>
        <w:t>1</w:t>
      </w:r>
      <w:r w:rsidR="00BA1CC2">
        <w:rPr>
          <w:lang w:val="fr-CA"/>
        </w:rPr>
        <w:t>)</w:t>
      </w:r>
      <w:r w:rsidRPr="0092785C">
        <w:rPr>
          <w:lang w:val="fr-CA"/>
        </w:rPr>
        <w:t xml:space="preserve">.  En effet, cette étape signifie simplement que les règles de priorité internes de la </w:t>
      </w:r>
      <w:r w:rsidR="00BA1CC2" w:rsidRPr="00BA1CC2">
        <w:rPr>
          <w:i/>
          <w:lang w:val="fr-CA"/>
        </w:rPr>
        <w:t>PPSA</w:t>
      </w:r>
      <w:r w:rsidRPr="0092785C">
        <w:rPr>
          <w:lang w:val="fr-CA"/>
        </w:rPr>
        <w:t xml:space="preserve"> n</w:t>
      </w:r>
      <w:r w:rsidR="00BA1CC2">
        <w:rPr>
          <w:lang w:val="fr-CA"/>
        </w:rPr>
        <w:t>’</w:t>
      </w:r>
      <w:r w:rsidRPr="0092785C">
        <w:rPr>
          <w:lang w:val="fr-CA"/>
        </w:rPr>
        <w:t xml:space="preserve">ont aucune incidence sur </w:t>
      </w:r>
      <w:r w:rsidRPr="0092785C">
        <w:rPr>
          <w:lang w:val="fr-CA"/>
        </w:rPr>
        <w:lastRenderedPageBreak/>
        <w:t>la résolution d</w:t>
      </w:r>
      <w:r w:rsidR="00BA1CC2">
        <w:rPr>
          <w:lang w:val="fr-CA"/>
        </w:rPr>
        <w:t>’</w:t>
      </w:r>
      <w:r w:rsidRPr="0092785C">
        <w:rPr>
          <w:lang w:val="fr-CA"/>
        </w:rPr>
        <w:t xml:space="preserve">un conflit de priorité entre une garantie relevant de la </w:t>
      </w:r>
      <w:r w:rsidRPr="00BA1CC2">
        <w:rPr>
          <w:i/>
          <w:lang w:val="fr-CA"/>
        </w:rPr>
        <w:t>LB</w:t>
      </w:r>
      <w:r w:rsidRPr="0092785C">
        <w:rPr>
          <w:i/>
          <w:lang w:val="fr-CA"/>
        </w:rPr>
        <w:t xml:space="preserve"> </w:t>
      </w:r>
      <w:r w:rsidRPr="0092785C">
        <w:rPr>
          <w:lang w:val="fr-CA"/>
        </w:rPr>
        <w:t xml:space="preserve">et une sûreté relevant de la </w:t>
      </w:r>
      <w:r w:rsidR="00BA1CC2" w:rsidRPr="00BA1CC2">
        <w:rPr>
          <w:i/>
          <w:lang w:val="fr-CA"/>
        </w:rPr>
        <w:t>PPSA</w:t>
      </w:r>
      <w:r w:rsidRPr="0092785C">
        <w:rPr>
          <w:lang w:val="fr-CA"/>
        </w:rPr>
        <w:t xml:space="preserve">.  Toutefois, la </w:t>
      </w:r>
      <w:r w:rsidR="00BA1CC2" w:rsidRPr="00BA1CC2">
        <w:rPr>
          <w:i/>
          <w:lang w:val="fr-CA"/>
        </w:rPr>
        <w:t>PPSA</w:t>
      </w:r>
      <w:r w:rsidRPr="0092785C">
        <w:rPr>
          <w:lang w:val="fr-CA"/>
        </w:rPr>
        <w:t xml:space="preserve"> demeure importante dans la résolution du conflit de priorité en cause ici.  </w:t>
      </w:r>
      <w:r w:rsidRPr="00A25648">
        <w:rPr>
          <w:lang w:val="fr-CA"/>
        </w:rPr>
        <w:t>J</w:t>
      </w:r>
      <w:r w:rsidR="00BA1CC2" w:rsidRPr="00A25648">
        <w:rPr>
          <w:lang w:val="fr-CA"/>
        </w:rPr>
        <w:t>’</w:t>
      </w:r>
      <w:r w:rsidRPr="00A25648">
        <w:rPr>
          <w:lang w:val="fr-CA"/>
        </w:rPr>
        <w:t>expliquerai pourquoi.</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Comme l</w:t>
      </w:r>
      <w:r w:rsidR="00BA1CC2">
        <w:rPr>
          <w:lang w:val="fr-CA"/>
        </w:rPr>
        <w:t>’</w:t>
      </w:r>
      <w:r w:rsidRPr="0092785C">
        <w:rPr>
          <w:lang w:val="fr-CA"/>
        </w:rPr>
        <w:t xml:space="preserve">a affirmé la Cour dans </w:t>
      </w:r>
      <w:r w:rsidRPr="0092785C">
        <w:rPr>
          <w:i/>
          <w:lang w:val="fr-CA"/>
        </w:rPr>
        <w:t>Hall</w:t>
      </w:r>
      <w:r w:rsidRPr="0092785C">
        <w:rPr>
          <w:lang w:val="fr-CA"/>
        </w:rPr>
        <w:t xml:space="preserve">, les dispositions de la </w:t>
      </w:r>
      <w:r w:rsidRPr="00A25648">
        <w:rPr>
          <w:i/>
          <w:lang w:val="fr-CA"/>
        </w:rPr>
        <w:t>LB</w:t>
      </w:r>
      <w:r w:rsidRPr="0092785C">
        <w:rPr>
          <w:lang w:val="fr-CA"/>
        </w:rPr>
        <w:t xml:space="preserve"> régissant les garanties sont des dispositions législatives fédérales valides qui ne peuvent être subordonnées à l</w:t>
      </w:r>
      <w:r w:rsidR="00BA1CC2">
        <w:rPr>
          <w:lang w:val="fr-CA"/>
        </w:rPr>
        <w:t>’</w:t>
      </w:r>
      <w:r w:rsidRPr="0092785C">
        <w:rPr>
          <w:lang w:val="fr-CA"/>
        </w:rPr>
        <w:t>application de dispositions édictées par une province en matière de priorité (</w:t>
      </w:r>
      <w:r w:rsidRPr="0092785C">
        <w:rPr>
          <w:i/>
          <w:lang w:val="fr-CA"/>
        </w:rPr>
        <w:t>Hall</w:t>
      </w:r>
      <w:r w:rsidRPr="0092785C">
        <w:rPr>
          <w:lang w:val="fr-CA"/>
        </w:rPr>
        <w:t>, p. 154-155).  Comme les provinces ne peuvent adopter des dispositions qui influeraient sur la priorité d</w:t>
      </w:r>
      <w:r w:rsidR="00BA1CC2">
        <w:rPr>
          <w:lang w:val="fr-CA"/>
        </w:rPr>
        <w:t>’</w:t>
      </w:r>
      <w:r w:rsidRPr="0092785C">
        <w:rPr>
          <w:lang w:val="fr-CA"/>
        </w:rPr>
        <w:t>une sûreté valable créée sous un régime fédéral, le cadre conceptuel applicable à la résolution d</w:t>
      </w:r>
      <w:r w:rsidR="00BA1CC2">
        <w:rPr>
          <w:lang w:val="fr-CA"/>
        </w:rPr>
        <w:t>’</w:t>
      </w:r>
      <w:r w:rsidRPr="0092785C">
        <w:rPr>
          <w:lang w:val="fr-CA"/>
        </w:rPr>
        <w:t xml:space="preserve">un conflit entre une sûreté relevant de la </w:t>
      </w:r>
      <w:r w:rsidR="00A25648" w:rsidRPr="00BA1CC2">
        <w:rPr>
          <w:i/>
          <w:lang w:val="fr-CA"/>
        </w:rPr>
        <w:t>PPSA</w:t>
      </w:r>
      <w:r w:rsidRPr="0092785C">
        <w:rPr>
          <w:lang w:val="fr-CA"/>
        </w:rPr>
        <w:t xml:space="preserve"> et une garantie régie par la </w:t>
      </w:r>
      <w:r w:rsidRPr="00A25648">
        <w:rPr>
          <w:i/>
          <w:lang w:val="fr-CA"/>
        </w:rPr>
        <w:t>LB</w:t>
      </w:r>
      <w:r w:rsidRPr="0092785C">
        <w:rPr>
          <w:lang w:val="fr-CA"/>
        </w:rPr>
        <w:t xml:space="preserve"> est forcément celui établi par la </w:t>
      </w:r>
      <w:r w:rsidRPr="00A25648">
        <w:rPr>
          <w:i/>
          <w:lang w:val="fr-CA"/>
        </w:rPr>
        <w:t>LB</w:t>
      </w:r>
      <w:r w:rsidRPr="0092785C">
        <w:rPr>
          <w:lang w:val="fr-CA"/>
        </w:rPr>
        <w:t xml:space="preserve">. </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Par conséquent, dans les cas où la </w:t>
      </w:r>
      <w:r w:rsidRPr="00A25648">
        <w:rPr>
          <w:i/>
          <w:lang w:val="fr-CA"/>
        </w:rPr>
        <w:t>LB</w:t>
      </w:r>
      <w:r w:rsidRPr="0092785C">
        <w:rPr>
          <w:lang w:val="fr-CA"/>
        </w:rPr>
        <w:t xml:space="preserve"> contient une disposition expresse applicable à un conflit de priorité donné, c</w:t>
      </w:r>
      <w:r w:rsidR="00BA1CC2">
        <w:rPr>
          <w:lang w:val="fr-CA"/>
        </w:rPr>
        <w:t>’</w:t>
      </w:r>
      <w:r w:rsidRPr="0092785C">
        <w:rPr>
          <w:lang w:val="fr-CA"/>
        </w:rPr>
        <w:t xml:space="preserve">est cette disposition qui prime.  Par exemple, selon le par. 428(1), une sûreté relevant de la </w:t>
      </w:r>
      <w:r w:rsidRPr="00A25648">
        <w:rPr>
          <w:i/>
          <w:lang w:val="fr-CA"/>
        </w:rPr>
        <w:t>LB</w:t>
      </w:r>
      <w:r w:rsidRPr="0092785C">
        <w:rPr>
          <w:lang w:val="fr-CA"/>
        </w:rPr>
        <w:t xml:space="preserve"> prime les droits subséquemment acquis sur les biens, de même que les droits des vendeurs impayés.  En pareil cas, le par. 428(1) fournit habituellement une solution complète et l</w:t>
      </w:r>
      <w:r w:rsidR="00BA1CC2">
        <w:rPr>
          <w:lang w:val="fr-CA"/>
        </w:rPr>
        <w:t>’</w:t>
      </w:r>
      <w:r w:rsidRPr="0092785C">
        <w:rPr>
          <w:lang w:val="fr-CA"/>
        </w:rPr>
        <w:t>analyse peut se terminer à ce stade.  Dans le cas d</w:t>
      </w:r>
      <w:r w:rsidR="00BA1CC2">
        <w:rPr>
          <w:lang w:val="fr-CA"/>
        </w:rPr>
        <w:t>’</w:t>
      </w:r>
      <w:r w:rsidRPr="0092785C">
        <w:rPr>
          <w:lang w:val="fr-CA"/>
        </w:rPr>
        <w:t xml:space="preserve">un conflit de priorité opposant une garantie régie par la </w:t>
      </w:r>
      <w:r w:rsidRPr="00A25648">
        <w:rPr>
          <w:i/>
          <w:lang w:val="fr-CA"/>
        </w:rPr>
        <w:t>LB</w:t>
      </w:r>
      <w:r w:rsidRPr="0092785C">
        <w:rPr>
          <w:lang w:val="fr-CA"/>
        </w:rPr>
        <w:t xml:space="preserve"> à une sûreté concurrente acquise </w:t>
      </w:r>
      <w:r w:rsidRPr="0092785C">
        <w:rPr>
          <w:i/>
          <w:lang w:val="fr-CA"/>
        </w:rPr>
        <w:t xml:space="preserve">avant </w:t>
      </w:r>
      <w:r w:rsidRPr="0092785C">
        <w:rPr>
          <w:lang w:val="fr-CA"/>
        </w:rPr>
        <w:t xml:space="preserve">que la banque ne prenne sa garantie sur les biens, la </w:t>
      </w:r>
      <w:r w:rsidRPr="00A25648">
        <w:rPr>
          <w:i/>
          <w:lang w:val="fr-CA"/>
        </w:rPr>
        <w:t>LB</w:t>
      </w:r>
      <w:r w:rsidRPr="0092785C">
        <w:rPr>
          <w:lang w:val="fr-CA"/>
        </w:rPr>
        <w:t xml:space="preserve"> ne contient aucune disposition particulière à appliquer pour déterminer laquelle a priorité.  Il demeure toutefois que le conflit de priorité doit être résolu par l</w:t>
      </w:r>
      <w:r w:rsidR="00BA1CC2">
        <w:rPr>
          <w:lang w:val="fr-CA"/>
        </w:rPr>
        <w:t>’</w:t>
      </w:r>
      <w:r w:rsidRPr="0092785C">
        <w:rPr>
          <w:lang w:val="fr-CA"/>
        </w:rPr>
        <w:t xml:space="preserve">application des dispositions de la </w:t>
      </w:r>
      <w:r w:rsidRPr="00A25648">
        <w:rPr>
          <w:i/>
          <w:lang w:val="fr-CA"/>
        </w:rPr>
        <w:t>LB</w:t>
      </w:r>
      <w:r w:rsidRPr="0092785C">
        <w:rPr>
          <w:lang w:val="fr-CA"/>
        </w:rPr>
        <w:t xml:space="preserve">.  Pour ce faire, il faut déterminer quels droits </w:t>
      </w:r>
      <w:proofErr w:type="spellStart"/>
      <w:r w:rsidRPr="0092785C">
        <w:rPr>
          <w:lang w:val="fr-CA"/>
        </w:rPr>
        <w:t>propriétaux</w:t>
      </w:r>
      <w:proofErr w:type="spellEnd"/>
      <w:r w:rsidRPr="0092785C">
        <w:rPr>
          <w:lang w:val="fr-CA"/>
        </w:rPr>
        <w:t xml:space="preserve"> ont été conférés à la banque en application du </w:t>
      </w:r>
      <w:r w:rsidRPr="0092785C">
        <w:rPr>
          <w:lang w:val="fr-CA"/>
        </w:rPr>
        <w:lastRenderedPageBreak/>
        <w:t xml:space="preserve">par. 427(2) de la </w:t>
      </w:r>
      <w:r w:rsidRPr="00A25648">
        <w:rPr>
          <w:i/>
          <w:lang w:val="fr-CA"/>
        </w:rPr>
        <w:t>LB</w:t>
      </w:r>
      <w:r w:rsidRPr="0092785C">
        <w:rPr>
          <w:lang w:val="fr-CA"/>
        </w:rPr>
        <w:t>.  Comme je l</w:t>
      </w:r>
      <w:r w:rsidR="00BA1CC2">
        <w:rPr>
          <w:lang w:val="fr-CA"/>
        </w:rPr>
        <w:t>’</w:t>
      </w:r>
      <w:r w:rsidRPr="0092785C">
        <w:rPr>
          <w:lang w:val="fr-CA"/>
        </w:rPr>
        <w:t>ai déjà mentionné et comme je l</w:t>
      </w:r>
      <w:r w:rsidR="00BA1CC2">
        <w:rPr>
          <w:lang w:val="fr-CA"/>
        </w:rPr>
        <w:t>’</w:t>
      </w:r>
      <w:r w:rsidRPr="0092785C">
        <w:rPr>
          <w:lang w:val="fr-CA"/>
        </w:rPr>
        <w:t>expliquerai plus en détail ci-dessous, l</w:t>
      </w:r>
      <w:r w:rsidR="00BA1CC2">
        <w:rPr>
          <w:lang w:val="fr-CA"/>
        </w:rPr>
        <w:t>’</w:t>
      </w:r>
      <w:r w:rsidRPr="0092785C">
        <w:rPr>
          <w:lang w:val="fr-CA"/>
        </w:rPr>
        <w:t>effet conjugué des par. 427(2) et 435(2) ne permet pas à la banque d</w:t>
      </w:r>
      <w:r w:rsidR="00BA1CC2">
        <w:rPr>
          <w:lang w:val="fr-CA"/>
        </w:rPr>
        <w:t>’</w:t>
      </w:r>
      <w:r w:rsidRPr="0092785C">
        <w:rPr>
          <w:lang w:val="fr-CA"/>
        </w:rPr>
        <w:t>acquérir sur le bien un intérêt supérieur à celui que détenait le débiteur lui-même au moment pertinent.</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Or, pour déterminer quel intérêt le débiteur a peut-être déjà transmis à un autre créancier et, le cas échéant, quel intérêt il peut encore céder à la banque au moment de la conclusion du contrat de garantie régi par la </w:t>
      </w:r>
      <w:r w:rsidRPr="00A25648">
        <w:rPr>
          <w:i/>
          <w:lang w:val="fr-CA"/>
        </w:rPr>
        <w:t>LB</w:t>
      </w:r>
      <w:r w:rsidRPr="0092785C">
        <w:rPr>
          <w:lang w:val="fr-CA"/>
        </w:rPr>
        <w:t>, il faut se reporter aux règles du droit des biens provincial, qu</w:t>
      </w:r>
      <w:r w:rsidR="00BA1CC2">
        <w:rPr>
          <w:lang w:val="fr-CA"/>
        </w:rPr>
        <w:t>’</w:t>
      </w:r>
      <w:r w:rsidRPr="0092785C">
        <w:rPr>
          <w:lang w:val="fr-CA"/>
        </w:rPr>
        <w:t xml:space="preserve">elles soient issues de la </w:t>
      </w:r>
      <w:proofErr w:type="spellStart"/>
      <w:r w:rsidRPr="0092785C">
        <w:rPr>
          <w:lang w:val="fr-CA"/>
        </w:rPr>
        <w:t>common</w:t>
      </w:r>
      <w:proofErr w:type="spellEnd"/>
      <w:r w:rsidRPr="0092785C">
        <w:rPr>
          <w:lang w:val="fr-CA"/>
        </w:rPr>
        <w:t xml:space="preserve"> </w:t>
      </w:r>
      <w:proofErr w:type="spellStart"/>
      <w:r w:rsidRPr="0092785C">
        <w:rPr>
          <w:lang w:val="fr-CA"/>
        </w:rPr>
        <w:t>law</w:t>
      </w:r>
      <w:proofErr w:type="spellEnd"/>
      <w:r w:rsidRPr="0092785C">
        <w:rPr>
          <w:lang w:val="fr-CA"/>
        </w:rPr>
        <w:t xml:space="preserve"> ou d</w:t>
      </w:r>
      <w:r w:rsidR="00BA1CC2">
        <w:rPr>
          <w:lang w:val="fr-CA"/>
        </w:rPr>
        <w:t>’</w:t>
      </w:r>
      <w:r w:rsidRPr="0092785C">
        <w:rPr>
          <w:lang w:val="fr-CA"/>
        </w:rPr>
        <w:t>origine législative.  C</w:t>
      </w:r>
      <w:r w:rsidR="00BA1CC2">
        <w:rPr>
          <w:lang w:val="fr-CA"/>
        </w:rPr>
        <w:t>’</w:t>
      </w:r>
      <w:r w:rsidRPr="0092785C">
        <w:rPr>
          <w:lang w:val="fr-CA"/>
        </w:rPr>
        <w:t xml:space="preserve">est à ce stade que le recours à la </w:t>
      </w:r>
      <w:r w:rsidR="00A25648" w:rsidRPr="00BA1CC2">
        <w:rPr>
          <w:i/>
          <w:lang w:val="fr-CA"/>
        </w:rPr>
        <w:t>PPSA</w:t>
      </w:r>
      <w:r w:rsidRPr="0092785C">
        <w:rPr>
          <w:lang w:val="fr-CA"/>
        </w:rPr>
        <w:t xml:space="preserve"> devient pertinent.  Certes, il n</w:t>
      </w:r>
      <w:r w:rsidR="00BA1CC2">
        <w:rPr>
          <w:lang w:val="fr-CA"/>
        </w:rPr>
        <w:t>’</w:t>
      </w:r>
      <w:r w:rsidRPr="0092785C">
        <w:rPr>
          <w:lang w:val="fr-CA"/>
        </w:rPr>
        <w:t xml:space="preserve">est pas possible de résoudre le conflit en appliquant les règles de priorité internes établies par la </w:t>
      </w:r>
      <w:r w:rsidR="00A25648" w:rsidRPr="00BA1CC2">
        <w:rPr>
          <w:i/>
          <w:lang w:val="fr-CA"/>
        </w:rPr>
        <w:t>PPSA</w:t>
      </w:r>
      <w:r w:rsidRPr="0092785C">
        <w:rPr>
          <w:lang w:val="fr-CA"/>
        </w:rPr>
        <w:t>.  Il ne s</w:t>
      </w:r>
      <w:r w:rsidR="00BA1CC2">
        <w:rPr>
          <w:lang w:val="fr-CA"/>
        </w:rPr>
        <w:t>’</w:t>
      </w:r>
      <w:r w:rsidRPr="0092785C">
        <w:rPr>
          <w:lang w:val="fr-CA"/>
        </w:rPr>
        <w:t xml:space="preserve">ensuit toutefois pas que la sûreté provinciale créée en application de la </w:t>
      </w:r>
      <w:r w:rsidR="00A25648" w:rsidRPr="00BA1CC2">
        <w:rPr>
          <w:i/>
          <w:lang w:val="fr-CA"/>
        </w:rPr>
        <w:t>PPSA</w:t>
      </w:r>
      <w:r w:rsidRPr="0092785C">
        <w:rPr>
          <w:lang w:val="fr-CA"/>
        </w:rPr>
        <w:t xml:space="preserve"> n</w:t>
      </w:r>
      <w:r w:rsidR="00BA1CC2">
        <w:rPr>
          <w:lang w:val="fr-CA"/>
        </w:rPr>
        <w:t>’</w:t>
      </w:r>
      <w:r w:rsidRPr="0092785C">
        <w:rPr>
          <w:lang w:val="fr-CA"/>
        </w:rPr>
        <w:t xml:space="preserve">existe pas au-delà de ces règles de priorité.  De plus, en établissant la nature du droit concurrent antérieur, on ne peut faire abstraction des modifications fondamentales apportées par la </w:t>
      </w:r>
      <w:r w:rsidR="00A25648" w:rsidRPr="00BA1CC2">
        <w:rPr>
          <w:i/>
          <w:lang w:val="fr-CA"/>
        </w:rPr>
        <w:t>PPSA</w:t>
      </w:r>
      <w:r w:rsidRPr="0092785C">
        <w:rPr>
          <w:lang w:val="fr-CA"/>
        </w:rPr>
        <w:t>.  Loin d</w:t>
      </w:r>
      <w:r w:rsidR="00BA1CC2">
        <w:rPr>
          <w:lang w:val="fr-CA"/>
        </w:rPr>
        <w:t>’</w:t>
      </w:r>
      <w:r w:rsidRPr="0092785C">
        <w:rPr>
          <w:lang w:val="fr-CA"/>
        </w:rPr>
        <w:t xml:space="preserve">être dénué de pertinence sous le régime de la </w:t>
      </w:r>
      <w:r w:rsidRPr="00A25648">
        <w:rPr>
          <w:i/>
          <w:lang w:val="fr-CA"/>
        </w:rPr>
        <w:t>LB</w:t>
      </w:r>
      <w:r w:rsidRPr="0092785C">
        <w:rPr>
          <w:lang w:val="fr-CA"/>
        </w:rPr>
        <w:t xml:space="preserve">, le droit provincial des biens joue un rôle complémentaire dans la définition des droits conférés par la </w:t>
      </w:r>
      <w:r w:rsidRPr="00A25648">
        <w:rPr>
          <w:i/>
          <w:lang w:val="fr-CA"/>
        </w:rPr>
        <w:t>LB</w:t>
      </w:r>
      <w:r w:rsidRPr="0092785C">
        <w:rPr>
          <w:lang w:val="fr-CA"/>
        </w:rPr>
        <w:t xml:space="preserve"> : voir </w:t>
      </w:r>
      <w:r w:rsidRPr="0092785C">
        <w:rPr>
          <w:i/>
          <w:lang w:val="fr-CA"/>
        </w:rPr>
        <w:t xml:space="preserve">Agricultural </w:t>
      </w:r>
      <w:proofErr w:type="spellStart"/>
      <w:r w:rsidRPr="0092785C">
        <w:rPr>
          <w:i/>
          <w:lang w:val="fr-CA"/>
        </w:rPr>
        <w:t>Credit</w:t>
      </w:r>
      <w:proofErr w:type="spellEnd"/>
      <w:r w:rsidRPr="0092785C">
        <w:rPr>
          <w:i/>
          <w:lang w:val="fr-CA"/>
        </w:rPr>
        <w:t xml:space="preserve"> Corp.</w:t>
      </w:r>
      <w:r w:rsidRPr="0092785C">
        <w:rPr>
          <w:lang w:val="fr-CA"/>
        </w:rPr>
        <w:t>;</w:t>
      </w:r>
      <w:r w:rsidRPr="0092785C">
        <w:rPr>
          <w:i/>
          <w:lang w:val="fr-CA"/>
        </w:rPr>
        <w:t xml:space="preserve"> </w:t>
      </w:r>
      <w:r w:rsidRPr="0092785C">
        <w:rPr>
          <w:lang w:val="fr-CA"/>
        </w:rPr>
        <w:t xml:space="preserve">R. C. C. </w:t>
      </w:r>
      <w:proofErr w:type="spellStart"/>
      <w:r w:rsidRPr="0092785C">
        <w:rPr>
          <w:lang w:val="fr-CA"/>
        </w:rPr>
        <w:t>Cuming</w:t>
      </w:r>
      <w:proofErr w:type="spellEnd"/>
      <w:r w:rsidRPr="0092785C">
        <w:rPr>
          <w:lang w:val="fr-CA"/>
        </w:rPr>
        <w:t xml:space="preserve"> et R. J. Wood, « Compatibility of </w:t>
      </w:r>
      <w:proofErr w:type="spellStart"/>
      <w:r w:rsidRPr="0092785C">
        <w:rPr>
          <w:lang w:val="fr-CA"/>
        </w:rPr>
        <w:t>Federal</w:t>
      </w:r>
      <w:proofErr w:type="spellEnd"/>
      <w:r w:rsidRPr="0092785C">
        <w:rPr>
          <w:lang w:val="fr-CA"/>
        </w:rPr>
        <w:t xml:space="preserve"> and Provincial </w:t>
      </w:r>
      <w:proofErr w:type="spellStart"/>
      <w:r w:rsidRPr="0092785C">
        <w:rPr>
          <w:lang w:val="fr-CA"/>
        </w:rPr>
        <w:t>Personal</w:t>
      </w:r>
      <w:proofErr w:type="spellEnd"/>
      <w:r w:rsidRPr="0092785C">
        <w:rPr>
          <w:lang w:val="fr-CA"/>
        </w:rPr>
        <w:t xml:space="preserve"> </w:t>
      </w:r>
      <w:proofErr w:type="spellStart"/>
      <w:r w:rsidRPr="0092785C">
        <w:rPr>
          <w:lang w:val="fr-CA"/>
        </w:rPr>
        <w:t>Property</w:t>
      </w:r>
      <w:proofErr w:type="spellEnd"/>
      <w:r w:rsidRPr="0092785C">
        <w:rPr>
          <w:lang w:val="fr-CA"/>
        </w:rPr>
        <w:t xml:space="preserve"> Security Law » (1986), 65 </w:t>
      </w:r>
      <w:r w:rsidRPr="0092785C">
        <w:rPr>
          <w:i/>
          <w:lang w:val="fr-CA"/>
        </w:rPr>
        <w:t xml:space="preserve">R. du B. </w:t>
      </w:r>
      <w:proofErr w:type="spellStart"/>
      <w:r w:rsidRPr="0092785C">
        <w:rPr>
          <w:i/>
          <w:lang w:val="fr-CA"/>
        </w:rPr>
        <w:t>can</w:t>
      </w:r>
      <w:proofErr w:type="spellEnd"/>
      <w:r w:rsidRPr="0092785C">
        <w:rPr>
          <w:lang w:val="fr-CA"/>
        </w:rPr>
        <w:t>. 267, p. 274; R. C.</w:t>
      </w:r>
      <w:r w:rsidR="00A25648">
        <w:rPr>
          <w:lang w:val="fr-CA"/>
        </w:rPr>
        <w:t xml:space="preserve"> </w:t>
      </w:r>
      <w:r w:rsidRPr="0092785C">
        <w:rPr>
          <w:lang w:val="fr-CA"/>
        </w:rPr>
        <w:t xml:space="preserve">C. </w:t>
      </w:r>
      <w:proofErr w:type="spellStart"/>
      <w:r w:rsidRPr="0092785C">
        <w:rPr>
          <w:lang w:val="fr-CA"/>
        </w:rPr>
        <w:t>Cuming</w:t>
      </w:r>
      <w:proofErr w:type="spellEnd"/>
      <w:r w:rsidRPr="0092785C">
        <w:rPr>
          <w:lang w:val="fr-CA"/>
        </w:rPr>
        <w:t>, C. Walsh et R. J. Wood,</w:t>
      </w:r>
      <w:r w:rsidRPr="0092785C">
        <w:rPr>
          <w:i/>
          <w:lang w:val="fr-CA"/>
        </w:rPr>
        <w:t xml:space="preserve"> </w:t>
      </w:r>
      <w:proofErr w:type="spellStart"/>
      <w:r w:rsidRPr="0092785C">
        <w:rPr>
          <w:i/>
          <w:lang w:val="fr-CA"/>
        </w:rPr>
        <w:t>Personal</w:t>
      </w:r>
      <w:proofErr w:type="spellEnd"/>
      <w:r w:rsidRPr="0092785C">
        <w:rPr>
          <w:i/>
          <w:lang w:val="fr-CA"/>
        </w:rPr>
        <w:t xml:space="preserve"> </w:t>
      </w:r>
      <w:proofErr w:type="spellStart"/>
      <w:r w:rsidRPr="0092785C">
        <w:rPr>
          <w:i/>
          <w:lang w:val="fr-CA"/>
        </w:rPr>
        <w:t>Property</w:t>
      </w:r>
      <w:proofErr w:type="spellEnd"/>
      <w:r w:rsidRPr="0092785C">
        <w:rPr>
          <w:i/>
          <w:lang w:val="fr-CA"/>
        </w:rPr>
        <w:t xml:space="preserve"> Security Law </w:t>
      </w:r>
      <w:r w:rsidRPr="0092785C">
        <w:rPr>
          <w:lang w:val="fr-CA"/>
        </w:rPr>
        <w:t>(2005), p. 589.</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lastRenderedPageBreak/>
        <w:t>Les législatures provinciales ne peuvent pas écarter les droits de la banque, mais elles peuvent modifier les règles de droit applicables dans leur province respective en matière de propriété et de droits civils.  C</w:t>
      </w:r>
      <w:r w:rsidR="00BA1CC2">
        <w:rPr>
          <w:lang w:val="fr-CA"/>
        </w:rPr>
        <w:t>’</w:t>
      </w:r>
      <w:r w:rsidRPr="0092785C">
        <w:rPr>
          <w:lang w:val="fr-CA"/>
        </w:rPr>
        <w:t xml:space="preserve">est ce que les provinces de </w:t>
      </w:r>
      <w:proofErr w:type="spellStart"/>
      <w:r w:rsidRPr="0092785C">
        <w:rPr>
          <w:lang w:val="fr-CA"/>
        </w:rPr>
        <w:t>common</w:t>
      </w:r>
      <w:proofErr w:type="spellEnd"/>
      <w:r w:rsidRPr="0092785C">
        <w:rPr>
          <w:lang w:val="fr-CA"/>
        </w:rPr>
        <w:t xml:space="preserve"> </w:t>
      </w:r>
      <w:proofErr w:type="spellStart"/>
      <w:r w:rsidRPr="0092785C">
        <w:rPr>
          <w:lang w:val="fr-CA"/>
        </w:rPr>
        <w:t>law</w:t>
      </w:r>
      <w:proofErr w:type="spellEnd"/>
      <w:r w:rsidRPr="0092785C">
        <w:rPr>
          <w:lang w:val="fr-CA"/>
        </w:rPr>
        <w:t xml:space="preserve"> ont fait lorsqu</w:t>
      </w:r>
      <w:r w:rsidR="00BA1CC2">
        <w:rPr>
          <w:lang w:val="fr-CA"/>
        </w:rPr>
        <w:t>’</w:t>
      </w:r>
      <w:r w:rsidRPr="0092785C">
        <w:rPr>
          <w:lang w:val="fr-CA"/>
        </w:rPr>
        <w:t xml:space="preserve">elles ont édicté leurs lois en matière de sûretés mobilières, et le Québec a fait de même en 1994 quand il a promulgué le </w:t>
      </w:r>
      <w:r w:rsidRPr="0092785C">
        <w:rPr>
          <w:i/>
          <w:lang w:val="fr-CA"/>
        </w:rPr>
        <w:t>Code civil du Québec</w:t>
      </w:r>
      <w:r w:rsidRPr="0092785C">
        <w:rPr>
          <w:lang w:val="fr-CA"/>
        </w:rPr>
        <w:t xml:space="preserve">, </w:t>
      </w:r>
      <w:r w:rsidR="00A25648">
        <w:rPr>
          <w:lang w:val="fr-CA"/>
        </w:rPr>
        <w:t>L</w:t>
      </w:r>
      <w:r w:rsidRPr="0092785C">
        <w:rPr>
          <w:lang w:val="fr-CA"/>
        </w:rPr>
        <w:t>ivre sixième.  À l</w:t>
      </w:r>
      <w:r w:rsidR="00BA1CC2">
        <w:rPr>
          <w:lang w:val="fr-CA"/>
        </w:rPr>
        <w:t>’</w:t>
      </w:r>
      <w:r w:rsidRPr="0092785C">
        <w:rPr>
          <w:lang w:val="fr-CA"/>
        </w:rPr>
        <w:t xml:space="preserve">instar des anciennes règles du </w:t>
      </w:r>
      <w:r w:rsidRPr="0092785C">
        <w:rPr>
          <w:i/>
          <w:lang w:val="fr-CA"/>
        </w:rPr>
        <w:t>Code civil du Bas Canada</w:t>
      </w:r>
      <w:r w:rsidRPr="0092785C">
        <w:rPr>
          <w:lang w:val="fr-CA"/>
        </w:rPr>
        <w:t xml:space="preserve"> concernant les sûretés qui ne s</w:t>
      </w:r>
      <w:r w:rsidR="00BA1CC2">
        <w:rPr>
          <w:lang w:val="fr-CA"/>
        </w:rPr>
        <w:t>’</w:t>
      </w:r>
      <w:r w:rsidRPr="0092785C">
        <w:rPr>
          <w:lang w:val="fr-CA"/>
        </w:rPr>
        <w:t xml:space="preserve">appliquent plus, les anciennes règles de la </w:t>
      </w:r>
      <w:proofErr w:type="spellStart"/>
      <w:r w:rsidRPr="0092785C">
        <w:rPr>
          <w:lang w:val="fr-CA"/>
        </w:rPr>
        <w:t>common</w:t>
      </w:r>
      <w:proofErr w:type="spellEnd"/>
      <w:r w:rsidRPr="0092785C">
        <w:rPr>
          <w:lang w:val="fr-CA"/>
        </w:rPr>
        <w:t xml:space="preserve"> </w:t>
      </w:r>
      <w:proofErr w:type="spellStart"/>
      <w:r w:rsidRPr="0092785C">
        <w:rPr>
          <w:lang w:val="fr-CA"/>
        </w:rPr>
        <w:t>law</w:t>
      </w:r>
      <w:proofErr w:type="spellEnd"/>
      <w:r w:rsidRPr="0092785C">
        <w:rPr>
          <w:lang w:val="fr-CA"/>
        </w:rPr>
        <w:t xml:space="preserve"> ont été considérablement modifiées par voie législative.  Ainsi, pour établir la nature d</w:t>
      </w:r>
      <w:r w:rsidR="00BA1CC2">
        <w:rPr>
          <w:lang w:val="fr-CA"/>
        </w:rPr>
        <w:t>’</w:t>
      </w:r>
      <w:r w:rsidRPr="0092785C">
        <w:rPr>
          <w:lang w:val="fr-CA"/>
        </w:rPr>
        <w:t xml:space="preserve">une sûreté provinciale concurrente, il faut tenir compte de la loi provinciale applicable et interpréter la </w:t>
      </w:r>
      <w:r w:rsidRPr="00A25648">
        <w:rPr>
          <w:i/>
          <w:lang w:val="fr-CA"/>
        </w:rPr>
        <w:t>LB</w:t>
      </w:r>
      <w:r w:rsidRPr="0092785C">
        <w:rPr>
          <w:lang w:val="fr-CA"/>
        </w:rPr>
        <w:t xml:space="preserve"> en harmonie avec cette loi provinciale.  Cette méthode est conforme au préambule de la</w:t>
      </w:r>
      <w:r w:rsidRPr="0092785C">
        <w:rPr>
          <w:i/>
          <w:lang w:val="fr-CA"/>
        </w:rPr>
        <w:t xml:space="preserve"> Loi d</w:t>
      </w:r>
      <w:r w:rsidR="00BA1CC2">
        <w:rPr>
          <w:i/>
          <w:lang w:val="fr-CA"/>
        </w:rPr>
        <w:t>’</w:t>
      </w:r>
      <w:r w:rsidRPr="0092785C">
        <w:rPr>
          <w:i/>
          <w:lang w:val="fr-CA"/>
        </w:rPr>
        <w:t>harmonisation n</w:t>
      </w:r>
      <w:r w:rsidRPr="0092785C">
        <w:rPr>
          <w:i/>
          <w:vertAlign w:val="superscript"/>
          <w:lang w:val="fr-CA"/>
        </w:rPr>
        <w:t>o</w:t>
      </w:r>
      <w:r w:rsidRPr="0092785C">
        <w:rPr>
          <w:lang w:val="fr-CA"/>
        </w:rPr>
        <w:t> </w:t>
      </w:r>
      <w:r w:rsidRPr="0092785C">
        <w:rPr>
          <w:i/>
          <w:lang w:val="fr-CA"/>
        </w:rPr>
        <w:t>1 du droit fédéral avec le droit civil</w:t>
      </w:r>
      <w:r w:rsidR="00072021">
        <w:rPr>
          <w:lang w:val="fr-CA"/>
        </w:rPr>
        <w:t>, L.C. 2001, ch. 4 (</w:t>
      </w:r>
      <w:r w:rsidRPr="0092785C">
        <w:rPr>
          <w:lang w:val="fr-CA"/>
        </w:rPr>
        <w:t>« </w:t>
      </w:r>
      <w:r w:rsidRPr="0092785C">
        <w:rPr>
          <w:i/>
          <w:lang w:val="fr-CA"/>
        </w:rPr>
        <w:t>Loi d</w:t>
      </w:r>
      <w:r w:rsidR="00BA1CC2">
        <w:rPr>
          <w:i/>
          <w:lang w:val="fr-CA"/>
        </w:rPr>
        <w:t>’</w:t>
      </w:r>
      <w:r w:rsidRPr="0092785C">
        <w:rPr>
          <w:i/>
          <w:lang w:val="fr-CA"/>
        </w:rPr>
        <w:t>harmonisation</w:t>
      </w:r>
      <w:r w:rsidRPr="0092785C">
        <w:rPr>
          <w:lang w:val="fr-CA"/>
        </w:rPr>
        <w:t> ») :</w:t>
      </w:r>
    </w:p>
    <w:p w:rsidR="00DC4439" w:rsidRPr="0092785C" w:rsidRDefault="00DC4439" w:rsidP="00DC4439">
      <w:pPr>
        <w:pStyle w:val="Citation1"/>
        <w:spacing w:after="240"/>
        <w:contextualSpacing w:val="0"/>
      </w:pPr>
      <w:r w:rsidRPr="0092785C">
        <w:t>A</w:t>
      </w:r>
      <w:r w:rsidR="00A25648" w:rsidRPr="0092785C">
        <w:t>ttendu</w:t>
      </w:r>
      <w:r w:rsidRPr="0092785C">
        <w:t> :</w:t>
      </w:r>
    </w:p>
    <w:p w:rsidR="00DC4439" w:rsidRPr="0092785C" w:rsidRDefault="00DC4439" w:rsidP="00DC4439">
      <w:pPr>
        <w:pStyle w:val="Citation1"/>
        <w:spacing w:after="240"/>
        <w:contextualSpacing w:val="0"/>
        <w:jc w:val="center"/>
      </w:pPr>
      <w:r w:rsidRPr="0092785C">
        <w:t>. . .</w:t>
      </w:r>
    </w:p>
    <w:p w:rsidR="00DC4439" w:rsidRPr="0092785C" w:rsidRDefault="00DC4439" w:rsidP="00A25648">
      <w:pPr>
        <w:pStyle w:val="Citation1"/>
        <w:spacing w:after="240"/>
        <w:ind w:firstLine="4"/>
        <w:contextualSpacing w:val="0"/>
      </w:pPr>
      <w:proofErr w:type="gramStart"/>
      <w:r w:rsidRPr="0092785C">
        <w:t>qu</w:t>
      </w:r>
      <w:r w:rsidR="00BA1CC2">
        <w:t>’</w:t>
      </w:r>
      <w:r w:rsidRPr="0092785C">
        <w:t>une</w:t>
      </w:r>
      <w:proofErr w:type="gramEnd"/>
      <w:r w:rsidRPr="0092785C">
        <w:t xml:space="preserve"> interaction harmonieuse de la législation fédérale et de la législation provinciale s</w:t>
      </w:r>
      <w:r w:rsidR="00BA1CC2">
        <w:t>’</w:t>
      </w:r>
      <w:r w:rsidRPr="0092785C">
        <w:t xml:space="preserve">impose et passe par une interprétation de la législation fédérale qui soit compatible avec la tradition de droit civil ou de </w:t>
      </w:r>
      <w:proofErr w:type="spellStart"/>
      <w:r w:rsidRPr="0092785C">
        <w:t>common</w:t>
      </w:r>
      <w:proofErr w:type="spellEnd"/>
      <w:r w:rsidRPr="0092785C">
        <w:t xml:space="preserve"> </w:t>
      </w:r>
      <w:proofErr w:type="spellStart"/>
      <w:r w:rsidRPr="0092785C">
        <w:t>law</w:t>
      </w:r>
      <w:proofErr w:type="spellEnd"/>
      <w:r w:rsidRPr="0092785C">
        <w:t>, selon le cas;</w:t>
      </w:r>
    </w:p>
    <w:p w:rsidR="00DC4439" w:rsidRPr="0092785C" w:rsidRDefault="00DC4439" w:rsidP="00DC4439">
      <w:pPr>
        <w:pStyle w:val="Citation1"/>
        <w:spacing w:after="240"/>
        <w:contextualSpacing w:val="0"/>
        <w:jc w:val="center"/>
      </w:pPr>
      <w:r w:rsidRPr="0092785C">
        <w:t>. . .</w:t>
      </w:r>
    </w:p>
    <w:p w:rsidR="00DC4439" w:rsidRPr="0092785C" w:rsidRDefault="00DC4439" w:rsidP="00A25648">
      <w:pPr>
        <w:pStyle w:val="Citation1"/>
        <w:ind w:firstLine="4"/>
      </w:pPr>
      <w:r w:rsidRPr="0092785C">
        <w:t>que, sauf règle de droit s</w:t>
      </w:r>
      <w:r w:rsidR="00BA1CC2">
        <w:t>’</w:t>
      </w:r>
      <w:r w:rsidRPr="0092785C">
        <w:t>y opposant, le droit provincial en matière de propriété et de droits civils est le droit supplétif pour ce qui est de l</w:t>
      </w:r>
      <w:r w:rsidR="00BA1CC2">
        <w:t>’</w:t>
      </w:r>
      <w:r w:rsidRPr="0092785C">
        <w:t>application de la législation fédérale dans les provinces;</w:t>
      </w:r>
    </w:p>
    <w:p w:rsidR="00DC4439" w:rsidRPr="0092785C" w:rsidRDefault="00DC4439" w:rsidP="00DC4439">
      <w:pPr>
        <w:pStyle w:val="Citation1"/>
        <w:ind w:firstLine="274"/>
        <w:jc w:val="center"/>
      </w:pPr>
    </w:p>
    <w:p w:rsidR="00DC4439" w:rsidRPr="0092785C" w:rsidRDefault="00DC4439" w:rsidP="00DC4439">
      <w:pPr>
        <w:pStyle w:val="ListParagraph"/>
        <w:tabs>
          <w:tab w:val="left" w:pos="1152"/>
        </w:tabs>
        <w:spacing w:after="480" w:line="480" w:lineRule="auto"/>
        <w:ind w:left="0"/>
        <w:jc w:val="both"/>
        <w:rPr>
          <w:spacing w:val="3"/>
          <w:lang w:val="fr-CA"/>
        </w:rPr>
      </w:pPr>
      <w:r w:rsidRPr="0092785C">
        <w:rPr>
          <w:spacing w:val="3"/>
          <w:lang w:val="fr-CA"/>
        </w:rPr>
        <w:lastRenderedPageBreak/>
        <w:t>L</w:t>
      </w:r>
      <w:r w:rsidR="00BA1CC2">
        <w:rPr>
          <w:spacing w:val="3"/>
          <w:lang w:val="fr-CA"/>
        </w:rPr>
        <w:t>’</w:t>
      </w:r>
      <w:r w:rsidRPr="0092785C">
        <w:rPr>
          <w:spacing w:val="3"/>
          <w:lang w:val="fr-CA"/>
        </w:rPr>
        <w:t xml:space="preserve">article 8.1 de la </w:t>
      </w:r>
      <w:r w:rsidRPr="0092785C">
        <w:rPr>
          <w:i/>
          <w:spacing w:val="3"/>
          <w:lang w:val="fr-CA"/>
        </w:rPr>
        <w:t>Loi d</w:t>
      </w:r>
      <w:r w:rsidR="00BA1CC2">
        <w:rPr>
          <w:i/>
          <w:spacing w:val="3"/>
          <w:lang w:val="fr-CA"/>
        </w:rPr>
        <w:t>’</w:t>
      </w:r>
      <w:r w:rsidRPr="0092785C">
        <w:rPr>
          <w:i/>
          <w:spacing w:val="3"/>
          <w:lang w:val="fr-CA"/>
        </w:rPr>
        <w:t>interprétation</w:t>
      </w:r>
      <w:r w:rsidRPr="0092785C">
        <w:rPr>
          <w:spacing w:val="3"/>
          <w:lang w:val="fr-CA"/>
        </w:rPr>
        <w:t>, L.R.C. 1985, ch. I-21, modifié par l</w:t>
      </w:r>
      <w:r w:rsidR="00BA1CC2">
        <w:rPr>
          <w:spacing w:val="3"/>
          <w:lang w:val="fr-CA"/>
        </w:rPr>
        <w:t>’</w:t>
      </w:r>
      <w:r w:rsidRPr="0092785C">
        <w:rPr>
          <w:spacing w:val="3"/>
          <w:lang w:val="fr-CA"/>
        </w:rPr>
        <w:t xml:space="preserve">art. 8 de la </w:t>
      </w:r>
      <w:r w:rsidRPr="0092785C">
        <w:rPr>
          <w:i/>
          <w:spacing w:val="3"/>
          <w:lang w:val="fr-CA"/>
        </w:rPr>
        <w:t>Loi d</w:t>
      </w:r>
      <w:r w:rsidR="00BA1CC2">
        <w:rPr>
          <w:i/>
          <w:spacing w:val="3"/>
          <w:lang w:val="fr-CA"/>
        </w:rPr>
        <w:t>’</w:t>
      </w:r>
      <w:r w:rsidRPr="0092785C">
        <w:rPr>
          <w:i/>
          <w:spacing w:val="3"/>
          <w:lang w:val="fr-CA"/>
        </w:rPr>
        <w:t>harmonisation</w:t>
      </w:r>
      <w:r w:rsidRPr="0092785C">
        <w:rPr>
          <w:spacing w:val="3"/>
          <w:lang w:val="fr-CA"/>
        </w:rPr>
        <w:t>,</w:t>
      </w:r>
      <w:r w:rsidRPr="0092785C">
        <w:rPr>
          <w:i/>
          <w:spacing w:val="3"/>
          <w:lang w:val="fr-CA"/>
        </w:rPr>
        <w:t xml:space="preserve"> </w:t>
      </w:r>
      <w:r w:rsidRPr="0092785C">
        <w:rPr>
          <w:spacing w:val="3"/>
          <w:lang w:val="fr-CA"/>
        </w:rPr>
        <w:t>prévoit explicitement le recours aux « règles, principes et notions en vigueur dans cette province au moment de l</w:t>
      </w:r>
      <w:r w:rsidR="00BA1CC2">
        <w:rPr>
          <w:spacing w:val="3"/>
          <w:lang w:val="fr-CA"/>
        </w:rPr>
        <w:t>’</w:t>
      </w:r>
      <w:r w:rsidRPr="0092785C">
        <w:rPr>
          <w:spacing w:val="3"/>
          <w:lang w:val="fr-CA"/>
        </w:rPr>
        <w:t>application du texte ».</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À vrai dire, la relation entre la </w:t>
      </w:r>
      <w:r w:rsidRPr="00A25648">
        <w:rPr>
          <w:i/>
          <w:lang w:val="fr-CA"/>
        </w:rPr>
        <w:t>LB</w:t>
      </w:r>
      <w:r w:rsidRPr="0092785C">
        <w:rPr>
          <w:i/>
          <w:lang w:val="fr-CA"/>
        </w:rPr>
        <w:t xml:space="preserve"> </w:t>
      </w:r>
      <w:r w:rsidRPr="0092785C">
        <w:rPr>
          <w:lang w:val="fr-CA"/>
        </w:rPr>
        <w:t>et le droit provincial des biens est à bien des égards analogue à la relation entre le droit fédéral de la faillite et le droit provincial telle que la Cour l</w:t>
      </w:r>
      <w:r w:rsidR="00BA1CC2">
        <w:rPr>
          <w:lang w:val="fr-CA"/>
        </w:rPr>
        <w:t>’</w:t>
      </w:r>
      <w:r w:rsidRPr="0092785C">
        <w:rPr>
          <w:lang w:val="fr-CA"/>
        </w:rPr>
        <w:t xml:space="preserve">a décrite dans </w:t>
      </w:r>
      <w:proofErr w:type="spellStart"/>
      <w:r w:rsidRPr="0092785C">
        <w:rPr>
          <w:i/>
          <w:lang w:val="fr-CA"/>
        </w:rPr>
        <w:t>Giffen</w:t>
      </w:r>
      <w:proofErr w:type="spellEnd"/>
      <w:r w:rsidRPr="0092785C">
        <w:rPr>
          <w:i/>
          <w:lang w:val="fr-CA"/>
        </w:rPr>
        <w:t xml:space="preserve"> (</w:t>
      </w:r>
      <w:proofErr w:type="spellStart"/>
      <w:r w:rsidRPr="0092785C">
        <w:rPr>
          <w:i/>
          <w:lang w:val="fr-CA"/>
        </w:rPr>
        <w:t>Re</w:t>
      </w:r>
      <w:proofErr w:type="spellEnd"/>
      <w:r w:rsidRPr="0092785C">
        <w:rPr>
          <w:i/>
          <w:lang w:val="fr-CA"/>
        </w:rPr>
        <w:t>)</w:t>
      </w:r>
      <w:r w:rsidRPr="0092785C">
        <w:rPr>
          <w:lang w:val="fr-CA"/>
        </w:rPr>
        <w:t>, [1998] 1 R.C.S. 91, au par. 64 :</w:t>
      </w:r>
    </w:p>
    <w:p w:rsidR="00DC4439" w:rsidRPr="0092785C" w:rsidRDefault="00DC4439" w:rsidP="00DC4439">
      <w:pPr>
        <w:pStyle w:val="Citation1"/>
        <w:ind w:firstLine="274"/>
      </w:pPr>
      <w:r w:rsidRPr="0092785C">
        <w:t>Bien que la faillite soit clairement une matière fédérale et bien qu</w:t>
      </w:r>
      <w:r w:rsidR="00BA1CC2">
        <w:t>’</w:t>
      </w:r>
      <w:r w:rsidRPr="0092785C">
        <w:t>il ait été établi que seul le législateur fédéral pouvait arrêter l</w:t>
      </w:r>
      <w:r w:rsidR="00BA1CC2">
        <w:t>’</w:t>
      </w:r>
      <w:r w:rsidRPr="0092785C">
        <w:t xml:space="preserve">ordre de priorité en matière de distribution, il faut nécessairement se référer aux lois provinciales en matière de propriété et de droits civils pour définir les termes utilisés dans la </w:t>
      </w:r>
      <w:r w:rsidRPr="0092785C">
        <w:rPr>
          <w:i/>
        </w:rPr>
        <w:t>LFI</w:t>
      </w:r>
      <w:r w:rsidRPr="0092785C">
        <w:t xml:space="preserve"> et les droits des parties impliquées dans la faillite.</w:t>
      </w:r>
    </w:p>
    <w:p w:rsidR="00DC4439" w:rsidRPr="0092785C" w:rsidRDefault="00DC4439" w:rsidP="00DC4439">
      <w:pPr>
        <w:pStyle w:val="ListParagraph"/>
        <w:tabs>
          <w:tab w:val="left" w:pos="1152"/>
        </w:tabs>
        <w:spacing w:after="480" w:line="480" w:lineRule="auto"/>
        <w:ind w:left="0"/>
        <w:jc w:val="both"/>
        <w:rPr>
          <w:spacing w:val="3"/>
          <w:lang w:val="fr-CA"/>
        </w:rPr>
      </w:pPr>
      <w:r w:rsidRPr="0092785C">
        <w:rPr>
          <w:spacing w:val="3"/>
          <w:lang w:val="fr-CA"/>
        </w:rPr>
        <w:t xml:space="preserve">Il faut, pour des raisons essentiellement semblables, se référer au droit provincial des biens pour établir le contenu des dispositions de la </w:t>
      </w:r>
      <w:r w:rsidRPr="00A25648">
        <w:rPr>
          <w:i/>
          <w:spacing w:val="3"/>
          <w:lang w:val="fr-CA"/>
        </w:rPr>
        <w:t>LB</w:t>
      </w:r>
      <w:r w:rsidRPr="0092785C">
        <w:rPr>
          <w:i/>
          <w:spacing w:val="3"/>
          <w:lang w:val="fr-CA"/>
        </w:rPr>
        <w:t xml:space="preserve"> </w:t>
      </w:r>
      <w:r w:rsidRPr="0092785C">
        <w:rPr>
          <w:spacing w:val="3"/>
          <w:lang w:val="fr-CA"/>
        </w:rPr>
        <w:t xml:space="preserve">et déterminer avec précision les droits des parties à un conflit de priorité concernant une garantie régie par la </w:t>
      </w:r>
      <w:r w:rsidRPr="00A25648">
        <w:rPr>
          <w:i/>
          <w:spacing w:val="3"/>
          <w:lang w:val="fr-CA"/>
        </w:rPr>
        <w:t>LB</w:t>
      </w:r>
      <w:r w:rsidRPr="0092785C">
        <w:rPr>
          <w:spacing w:val="3"/>
          <w:lang w:val="fr-CA"/>
        </w:rPr>
        <w:t>.</w:t>
      </w:r>
    </w:p>
    <w:p w:rsidR="00DC4439" w:rsidRPr="0092785C" w:rsidRDefault="00DC4439" w:rsidP="00A25648">
      <w:pPr>
        <w:pStyle w:val="ListParagraph"/>
        <w:keepNext/>
        <w:tabs>
          <w:tab w:val="left" w:pos="540"/>
          <w:tab w:val="left" w:pos="1152"/>
        </w:tabs>
        <w:spacing w:after="480" w:line="480" w:lineRule="auto"/>
        <w:ind w:left="0"/>
        <w:jc w:val="both"/>
        <w:rPr>
          <w:spacing w:val="3"/>
        </w:rPr>
      </w:pPr>
      <w:r w:rsidRPr="0092785C">
        <w:rPr>
          <w:spacing w:val="3"/>
        </w:rPr>
        <w:t>4.</w:t>
      </w:r>
      <w:r w:rsidR="00A25648">
        <w:rPr>
          <w:spacing w:val="3"/>
        </w:rPr>
        <w:tab/>
      </w:r>
      <w:r w:rsidRPr="0092785C">
        <w:rPr>
          <w:spacing w:val="3"/>
          <w:u w:val="single"/>
        </w:rPr>
        <w:t xml:space="preserve">Application en </w:t>
      </w:r>
      <w:proofErr w:type="spellStart"/>
      <w:r w:rsidRPr="0092785C">
        <w:rPr>
          <w:spacing w:val="3"/>
          <w:u w:val="single"/>
        </w:rPr>
        <w:t>l</w:t>
      </w:r>
      <w:r w:rsidR="00BA1CC2">
        <w:rPr>
          <w:spacing w:val="3"/>
          <w:u w:val="single"/>
        </w:rPr>
        <w:t>’</w:t>
      </w:r>
      <w:r w:rsidRPr="0092785C">
        <w:rPr>
          <w:spacing w:val="3"/>
          <w:u w:val="single"/>
        </w:rPr>
        <w:t>espèce</w:t>
      </w:r>
      <w:proofErr w:type="spellEnd"/>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Le sort du pourvoi ne tient en rien au libellé respectif des deux contrats de sûreté, de sorte qu</w:t>
      </w:r>
      <w:r w:rsidR="00BA1CC2">
        <w:rPr>
          <w:lang w:val="fr-CA"/>
        </w:rPr>
        <w:t>’</w:t>
      </w:r>
      <w:r w:rsidRPr="0092785C">
        <w:rPr>
          <w:lang w:val="fr-CA"/>
        </w:rPr>
        <w:t>il n</w:t>
      </w:r>
      <w:r w:rsidR="00BA1CC2">
        <w:rPr>
          <w:lang w:val="fr-CA"/>
        </w:rPr>
        <w:t>’</w:t>
      </w:r>
      <w:r w:rsidRPr="0092785C">
        <w:rPr>
          <w:lang w:val="fr-CA"/>
        </w:rPr>
        <w:t>est pas nécessaire d</w:t>
      </w:r>
      <w:r w:rsidR="00BA1CC2">
        <w:rPr>
          <w:lang w:val="fr-CA"/>
        </w:rPr>
        <w:t>’</w:t>
      </w:r>
      <w:r w:rsidRPr="0092785C">
        <w:rPr>
          <w:lang w:val="fr-CA"/>
        </w:rPr>
        <w:t xml:space="preserve">en reproduire les extraits pertinents.  Il suffit de dire que les parties conviennent que la Coopérative de crédit a obtenu de </w:t>
      </w:r>
      <w:r w:rsidRPr="0092785C">
        <w:rPr>
          <w:lang w:val="fr-CA"/>
        </w:rPr>
        <w:lastRenderedPageBreak/>
        <w:t>M. </w:t>
      </w:r>
      <w:proofErr w:type="spellStart"/>
      <w:r w:rsidRPr="0092785C">
        <w:rPr>
          <w:lang w:val="fr-CA"/>
        </w:rPr>
        <w:t>Buist</w:t>
      </w:r>
      <w:proofErr w:type="spellEnd"/>
      <w:r w:rsidRPr="0092785C">
        <w:rPr>
          <w:lang w:val="fr-CA"/>
        </w:rPr>
        <w:t xml:space="preserve">,  en application de la </w:t>
      </w:r>
      <w:r w:rsidR="00A25648" w:rsidRPr="00BA1CC2">
        <w:rPr>
          <w:i/>
          <w:lang w:val="fr-CA"/>
        </w:rPr>
        <w:t>PPSA</w:t>
      </w:r>
      <w:r w:rsidRPr="0092785C">
        <w:rPr>
          <w:lang w:val="fr-CA"/>
        </w:rPr>
        <w:t xml:space="preserve">, une sûreté valide qui a grevé les biens en cause le 7 octobre 1991, soit </w:t>
      </w:r>
      <w:r w:rsidRPr="0092785C">
        <w:rPr>
          <w:i/>
          <w:lang w:val="fr-CA"/>
        </w:rPr>
        <w:t xml:space="preserve">avant </w:t>
      </w:r>
      <w:r w:rsidRPr="0092785C">
        <w:rPr>
          <w:lang w:val="fr-CA"/>
        </w:rPr>
        <w:t>que la Banque n</w:t>
      </w:r>
      <w:r w:rsidR="00BA1CC2">
        <w:rPr>
          <w:lang w:val="fr-CA"/>
        </w:rPr>
        <w:t>’</w:t>
      </w:r>
      <w:r w:rsidRPr="0092785C">
        <w:rPr>
          <w:lang w:val="fr-CA"/>
        </w:rPr>
        <w:t xml:space="preserve">acquière sa sûreté en vertu de la </w:t>
      </w:r>
      <w:r w:rsidRPr="00A25648">
        <w:rPr>
          <w:i/>
          <w:lang w:val="fr-CA"/>
        </w:rPr>
        <w:t>LB</w:t>
      </w:r>
      <w:r w:rsidRPr="0092785C">
        <w:rPr>
          <w:lang w:val="fr-CA"/>
        </w:rPr>
        <w:t>.  Le juge des requêtes a néanmoins estimé que, comme la Coopérative de crédit n</w:t>
      </w:r>
      <w:r w:rsidR="00BA1CC2">
        <w:rPr>
          <w:lang w:val="fr-CA"/>
        </w:rPr>
        <w:t>’</w:t>
      </w:r>
      <w:r w:rsidRPr="0092785C">
        <w:rPr>
          <w:lang w:val="fr-CA"/>
        </w:rPr>
        <w:t>a parfait sa sûreté pour acquérir son droit de priorité que plusieurs années après l</w:t>
      </w:r>
      <w:r w:rsidR="00BA1CC2">
        <w:rPr>
          <w:lang w:val="fr-CA"/>
        </w:rPr>
        <w:t>’</w:t>
      </w:r>
      <w:r w:rsidRPr="0092785C">
        <w:rPr>
          <w:lang w:val="fr-CA"/>
        </w:rPr>
        <w:t xml:space="preserve">obtention par la Banque de sa garantie en application de la </w:t>
      </w:r>
      <w:r w:rsidRPr="00A25648">
        <w:rPr>
          <w:i/>
          <w:lang w:val="fr-CA"/>
        </w:rPr>
        <w:t>LB</w:t>
      </w:r>
      <w:r w:rsidRPr="0092785C">
        <w:rPr>
          <w:lang w:val="fr-CA"/>
        </w:rPr>
        <w:t>, le par. 428(1) de cette loi donnait priorité à la Banque sur les droits subséquemment acquis par la Coopérative de crédit.  Le juge a donc conclu que le par. 428(1) permettait de trancher le conflit de priorité.</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Je conviens avec la Cour d</w:t>
      </w:r>
      <w:r w:rsidR="00BA1CC2">
        <w:rPr>
          <w:lang w:val="fr-CA"/>
        </w:rPr>
        <w:t>’</w:t>
      </w:r>
      <w:r w:rsidRPr="0092785C">
        <w:rPr>
          <w:lang w:val="fr-CA"/>
        </w:rPr>
        <w:t>appel que le raisonnement du juge des requêtes ne saurait tenir.  Premièrement, sa conclusion selon laquelle le par. 428(1) permettait de trancher la question de la priorité ne prend pas en considération le fait qu</w:t>
      </w:r>
      <w:r w:rsidR="00BA1CC2">
        <w:rPr>
          <w:lang w:val="fr-CA"/>
        </w:rPr>
        <w:t>’</w:t>
      </w:r>
      <w:r w:rsidRPr="0092785C">
        <w:rPr>
          <w:lang w:val="fr-CA"/>
        </w:rPr>
        <w:t>une sûreté valable sur les biens existait en faveur de la Coopérative de crédit, même si</w:t>
      </w:r>
      <w:r w:rsidRPr="0092785C">
        <w:rPr>
          <w:i/>
          <w:lang w:val="fr-CA"/>
        </w:rPr>
        <w:t xml:space="preserve"> </w:t>
      </w:r>
      <w:r w:rsidRPr="0092785C">
        <w:rPr>
          <w:lang w:val="fr-CA"/>
        </w:rPr>
        <w:t>cette sûreté n</w:t>
      </w:r>
      <w:r w:rsidR="00BA1CC2">
        <w:rPr>
          <w:lang w:val="fr-CA"/>
        </w:rPr>
        <w:t>’</w:t>
      </w:r>
      <w:r w:rsidRPr="0092785C">
        <w:rPr>
          <w:lang w:val="fr-CA"/>
        </w:rPr>
        <w:t>avait pas été parfaite lorsque la Banque a obtenu sa garantie.  Or, la question de savoir si la garantie de la Banque l</w:t>
      </w:r>
      <w:r w:rsidR="00BA1CC2">
        <w:rPr>
          <w:lang w:val="fr-CA"/>
        </w:rPr>
        <w:t>’</w:t>
      </w:r>
      <w:r w:rsidRPr="0092785C">
        <w:rPr>
          <w:lang w:val="fr-CA"/>
        </w:rPr>
        <w:t xml:space="preserve">emporte sur cette sûreté non parfaite </w:t>
      </w:r>
      <w:r w:rsidRPr="0092785C">
        <w:rPr>
          <w:i/>
          <w:lang w:val="fr-CA"/>
        </w:rPr>
        <w:t xml:space="preserve">antérieure </w:t>
      </w:r>
      <w:r w:rsidRPr="0092785C">
        <w:rPr>
          <w:lang w:val="fr-CA"/>
        </w:rPr>
        <w:t xml:space="preserve">prise au titre de la </w:t>
      </w:r>
      <w:r w:rsidR="00A25648" w:rsidRPr="00BA1CC2">
        <w:rPr>
          <w:i/>
          <w:lang w:val="fr-CA"/>
        </w:rPr>
        <w:t>PPSA</w:t>
      </w:r>
      <w:r w:rsidRPr="0092785C">
        <w:rPr>
          <w:lang w:val="fr-CA"/>
        </w:rPr>
        <w:t xml:space="preserve"> ne relève manifestement pas de l</w:t>
      </w:r>
      <w:r w:rsidR="00BA1CC2">
        <w:rPr>
          <w:lang w:val="fr-CA"/>
        </w:rPr>
        <w:t>’</w:t>
      </w:r>
      <w:r w:rsidRPr="0092785C">
        <w:rPr>
          <w:lang w:val="fr-CA"/>
        </w:rPr>
        <w:t xml:space="preserve">application du par. 428(1).  Deuxièmement, le juge des requêtes a peut-être eu raison de décider que le par. 428(1) donnerait priorité à la Banque sur tout droit </w:t>
      </w:r>
      <w:r w:rsidRPr="0092785C">
        <w:rPr>
          <w:i/>
          <w:lang w:val="fr-CA"/>
        </w:rPr>
        <w:t>supplémentaire</w:t>
      </w:r>
      <w:r w:rsidRPr="0092785C">
        <w:rPr>
          <w:lang w:val="fr-CA"/>
        </w:rPr>
        <w:t xml:space="preserve"> éventuellement acquis par la Coopérative de crédit du fait de la perfection de sa sûreté.  Toutefois, sous le régime de la </w:t>
      </w:r>
      <w:r w:rsidR="00A25648" w:rsidRPr="00BA1CC2">
        <w:rPr>
          <w:i/>
          <w:lang w:val="fr-CA"/>
        </w:rPr>
        <w:t>PPSA</w:t>
      </w:r>
      <w:r w:rsidRPr="0092785C">
        <w:rPr>
          <w:lang w:val="fr-CA"/>
        </w:rPr>
        <w:t>, ni le moment de la perfection de la sûreté, ni le défaut de perfection n</w:t>
      </w:r>
      <w:r w:rsidR="00BA1CC2">
        <w:rPr>
          <w:lang w:val="fr-CA"/>
        </w:rPr>
        <w:t>’</w:t>
      </w:r>
      <w:r w:rsidRPr="0092785C">
        <w:rPr>
          <w:lang w:val="fr-CA"/>
        </w:rPr>
        <w:t>ont une incidence sur la nature ou la validité de la sûreté.  La notion de perfection joue plutôt lorsqu</w:t>
      </w:r>
      <w:r w:rsidR="00BA1CC2">
        <w:rPr>
          <w:lang w:val="fr-CA"/>
        </w:rPr>
        <w:t>’</w:t>
      </w:r>
      <w:r w:rsidRPr="0092785C">
        <w:rPr>
          <w:lang w:val="fr-CA"/>
        </w:rPr>
        <w:t>il s</w:t>
      </w:r>
      <w:r w:rsidR="00BA1CC2">
        <w:rPr>
          <w:lang w:val="fr-CA"/>
        </w:rPr>
        <w:t>’</w:t>
      </w:r>
      <w:r w:rsidRPr="0092785C">
        <w:rPr>
          <w:lang w:val="fr-CA"/>
        </w:rPr>
        <w:t>agit de déterminer laquelle de plusieurs sûretés concurrentes l</w:t>
      </w:r>
      <w:r w:rsidR="00BA1CC2">
        <w:rPr>
          <w:lang w:val="fr-CA"/>
        </w:rPr>
        <w:t>’</w:t>
      </w:r>
      <w:r w:rsidRPr="0092785C">
        <w:rPr>
          <w:lang w:val="fr-CA"/>
        </w:rPr>
        <w:t xml:space="preserve">emporte sur les autres </w:t>
      </w:r>
      <w:r w:rsidRPr="0092785C">
        <w:rPr>
          <w:i/>
          <w:lang w:val="fr-CA"/>
        </w:rPr>
        <w:t>en application de la PPSA</w:t>
      </w:r>
      <w:r w:rsidRPr="0092785C">
        <w:rPr>
          <w:lang w:val="fr-CA"/>
        </w:rPr>
        <w:t xml:space="preserve">.  On ne peut recourir à ce régime de priorité pour régler le </w:t>
      </w:r>
      <w:r w:rsidRPr="0092785C">
        <w:rPr>
          <w:lang w:val="fr-CA"/>
        </w:rPr>
        <w:lastRenderedPageBreak/>
        <w:t>conflit en l</w:t>
      </w:r>
      <w:r w:rsidR="00BA1CC2">
        <w:rPr>
          <w:lang w:val="fr-CA"/>
        </w:rPr>
        <w:t>’</w:t>
      </w:r>
      <w:r w:rsidRPr="0092785C">
        <w:rPr>
          <w:lang w:val="fr-CA"/>
        </w:rPr>
        <w:t xml:space="preserve">espèce.  Il faut plutôt à cette fin analyser les droits que la Banque a acquis quand elle a pris sa garantie et décider si ces droits étaient subordonnés à la sûreté prise antérieurement par la Coopérative de crédit sous le régime de la </w:t>
      </w:r>
      <w:r w:rsidR="00A25648" w:rsidRPr="00BA1CC2">
        <w:rPr>
          <w:i/>
          <w:lang w:val="fr-CA"/>
        </w:rPr>
        <w:t>PPSA</w:t>
      </w:r>
      <w:r w:rsidRPr="0092785C">
        <w:rPr>
          <w:lang w:val="fr-CA"/>
        </w:rPr>
        <w:t xml:space="preserve">.  Cette analyse suppose un examen plus détaillé de la nature de la garantie prise par la banque en vertu du par. 427(2) de la </w:t>
      </w:r>
      <w:r w:rsidRPr="00A25648">
        <w:rPr>
          <w:i/>
          <w:lang w:val="fr-CA"/>
        </w:rPr>
        <w:t>LB</w:t>
      </w:r>
      <w:r w:rsidRPr="0092785C">
        <w:rPr>
          <w:lang w:val="fr-CA"/>
        </w:rPr>
        <w:t>.</w:t>
      </w:r>
    </w:p>
    <w:p w:rsidR="00DC4439" w:rsidRPr="0092785C" w:rsidRDefault="00DC4439" w:rsidP="00DC4439">
      <w:pPr>
        <w:pStyle w:val="ListParagraph"/>
        <w:keepNext/>
        <w:tabs>
          <w:tab w:val="left" w:pos="1152"/>
        </w:tabs>
        <w:spacing w:after="480" w:line="480" w:lineRule="auto"/>
        <w:ind w:left="0"/>
        <w:jc w:val="both"/>
        <w:rPr>
          <w:i/>
          <w:spacing w:val="3"/>
          <w:lang w:val="fr-CA"/>
        </w:rPr>
      </w:pPr>
      <w:r w:rsidRPr="0092785C">
        <w:rPr>
          <w:spacing w:val="3"/>
          <w:lang w:val="fr-CA"/>
        </w:rPr>
        <w:t>4.1  </w:t>
      </w:r>
      <w:r w:rsidRPr="0092785C">
        <w:rPr>
          <w:i/>
          <w:spacing w:val="3"/>
          <w:lang w:val="fr-CA"/>
        </w:rPr>
        <w:t>La nature de la garantie consentie en application de la Loi sur les banques</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Le paragraphe 427(2) indique en ces termes quels droits et pouvoirs sont conférés à la banque quand elle prend une garantie en vertu de la </w:t>
      </w:r>
      <w:r w:rsidRPr="002A18D7">
        <w:rPr>
          <w:i/>
          <w:lang w:val="fr-CA"/>
        </w:rPr>
        <w:t>LB</w:t>
      </w:r>
      <w:r w:rsidRPr="0092785C">
        <w:rPr>
          <w:lang w:val="fr-CA"/>
        </w:rPr>
        <w:t> :</w:t>
      </w:r>
    </w:p>
    <w:p w:rsidR="00DC4439" w:rsidRPr="0092785C" w:rsidRDefault="00DC4439" w:rsidP="00A25648">
      <w:pPr>
        <w:pStyle w:val="Citation1"/>
        <w:spacing w:after="240"/>
        <w:ind w:firstLine="274"/>
        <w:contextualSpacing w:val="0"/>
      </w:pPr>
      <w:r w:rsidRPr="0092785C">
        <w:rPr>
          <w:b/>
        </w:rPr>
        <w:t>427.</w:t>
      </w:r>
      <w:r w:rsidR="00A25648">
        <w:t xml:space="preserve"> </w:t>
      </w:r>
      <w:r w:rsidRPr="0092785C">
        <w:t>. . .</w:t>
      </w:r>
    </w:p>
    <w:p w:rsidR="00DC4439" w:rsidRPr="0092785C" w:rsidRDefault="00DC4439" w:rsidP="00DC4439">
      <w:pPr>
        <w:pStyle w:val="Citation1"/>
        <w:spacing w:after="240"/>
        <w:ind w:firstLine="274"/>
        <w:contextualSpacing w:val="0"/>
      </w:pPr>
      <w:r w:rsidRPr="0092785C">
        <w:t>(2)</w:t>
      </w:r>
      <w:r w:rsidR="00A25648">
        <w:tab/>
      </w:r>
      <w:r w:rsidRPr="0092785C">
        <w:rPr>
          <w:u w:val="single"/>
        </w:rPr>
        <w:t>La remise à la banque d</w:t>
      </w:r>
      <w:r w:rsidR="00BA1CC2">
        <w:rPr>
          <w:u w:val="single"/>
        </w:rPr>
        <w:t>’</w:t>
      </w:r>
      <w:r w:rsidRPr="0092785C">
        <w:rPr>
          <w:u w:val="single"/>
        </w:rPr>
        <w:t>un document</w:t>
      </w:r>
      <w:r w:rsidRPr="0092785C">
        <w:t xml:space="preserve"> lui accordant, en vertu du présent article, une garantie sur des biens dont le donneur de garantie :</w:t>
      </w:r>
    </w:p>
    <w:p w:rsidR="00DC4439" w:rsidRPr="0092785C" w:rsidRDefault="00DC4439" w:rsidP="00DC4439">
      <w:pPr>
        <w:pStyle w:val="Citation1"/>
        <w:spacing w:after="240"/>
        <w:ind w:left="1440"/>
        <w:contextualSpacing w:val="0"/>
      </w:pPr>
      <w:r w:rsidRPr="0092785C">
        <w:rPr>
          <w:i/>
        </w:rPr>
        <w:t>a</w:t>
      </w:r>
      <w:r w:rsidRPr="0092785C">
        <w:t>)</w:t>
      </w:r>
      <w:r w:rsidR="00A25648">
        <w:tab/>
      </w:r>
      <w:r w:rsidRPr="0092785C">
        <w:t xml:space="preserve">soit est propriétaire au moment de la remise du document, </w:t>
      </w:r>
    </w:p>
    <w:p w:rsidR="00DC4439" w:rsidRPr="0092785C" w:rsidRDefault="00DC4439" w:rsidP="00DC4439">
      <w:pPr>
        <w:pStyle w:val="Citation1"/>
        <w:spacing w:after="240"/>
        <w:ind w:left="1440"/>
        <w:contextualSpacing w:val="0"/>
      </w:pPr>
      <w:r w:rsidRPr="0092785C">
        <w:rPr>
          <w:i/>
        </w:rPr>
        <w:t>b</w:t>
      </w:r>
      <w:r w:rsidRPr="0092785C">
        <w:t>)</w:t>
      </w:r>
      <w:r w:rsidR="00A25648">
        <w:tab/>
      </w:r>
      <w:r w:rsidRPr="0092785C">
        <w:t>soit devient propriétaire avant l</w:t>
      </w:r>
      <w:r w:rsidR="00BA1CC2">
        <w:t>’</w:t>
      </w:r>
      <w:r w:rsidRPr="0092785C">
        <w:t xml:space="preserve">abandon de la garantie par la banque, que ces biens existent ou non au moment de cette remise, </w:t>
      </w:r>
    </w:p>
    <w:p w:rsidR="00DC4439" w:rsidRPr="0092785C" w:rsidRDefault="00DC4439" w:rsidP="00DC4439">
      <w:pPr>
        <w:pStyle w:val="Citation1"/>
      </w:pPr>
      <w:proofErr w:type="gramStart"/>
      <w:r w:rsidRPr="0092785C">
        <w:rPr>
          <w:u w:val="single"/>
        </w:rPr>
        <w:t>confère</w:t>
      </w:r>
      <w:proofErr w:type="gramEnd"/>
      <w:r w:rsidRPr="0092785C">
        <w:rPr>
          <w:u w:val="single"/>
        </w:rPr>
        <w:t xml:space="preserve"> à la banque</w:t>
      </w:r>
      <w:r w:rsidRPr="0092785C">
        <w:t>, en ce qui concerne les biens visés, les droits et pouvoirs suivants </w:t>
      </w:r>
      <w:r w:rsidR="00A25648">
        <w:t>. . .</w:t>
      </w:r>
    </w:p>
    <w:p w:rsidR="00DC4439" w:rsidRPr="0092785C" w:rsidRDefault="00DC4439" w:rsidP="00DC4439">
      <w:pPr>
        <w:pStyle w:val="ListParagraph"/>
        <w:numPr>
          <w:ilvl w:val="0"/>
          <w:numId w:val="1"/>
        </w:numPr>
        <w:tabs>
          <w:tab w:val="left" w:pos="1166"/>
        </w:tabs>
        <w:spacing w:after="240" w:line="480" w:lineRule="auto"/>
        <w:ind w:left="0" w:firstLine="0"/>
        <w:jc w:val="both"/>
        <w:rPr>
          <w:smallCaps/>
          <w:lang w:val="fr-CA"/>
        </w:rPr>
      </w:pPr>
      <w:r w:rsidRPr="0092785C">
        <w:rPr>
          <w:lang w:val="fr-CA"/>
        </w:rPr>
        <w:t>Les « droits et pouvoirs » conférés à la banque varient selon la nature des biens en cause.  Lorsqu</w:t>
      </w:r>
      <w:r w:rsidR="00BA1CC2">
        <w:rPr>
          <w:lang w:val="fr-CA"/>
        </w:rPr>
        <w:t>’</w:t>
      </w:r>
      <w:r w:rsidRPr="0092785C">
        <w:rPr>
          <w:lang w:val="fr-CA"/>
        </w:rPr>
        <w:t>elle prend une garantie sur les types de biens énumérés à l</w:t>
      </w:r>
      <w:r w:rsidR="00BA1CC2">
        <w:rPr>
          <w:lang w:val="fr-CA"/>
        </w:rPr>
        <w:t>’</w:t>
      </w:r>
      <w:r w:rsidRPr="0092785C">
        <w:rPr>
          <w:lang w:val="fr-CA"/>
        </w:rPr>
        <w:t>al. 427(2)</w:t>
      </w:r>
      <w:r w:rsidRPr="0092785C">
        <w:rPr>
          <w:i/>
          <w:lang w:val="fr-CA"/>
        </w:rPr>
        <w:t>c</w:t>
      </w:r>
      <w:r w:rsidRPr="0092785C">
        <w:rPr>
          <w:lang w:val="fr-CA"/>
        </w:rPr>
        <w:t>), la banque acquiert « les mêmes droits que si la banque avait acquis un récépissé d</w:t>
      </w:r>
      <w:r w:rsidR="00BA1CC2">
        <w:rPr>
          <w:lang w:val="fr-CA"/>
        </w:rPr>
        <w:t>’</w:t>
      </w:r>
      <w:r w:rsidRPr="0092785C">
        <w:rPr>
          <w:lang w:val="fr-CA"/>
        </w:rPr>
        <w:t>entrepôt ou un connaissement visant ces biens ».  Lorsqu</w:t>
      </w:r>
      <w:r w:rsidR="00BA1CC2">
        <w:rPr>
          <w:lang w:val="fr-CA"/>
        </w:rPr>
        <w:t>’</w:t>
      </w:r>
      <w:r w:rsidRPr="0092785C">
        <w:rPr>
          <w:lang w:val="fr-CA"/>
        </w:rPr>
        <w:t>elle prend une garantie sur les types de biens énumérés à l</w:t>
      </w:r>
      <w:r w:rsidR="00BA1CC2">
        <w:rPr>
          <w:lang w:val="fr-CA"/>
        </w:rPr>
        <w:t>’</w:t>
      </w:r>
      <w:r w:rsidRPr="0092785C">
        <w:rPr>
          <w:lang w:val="fr-CA"/>
        </w:rPr>
        <w:t>al. 427(2)</w:t>
      </w:r>
      <w:r w:rsidRPr="0092785C">
        <w:rPr>
          <w:i/>
          <w:lang w:val="fr-CA"/>
        </w:rPr>
        <w:t>d</w:t>
      </w:r>
      <w:r w:rsidRPr="0092785C">
        <w:rPr>
          <w:lang w:val="fr-CA"/>
        </w:rPr>
        <w:t xml:space="preserve">), la banque acquiert, en sus </w:t>
      </w:r>
      <w:r w:rsidRPr="0092785C">
        <w:rPr>
          <w:lang w:val="fr-CA"/>
        </w:rPr>
        <w:lastRenderedPageBreak/>
        <w:t>des droits qui lui sont accordés par l</w:t>
      </w:r>
      <w:r w:rsidR="00BA1CC2">
        <w:rPr>
          <w:lang w:val="fr-CA"/>
        </w:rPr>
        <w:t>’</w:t>
      </w:r>
      <w:r w:rsidRPr="0092785C">
        <w:rPr>
          <w:lang w:val="fr-CA"/>
        </w:rPr>
        <w:t>al. 427(2)</w:t>
      </w:r>
      <w:r w:rsidRPr="0092785C">
        <w:rPr>
          <w:i/>
          <w:lang w:val="fr-CA"/>
        </w:rPr>
        <w:t>c</w:t>
      </w:r>
      <w:r w:rsidRPr="0092785C">
        <w:rPr>
          <w:lang w:val="fr-CA"/>
        </w:rPr>
        <w:t>), « un gage ou privilège de premier rang sur ces biens pour la somme garantie avec les intérêts y afférents ».  Pour les besoins de la présente affaire, il n</w:t>
      </w:r>
      <w:r w:rsidR="00BA1CC2">
        <w:rPr>
          <w:lang w:val="fr-CA"/>
        </w:rPr>
        <w:t>’</w:t>
      </w:r>
      <w:r w:rsidRPr="0092785C">
        <w:rPr>
          <w:lang w:val="fr-CA"/>
        </w:rPr>
        <w:t>est pas nécessaire de décider quels droits acquiert une banque lorsqu</w:t>
      </w:r>
      <w:r w:rsidR="00BA1CC2">
        <w:rPr>
          <w:lang w:val="fr-CA"/>
        </w:rPr>
        <w:t>’</w:t>
      </w:r>
      <w:r w:rsidRPr="0092785C">
        <w:rPr>
          <w:lang w:val="fr-CA"/>
        </w:rPr>
        <w:t>elle reçoit un « gage ou privilège de premier rang », car aucun des biens en litige dans la présente affaire n</w:t>
      </w:r>
      <w:r w:rsidR="00BA1CC2">
        <w:rPr>
          <w:lang w:val="fr-CA"/>
        </w:rPr>
        <w:t>’</w:t>
      </w:r>
      <w:r w:rsidRPr="0092785C">
        <w:rPr>
          <w:lang w:val="fr-CA"/>
        </w:rPr>
        <w:t>est visé par l</w:t>
      </w:r>
      <w:r w:rsidR="00BA1CC2">
        <w:rPr>
          <w:lang w:val="fr-CA"/>
        </w:rPr>
        <w:t>’</w:t>
      </w:r>
      <w:r w:rsidRPr="0092785C">
        <w:rPr>
          <w:lang w:val="fr-CA"/>
        </w:rPr>
        <w:t>al. 427(2)</w:t>
      </w:r>
      <w:r w:rsidRPr="0092785C">
        <w:rPr>
          <w:i/>
          <w:lang w:val="fr-CA"/>
        </w:rPr>
        <w:t>d</w:t>
      </w:r>
      <w:r w:rsidRPr="0092785C">
        <w:rPr>
          <w:lang w:val="fr-CA"/>
        </w:rPr>
        <w:t xml:space="preserve">).  Tous les biens consistent en du « matériel agricole mobilier », au sens du par. 425(1) de la </w:t>
      </w:r>
      <w:r w:rsidRPr="00A25648">
        <w:rPr>
          <w:i/>
          <w:lang w:val="fr-CA"/>
        </w:rPr>
        <w:t>LB</w:t>
      </w:r>
      <w:r w:rsidRPr="0092785C">
        <w:rPr>
          <w:lang w:val="fr-CA"/>
        </w:rPr>
        <w:t>, qui tombe sous le coup de l</w:t>
      </w:r>
      <w:r w:rsidR="00BA1CC2">
        <w:rPr>
          <w:lang w:val="fr-CA"/>
        </w:rPr>
        <w:t>’</w:t>
      </w:r>
      <w:r w:rsidRPr="0092785C">
        <w:rPr>
          <w:lang w:val="fr-CA"/>
        </w:rPr>
        <w:t>al. 427(2)</w:t>
      </w:r>
      <w:r w:rsidRPr="0092785C">
        <w:rPr>
          <w:i/>
          <w:lang w:val="fr-CA"/>
        </w:rPr>
        <w:t>c</w:t>
      </w:r>
      <w:r w:rsidRPr="0092785C">
        <w:rPr>
          <w:lang w:val="fr-CA"/>
        </w:rPr>
        <w:t xml:space="preserve">).  En revanche, les biens consistant en du « matériel agricole immobilier » qui, selon la définition donnée à ce terme au par. 425(1), est « habituellement </w:t>
      </w:r>
      <w:proofErr w:type="spellStart"/>
      <w:r w:rsidRPr="0092785C">
        <w:rPr>
          <w:lang w:val="fr-CA"/>
        </w:rPr>
        <w:t>fix</w:t>
      </w:r>
      <w:proofErr w:type="spellEnd"/>
      <w:r w:rsidRPr="0092785C">
        <w:rPr>
          <w:lang w:val="fr-CA"/>
        </w:rPr>
        <w:t>[é] à des biens immeubles » tombent sous le coup de l</w:t>
      </w:r>
      <w:r w:rsidR="00BA1CC2">
        <w:rPr>
          <w:lang w:val="fr-CA"/>
        </w:rPr>
        <w:t>’</w:t>
      </w:r>
      <w:r w:rsidRPr="0092785C">
        <w:rPr>
          <w:lang w:val="fr-CA"/>
        </w:rPr>
        <w:t>al. 427(2)</w:t>
      </w:r>
      <w:r w:rsidRPr="0092785C">
        <w:rPr>
          <w:i/>
          <w:lang w:val="fr-CA"/>
        </w:rPr>
        <w:t>d</w:t>
      </w:r>
      <w:r w:rsidRPr="0092785C">
        <w:rPr>
          <w:lang w:val="fr-CA"/>
        </w:rPr>
        <w:t>).  D</w:t>
      </w:r>
      <w:r w:rsidR="00BA1CC2">
        <w:rPr>
          <w:lang w:val="fr-CA"/>
        </w:rPr>
        <w:t>’</w:t>
      </w:r>
      <w:r w:rsidRPr="0092785C">
        <w:rPr>
          <w:lang w:val="fr-CA"/>
        </w:rPr>
        <w:t>après le dossier, aucun des biens saisis par la Banque n</w:t>
      </w:r>
      <w:r w:rsidR="00BA1CC2">
        <w:rPr>
          <w:lang w:val="fr-CA"/>
        </w:rPr>
        <w:t>’</w:t>
      </w:r>
      <w:r w:rsidRPr="0092785C">
        <w:rPr>
          <w:lang w:val="fr-CA"/>
        </w:rPr>
        <w:t>appartiendrait à la catégorie des biens « habituellement fixés à des biens immeubles ».  Quoi qu</w:t>
      </w:r>
      <w:r w:rsidR="00BA1CC2">
        <w:rPr>
          <w:lang w:val="fr-CA"/>
        </w:rPr>
        <w:t>’</w:t>
      </w:r>
      <w:r w:rsidRPr="0092785C">
        <w:rPr>
          <w:lang w:val="fr-CA"/>
        </w:rPr>
        <w:t>il en soit, je suis d</w:t>
      </w:r>
      <w:r w:rsidR="00BA1CC2">
        <w:rPr>
          <w:lang w:val="fr-CA"/>
        </w:rPr>
        <w:t>’</w:t>
      </w:r>
      <w:r w:rsidRPr="0092785C">
        <w:rPr>
          <w:lang w:val="fr-CA"/>
        </w:rPr>
        <w:t>accord avec la Cour d</w:t>
      </w:r>
      <w:r w:rsidR="00BA1CC2">
        <w:rPr>
          <w:lang w:val="fr-CA"/>
        </w:rPr>
        <w:t>’</w:t>
      </w:r>
      <w:r w:rsidRPr="0092785C">
        <w:rPr>
          <w:lang w:val="fr-CA"/>
        </w:rPr>
        <w:t>appel que la mention de la création d</w:t>
      </w:r>
      <w:r w:rsidR="00BA1CC2">
        <w:rPr>
          <w:lang w:val="fr-CA"/>
        </w:rPr>
        <w:t>’</w:t>
      </w:r>
      <w:r w:rsidRPr="0092785C">
        <w:rPr>
          <w:lang w:val="fr-CA"/>
        </w:rPr>
        <w:t>un gage ou privilège de premier rang n</w:t>
      </w:r>
      <w:r w:rsidR="00BA1CC2">
        <w:rPr>
          <w:lang w:val="fr-CA"/>
        </w:rPr>
        <w:t>’</w:t>
      </w:r>
      <w:r w:rsidRPr="0092785C">
        <w:rPr>
          <w:lang w:val="fr-CA"/>
        </w:rPr>
        <w:t>accroît pas la priorité d</w:t>
      </w:r>
      <w:r w:rsidR="00BA1CC2">
        <w:rPr>
          <w:lang w:val="fr-CA"/>
        </w:rPr>
        <w:t>’</w:t>
      </w:r>
      <w:r w:rsidRPr="0092785C">
        <w:rPr>
          <w:lang w:val="fr-CA"/>
        </w:rPr>
        <w:t>une banque.  La juge Jackson a expliqué cela comme suit au par</w:t>
      </w:r>
      <w:r w:rsidR="00A25648">
        <w:rPr>
          <w:lang w:val="fr-CA"/>
        </w:rPr>
        <w:t>.</w:t>
      </w:r>
      <w:r w:rsidRPr="0092785C">
        <w:rPr>
          <w:lang w:val="fr-CA"/>
        </w:rPr>
        <w:t> 42 :</w:t>
      </w:r>
    </w:p>
    <w:p w:rsidR="00DC4439" w:rsidRPr="0092785C" w:rsidRDefault="00A25648" w:rsidP="00DC4439">
      <w:pPr>
        <w:pStyle w:val="Citation1"/>
        <w:spacing w:after="240"/>
        <w:ind w:firstLine="274"/>
        <w:contextualSpacing w:val="0"/>
      </w:pPr>
      <w:r w:rsidRPr="0092785C">
        <w:t>[</w:t>
      </w:r>
      <w:r w:rsidRPr="0092785C">
        <w:rPr>
          <w:smallCaps/>
        </w:rPr>
        <w:t>traduction]</w:t>
      </w:r>
      <w:r w:rsidR="004C202D">
        <w:rPr>
          <w:smallCaps/>
        </w:rPr>
        <w:t xml:space="preserve">  </w:t>
      </w:r>
      <w:r w:rsidR="00DC4439" w:rsidRPr="0092785C">
        <w:t>La mention de la création d</w:t>
      </w:r>
      <w:r w:rsidR="00BA1CC2">
        <w:t>’</w:t>
      </w:r>
      <w:r w:rsidR="00DC4439" w:rsidRPr="0092785C">
        <w:t>un « gage ou privilège de premier rang » n</w:t>
      </w:r>
      <w:r w:rsidR="00BA1CC2">
        <w:t>’</w:t>
      </w:r>
      <w:r w:rsidR="00DC4439" w:rsidRPr="0092785C">
        <w:t>accroît pas la priorité d</w:t>
      </w:r>
      <w:r w:rsidR="00BA1CC2">
        <w:t>’</w:t>
      </w:r>
      <w:r w:rsidR="00DC4439" w:rsidRPr="0092785C">
        <w:t>une banque vis-à-vis d</w:t>
      </w:r>
      <w:r w:rsidR="00BA1CC2">
        <w:t>’</w:t>
      </w:r>
      <w:r w:rsidR="00DC4439" w:rsidRPr="0092785C">
        <w:t>un autre créancier détenant une sûreté sur les biens personnels pour la raison suivante : cela va à l</w:t>
      </w:r>
      <w:r w:rsidR="00BA1CC2">
        <w:t>’</w:t>
      </w:r>
      <w:r w:rsidR="00DC4439" w:rsidRPr="0092785C">
        <w:t xml:space="preserve">encontre des autres règles de priorité, explicites, qui figurent dans la </w:t>
      </w:r>
      <w:r w:rsidR="00DC4439" w:rsidRPr="0092785C">
        <w:rPr>
          <w:i/>
        </w:rPr>
        <w:t>Loi sur les banques.</w:t>
      </w:r>
      <w:r w:rsidR="00DC4439" w:rsidRPr="0092785C">
        <w:t xml:space="preserve">  Par conséquent, cet élément du par. 427(2) a été interprété, non pas comme une règle de priorité en soi, mais comme une description de la nature du droit acquis, et aux fins du règlement des conflits entre une banque et le titulaire d</w:t>
      </w:r>
      <w:r w:rsidR="00BA1CC2">
        <w:t>’</w:t>
      </w:r>
      <w:r w:rsidR="00DC4439" w:rsidRPr="0092785C">
        <w:t>un droit sous-jacent sur un bien immobilier auquel sont fixés, par exemple, du matériel agricole ou des récoltes.</w:t>
      </w:r>
    </w:p>
    <w:p w:rsidR="00DC4439" w:rsidRPr="0092785C" w:rsidRDefault="00DC4439" w:rsidP="00DC4439">
      <w:pPr>
        <w:pStyle w:val="Citation1"/>
      </w:pPr>
      <w:r w:rsidRPr="0092785C">
        <w:t xml:space="preserve">(Voir </w:t>
      </w:r>
      <w:proofErr w:type="spellStart"/>
      <w:r w:rsidRPr="0092785C">
        <w:t>Moull</w:t>
      </w:r>
      <w:proofErr w:type="spellEnd"/>
      <w:r w:rsidRPr="0092785C">
        <w:t>, p. 252</w:t>
      </w:r>
      <w:r w:rsidR="00A25648">
        <w:t>-</w:t>
      </w:r>
      <w:r w:rsidRPr="0092785C">
        <w:t>253; Poirier, p. 314.)</w:t>
      </w:r>
    </w:p>
    <w:p w:rsidR="00DC4439" w:rsidRPr="0092785C" w:rsidRDefault="00DC4439" w:rsidP="00DC4439">
      <w:pPr>
        <w:pStyle w:val="ListParagraph"/>
        <w:numPr>
          <w:ilvl w:val="0"/>
          <w:numId w:val="1"/>
        </w:numPr>
        <w:tabs>
          <w:tab w:val="left" w:pos="1166"/>
        </w:tabs>
        <w:spacing w:after="480" w:line="480" w:lineRule="auto"/>
        <w:ind w:left="0" w:firstLine="0"/>
        <w:jc w:val="both"/>
      </w:pPr>
      <w:r w:rsidRPr="0092785C">
        <w:rPr>
          <w:lang w:val="fr-CA"/>
        </w:rPr>
        <w:lastRenderedPageBreak/>
        <w:t>Il faut alors établir quels droits acquiert une banque quand elle se voit accorder « les mêmes droits que si la banque avait acquis un récépissé d</w:t>
      </w:r>
      <w:r w:rsidR="00BA1CC2">
        <w:rPr>
          <w:lang w:val="fr-CA"/>
        </w:rPr>
        <w:t>’</w:t>
      </w:r>
      <w:r w:rsidRPr="0092785C">
        <w:rPr>
          <w:lang w:val="fr-CA"/>
        </w:rPr>
        <w:t xml:space="preserve">entrepôt ou un connaissement visant [l]es biens ».  Cette question trouve réponse dans le par. 435(2) de la </w:t>
      </w:r>
      <w:r w:rsidRPr="00A25648">
        <w:rPr>
          <w:i/>
          <w:lang w:val="fr-CA"/>
        </w:rPr>
        <w:t>LB</w:t>
      </w:r>
      <w:r w:rsidRPr="0092785C">
        <w:rPr>
          <w:lang w:val="fr-CA"/>
        </w:rPr>
        <w:t>, lequel précise qu</w:t>
      </w:r>
      <w:r w:rsidR="00BA1CC2">
        <w:rPr>
          <w:lang w:val="fr-CA"/>
        </w:rPr>
        <w:t>’</w:t>
      </w:r>
      <w:r w:rsidRPr="0092785C">
        <w:rPr>
          <w:lang w:val="fr-CA"/>
        </w:rPr>
        <w:t>un récépissé d</w:t>
      </w:r>
      <w:r w:rsidR="00BA1CC2">
        <w:rPr>
          <w:lang w:val="fr-CA"/>
        </w:rPr>
        <w:t>’</w:t>
      </w:r>
      <w:r w:rsidRPr="0092785C">
        <w:rPr>
          <w:lang w:val="fr-CA"/>
        </w:rPr>
        <w:t>entrepôt ou un connaissement a pour effet d</w:t>
      </w:r>
      <w:r w:rsidR="00BA1CC2">
        <w:rPr>
          <w:lang w:val="fr-CA"/>
        </w:rPr>
        <w:t>’</w:t>
      </w:r>
      <w:r w:rsidRPr="0092785C">
        <w:rPr>
          <w:lang w:val="fr-CA"/>
        </w:rPr>
        <w:t xml:space="preserve">accorder à la banque les droit et titre du propriétaire des biens.  </w:t>
      </w:r>
      <w:proofErr w:type="spellStart"/>
      <w:r w:rsidRPr="0092785C">
        <w:t>Ce</w:t>
      </w:r>
      <w:proofErr w:type="spellEnd"/>
      <w:r w:rsidRPr="0092785C">
        <w:t xml:space="preserve"> </w:t>
      </w:r>
      <w:proofErr w:type="spellStart"/>
      <w:r w:rsidRPr="0092785C">
        <w:t>paragraphe</w:t>
      </w:r>
      <w:proofErr w:type="spellEnd"/>
      <w:r w:rsidRPr="0092785C">
        <w:t xml:space="preserve"> </w:t>
      </w:r>
      <w:proofErr w:type="spellStart"/>
      <w:r w:rsidRPr="0092785C">
        <w:t>prévoit</w:t>
      </w:r>
      <w:proofErr w:type="spellEnd"/>
      <w:r w:rsidRPr="0092785C">
        <w:t xml:space="preserve"> </w:t>
      </w:r>
      <w:proofErr w:type="spellStart"/>
      <w:r w:rsidRPr="0092785C">
        <w:t>ce</w:t>
      </w:r>
      <w:proofErr w:type="spellEnd"/>
      <w:r w:rsidRPr="0092785C">
        <w:t xml:space="preserve"> qui suit :</w:t>
      </w:r>
    </w:p>
    <w:p w:rsidR="00DC4439" w:rsidRPr="0092785C" w:rsidRDefault="00DC4439" w:rsidP="00A25648">
      <w:pPr>
        <w:pStyle w:val="Citation1"/>
        <w:spacing w:after="240"/>
        <w:ind w:firstLine="274"/>
        <w:contextualSpacing w:val="0"/>
      </w:pPr>
      <w:r w:rsidRPr="0092785C">
        <w:rPr>
          <w:b/>
        </w:rPr>
        <w:t>435.</w:t>
      </w:r>
      <w:r w:rsidRPr="0092785C">
        <w:t> </w:t>
      </w:r>
      <w:r w:rsidR="00A25648">
        <w:t xml:space="preserve"> </w:t>
      </w:r>
      <w:r w:rsidRPr="0092785C">
        <w:t>. . .</w:t>
      </w:r>
    </w:p>
    <w:p w:rsidR="00DC4439" w:rsidRPr="0092785C" w:rsidRDefault="00DC4439" w:rsidP="00DC4439">
      <w:pPr>
        <w:pStyle w:val="Citation1"/>
        <w:spacing w:after="240"/>
        <w:contextualSpacing w:val="0"/>
      </w:pPr>
      <w:r w:rsidRPr="0092785C">
        <w:tab/>
        <w:t>(2)</w:t>
      </w:r>
      <w:r w:rsidR="00A25648">
        <w:tab/>
      </w:r>
      <w:r w:rsidRPr="0092785C">
        <w:t xml:space="preserve">Tout récépissé </w:t>
      </w:r>
      <w:r w:rsidR="00072021">
        <w:t xml:space="preserve">d’entrepôt </w:t>
      </w:r>
      <w:r w:rsidRPr="0092785C">
        <w:t>ou connaissement confère à la banque qui l</w:t>
      </w:r>
      <w:r w:rsidR="00BA1CC2">
        <w:t>’</w:t>
      </w:r>
      <w:r w:rsidRPr="0092785C">
        <w:t>a acquis, en vertu du paragraphe (1), à compter de la date de l</w:t>
      </w:r>
      <w:r w:rsidR="00BA1CC2">
        <w:t>’</w:t>
      </w:r>
      <w:r w:rsidRPr="0092785C">
        <w:t>acquisition</w:t>
      </w:r>
      <w:r w:rsidR="00CB3972">
        <w:t xml:space="preserve"> </w:t>
      </w:r>
      <w:r w:rsidRPr="0092785C">
        <w:t xml:space="preserve">: </w:t>
      </w:r>
    </w:p>
    <w:p w:rsidR="00DC4439" w:rsidRPr="0092785C" w:rsidRDefault="00DC4439" w:rsidP="00DC4439">
      <w:pPr>
        <w:pStyle w:val="Citation1"/>
        <w:spacing w:after="240"/>
        <w:ind w:left="1440"/>
        <w:contextualSpacing w:val="0"/>
      </w:pPr>
      <w:r w:rsidRPr="0092785C">
        <w:rPr>
          <w:i/>
        </w:rPr>
        <w:t>a</w:t>
      </w:r>
      <w:r w:rsidRPr="0092785C">
        <w:t>)</w:t>
      </w:r>
      <w:r w:rsidR="00A25648">
        <w:tab/>
      </w:r>
      <w:r w:rsidRPr="0092785C">
        <w:rPr>
          <w:u w:val="single"/>
        </w:rPr>
        <w:t>les droit et titre de propriété que le précédent détenteur ou propriétaire avait sur le récépissé d</w:t>
      </w:r>
      <w:r w:rsidR="00BA1CC2">
        <w:rPr>
          <w:u w:val="single"/>
        </w:rPr>
        <w:t>’</w:t>
      </w:r>
      <w:r w:rsidRPr="0092785C">
        <w:rPr>
          <w:u w:val="single"/>
        </w:rPr>
        <w:t>entrepôt ou le connaissement et sur des effets, denrées ou marchandises qu</w:t>
      </w:r>
      <w:r w:rsidR="00BA1CC2">
        <w:rPr>
          <w:u w:val="single"/>
        </w:rPr>
        <w:t>’</w:t>
      </w:r>
      <w:r w:rsidRPr="0092785C">
        <w:rPr>
          <w:u w:val="single"/>
        </w:rPr>
        <w:t>il vise</w:t>
      </w:r>
      <w:r w:rsidRPr="0092785C">
        <w:t>;</w:t>
      </w:r>
    </w:p>
    <w:p w:rsidR="00DC4439" w:rsidRPr="0092785C" w:rsidRDefault="00DC4439" w:rsidP="00DC4439">
      <w:pPr>
        <w:pStyle w:val="Citation1"/>
        <w:ind w:left="1440"/>
      </w:pPr>
      <w:r w:rsidRPr="0092785C">
        <w:rPr>
          <w:i/>
        </w:rPr>
        <w:t>b</w:t>
      </w:r>
      <w:r w:rsidR="00A25648">
        <w:t>)</w:t>
      </w:r>
      <w:r w:rsidR="00A25648">
        <w:tab/>
      </w:r>
      <w:r w:rsidRPr="0092785C">
        <w:t>les droit et titre qu</w:t>
      </w:r>
      <w:r w:rsidR="00BA1CC2">
        <w:t>’</w:t>
      </w:r>
      <w:r w:rsidRPr="0092785C">
        <w:t>avait la personne, qui les a cédés à la banque, sur les effets, denrées ou marchandises qui y sont mentionnés, si le récépissé d</w:t>
      </w:r>
      <w:r w:rsidR="00BA1CC2">
        <w:t>’</w:t>
      </w:r>
      <w:r w:rsidRPr="0092785C">
        <w:t>entrepôt ou le connaissement est fait directement en faveur de la banque, au lieu de l</w:t>
      </w:r>
      <w:r w:rsidR="00BA1CC2">
        <w:t>’</w:t>
      </w:r>
      <w:r w:rsidRPr="0092785C">
        <w:t>être en faveur de leur précédent détenteur ou propriétaire.</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La nature précise des droits et pouvoirs conférés à la banque en application des dispositions précitées a fait l</w:t>
      </w:r>
      <w:r w:rsidR="00BA1CC2">
        <w:rPr>
          <w:lang w:val="fr-CA"/>
        </w:rPr>
        <w:t>’</w:t>
      </w:r>
      <w:r w:rsidRPr="0092785C">
        <w:rPr>
          <w:lang w:val="fr-CA"/>
        </w:rPr>
        <w:t xml:space="preserve">objet de certaines discussions, qui ont été réglées par la Cour dans </w:t>
      </w:r>
      <w:r w:rsidRPr="0092785C">
        <w:rPr>
          <w:i/>
          <w:lang w:val="fr-CA"/>
        </w:rPr>
        <w:t>Hall</w:t>
      </w:r>
      <w:r w:rsidRPr="0092785C">
        <w:rPr>
          <w:lang w:val="fr-CA"/>
        </w:rPr>
        <w:t>.  Le juge La</w:t>
      </w:r>
      <w:r w:rsidR="00072021">
        <w:rPr>
          <w:lang w:val="fr-CA"/>
        </w:rPr>
        <w:t> </w:t>
      </w:r>
      <w:r w:rsidRPr="0092785C">
        <w:rPr>
          <w:lang w:val="fr-CA"/>
        </w:rPr>
        <w:t>Forest, s</w:t>
      </w:r>
      <w:r w:rsidR="00BA1CC2">
        <w:rPr>
          <w:lang w:val="fr-CA"/>
        </w:rPr>
        <w:t>’</w:t>
      </w:r>
      <w:r w:rsidRPr="0092785C">
        <w:rPr>
          <w:lang w:val="fr-CA"/>
        </w:rPr>
        <w:t>exprimant au nom de la Cour, a décrit ainsi l</w:t>
      </w:r>
      <w:r w:rsidR="00BA1CC2">
        <w:rPr>
          <w:lang w:val="fr-CA"/>
        </w:rPr>
        <w:t>’</w:t>
      </w:r>
      <w:r w:rsidRPr="0092785C">
        <w:rPr>
          <w:lang w:val="fr-CA"/>
        </w:rPr>
        <w:t>effet conjugué de ces dispositions :</w:t>
      </w:r>
    </w:p>
    <w:p w:rsidR="00DC4439" w:rsidRDefault="00DC4439" w:rsidP="00DC4439">
      <w:pPr>
        <w:pStyle w:val="Citation1"/>
        <w:spacing w:after="0"/>
        <w:ind w:firstLine="274"/>
        <w:contextualSpacing w:val="0"/>
        <w:rPr>
          <w:spacing w:val="3"/>
        </w:rPr>
      </w:pPr>
      <w:r w:rsidRPr="0092785C">
        <w:t>La nature des droits conférés à la banque par la remise du document accordant la sûreté a fait l</w:t>
      </w:r>
      <w:r w:rsidR="00BA1CC2">
        <w:t>’</w:t>
      </w:r>
      <w:r w:rsidRPr="0092785C">
        <w:t>objet de certaines discussions</w:t>
      </w:r>
      <w:r w:rsidR="00A25648">
        <w:t>.</w:t>
      </w:r>
      <w:r w:rsidRPr="0092785C">
        <w:t xml:space="preserve"> [. . .]  J</w:t>
      </w:r>
      <w:r w:rsidR="00BA1CC2">
        <w:t>’</w:t>
      </w:r>
      <w:r w:rsidRPr="0092785C">
        <w:t xml:space="preserve">estime que la description la plus précise de cette sûreté est celle que donne le professeur </w:t>
      </w:r>
      <w:proofErr w:type="spellStart"/>
      <w:r w:rsidRPr="0092785C">
        <w:t>Moull</w:t>
      </w:r>
      <w:proofErr w:type="spellEnd"/>
      <w:r w:rsidRPr="0092785C">
        <w:t xml:space="preserve"> dans son article intitulé « Security Under Sections 177 </w:t>
      </w:r>
      <w:r w:rsidRPr="0092785C">
        <w:lastRenderedPageBreak/>
        <w:t xml:space="preserve">and 178 of the Bank </w:t>
      </w:r>
      <w:proofErr w:type="spellStart"/>
      <w:r w:rsidRPr="0092785C">
        <w:t>Act</w:t>
      </w:r>
      <w:proofErr w:type="spellEnd"/>
      <w:r w:rsidRPr="0092785C">
        <w:t xml:space="preserve"> » (1986), 65 </w:t>
      </w:r>
      <w:r w:rsidRPr="0092785C">
        <w:rPr>
          <w:i/>
        </w:rPr>
        <w:t xml:space="preserve">R. du B. </w:t>
      </w:r>
      <w:proofErr w:type="spellStart"/>
      <w:r w:rsidRPr="0092785C">
        <w:rPr>
          <w:i/>
        </w:rPr>
        <w:t>can</w:t>
      </w:r>
      <w:proofErr w:type="spellEnd"/>
      <w:r w:rsidRPr="0092785C">
        <w:rPr>
          <w:i/>
        </w:rPr>
        <w:t>.</w:t>
      </w:r>
      <w:r w:rsidRPr="0092785C">
        <w:t xml:space="preserve"> 242, à la p. 251.  Le professeur </w:t>
      </w:r>
      <w:proofErr w:type="spellStart"/>
      <w:r w:rsidRPr="0092785C">
        <w:t>Moull</w:t>
      </w:r>
      <w:proofErr w:type="spellEnd"/>
      <w:r w:rsidRPr="0092785C">
        <w:t xml:space="preserve"> souligne, à juste titre à mon avis, que </w:t>
      </w:r>
      <w:r w:rsidRPr="0092785C">
        <w:rPr>
          <w:u w:val="single"/>
        </w:rPr>
        <w:t>l</w:t>
      </w:r>
      <w:r w:rsidR="00BA1CC2">
        <w:rPr>
          <w:u w:val="single"/>
        </w:rPr>
        <w:t>’</w:t>
      </w:r>
      <w:r w:rsidRPr="0092785C">
        <w:rPr>
          <w:u w:val="single"/>
        </w:rPr>
        <w:t>effet de la sûreté est de conférer à la banque le titre de propriété sur le bien en question lorsque la sûreté est [consentie]</w:t>
      </w:r>
      <w:r w:rsidRPr="0092785C">
        <w:t xml:space="preserve">.  </w:t>
      </w:r>
      <w:r w:rsidRPr="0092785C">
        <w:rPr>
          <w:spacing w:val="3"/>
        </w:rPr>
        <w:t>[Je souligne; p. 133-134.]</w:t>
      </w:r>
    </w:p>
    <w:p w:rsidR="00DC4439" w:rsidRPr="0092785C" w:rsidRDefault="00DC4439" w:rsidP="00DE514D">
      <w:pPr>
        <w:pStyle w:val="Citation1"/>
        <w:spacing w:after="0" w:line="480" w:lineRule="auto"/>
        <w:ind w:left="0"/>
        <w:contextualSpacing w:val="0"/>
      </w:pPr>
    </w:p>
    <w:p w:rsidR="00DC4439" w:rsidRDefault="00DC4439" w:rsidP="00DE514D">
      <w:pPr>
        <w:pStyle w:val="Citation1"/>
        <w:spacing w:after="0" w:line="480" w:lineRule="auto"/>
        <w:ind w:left="0"/>
        <w:contextualSpacing w:val="0"/>
      </w:pPr>
      <w:r w:rsidRPr="0092785C">
        <w:t>Le juge La Forest a fait sienne l</w:t>
      </w:r>
      <w:r w:rsidR="00BA1CC2">
        <w:t>’</w:t>
      </w:r>
      <w:r w:rsidRPr="0092785C">
        <w:t xml:space="preserve">explication qui suit, offerte par le professeur </w:t>
      </w:r>
      <w:proofErr w:type="spellStart"/>
      <w:r w:rsidRPr="0092785C">
        <w:t>Moull</w:t>
      </w:r>
      <w:proofErr w:type="spellEnd"/>
      <w:r w:rsidRPr="0092785C">
        <w:t> :</w:t>
      </w:r>
    </w:p>
    <w:p w:rsidR="00DE514D" w:rsidRPr="0092785C" w:rsidRDefault="00DE514D" w:rsidP="00DE514D">
      <w:pPr>
        <w:pStyle w:val="Citation1"/>
        <w:spacing w:after="0"/>
        <w:ind w:left="0"/>
        <w:contextualSpacing w:val="0"/>
      </w:pPr>
    </w:p>
    <w:p w:rsidR="00DC4439" w:rsidRPr="0092785C" w:rsidRDefault="00DC4439" w:rsidP="00DE514D">
      <w:pPr>
        <w:pStyle w:val="Citation1"/>
        <w:ind w:left="1440" w:firstLine="720"/>
        <w:rPr>
          <w:spacing w:val="3"/>
        </w:rPr>
      </w:pPr>
      <w:r w:rsidRPr="0092785C">
        <w:rPr>
          <w:spacing w:val="3"/>
        </w:rPr>
        <w:t>[</w:t>
      </w:r>
      <w:r w:rsidRPr="0092785C">
        <w:rPr>
          <w:smallCaps/>
          <w:spacing w:val="3"/>
        </w:rPr>
        <w:t>traduction</w:t>
      </w:r>
      <w:r w:rsidRPr="0092785C">
        <w:rPr>
          <w:spacing w:val="3"/>
        </w:rPr>
        <w:t xml:space="preserve">]  Il en </w:t>
      </w:r>
      <w:r w:rsidRPr="0092785C">
        <w:t>résulte</w:t>
      </w:r>
      <w:r w:rsidRPr="0092785C">
        <w:rPr>
          <w:spacing w:val="3"/>
        </w:rPr>
        <w:t xml:space="preserve"> donc que </w:t>
      </w:r>
      <w:r w:rsidRPr="0092785C">
        <w:rPr>
          <w:spacing w:val="3"/>
          <w:u w:val="single"/>
        </w:rPr>
        <w:t>la banque qui prend une sûreté en vertu de l</w:t>
      </w:r>
      <w:r w:rsidR="00BA1CC2">
        <w:rPr>
          <w:spacing w:val="3"/>
          <w:u w:val="single"/>
        </w:rPr>
        <w:t>’</w:t>
      </w:r>
      <w:r w:rsidRPr="0092785C">
        <w:rPr>
          <w:spacing w:val="3"/>
          <w:u w:val="single"/>
        </w:rPr>
        <w:t xml:space="preserve">art. 178 acquiert effectivement le titre en </w:t>
      </w:r>
      <w:proofErr w:type="spellStart"/>
      <w:r w:rsidRPr="0092785C">
        <w:rPr>
          <w:spacing w:val="3"/>
          <w:u w:val="single"/>
        </w:rPr>
        <w:t>common</w:t>
      </w:r>
      <w:proofErr w:type="spellEnd"/>
      <w:r w:rsidRPr="0092785C">
        <w:rPr>
          <w:spacing w:val="3"/>
          <w:u w:val="single"/>
        </w:rPr>
        <w:t xml:space="preserve"> </w:t>
      </w:r>
      <w:proofErr w:type="spellStart"/>
      <w:r w:rsidRPr="0092785C">
        <w:rPr>
          <w:spacing w:val="3"/>
          <w:u w:val="single"/>
        </w:rPr>
        <w:t>law</w:t>
      </w:r>
      <w:proofErr w:type="spellEnd"/>
      <w:r w:rsidRPr="0092785C">
        <w:rPr>
          <w:spacing w:val="3"/>
          <w:u w:val="single"/>
        </w:rPr>
        <w:t xml:space="preserve"> sur l</w:t>
      </w:r>
      <w:r w:rsidR="00BA1CC2">
        <w:rPr>
          <w:spacing w:val="3"/>
          <w:u w:val="single"/>
        </w:rPr>
        <w:t>’</w:t>
      </w:r>
      <w:r w:rsidRPr="0092785C">
        <w:rPr>
          <w:spacing w:val="3"/>
          <w:u w:val="single"/>
        </w:rPr>
        <w:t>intérêt de l</w:t>
      </w:r>
      <w:r w:rsidR="00BA1CC2">
        <w:rPr>
          <w:spacing w:val="3"/>
          <w:u w:val="single"/>
        </w:rPr>
        <w:t>’</w:t>
      </w:r>
      <w:r w:rsidRPr="0092785C">
        <w:rPr>
          <w:spacing w:val="3"/>
          <w:u w:val="single"/>
        </w:rPr>
        <w:t>emprunteur dans les biens présents et à venir offerts en garantie</w:t>
      </w:r>
      <w:r w:rsidRPr="0092785C">
        <w:rPr>
          <w:spacing w:val="3"/>
        </w:rPr>
        <w:t>.  Le droit de la banque grève ces biens dès que la sûreté est consentie ou dès que l</w:t>
      </w:r>
      <w:r w:rsidR="00BA1CC2">
        <w:rPr>
          <w:spacing w:val="3"/>
        </w:rPr>
        <w:t>’</w:t>
      </w:r>
      <w:r w:rsidRPr="0092785C">
        <w:rPr>
          <w:spacing w:val="3"/>
        </w:rPr>
        <w:t>emprunteur les acquiert et les biens demeurent grevés jusqu</w:t>
      </w:r>
      <w:r w:rsidR="00BA1CC2">
        <w:rPr>
          <w:spacing w:val="3"/>
        </w:rPr>
        <w:t>’</w:t>
      </w:r>
      <w:r w:rsidRPr="0092785C">
        <w:rPr>
          <w:spacing w:val="3"/>
        </w:rPr>
        <w:t>à ce que la banque accorde mainlevée, sans égard aux changements survenus dans leurs attributs ou leurs éléments.  L</w:t>
      </w:r>
      <w:r w:rsidR="00BA1CC2">
        <w:rPr>
          <w:spacing w:val="3"/>
        </w:rPr>
        <w:t>’</w:t>
      </w:r>
      <w:r w:rsidRPr="0092785C">
        <w:rPr>
          <w:spacing w:val="3"/>
        </w:rPr>
        <w:t xml:space="preserve">emprunteur conserve évidemment un droit de rachat en </w:t>
      </w:r>
      <w:proofErr w:type="spellStart"/>
      <w:r w:rsidRPr="0092785C">
        <w:rPr>
          <w:spacing w:val="3"/>
        </w:rPr>
        <w:t>equity</w:t>
      </w:r>
      <w:proofErr w:type="spellEnd"/>
      <w:r w:rsidRPr="0092785C">
        <w:rPr>
          <w:spacing w:val="3"/>
        </w:rPr>
        <w:t xml:space="preserve">, mais </w:t>
      </w:r>
      <w:r w:rsidRPr="0092785C">
        <w:rPr>
          <w:spacing w:val="3"/>
          <w:u w:val="single"/>
        </w:rPr>
        <w:t xml:space="preserve">la banque acquiert effectivement le titre en </w:t>
      </w:r>
      <w:proofErr w:type="spellStart"/>
      <w:r w:rsidRPr="0092785C">
        <w:rPr>
          <w:spacing w:val="3"/>
          <w:u w:val="single"/>
        </w:rPr>
        <w:t>common</w:t>
      </w:r>
      <w:proofErr w:type="spellEnd"/>
      <w:r w:rsidRPr="0092785C">
        <w:rPr>
          <w:spacing w:val="3"/>
          <w:u w:val="single"/>
        </w:rPr>
        <w:t xml:space="preserve"> </w:t>
      </w:r>
      <w:proofErr w:type="spellStart"/>
      <w:r w:rsidRPr="0092785C">
        <w:rPr>
          <w:spacing w:val="3"/>
          <w:u w:val="single"/>
        </w:rPr>
        <w:t>law</w:t>
      </w:r>
      <w:proofErr w:type="spellEnd"/>
      <w:r w:rsidRPr="0092785C">
        <w:rPr>
          <w:spacing w:val="3"/>
          <w:u w:val="single"/>
        </w:rPr>
        <w:t xml:space="preserve"> sur tous les droits que l</w:t>
      </w:r>
      <w:r w:rsidR="00BA1CC2">
        <w:rPr>
          <w:spacing w:val="3"/>
          <w:u w:val="single"/>
        </w:rPr>
        <w:t>’</w:t>
      </w:r>
      <w:r w:rsidRPr="0092785C">
        <w:rPr>
          <w:spacing w:val="3"/>
          <w:u w:val="single"/>
        </w:rPr>
        <w:t>emprunteur détient, à un moment ou à un autre, sur les biens offerts en garantie</w:t>
      </w:r>
      <w:r w:rsidRPr="0092785C">
        <w:rPr>
          <w:spacing w:val="3"/>
        </w:rPr>
        <w:t>.  [Je souligne; p. 251</w:t>
      </w:r>
      <w:r w:rsidR="00DE514D">
        <w:rPr>
          <w:spacing w:val="3"/>
        </w:rPr>
        <w:t>.</w:t>
      </w:r>
      <w:r w:rsidRPr="0092785C">
        <w:rPr>
          <w:spacing w:val="3"/>
        </w:rPr>
        <w:t>]</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Dans le présent appel, le débiteur était propriétaire des biens visés au moment où il a consenti la garantie à la Banque, et il ne fait aucun doute que la Banque a acquis l</w:t>
      </w:r>
      <w:r w:rsidR="00BA1CC2">
        <w:rPr>
          <w:lang w:val="fr-CA"/>
        </w:rPr>
        <w:t>’</w:t>
      </w:r>
      <w:r w:rsidRPr="0092785C">
        <w:rPr>
          <w:lang w:val="fr-CA"/>
        </w:rPr>
        <w:t>intérêt du débiteur sur les biens et que cet intérêt lui a été conféré à la conclusion du contrat de sûreté.  J</w:t>
      </w:r>
      <w:r w:rsidR="00BA1CC2">
        <w:rPr>
          <w:lang w:val="fr-CA"/>
        </w:rPr>
        <w:t>’</w:t>
      </w:r>
      <w:r w:rsidRPr="0092785C">
        <w:rPr>
          <w:lang w:val="fr-CA"/>
        </w:rPr>
        <w:t>analyse, dans l</w:t>
      </w:r>
      <w:r w:rsidR="00BA1CC2">
        <w:rPr>
          <w:lang w:val="fr-CA"/>
        </w:rPr>
        <w:t>’</w:t>
      </w:r>
      <w:r w:rsidRPr="0092785C">
        <w:rPr>
          <w:lang w:val="fr-CA"/>
        </w:rPr>
        <w:t>arrêt connexe, la nature de l</w:t>
      </w:r>
      <w:r w:rsidR="00BA1CC2">
        <w:rPr>
          <w:lang w:val="fr-CA"/>
        </w:rPr>
        <w:t>’</w:t>
      </w:r>
      <w:r w:rsidRPr="0092785C">
        <w:rPr>
          <w:lang w:val="fr-CA"/>
        </w:rPr>
        <w:t>intérêt qui est dévolu à la banque lorsque le document qui lui est remis lui accorde une garantie sur des biens à venir.</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Comme la Banque a effectivement acquis le titre en </w:t>
      </w:r>
      <w:proofErr w:type="spellStart"/>
      <w:r w:rsidRPr="0092785C">
        <w:rPr>
          <w:lang w:val="fr-CA"/>
        </w:rPr>
        <w:t>common</w:t>
      </w:r>
      <w:proofErr w:type="spellEnd"/>
      <w:r w:rsidRPr="0092785C">
        <w:rPr>
          <w:lang w:val="fr-CA"/>
        </w:rPr>
        <w:t xml:space="preserve"> </w:t>
      </w:r>
      <w:proofErr w:type="spellStart"/>
      <w:r w:rsidRPr="0092785C">
        <w:rPr>
          <w:lang w:val="fr-CA"/>
        </w:rPr>
        <w:t>law</w:t>
      </w:r>
      <w:proofErr w:type="spellEnd"/>
      <w:r w:rsidRPr="0092785C">
        <w:rPr>
          <w:lang w:val="fr-CA"/>
        </w:rPr>
        <w:t xml:space="preserve"> sur les droits du débiteur dans les biens affectés à la garantie, il faut établir la nature de l</w:t>
      </w:r>
      <w:r w:rsidR="00BA1CC2">
        <w:rPr>
          <w:lang w:val="fr-CA"/>
        </w:rPr>
        <w:t>’</w:t>
      </w:r>
      <w:r w:rsidRPr="0092785C">
        <w:rPr>
          <w:lang w:val="fr-CA"/>
        </w:rPr>
        <w:t xml:space="preserve">intérêt </w:t>
      </w:r>
      <w:proofErr w:type="spellStart"/>
      <w:r w:rsidRPr="0092785C">
        <w:rPr>
          <w:lang w:val="fr-CA"/>
        </w:rPr>
        <w:t>propriétal</w:t>
      </w:r>
      <w:proofErr w:type="spellEnd"/>
      <w:r w:rsidRPr="0092785C">
        <w:rPr>
          <w:lang w:val="fr-CA"/>
        </w:rPr>
        <w:t xml:space="preserve"> que détenait le débiteur dans les biens lorsque la Banque a pris sa garantie en vertu de l</w:t>
      </w:r>
      <w:r w:rsidR="00BA1CC2">
        <w:rPr>
          <w:lang w:val="fr-CA"/>
        </w:rPr>
        <w:t>’</w:t>
      </w:r>
      <w:r w:rsidRPr="0092785C">
        <w:rPr>
          <w:lang w:val="fr-CA"/>
        </w:rPr>
        <w:t>art. 427.  M. </w:t>
      </w:r>
      <w:proofErr w:type="spellStart"/>
      <w:r w:rsidRPr="0092785C">
        <w:rPr>
          <w:lang w:val="fr-CA"/>
        </w:rPr>
        <w:t>Buist</w:t>
      </w:r>
      <w:proofErr w:type="spellEnd"/>
      <w:r w:rsidRPr="0092785C">
        <w:rPr>
          <w:lang w:val="fr-CA"/>
        </w:rPr>
        <w:t xml:space="preserve"> était propriétaire des biens, mais il avait déjà </w:t>
      </w:r>
      <w:r w:rsidRPr="0092785C">
        <w:rPr>
          <w:lang w:val="fr-CA"/>
        </w:rPr>
        <w:lastRenderedPageBreak/>
        <w:t xml:space="preserve">consenti à la Coopérative de crédit une sûreté régie par la </w:t>
      </w:r>
      <w:r w:rsidRPr="00DE514D">
        <w:rPr>
          <w:i/>
          <w:lang w:val="fr-CA"/>
        </w:rPr>
        <w:t>PPSA</w:t>
      </w:r>
      <w:r w:rsidRPr="0092785C">
        <w:rPr>
          <w:lang w:val="fr-CA"/>
        </w:rPr>
        <w:t xml:space="preserve"> sur les biens en question.  Il ne pouvait pas conférer à la Banque un intérêt supérieur à celui qu</w:t>
      </w:r>
      <w:r w:rsidR="00BA1CC2">
        <w:rPr>
          <w:lang w:val="fr-CA"/>
        </w:rPr>
        <w:t>’</w:t>
      </w:r>
      <w:r w:rsidRPr="0092785C">
        <w:rPr>
          <w:lang w:val="fr-CA"/>
        </w:rPr>
        <w:t>il conservait lui-même dans le bien.  Il faut donc déterminer quelle est la nature du droit que M. </w:t>
      </w:r>
      <w:proofErr w:type="spellStart"/>
      <w:r w:rsidRPr="0092785C">
        <w:rPr>
          <w:lang w:val="fr-CA"/>
        </w:rPr>
        <w:t>Buist</w:t>
      </w:r>
      <w:proofErr w:type="spellEnd"/>
      <w:r w:rsidRPr="0092785C">
        <w:rPr>
          <w:lang w:val="fr-CA"/>
        </w:rPr>
        <w:t xml:space="preserve"> avait déjà conféré à la Coopérative de crédit en application de la </w:t>
      </w:r>
      <w:r w:rsidR="00DE514D" w:rsidRPr="00DE514D">
        <w:rPr>
          <w:i/>
          <w:lang w:val="fr-CA"/>
        </w:rPr>
        <w:t>PPSA</w:t>
      </w:r>
      <w:r w:rsidRPr="0092785C">
        <w:rPr>
          <w:lang w:val="fr-CA"/>
        </w:rPr>
        <w:t>.</w:t>
      </w:r>
    </w:p>
    <w:p w:rsidR="00DC4439" w:rsidRPr="0092785C" w:rsidRDefault="00DC4439" w:rsidP="00DE514D">
      <w:pPr>
        <w:pStyle w:val="ListParagraph"/>
        <w:keepNext/>
        <w:tabs>
          <w:tab w:val="left" w:pos="540"/>
          <w:tab w:val="left" w:pos="1152"/>
        </w:tabs>
        <w:spacing w:after="480" w:line="480" w:lineRule="auto"/>
        <w:ind w:left="0"/>
        <w:jc w:val="both"/>
        <w:rPr>
          <w:spacing w:val="3"/>
          <w:lang w:val="fr-CA"/>
        </w:rPr>
      </w:pPr>
      <w:r w:rsidRPr="0092785C">
        <w:rPr>
          <w:spacing w:val="3"/>
          <w:lang w:val="fr-CA"/>
        </w:rPr>
        <w:t>4.2</w:t>
      </w:r>
      <w:r w:rsidR="00DE514D">
        <w:rPr>
          <w:spacing w:val="3"/>
          <w:lang w:val="fr-CA"/>
        </w:rPr>
        <w:tab/>
      </w:r>
      <w:r w:rsidRPr="0092785C">
        <w:rPr>
          <w:i/>
          <w:spacing w:val="3"/>
          <w:lang w:val="fr-CA"/>
        </w:rPr>
        <w:t>La nature de la sûreté relevant de la PPSA</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Aucune disposition de la </w:t>
      </w:r>
      <w:r w:rsidR="00DE514D" w:rsidRPr="00DE514D">
        <w:rPr>
          <w:i/>
          <w:lang w:val="fr-CA"/>
        </w:rPr>
        <w:t>PPSA</w:t>
      </w:r>
      <w:r w:rsidRPr="0092785C">
        <w:rPr>
          <w:lang w:val="fr-CA"/>
        </w:rPr>
        <w:t xml:space="preserve"> ne précise la nature d</w:t>
      </w:r>
      <w:r w:rsidR="00BA1CC2">
        <w:rPr>
          <w:lang w:val="fr-CA"/>
        </w:rPr>
        <w:t>’</w:t>
      </w:r>
      <w:r w:rsidRPr="0092785C">
        <w:rPr>
          <w:lang w:val="fr-CA"/>
        </w:rPr>
        <w:t>une sûreté créée au titre de cette loi sous l</w:t>
      </w:r>
      <w:r w:rsidR="00BA1CC2">
        <w:rPr>
          <w:lang w:val="fr-CA"/>
        </w:rPr>
        <w:t>’</w:t>
      </w:r>
      <w:r w:rsidRPr="0092785C">
        <w:rPr>
          <w:lang w:val="fr-CA"/>
        </w:rPr>
        <w:t>angle de la propriété.  Il en est ainsi parce que, comme je l</w:t>
      </w:r>
      <w:r w:rsidR="00BA1CC2">
        <w:rPr>
          <w:lang w:val="fr-CA"/>
        </w:rPr>
        <w:t>’</w:t>
      </w:r>
      <w:r w:rsidRPr="0092785C">
        <w:rPr>
          <w:lang w:val="fr-CA"/>
        </w:rPr>
        <w:t xml:space="preserve">ai déjà signalé, la </w:t>
      </w:r>
      <w:r w:rsidR="00DE514D" w:rsidRPr="00DE514D">
        <w:rPr>
          <w:i/>
          <w:lang w:val="fr-CA"/>
        </w:rPr>
        <w:t>PPSA</w:t>
      </w:r>
      <w:r w:rsidRPr="0092785C">
        <w:rPr>
          <w:lang w:val="fr-CA"/>
        </w:rPr>
        <w:t xml:space="preserve"> règle les conflits de priorité entre des sûretés créées sous son régime au moyen d</w:t>
      </w:r>
      <w:r w:rsidR="00BA1CC2">
        <w:rPr>
          <w:lang w:val="fr-CA"/>
        </w:rPr>
        <w:t>’</w:t>
      </w:r>
      <w:r w:rsidRPr="0092785C">
        <w:rPr>
          <w:lang w:val="fr-CA"/>
        </w:rPr>
        <w:t>un ensemble détaillé de règles de priorité plutôt qu</w:t>
      </w:r>
      <w:r w:rsidR="00BA1CC2">
        <w:rPr>
          <w:lang w:val="fr-CA"/>
        </w:rPr>
        <w:t>’</w:t>
      </w:r>
      <w:r w:rsidRPr="0092785C">
        <w:rPr>
          <w:lang w:val="fr-CA"/>
        </w:rPr>
        <w:t>en fonction du titre ou de la forme d</w:t>
      </w:r>
      <w:r w:rsidR="00BA1CC2">
        <w:rPr>
          <w:lang w:val="fr-CA"/>
        </w:rPr>
        <w:t>’</w:t>
      </w:r>
      <w:r w:rsidRPr="0092785C">
        <w:rPr>
          <w:lang w:val="fr-CA"/>
        </w:rPr>
        <w:t xml:space="preserve">une opération.  Cependant, puisque les dispositions internes de la </w:t>
      </w:r>
      <w:r w:rsidR="00DE514D" w:rsidRPr="00DE514D">
        <w:rPr>
          <w:i/>
          <w:lang w:val="fr-CA"/>
        </w:rPr>
        <w:t>PPSA</w:t>
      </w:r>
      <w:r w:rsidRPr="0092785C">
        <w:rPr>
          <w:lang w:val="fr-CA"/>
        </w:rPr>
        <w:t xml:space="preserve"> ne s</w:t>
      </w:r>
      <w:r w:rsidR="00BA1CC2">
        <w:rPr>
          <w:lang w:val="fr-CA"/>
        </w:rPr>
        <w:t>’</w:t>
      </w:r>
      <w:r w:rsidRPr="0092785C">
        <w:rPr>
          <w:lang w:val="fr-CA"/>
        </w:rPr>
        <w:t xml:space="preserve">appliquent pas à une garantie relevant de la </w:t>
      </w:r>
      <w:r w:rsidRPr="00DE514D">
        <w:rPr>
          <w:i/>
          <w:lang w:val="fr-CA"/>
        </w:rPr>
        <w:t>LB</w:t>
      </w:r>
      <w:r w:rsidRPr="0092785C">
        <w:rPr>
          <w:lang w:val="fr-CA"/>
        </w:rPr>
        <w:t xml:space="preserve">, et que le régime de garantie établi par la </w:t>
      </w:r>
      <w:r w:rsidRPr="00DE514D">
        <w:rPr>
          <w:i/>
          <w:lang w:val="fr-CA"/>
        </w:rPr>
        <w:t>LB</w:t>
      </w:r>
      <w:r w:rsidRPr="0092785C">
        <w:rPr>
          <w:i/>
          <w:lang w:val="fr-CA"/>
        </w:rPr>
        <w:t xml:space="preserve"> </w:t>
      </w:r>
      <w:r w:rsidRPr="0092785C">
        <w:rPr>
          <w:lang w:val="fr-CA"/>
        </w:rPr>
        <w:t xml:space="preserve">est axé sur la propriété, il faut considérer la sûreté régie par la </w:t>
      </w:r>
      <w:r w:rsidR="00DE514D" w:rsidRPr="00DE514D">
        <w:rPr>
          <w:i/>
          <w:lang w:val="fr-CA"/>
        </w:rPr>
        <w:t>PPSA</w:t>
      </w:r>
      <w:r w:rsidRPr="0092785C">
        <w:rPr>
          <w:lang w:val="fr-CA"/>
        </w:rPr>
        <w:t xml:space="preserve"> sous l</w:t>
      </w:r>
      <w:r w:rsidR="00BA1CC2">
        <w:rPr>
          <w:lang w:val="fr-CA"/>
        </w:rPr>
        <w:t>’</w:t>
      </w:r>
      <w:r w:rsidRPr="0092785C">
        <w:rPr>
          <w:lang w:val="fr-CA"/>
        </w:rPr>
        <w:t>angle de la propriété pour trancher le conflit de priorité en l</w:t>
      </w:r>
      <w:r w:rsidR="00BA1CC2">
        <w:rPr>
          <w:lang w:val="fr-CA"/>
        </w:rPr>
        <w:t>’</w:t>
      </w:r>
      <w:r w:rsidRPr="0092785C">
        <w:rPr>
          <w:lang w:val="fr-CA"/>
        </w:rPr>
        <w:t xml:space="preserve">espèce : voir </w:t>
      </w:r>
      <w:proofErr w:type="spellStart"/>
      <w:r w:rsidRPr="0092785C">
        <w:rPr>
          <w:lang w:val="fr-CA"/>
        </w:rPr>
        <w:t>Cuming</w:t>
      </w:r>
      <w:proofErr w:type="spellEnd"/>
      <w:r w:rsidRPr="0092785C">
        <w:rPr>
          <w:lang w:val="fr-CA"/>
        </w:rPr>
        <w:t xml:space="preserve"> et Wood, p. 274.</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Deux caractéristiques de la </w:t>
      </w:r>
      <w:r w:rsidR="00DE514D" w:rsidRPr="00DE514D">
        <w:rPr>
          <w:i/>
          <w:lang w:val="fr-CA"/>
        </w:rPr>
        <w:t>PPSA</w:t>
      </w:r>
      <w:r w:rsidRPr="0092785C">
        <w:rPr>
          <w:lang w:val="fr-CA"/>
        </w:rPr>
        <w:t xml:space="preserve"> sont pertinentes en l</w:t>
      </w:r>
      <w:r w:rsidR="00BA1CC2">
        <w:rPr>
          <w:lang w:val="fr-CA"/>
        </w:rPr>
        <w:t>’</w:t>
      </w:r>
      <w:r w:rsidRPr="0092785C">
        <w:rPr>
          <w:lang w:val="fr-CA"/>
        </w:rPr>
        <w:t>espèce.  En premier lieu, il est clair qu</w:t>
      </w:r>
      <w:r w:rsidR="00BA1CC2">
        <w:rPr>
          <w:lang w:val="fr-CA"/>
        </w:rPr>
        <w:t>’</w:t>
      </w:r>
      <w:r w:rsidRPr="0092785C">
        <w:rPr>
          <w:lang w:val="fr-CA"/>
        </w:rPr>
        <w:t xml:space="preserve">une sûreté régie par la </w:t>
      </w:r>
      <w:r w:rsidR="00DE514D" w:rsidRPr="00DE514D">
        <w:rPr>
          <w:i/>
          <w:lang w:val="fr-CA"/>
        </w:rPr>
        <w:t>PPSA</w:t>
      </w:r>
      <w:r w:rsidRPr="0092785C">
        <w:rPr>
          <w:lang w:val="fr-CA"/>
        </w:rPr>
        <w:t xml:space="preserve">, tout comme une garantie régie par la </w:t>
      </w:r>
      <w:r w:rsidRPr="00DE514D">
        <w:rPr>
          <w:i/>
          <w:lang w:val="fr-CA"/>
        </w:rPr>
        <w:t>LB</w:t>
      </w:r>
      <w:r w:rsidRPr="0092785C">
        <w:rPr>
          <w:lang w:val="fr-CA"/>
        </w:rPr>
        <w:t>, est une sûreté d</w:t>
      </w:r>
      <w:r w:rsidR="00BA1CC2">
        <w:rPr>
          <w:lang w:val="fr-CA"/>
        </w:rPr>
        <w:t>’</w:t>
      </w:r>
      <w:r w:rsidRPr="0092785C">
        <w:rPr>
          <w:lang w:val="fr-CA"/>
        </w:rPr>
        <w:t xml:space="preserve">origine législative et, à ce titre, une sûreté reconnue en droit.  Bien que certaines des anciennes formes de sûreté aient eu pour effet de conférer des intérêts en </w:t>
      </w:r>
      <w:proofErr w:type="spellStart"/>
      <w:r w:rsidRPr="0092785C">
        <w:rPr>
          <w:lang w:val="fr-CA"/>
        </w:rPr>
        <w:t>equity</w:t>
      </w:r>
      <w:proofErr w:type="spellEnd"/>
      <w:r w:rsidRPr="0092785C">
        <w:rPr>
          <w:lang w:val="fr-CA"/>
        </w:rPr>
        <w:t xml:space="preserve"> plutôt que des intérêts en </w:t>
      </w:r>
      <w:proofErr w:type="spellStart"/>
      <w:r w:rsidRPr="0092785C">
        <w:rPr>
          <w:lang w:val="fr-CA"/>
        </w:rPr>
        <w:t>common</w:t>
      </w:r>
      <w:proofErr w:type="spellEnd"/>
      <w:r w:rsidRPr="0092785C">
        <w:rPr>
          <w:lang w:val="fr-CA"/>
        </w:rPr>
        <w:t xml:space="preserve"> </w:t>
      </w:r>
      <w:proofErr w:type="spellStart"/>
      <w:r w:rsidRPr="0092785C">
        <w:rPr>
          <w:lang w:val="fr-CA"/>
        </w:rPr>
        <w:t>law</w:t>
      </w:r>
      <w:proofErr w:type="spellEnd"/>
      <w:r w:rsidRPr="0092785C">
        <w:rPr>
          <w:lang w:val="fr-CA"/>
        </w:rPr>
        <w:t>, l</w:t>
      </w:r>
      <w:r w:rsidR="00BA1CC2">
        <w:rPr>
          <w:lang w:val="fr-CA"/>
        </w:rPr>
        <w:t>’</w:t>
      </w:r>
      <w:r w:rsidRPr="0092785C">
        <w:rPr>
          <w:lang w:val="fr-CA"/>
        </w:rPr>
        <w:t xml:space="preserve">approche fonctionnelle adoptée dans la </w:t>
      </w:r>
      <w:r w:rsidR="00DE514D" w:rsidRPr="00DE514D">
        <w:rPr>
          <w:i/>
          <w:lang w:val="fr-CA"/>
        </w:rPr>
        <w:t>PPSA</w:t>
      </w:r>
      <w:r w:rsidRPr="0092785C">
        <w:rPr>
          <w:lang w:val="fr-CA"/>
        </w:rPr>
        <w:t xml:space="preserve"> englobe toutes les sûretés qui existaient autrefois </w:t>
      </w:r>
      <w:r w:rsidRPr="0092785C">
        <w:rPr>
          <w:lang w:val="fr-CA"/>
        </w:rPr>
        <w:lastRenderedPageBreak/>
        <w:t xml:space="preserve">et </w:t>
      </w:r>
      <w:proofErr w:type="gramStart"/>
      <w:r w:rsidRPr="0092785C">
        <w:rPr>
          <w:lang w:val="fr-CA"/>
        </w:rPr>
        <w:t>les traite</w:t>
      </w:r>
      <w:proofErr w:type="gramEnd"/>
      <w:r w:rsidRPr="0092785C">
        <w:rPr>
          <w:lang w:val="fr-CA"/>
        </w:rPr>
        <w:t xml:space="preserve"> sur un pied d</w:t>
      </w:r>
      <w:r w:rsidR="00BA1CC2">
        <w:rPr>
          <w:lang w:val="fr-CA"/>
        </w:rPr>
        <w:t>’</w:t>
      </w:r>
      <w:r w:rsidRPr="0092785C">
        <w:rPr>
          <w:lang w:val="fr-CA"/>
        </w:rPr>
        <w:t>égalité, comme des « sûretés » au sens de cette loi.  Cette conclusion fait aussi consensus chez les auteurs de doctrine et je ne vois aucune raison de m</w:t>
      </w:r>
      <w:r w:rsidR="00BA1CC2">
        <w:rPr>
          <w:lang w:val="fr-CA"/>
        </w:rPr>
        <w:t>’</w:t>
      </w:r>
      <w:r w:rsidRPr="0092785C">
        <w:rPr>
          <w:lang w:val="fr-CA"/>
        </w:rPr>
        <w:t xml:space="preserve">en écarter : voir </w:t>
      </w:r>
      <w:proofErr w:type="spellStart"/>
      <w:r w:rsidRPr="0092785C">
        <w:rPr>
          <w:lang w:val="fr-CA"/>
        </w:rPr>
        <w:t>Cuming</w:t>
      </w:r>
      <w:proofErr w:type="spellEnd"/>
      <w:r w:rsidRPr="0092785C">
        <w:rPr>
          <w:lang w:val="fr-CA"/>
        </w:rPr>
        <w:t xml:space="preserve"> et Wood, p. 275; Poirier, p. 360.</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En deuxième lieu, il est évident qu</w:t>
      </w:r>
      <w:r w:rsidR="00BA1CC2">
        <w:rPr>
          <w:lang w:val="fr-CA"/>
        </w:rPr>
        <w:t>’</w:t>
      </w:r>
      <w:r w:rsidRPr="0092785C">
        <w:rPr>
          <w:lang w:val="fr-CA"/>
        </w:rPr>
        <w:t xml:space="preserve">une sûreté relevant de la </w:t>
      </w:r>
      <w:r w:rsidR="00DE514D" w:rsidRPr="00DE514D">
        <w:rPr>
          <w:i/>
          <w:lang w:val="fr-CA"/>
        </w:rPr>
        <w:t>PPSA</w:t>
      </w:r>
      <w:r w:rsidRPr="0092785C">
        <w:rPr>
          <w:lang w:val="fr-CA"/>
        </w:rPr>
        <w:t xml:space="preserve"> ne confère pas au créancier les droit et titre absolus sur les biens en cause.  Une sûreté de ce genre accorde plutôt au créancier un intérêt dans le bien dont la portée correspond à celle de l</w:t>
      </w:r>
      <w:r w:rsidR="00BA1CC2">
        <w:rPr>
          <w:lang w:val="fr-CA"/>
        </w:rPr>
        <w:t>’</w:t>
      </w:r>
      <w:r w:rsidRPr="0092785C">
        <w:rPr>
          <w:lang w:val="fr-CA"/>
        </w:rPr>
        <w:t>obligation du débiteur.  En cas de défaut du débiteur, le créancier garanti n</w:t>
      </w:r>
      <w:r w:rsidR="00BA1CC2">
        <w:rPr>
          <w:lang w:val="fr-CA"/>
        </w:rPr>
        <w:t>’</w:t>
      </w:r>
      <w:r w:rsidRPr="0092785C">
        <w:rPr>
          <w:lang w:val="fr-CA"/>
        </w:rPr>
        <w:t>a aucun intérêt dans le bien au-delà de l</w:t>
      </w:r>
      <w:r w:rsidR="00BA1CC2">
        <w:rPr>
          <w:lang w:val="fr-CA"/>
        </w:rPr>
        <w:t>’</w:t>
      </w:r>
      <w:r w:rsidRPr="0092785C">
        <w:rPr>
          <w:lang w:val="fr-CA"/>
        </w:rPr>
        <w:t>exécution de l</w:t>
      </w:r>
      <w:r w:rsidR="00BA1CC2">
        <w:rPr>
          <w:lang w:val="fr-CA"/>
        </w:rPr>
        <w:t>’</w:t>
      </w:r>
      <w:r w:rsidRPr="0092785C">
        <w:rPr>
          <w:lang w:val="fr-CA"/>
        </w:rPr>
        <w:t>obligation du débiteur et des frais raisonnables de saisie et d</w:t>
      </w:r>
      <w:r w:rsidR="00BA1CC2">
        <w:rPr>
          <w:lang w:val="fr-CA"/>
        </w:rPr>
        <w:t>’</w:t>
      </w:r>
      <w:r w:rsidRPr="0092785C">
        <w:rPr>
          <w:lang w:val="fr-CA"/>
        </w:rPr>
        <w:t>aliénation des biens engagés pour l</w:t>
      </w:r>
      <w:r w:rsidR="00BA1CC2">
        <w:rPr>
          <w:lang w:val="fr-CA"/>
        </w:rPr>
        <w:t>’</w:t>
      </w:r>
      <w:r w:rsidRPr="0092785C">
        <w:rPr>
          <w:lang w:val="fr-CA"/>
        </w:rPr>
        <w:t>exécution de cette obligation : art. 59 et 60.</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À ce que je comprends, l</w:t>
      </w:r>
      <w:r w:rsidR="00BA1CC2">
        <w:rPr>
          <w:lang w:val="fr-CA"/>
        </w:rPr>
        <w:t>’</w:t>
      </w:r>
      <w:r w:rsidRPr="0092785C">
        <w:rPr>
          <w:lang w:val="fr-CA"/>
        </w:rPr>
        <w:t>argument de la Banque sur la nature de l</w:t>
      </w:r>
      <w:r w:rsidR="00BA1CC2">
        <w:rPr>
          <w:lang w:val="fr-CA"/>
        </w:rPr>
        <w:t>’</w:t>
      </w:r>
      <w:r w:rsidRPr="0092785C">
        <w:rPr>
          <w:lang w:val="fr-CA"/>
        </w:rPr>
        <w:t xml:space="preserve">intérêt conféré à la Coopérative de crédit en application de la </w:t>
      </w:r>
      <w:r w:rsidR="00DE514D" w:rsidRPr="00DE514D">
        <w:rPr>
          <w:i/>
          <w:lang w:val="fr-CA"/>
        </w:rPr>
        <w:t>PPSA</w:t>
      </w:r>
      <w:r w:rsidRPr="0092785C">
        <w:rPr>
          <w:lang w:val="fr-CA"/>
        </w:rPr>
        <w:t xml:space="preserve"> et sur ce qui advient en conséquence de l</w:t>
      </w:r>
      <w:r w:rsidR="00BA1CC2">
        <w:rPr>
          <w:lang w:val="fr-CA"/>
        </w:rPr>
        <w:t>’</w:t>
      </w:r>
      <w:r w:rsidRPr="0092785C">
        <w:rPr>
          <w:lang w:val="fr-CA"/>
        </w:rPr>
        <w:t>intérêt de M. </w:t>
      </w:r>
      <w:proofErr w:type="spellStart"/>
      <w:r w:rsidRPr="0092785C">
        <w:rPr>
          <w:lang w:val="fr-CA"/>
        </w:rPr>
        <w:t>Buist</w:t>
      </w:r>
      <w:proofErr w:type="spellEnd"/>
      <w:r w:rsidRPr="0092785C">
        <w:rPr>
          <w:lang w:val="fr-CA"/>
        </w:rPr>
        <w:t xml:space="preserve"> en tant que propriétaire semble comporter deux volets.  Premièrement, la Banque fait valoir qu</w:t>
      </w:r>
      <w:r w:rsidR="00BA1CC2">
        <w:rPr>
          <w:lang w:val="fr-CA"/>
        </w:rPr>
        <w:t>’</w:t>
      </w:r>
      <w:r w:rsidRPr="0092785C">
        <w:rPr>
          <w:lang w:val="fr-CA"/>
        </w:rPr>
        <w:t xml:space="preserve">étant donné que le créancier garanti au titre de la </w:t>
      </w:r>
      <w:r w:rsidR="00DE514D" w:rsidRPr="00DE514D">
        <w:rPr>
          <w:i/>
          <w:lang w:val="fr-CA"/>
        </w:rPr>
        <w:t>PPSA</w:t>
      </w:r>
      <w:r w:rsidRPr="0092785C">
        <w:rPr>
          <w:lang w:val="fr-CA"/>
        </w:rPr>
        <w:t xml:space="preserve"> n</w:t>
      </w:r>
      <w:r w:rsidR="00BA1CC2">
        <w:rPr>
          <w:lang w:val="fr-CA"/>
        </w:rPr>
        <w:t>’</w:t>
      </w:r>
      <w:r w:rsidRPr="0092785C">
        <w:rPr>
          <w:lang w:val="fr-CA"/>
        </w:rPr>
        <w:t>acquiert pas les droits et titre du débiteur sur le bien, M. </w:t>
      </w:r>
      <w:proofErr w:type="spellStart"/>
      <w:r w:rsidRPr="0092785C">
        <w:rPr>
          <w:lang w:val="fr-CA"/>
        </w:rPr>
        <w:t>Buist</w:t>
      </w:r>
      <w:proofErr w:type="spellEnd"/>
      <w:r w:rsidRPr="0092785C">
        <w:rPr>
          <w:lang w:val="fr-CA"/>
        </w:rPr>
        <w:t xml:space="preserve"> ne perd pas son intérêt de propriétaire des biens en consentant une sûreté et demeure ainsi libre de transmettre ce plein intérêt à la Banque en vertu de l</w:t>
      </w:r>
      <w:r w:rsidR="00BA1CC2">
        <w:rPr>
          <w:lang w:val="fr-CA"/>
        </w:rPr>
        <w:t>’</w:t>
      </w:r>
      <w:r w:rsidRPr="0092785C">
        <w:rPr>
          <w:lang w:val="fr-CA"/>
        </w:rPr>
        <w:t xml:space="preserve">art. 427 de la </w:t>
      </w:r>
      <w:r w:rsidRPr="00DE514D">
        <w:rPr>
          <w:i/>
          <w:lang w:val="fr-CA"/>
        </w:rPr>
        <w:t>LB</w:t>
      </w:r>
      <w:r w:rsidRPr="0092785C">
        <w:rPr>
          <w:lang w:val="fr-CA"/>
        </w:rPr>
        <w:t>.  Comme la Banque l</w:t>
      </w:r>
      <w:r w:rsidR="00BA1CC2">
        <w:rPr>
          <w:lang w:val="fr-CA"/>
        </w:rPr>
        <w:t>’</w:t>
      </w:r>
      <w:r w:rsidRPr="0092785C">
        <w:rPr>
          <w:lang w:val="fr-CA"/>
        </w:rPr>
        <w:t>affirme dans son mémoire : [</w:t>
      </w:r>
      <w:r w:rsidRPr="0092785C">
        <w:rPr>
          <w:smallCaps/>
          <w:lang w:val="fr-CA"/>
        </w:rPr>
        <w:t>traduction</w:t>
      </w:r>
      <w:r w:rsidRPr="0092785C">
        <w:rPr>
          <w:lang w:val="fr-CA"/>
        </w:rPr>
        <w:t>] « Un débiteur conserve les droit et titre sur les biens, mais grève les biens offerts en garantie en consentant une sûreté.  La sûreté entrave ou grève les droit et titre du débiteur, mais n</w:t>
      </w:r>
      <w:r w:rsidR="00BA1CC2">
        <w:rPr>
          <w:lang w:val="fr-CA"/>
        </w:rPr>
        <w:t>’</w:t>
      </w:r>
      <w:r w:rsidRPr="0092785C">
        <w:rPr>
          <w:lang w:val="fr-CA"/>
        </w:rPr>
        <w:t>a pas pour effet de les transmettre » (par</w:t>
      </w:r>
      <w:r w:rsidR="00DE514D">
        <w:rPr>
          <w:lang w:val="fr-CA"/>
        </w:rPr>
        <w:t>.</w:t>
      </w:r>
      <w:r w:rsidRPr="0092785C">
        <w:rPr>
          <w:lang w:val="fr-CA"/>
        </w:rPr>
        <w:t xml:space="preserve"> 49).  Deuxièmement, la Banque admet </w:t>
      </w:r>
      <w:r w:rsidRPr="0092785C">
        <w:rPr>
          <w:lang w:val="fr-CA"/>
        </w:rPr>
        <w:lastRenderedPageBreak/>
        <w:t>que « [c]</w:t>
      </w:r>
      <w:proofErr w:type="spellStart"/>
      <w:r w:rsidRPr="0092785C">
        <w:rPr>
          <w:lang w:val="fr-CA"/>
        </w:rPr>
        <w:t>ela</w:t>
      </w:r>
      <w:proofErr w:type="spellEnd"/>
      <w:r w:rsidRPr="0092785C">
        <w:rPr>
          <w:lang w:val="fr-CA"/>
        </w:rPr>
        <w:t xml:space="preserve"> ne veut pas dire que la concession d</w:t>
      </w:r>
      <w:r w:rsidR="00BA1CC2">
        <w:rPr>
          <w:lang w:val="fr-CA"/>
        </w:rPr>
        <w:t>’</w:t>
      </w:r>
      <w:r w:rsidRPr="0092785C">
        <w:rPr>
          <w:lang w:val="fr-CA"/>
        </w:rPr>
        <w:t>une sûreté n</w:t>
      </w:r>
      <w:r w:rsidR="00BA1CC2">
        <w:rPr>
          <w:lang w:val="fr-CA"/>
        </w:rPr>
        <w:t>’</w:t>
      </w:r>
      <w:r w:rsidRPr="0092785C">
        <w:rPr>
          <w:lang w:val="fr-CA"/>
        </w:rPr>
        <w:t>a aucune incidence sur les droit et titre d</w:t>
      </w:r>
      <w:r w:rsidR="00BA1CC2">
        <w:rPr>
          <w:lang w:val="fr-CA"/>
        </w:rPr>
        <w:t>’</w:t>
      </w:r>
      <w:r w:rsidRPr="0092785C">
        <w:rPr>
          <w:lang w:val="fr-CA"/>
        </w:rPr>
        <w:t>un débiteur et qu</w:t>
      </w:r>
      <w:r w:rsidR="00BA1CC2">
        <w:rPr>
          <w:lang w:val="fr-CA"/>
        </w:rPr>
        <w:t>’</w:t>
      </w:r>
      <w:r w:rsidRPr="0092785C">
        <w:rPr>
          <w:lang w:val="fr-CA"/>
        </w:rPr>
        <w:t>elle n</w:t>
      </w:r>
      <w:r w:rsidR="00BA1CC2">
        <w:rPr>
          <w:lang w:val="fr-CA"/>
        </w:rPr>
        <w:t>’</w:t>
      </w:r>
      <w:r w:rsidRPr="0092785C">
        <w:rPr>
          <w:lang w:val="fr-CA"/>
        </w:rPr>
        <w:t xml:space="preserve">a ni conséquence ni force obligatoire pour une banque qui obtiendrait une garantie sous le régime de la </w:t>
      </w:r>
      <w:r w:rsidRPr="0092785C">
        <w:rPr>
          <w:i/>
          <w:lang w:val="fr-CA"/>
        </w:rPr>
        <w:t>Loi sur les banqu</w:t>
      </w:r>
      <w:r w:rsidR="00DE514D">
        <w:rPr>
          <w:i/>
          <w:lang w:val="fr-CA"/>
        </w:rPr>
        <w:t>es</w:t>
      </w:r>
      <w:r w:rsidR="00072021">
        <w:rPr>
          <w:i/>
          <w:lang w:val="fr-CA"/>
        </w:rPr>
        <w:t>.</w:t>
      </w:r>
      <w:r w:rsidRPr="0092785C">
        <w:rPr>
          <w:i/>
          <w:lang w:val="fr-CA"/>
        </w:rPr>
        <w:t> </w:t>
      </w:r>
      <w:r w:rsidRPr="0092785C">
        <w:rPr>
          <w:lang w:val="fr-CA"/>
        </w:rPr>
        <w:t>»  La Banque exhorte la Cour à conclure que l</w:t>
      </w:r>
      <w:r w:rsidR="00BA1CC2">
        <w:rPr>
          <w:lang w:val="fr-CA"/>
        </w:rPr>
        <w:t>’</w:t>
      </w:r>
      <w:r w:rsidRPr="0092785C">
        <w:rPr>
          <w:lang w:val="fr-CA"/>
        </w:rPr>
        <w:t xml:space="preserve">effet et la validité de la sûreté régie par la </w:t>
      </w:r>
      <w:r w:rsidR="00DE514D" w:rsidRPr="00DE514D">
        <w:rPr>
          <w:i/>
          <w:lang w:val="fr-CA"/>
        </w:rPr>
        <w:t>PPSA</w:t>
      </w:r>
      <w:r w:rsidRPr="0092785C">
        <w:rPr>
          <w:lang w:val="fr-CA"/>
        </w:rPr>
        <w:t xml:space="preserve"> pour la banque qui acquiert une garantie sous le régime de la </w:t>
      </w:r>
      <w:r w:rsidRPr="00DE514D">
        <w:rPr>
          <w:i/>
          <w:lang w:val="fr-CA"/>
        </w:rPr>
        <w:t>LB</w:t>
      </w:r>
      <w:r w:rsidRPr="0092785C">
        <w:rPr>
          <w:i/>
          <w:lang w:val="fr-CA"/>
        </w:rPr>
        <w:t xml:space="preserve"> </w:t>
      </w:r>
      <w:r w:rsidRPr="0092785C">
        <w:rPr>
          <w:lang w:val="fr-CA"/>
        </w:rPr>
        <w:t>doivent être établis en fonction du principe du premier enregistrement (mémoire, par</w:t>
      </w:r>
      <w:r w:rsidR="00DE514D">
        <w:rPr>
          <w:lang w:val="fr-CA"/>
        </w:rPr>
        <w:t>.</w:t>
      </w:r>
      <w:r w:rsidRPr="0092785C">
        <w:rPr>
          <w:lang w:val="fr-CA"/>
        </w:rPr>
        <w:t> 53).</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Je traiterai d</w:t>
      </w:r>
      <w:r w:rsidR="00BA1CC2">
        <w:rPr>
          <w:lang w:val="fr-CA"/>
        </w:rPr>
        <w:t>’</w:t>
      </w:r>
      <w:r w:rsidRPr="0092785C">
        <w:rPr>
          <w:lang w:val="fr-CA"/>
        </w:rPr>
        <w:t>abord de la prétention de la Banque qu</w:t>
      </w:r>
      <w:r w:rsidR="00BA1CC2">
        <w:rPr>
          <w:lang w:val="fr-CA"/>
        </w:rPr>
        <w:t>’</w:t>
      </w:r>
      <w:r w:rsidRPr="0092785C">
        <w:rPr>
          <w:lang w:val="fr-CA"/>
        </w:rPr>
        <w:t xml:space="preserve">aucun intérêt </w:t>
      </w:r>
      <w:proofErr w:type="spellStart"/>
      <w:r w:rsidRPr="0092785C">
        <w:rPr>
          <w:lang w:val="fr-CA"/>
        </w:rPr>
        <w:t>propriétal</w:t>
      </w:r>
      <w:proofErr w:type="spellEnd"/>
      <w:r w:rsidRPr="0092785C">
        <w:rPr>
          <w:lang w:val="fr-CA"/>
        </w:rPr>
        <w:t xml:space="preserve"> n</w:t>
      </w:r>
      <w:r w:rsidR="00BA1CC2">
        <w:rPr>
          <w:lang w:val="fr-CA"/>
        </w:rPr>
        <w:t>’</w:t>
      </w:r>
      <w:r w:rsidRPr="0092785C">
        <w:rPr>
          <w:lang w:val="fr-CA"/>
        </w:rPr>
        <w:t>a été transmis à la Coopérative de crédit par son contrat de sûreté antérieur étant donné que ce contrat n</w:t>
      </w:r>
      <w:r w:rsidR="00BA1CC2">
        <w:rPr>
          <w:lang w:val="fr-CA"/>
        </w:rPr>
        <w:t>’</w:t>
      </w:r>
      <w:r w:rsidRPr="0092785C">
        <w:rPr>
          <w:lang w:val="fr-CA"/>
        </w:rPr>
        <w:t>a pas été enregistré.  Je ne puis retenir cette prétention.  La thèse voulant qu</w:t>
      </w:r>
      <w:r w:rsidR="00BA1CC2">
        <w:rPr>
          <w:lang w:val="fr-CA"/>
        </w:rPr>
        <w:t>’</w:t>
      </w:r>
      <w:r w:rsidRPr="0092785C">
        <w:rPr>
          <w:lang w:val="fr-CA"/>
        </w:rPr>
        <w:t xml:space="preserve">aucun intérêt </w:t>
      </w:r>
      <w:proofErr w:type="spellStart"/>
      <w:r w:rsidRPr="0092785C">
        <w:rPr>
          <w:lang w:val="fr-CA"/>
        </w:rPr>
        <w:t>propriétal</w:t>
      </w:r>
      <w:proofErr w:type="spellEnd"/>
      <w:r w:rsidRPr="0092785C">
        <w:rPr>
          <w:lang w:val="fr-CA"/>
        </w:rPr>
        <w:t xml:space="preserve"> ne soit transmis avant qu</w:t>
      </w:r>
      <w:r w:rsidR="00BA1CC2">
        <w:rPr>
          <w:lang w:val="fr-CA"/>
        </w:rPr>
        <w:t>’</w:t>
      </w:r>
      <w:r w:rsidRPr="0092785C">
        <w:rPr>
          <w:lang w:val="fr-CA"/>
        </w:rPr>
        <w:t>un évènement quelconque ne survienne (p. ex. l</w:t>
      </w:r>
      <w:r w:rsidR="00BA1CC2">
        <w:rPr>
          <w:lang w:val="fr-CA"/>
        </w:rPr>
        <w:t>’</w:t>
      </w:r>
      <w:r w:rsidRPr="0092785C">
        <w:rPr>
          <w:lang w:val="fr-CA"/>
        </w:rPr>
        <w:t>enregistrement), ce qui permettrait que d</w:t>
      </w:r>
      <w:r w:rsidR="00BA1CC2">
        <w:rPr>
          <w:lang w:val="fr-CA"/>
        </w:rPr>
        <w:t>’</w:t>
      </w:r>
      <w:r w:rsidRPr="0092785C">
        <w:rPr>
          <w:lang w:val="fr-CA"/>
        </w:rPr>
        <w:t xml:space="preserve">autres sûretés grèvent les biens et aient priorité, établirait en fait une analogie entre la sûreté relevant de la </w:t>
      </w:r>
      <w:r w:rsidR="00DE514D" w:rsidRPr="00DE514D">
        <w:rPr>
          <w:i/>
          <w:lang w:val="fr-CA"/>
        </w:rPr>
        <w:t>PPSA</w:t>
      </w:r>
      <w:r w:rsidRPr="0092785C">
        <w:rPr>
          <w:lang w:val="fr-CA"/>
        </w:rPr>
        <w:t xml:space="preserve"> et une charge flottante, analogie que la Cour a rejetée dans </w:t>
      </w:r>
      <w:r w:rsidRPr="0092785C">
        <w:rPr>
          <w:i/>
          <w:lang w:val="fr-CA"/>
        </w:rPr>
        <w:t xml:space="preserve">Banque Royale du Canada c. </w:t>
      </w:r>
      <w:proofErr w:type="spellStart"/>
      <w:r w:rsidRPr="0092785C">
        <w:rPr>
          <w:i/>
          <w:lang w:val="fr-CA"/>
        </w:rPr>
        <w:t>Sparrow</w:t>
      </w:r>
      <w:proofErr w:type="spellEnd"/>
      <w:r w:rsidRPr="0092785C">
        <w:rPr>
          <w:i/>
          <w:lang w:val="fr-CA"/>
        </w:rPr>
        <w:t xml:space="preserve"> Electric Corp.</w:t>
      </w:r>
      <w:r w:rsidRPr="0092785C">
        <w:rPr>
          <w:lang w:val="fr-CA"/>
        </w:rPr>
        <w:t xml:space="preserve">, [1997] 1 R.C.S. 411.  Je vais analyser les conclusions pertinentes tirées par la Cour dans cet arrêt. </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Dans l</w:t>
      </w:r>
      <w:r w:rsidR="00BA1CC2">
        <w:rPr>
          <w:lang w:val="fr-CA"/>
        </w:rPr>
        <w:t>’</w:t>
      </w:r>
      <w:r w:rsidRPr="0092785C">
        <w:rPr>
          <w:lang w:val="fr-CA"/>
        </w:rPr>
        <w:t xml:space="preserve">affaire </w:t>
      </w:r>
      <w:proofErr w:type="spellStart"/>
      <w:r w:rsidRPr="0092785C">
        <w:rPr>
          <w:i/>
          <w:lang w:val="fr-CA"/>
        </w:rPr>
        <w:t>Sparrow</w:t>
      </w:r>
      <w:proofErr w:type="spellEnd"/>
      <w:r w:rsidRPr="0092785C">
        <w:rPr>
          <w:i/>
          <w:lang w:val="fr-CA"/>
        </w:rPr>
        <w:t xml:space="preserve"> Electric</w:t>
      </w:r>
      <w:r w:rsidRPr="0092785C">
        <w:rPr>
          <w:lang w:val="fr-CA"/>
        </w:rPr>
        <w:t xml:space="preserve">, la Banque Royale avait garanti un prêt consenti à </w:t>
      </w:r>
      <w:proofErr w:type="spellStart"/>
      <w:r w:rsidRPr="0092785C">
        <w:rPr>
          <w:lang w:val="fr-CA"/>
        </w:rPr>
        <w:t>Sparrow</w:t>
      </w:r>
      <w:proofErr w:type="spellEnd"/>
      <w:r w:rsidRPr="0092785C">
        <w:rPr>
          <w:lang w:val="fr-CA"/>
        </w:rPr>
        <w:t xml:space="preserve"> Electric, d</w:t>
      </w:r>
      <w:r w:rsidR="00BA1CC2">
        <w:rPr>
          <w:lang w:val="fr-CA"/>
        </w:rPr>
        <w:t>’</w:t>
      </w:r>
      <w:r w:rsidRPr="0092785C">
        <w:rPr>
          <w:lang w:val="fr-CA"/>
        </w:rPr>
        <w:t>une part, au moyen d</w:t>
      </w:r>
      <w:r w:rsidR="00BA1CC2">
        <w:rPr>
          <w:lang w:val="fr-CA"/>
        </w:rPr>
        <w:t>’</w:t>
      </w:r>
      <w:r w:rsidRPr="0092785C">
        <w:rPr>
          <w:lang w:val="fr-CA"/>
        </w:rPr>
        <w:t xml:space="preserve">une convention de sûreté générale lui accordant une sûreté, sous le régime de la </w:t>
      </w:r>
      <w:proofErr w:type="spellStart"/>
      <w:r w:rsidRPr="0092785C">
        <w:rPr>
          <w:i/>
          <w:lang w:val="fr-CA"/>
        </w:rPr>
        <w:t>Personal</w:t>
      </w:r>
      <w:proofErr w:type="spellEnd"/>
      <w:r w:rsidRPr="0092785C">
        <w:rPr>
          <w:i/>
          <w:lang w:val="fr-CA"/>
        </w:rPr>
        <w:t xml:space="preserve"> </w:t>
      </w:r>
      <w:proofErr w:type="spellStart"/>
      <w:r w:rsidRPr="0092785C">
        <w:rPr>
          <w:i/>
          <w:lang w:val="fr-CA"/>
        </w:rPr>
        <w:t>Property</w:t>
      </w:r>
      <w:proofErr w:type="spellEnd"/>
      <w:r w:rsidRPr="0092785C">
        <w:rPr>
          <w:i/>
          <w:lang w:val="fr-CA"/>
        </w:rPr>
        <w:t xml:space="preserve"> Security </w:t>
      </w:r>
      <w:proofErr w:type="spellStart"/>
      <w:r w:rsidRPr="0092785C">
        <w:rPr>
          <w:i/>
          <w:lang w:val="fr-CA"/>
        </w:rPr>
        <w:t>Act</w:t>
      </w:r>
      <w:proofErr w:type="spellEnd"/>
      <w:r w:rsidRPr="0092785C">
        <w:rPr>
          <w:lang w:val="fr-CA"/>
        </w:rPr>
        <w:t xml:space="preserve"> de l</w:t>
      </w:r>
      <w:r w:rsidR="00BA1CC2">
        <w:rPr>
          <w:lang w:val="fr-CA"/>
        </w:rPr>
        <w:t>’</w:t>
      </w:r>
      <w:r w:rsidRPr="0092785C">
        <w:rPr>
          <w:lang w:val="fr-CA"/>
        </w:rPr>
        <w:t xml:space="preserve">Alberta, S.A. 1988, ch. P-4.05 </w:t>
      </w:r>
      <w:r w:rsidR="00570D0F">
        <w:rPr>
          <w:lang w:val="fr-CA"/>
        </w:rPr>
        <w:t>(</w:t>
      </w:r>
      <w:r w:rsidRPr="0092785C">
        <w:rPr>
          <w:lang w:val="fr-CA"/>
        </w:rPr>
        <w:t xml:space="preserve">la « loi albertaine »), sur les biens que </w:t>
      </w:r>
      <w:proofErr w:type="spellStart"/>
      <w:r w:rsidRPr="0092785C">
        <w:rPr>
          <w:lang w:val="fr-CA"/>
        </w:rPr>
        <w:t>Sparrow</w:t>
      </w:r>
      <w:proofErr w:type="spellEnd"/>
      <w:r w:rsidRPr="0092785C">
        <w:rPr>
          <w:lang w:val="fr-CA"/>
        </w:rPr>
        <w:t xml:space="preserve"> possédait alors ou qu</w:t>
      </w:r>
      <w:r w:rsidR="00BA1CC2">
        <w:rPr>
          <w:lang w:val="fr-CA"/>
        </w:rPr>
        <w:t>’</w:t>
      </w:r>
      <w:r w:rsidRPr="0092785C">
        <w:rPr>
          <w:lang w:val="fr-CA"/>
        </w:rPr>
        <w:t>elle acquerrait par la suite et, d</w:t>
      </w:r>
      <w:r w:rsidR="00BA1CC2">
        <w:rPr>
          <w:lang w:val="fr-CA"/>
        </w:rPr>
        <w:t>’</w:t>
      </w:r>
      <w:r w:rsidRPr="0092785C">
        <w:rPr>
          <w:lang w:val="fr-CA"/>
        </w:rPr>
        <w:t>autre part, au moyen d</w:t>
      </w:r>
      <w:r w:rsidR="00BA1CC2">
        <w:rPr>
          <w:lang w:val="fr-CA"/>
        </w:rPr>
        <w:t>’</w:t>
      </w:r>
      <w:r w:rsidRPr="0092785C">
        <w:rPr>
          <w:lang w:val="fr-CA"/>
        </w:rPr>
        <w:t xml:space="preserve">une cession de biens figurant dans un inventaire lui accordant une garantie sur les mêmes </w:t>
      </w:r>
      <w:r w:rsidRPr="0092785C">
        <w:rPr>
          <w:lang w:val="fr-CA"/>
        </w:rPr>
        <w:lastRenderedPageBreak/>
        <w:t>biens en vertu de l</w:t>
      </w:r>
      <w:r w:rsidR="00BA1CC2">
        <w:rPr>
          <w:lang w:val="fr-CA"/>
        </w:rPr>
        <w:t>’</w:t>
      </w:r>
      <w:r w:rsidRPr="0092785C">
        <w:rPr>
          <w:lang w:val="fr-CA"/>
        </w:rPr>
        <w:t xml:space="preserve">art. 427 de la </w:t>
      </w:r>
      <w:r w:rsidRPr="00DE514D">
        <w:rPr>
          <w:i/>
          <w:lang w:val="fr-CA"/>
        </w:rPr>
        <w:t>LB</w:t>
      </w:r>
      <w:r w:rsidRPr="0092785C">
        <w:rPr>
          <w:lang w:val="fr-CA"/>
        </w:rPr>
        <w:t>.  La question s</w:t>
      </w:r>
      <w:r w:rsidR="00BA1CC2">
        <w:rPr>
          <w:lang w:val="fr-CA"/>
        </w:rPr>
        <w:t>’</w:t>
      </w:r>
      <w:r w:rsidRPr="0092785C">
        <w:rPr>
          <w:lang w:val="fr-CA"/>
        </w:rPr>
        <w:t xml:space="preserve">est posée de savoir si les sûretés de la Banque Royale avaient priorité sur une fiducie légale réputée applicable aux retenues salariales effectuées par </w:t>
      </w:r>
      <w:proofErr w:type="spellStart"/>
      <w:r w:rsidRPr="0092785C">
        <w:rPr>
          <w:lang w:val="fr-CA"/>
        </w:rPr>
        <w:t>Sparrow</w:t>
      </w:r>
      <w:proofErr w:type="spellEnd"/>
      <w:r w:rsidRPr="0092785C">
        <w:rPr>
          <w:lang w:val="fr-CA"/>
        </w:rPr>
        <w:t>, mais non versées à la Couronne.  Une bonne partie de l</w:t>
      </w:r>
      <w:r w:rsidR="00BA1CC2">
        <w:rPr>
          <w:lang w:val="fr-CA"/>
        </w:rPr>
        <w:t>’</w:t>
      </w:r>
      <w:r w:rsidRPr="0092785C">
        <w:rPr>
          <w:lang w:val="fr-CA"/>
        </w:rPr>
        <w:t>analyse de la Cour est hors de propos en l</w:t>
      </w:r>
      <w:r w:rsidR="00BA1CC2">
        <w:rPr>
          <w:lang w:val="fr-CA"/>
        </w:rPr>
        <w:t>’</w:t>
      </w:r>
      <w:r w:rsidRPr="0092785C">
        <w:rPr>
          <w:lang w:val="fr-CA"/>
        </w:rPr>
        <w:t>espèce; plus particulièrement, il n</w:t>
      </w:r>
      <w:r w:rsidR="00BA1CC2">
        <w:rPr>
          <w:lang w:val="fr-CA"/>
        </w:rPr>
        <w:t>’</w:t>
      </w:r>
      <w:r w:rsidRPr="0092785C">
        <w:rPr>
          <w:lang w:val="fr-CA"/>
        </w:rPr>
        <w:t>est pas nécessaire d</w:t>
      </w:r>
      <w:r w:rsidR="00BA1CC2">
        <w:rPr>
          <w:lang w:val="fr-CA"/>
        </w:rPr>
        <w:t>’</w:t>
      </w:r>
      <w:r w:rsidRPr="0092785C">
        <w:rPr>
          <w:lang w:val="fr-CA"/>
        </w:rPr>
        <w:t>étudier ici la nature du droit concurrent de la Couronne et l</w:t>
      </w:r>
      <w:r w:rsidR="00BA1CC2">
        <w:rPr>
          <w:lang w:val="fr-CA"/>
        </w:rPr>
        <w:t>’</w:t>
      </w:r>
      <w:r w:rsidRPr="0092785C">
        <w:rPr>
          <w:lang w:val="fr-CA"/>
        </w:rPr>
        <w:t>effet d</w:t>
      </w:r>
      <w:r w:rsidR="00BA1CC2">
        <w:rPr>
          <w:lang w:val="fr-CA"/>
        </w:rPr>
        <w:t>’</w:t>
      </w:r>
      <w:r w:rsidRPr="0092785C">
        <w:rPr>
          <w:lang w:val="fr-CA"/>
        </w:rPr>
        <w:t>un accord de licence conclu entre les parties (la question au sujet de laquelle la Cour était divisée en fin de compte).  L</w:t>
      </w:r>
      <w:r w:rsidR="00BA1CC2">
        <w:rPr>
          <w:lang w:val="fr-CA"/>
        </w:rPr>
        <w:t>’</w:t>
      </w:r>
      <w:r w:rsidRPr="0092785C">
        <w:rPr>
          <w:lang w:val="fr-CA"/>
        </w:rPr>
        <w:t xml:space="preserve">arrêt </w:t>
      </w:r>
      <w:proofErr w:type="spellStart"/>
      <w:r w:rsidRPr="0092785C">
        <w:rPr>
          <w:i/>
          <w:lang w:val="fr-CA"/>
        </w:rPr>
        <w:t>Sparrow</w:t>
      </w:r>
      <w:proofErr w:type="spellEnd"/>
      <w:r w:rsidRPr="0092785C">
        <w:rPr>
          <w:i/>
          <w:lang w:val="fr-CA"/>
        </w:rPr>
        <w:t xml:space="preserve"> Electric</w:t>
      </w:r>
      <w:r w:rsidRPr="0092785C">
        <w:rPr>
          <w:lang w:val="fr-CA"/>
        </w:rPr>
        <w:t xml:space="preserve"> est cependant digne d</w:t>
      </w:r>
      <w:r w:rsidR="00BA1CC2">
        <w:rPr>
          <w:lang w:val="fr-CA"/>
        </w:rPr>
        <w:t>’</w:t>
      </w:r>
      <w:r w:rsidRPr="0092785C">
        <w:rPr>
          <w:lang w:val="fr-CA"/>
        </w:rPr>
        <w:t xml:space="preserve">intérêt parce que, pour régler le conflit de priorité, la Cour a dû établir la nature de la garantie prise par la Banque Royale en vertu de la </w:t>
      </w:r>
      <w:r w:rsidRPr="00DE514D">
        <w:rPr>
          <w:i/>
          <w:lang w:val="fr-CA"/>
        </w:rPr>
        <w:t>LB</w:t>
      </w:r>
      <w:r w:rsidRPr="0092785C">
        <w:rPr>
          <w:i/>
          <w:lang w:val="fr-CA"/>
        </w:rPr>
        <w:t xml:space="preserve"> </w:t>
      </w:r>
      <w:r w:rsidRPr="0092785C">
        <w:rPr>
          <w:lang w:val="fr-CA"/>
        </w:rPr>
        <w:t>et de sa sûreté relevant de la loi albertaine.  La question de savoir si la sûreté prise par la Banque en application de chacune des lois devait être qualifiée de charge flottante ou de charge fixe et spécifique a été amplement débattue.  Le juge Gonthier (dissident, mais non sur ce point) a expliqué comme suit, au par. 46, l</w:t>
      </w:r>
      <w:r w:rsidR="00BA1CC2">
        <w:rPr>
          <w:lang w:val="fr-CA"/>
        </w:rPr>
        <w:t>’</w:t>
      </w:r>
      <w:r w:rsidRPr="0092785C">
        <w:rPr>
          <w:lang w:val="fr-CA"/>
        </w:rPr>
        <w:t>importance de la distinction entre une charge fixe et une charge flottante :</w:t>
      </w:r>
    </w:p>
    <w:p w:rsidR="00DC4439" w:rsidRPr="0092785C" w:rsidRDefault="00DC4439" w:rsidP="00DC4439">
      <w:pPr>
        <w:pStyle w:val="Citation1"/>
        <w:ind w:left="1440" w:firstLine="720"/>
        <w:rPr>
          <w:spacing w:val="3"/>
        </w:rPr>
      </w:pPr>
      <w:r w:rsidRPr="0092785C">
        <w:rPr>
          <w:spacing w:val="3"/>
        </w:rPr>
        <w:t>L</w:t>
      </w:r>
      <w:r w:rsidR="00BA1CC2">
        <w:rPr>
          <w:spacing w:val="3"/>
        </w:rPr>
        <w:t>’</w:t>
      </w:r>
      <w:r w:rsidRPr="0092785C">
        <w:rPr>
          <w:spacing w:val="3"/>
          <w:u w:val="single"/>
        </w:rPr>
        <w:t>importance cruciale</w:t>
      </w:r>
      <w:r w:rsidRPr="0092785C">
        <w:rPr>
          <w:spacing w:val="3"/>
        </w:rPr>
        <w:t xml:space="preserve"> de qualifier un droit de fixe ou de flottant réside, évidemment, </w:t>
      </w:r>
      <w:r w:rsidRPr="00DE514D">
        <w:rPr>
          <w:spacing w:val="3"/>
          <w:u w:val="single"/>
        </w:rPr>
        <w:t>dans le fait que cette qualification décrit la mesure dans laquelle on peut dire qu</w:t>
      </w:r>
      <w:r w:rsidR="00BA1CC2" w:rsidRPr="00DE514D">
        <w:rPr>
          <w:spacing w:val="3"/>
          <w:u w:val="single"/>
        </w:rPr>
        <w:t>’</w:t>
      </w:r>
      <w:r w:rsidRPr="00DE514D">
        <w:rPr>
          <w:spacing w:val="3"/>
          <w:u w:val="single"/>
        </w:rPr>
        <w:t>un créancier possède un droit de propriété sur le bien donné en garantie.  Plus particulièrement, pendant la période où un privilège sur les biens figurant dans un inventaire est flottant, le créancier ne possède aucun droit de propriété sur ces biens donnés en garantie.</w:t>
      </w:r>
      <w:r w:rsidRPr="0092785C">
        <w:rPr>
          <w:spacing w:val="3"/>
        </w:rPr>
        <w:t xml:space="preserve">  C</w:t>
      </w:r>
      <w:r w:rsidR="00BA1CC2">
        <w:rPr>
          <w:spacing w:val="3"/>
        </w:rPr>
        <w:t>’</w:t>
      </w:r>
      <w:r w:rsidRPr="0092785C">
        <w:rPr>
          <w:spacing w:val="3"/>
        </w:rPr>
        <w:t xml:space="preserve">est pour cette raison que, si une fiducie ou un privilège légal grève ces biens pendant cette période, cette fiducie ou ce privilège légal </w:t>
      </w:r>
      <w:proofErr w:type="gramStart"/>
      <w:r w:rsidRPr="0092785C">
        <w:rPr>
          <w:spacing w:val="3"/>
        </w:rPr>
        <w:t>grèvera</w:t>
      </w:r>
      <w:proofErr w:type="gramEnd"/>
      <w:r w:rsidRPr="0092785C">
        <w:rPr>
          <w:spacing w:val="3"/>
        </w:rPr>
        <w:t xml:space="preserve"> le droit du débiteur et aura priorité de rang sur le privilège flottant subséquemment cristallisé.  Cependant, si une garantie est qualifiée de privilège fixe et spécifique, elle aura priorité de rang sur un privilège légal subséquent; dans ce cas, tout ce que le privilège peut grever, c</w:t>
      </w:r>
      <w:r w:rsidR="00BA1CC2">
        <w:rPr>
          <w:spacing w:val="3"/>
        </w:rPr>
        <w:t>’</w:t>
      </w:r>
      <w:r w:rsidRPr="0092785C">
        <w:rPr>
          <w:spacing w:val="3"/>
        </w:rPr>
        <w:t xml:space="preserve">est le droit de rachat que le débiteur possède sur le bien donné en </w:t>
      </w:r>
      <w:proofErr w:type="gramStart"/>
      <w:r w:rsidRPr="0092785C">
        <w:rPr>
          <w:spacing w:val="3"/>
        </w:rPr>
        <w:t>garantie .</w:t>
      </w:r>
      <w:proofErr w:type="gramEnd"/>
      <w:r w:rsidRPr="0092785C">
        <w:rPr>
          <w:spacing w:val="3"/>
        </w:rPr>
        <w:t> . .  [Je souligne.]</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lastRenderedPageBreak/>
        <w:t>Comme nous pouvons le constater, la prétention de la Banque en l</w:t>
      </w:r>
      <w:r w:rsidR="00BA1CC2">
        <w:rPr>
          <w:lang w:val="fr-CA"/>
        </w:rPr>
        <w:t>’</w:t>
      </w:r>
      <w:r w:rsidRPr="0092785C">
        <w:rPr>
          <w:lang w:val="fr-CA"/>
        </w:rPr>
        <w:t>espèce selon laquelle le créancier bénéficiant d</w:t>
      </w:r>
      <w:r w:rsidR="00BA1CC2">
        <w:rPr>
          <w:lang w:val="fr-CA"/>
        </w:rPr>
        <w:t>’</w:t>
      </w:r>
      <w:r w:rsidRPr="0092785C">
        <w:rPr>
          <w:lang w:val="fr-CA"/>
        </w:rPr>
        <w:t xml:space="preserve">une sûreté en vertu de la </w:t>
      </w:r>
      <w:r w:rsidR="00DE514D" w:rsidRPr="00DE514D">
        <w:rPr>
          <w:i/>
          <w:lang w:val="fr-CA"/>
        </w:rPr>
        <w:t>PPSA</w:t>
      </w:r>
      <w:r w:rsidRPr="0092785C">
        <w:rPr>
          <w:lang w:val="fr-CA"/>
        </w:rPr>
        <w:t xml:space="preserve"> n</w:t>
      </w:r>
      <w:r w:rsidR="00BA1CC2">
        <w:rPr>
          <w:lang w:val="fr-CA"/>
        </w:rPr>
        <w:t>’</w:t>
      </w:r>
      <w:r w:rsidRPr="0092785C">
        <w:rPr>
          <w:lang w:val="fr-CA"/>
        </w:rPr>
        <w:t>acquiert aucun intérêt qui affecterait le titre des biens donnés en garantie fait écho à l</w:t>
      </w:r>
      <w:r w:rsidR="00BA1CC2">
        <w:rPr>
          <w:lang w:val="fr-CA"/>
        </w:rPr>
        <w:t>’</w:t>
      </w:r>
      <w:r w:rsidRPr="0092785C">
        <w:rPr>
          <w:lang w:val="fr-CA"/>
        </w:rPr>
        <w:t xml:space="preserve">argument avancé dans </w:t>
      </w:r>
      <w:proofErr w:type="spellStart"/>
      <w:r w:rsidRPr="0092785C">
        <w:rPr>
          <w:i/>
          <w:lang w:val="fr-CA"/>
        </w:rPr>
        <w:t>Sparrow</w:t>
      </w:r>
      <w:proofErr w:type="spellEnd"/>
      <w:r w:rsidRPr="0092785C">
        <w:rPr>
          <w:i/>
          <w:lang w:val="fr-CA"/>
        </w:rPr>
        <w:t xml:space="preserve"> Electric</w:t>
      </w:r>
      <w:r w:rsidRPr="0092785C">
        <w:rPr>
          <w:lang w:val="fr-CA"/>
        </w:rPr>
        <w:t>.  Dans cet arrêt, on a fait valoir que la sûreté ne s</w:t>
      </w:r>
      <w:r w:rsidR="00BA1CC2">
        <w:rPr>
          <w:lang w:val="fr-CA"/>
        </w:rPr>
        <w:t>’</w:t>
      </w:r>
      <w:r w:rsidRPr="0092785C">
        <w:rPr>
          <w:lang w:val="fr-CA"/>
        </w:rPr>
        <w:t>est « cristallisée » que lorsque le débiteur a acquis le bien en question.  Dans le même ordre d</w:t>
      </w:r>
      <w:r w:rsidR="00BA1CC2">
        <w:rPr>
          <w:lang w:val="fr-CA"/>
        </w:rPr>
        <w:t>’</w:t>
      </w:r>
      <w:r w:rsidRPr="0092785C">
        <w:rPr>
          <w:lang w:val="fr-CA"/>
        </w:rPr>
        <w:t>idées, on fait valoir en l</w:t>
      </w:r>
      <w:r w:rsidR="00BA1CC2">
        <w:rPr>
          <w:lang w:val="fr-CA"/>
        </w:rPr>
        <w:t>’</w:t>
      </w:r>
      <w:r w:rsidRPr="0092785C">
        <w:rPr>
          <w:lang w:val="fr-CA"/>
        </w:rPr>
        <w:t>espèce que le créancier bénéficiant d</w:t>
      </w:r>
      <w:r w:rsidR="00BA1CC2">
        <w:rPr>
          <w:lang w:val="fr-CA"/>
        </w:rPr>
        <w:t>’</w:t>
      </w:r>
      <w:r w:rsidRPr="0092785C">
        <w:rPr>
          <w:lang w:val="fr-CA"/>
        </w:rPr>
        <w:t xml:space="preserve">une sûreté en vertu de la </w:t>
      </w:r>
      <w:r w:rsidR="00DE514D" w:rsidRPr="00DE514D">
        <w:rPr>
          <w:i/>
          <w:lang w:val="fr-CA"/>
        </w:rPr>
        <w:t>PPSA</w:t>
      </w:r>
      <w:r w:rsidRPr="0092785C">
        <w:rPr>
          <w:lang w:val="fr-CA"/>
        </w:rPr>
        <w:t xml:space="preserve"> n</w:t>
      </w:r>
      <w:r w:rsidR="00BA1CC2">
        <w:rPr>
          <w:lang w:val="fr-CA"/>
        </w:rPr>
        <w:t>’</w:t>
      </w:r>
      <w:r w:rsidRPr="0092785C">
        <w:rPr>
          <w:lang w:val="fr-CA"/>
        </w:rPr>
        <w:t>a pas obtenu d</w:t>
      </w:r>
      <w:r w:rsidR="00BA1CC2">
        <w:rPr>
          <w:lang w:val="fr-CA"/>
        </w:rPr>
        <w:t>’</w:t>
      </w:r>
      <w:r w:rsidRPr="0092785C">
        <w:rPr>
          <w:lang w:val="fr-CA"/>
        </w:rPr>
        <w:t>intérêt affectant le titre sur les biens avant l</w:t>
      </w:r>
      <w:r w:rsidR="00BA1CC2">
        <w:rPr>
          <w:lang w:val="fr-CA"/>
        </w:rPr>
        <w:t>’</w:t>
      </w:r>
      <w:r w:rsidRPr="0092785C">
        <w:rPr>
          <w:lang w:val="fr-CA"/>
        </w:rPr>
        <w:t>enregistrement effectué plus tard.  La Cour a rejeté sans équivoque la thèse selon laquelle la sûreté prise par la Banque Royale en vertu de la loi albertaine en matière de sûretés mobilières ne s</w:t>
      </w:r>
      <w:r w:rsidR="00BA1CC2">
        <w:rPr>
          <w:lang w:val="fr-CA"/>
        </w:rPr>
        <w:t>’</w:t>
      </w:r>
      <w:r w:rsidRPr="0092785C">
        <w:rPr>
          <w:lang w:val="fr-CA"/>
        </w:rPr>
        <w:t>est cristallisée que lorsqu</w:t>
      </w:r>
      <w:r w:rsidR="00BA1CC2">
        <w:rPr>
          <w:lang w:val="fr-CA"/>
        </w:rPr>
        <w:t>’</w:t>
      </w:r>
      <w:r w:rsidRPr="0092785C">
        <w:rPr>
          <w:lang w:val="fr-CA"/>
        </w:rPr>
        <w:t xml:space="preserve">un événement à venir est survenu.  Après avoir analysé la jurisprudence pertinente et la doctrine, le juge Gonthier a conclu que la sûreté générale prise en application de la loi </w:t>
      </w:r>
      <w:r w:rsidR="00DE514D">
        <w:rPr>
          <w:lang w:val="fr-CA"/>
        </w:rPr>
        <w:t>albertaine</w:t>
      </w:r>
      <w:r w:rsidRPr="0092785C">
        <w:rPr>
          <w:lang w:val="fr-CA"/>
        </w:rPr>
        <w:t xml:space="preserve"> devait impérativement être qualifiée de charge fixe.  (Comme nous le verrons dans l</w:t>
      </w:r>
      <w:r w:rsidR="00BA1CC2">
        <w:rPr>
          <w:lang w:val="fr-CA"/>
        </w:rPr>
        <w:t>’</w:t>
      </w:r>
      <w:r w:rsidRPr="0092785C">
        <w:rPr>
          <w:lang w:val="fr-CA"/>
        </w:rPr>
        <w:t>appel connexe, la Cour est arrivée à la même conclusion à l</w:t>
      </w:r>
      <w:r w:rsidR="00BA1CC2">
        <w:rPr>
          <w:lang w:val="fr-CA"/>
        </w:rPr>
        <w:t>’</w:t>
      </w:r>
      <w:r w:rsidRPr="0092785C">
        <w:rPr>
          <w:lang w:val="fr-CA"/>
        </w:rPr>
        <w:t xml:space="preserve">égard de la garantie sur les biens actuels et à venir obtenue en vertu de la </w:t>
      </w:r>
      <w:r w:rsidRPr="00DE514D">
        <w:rPr>
          <w:i/>
          <w:lang w:val="fr-CA"/>
        </w:rPr>
        <w:t>LB</w:t>
      </w:r>
      <w:r w:rsidRPr="0092785C">
        <w:rPr>
          <w:lang w:val="fr-CA"/>
        </w:rPr>
        <w:t>.)  Il a appuyé cette conclusion sur l</w:t>
      </w:r>
      <w:r w:rsidR="00BA1CC2">
        <w:rPr>
          <w:lang w:val="fr-CA"/>
        </w:rPr>
        <w:t>’</w:t>
      </w:r>
      <w:r w:rsidRPr="0092785C">
        <w:rPr>
          <w:lang w:val="fr-CA"/>
        </w:rPr>
        <w:t xml:space="preserve">avis unanime des auteurs de doctrine que la loi en matière de sûretés mobilières traite </w:t>
      </w:r>
      <w:r w:rsidRPr="0092785C">
        <w:rPr>
          <w:i/>
          <w:lang w:val="fr-CA"/>
        </w:rPr>
        <w:t>toutes</w:t>
      </w:r>
      <w:r w:rsidRPr="0092785C">
        <w:rPr>
          <w:lang w:val="fr-CA"/>
        </w:rPr>
        <w:t xml:space="preserve"> les charges, y compris les sûretés flottantes, comme des charges fixes.  La sûreté consentie en vertu de la loi en matière de sûretés mobilières sur tous les biens actuels ou à venir de l</w:t>
      </w:r>
      <w:r w:rsidR="00BA1CC2">
        <w:rPr>
          <w:lang w:val="fr-CA"/>
        </w:rPr>
        <w:t>’</w:t>
      </w:r>
      <w:r w:rsidRPr="0092785C">
        <w:rPr>
          <w:lang w:val="fr-CA"/>
        </w:rPr>
        <w:t>inventaire du débiteur a été considérée comme « </w:t>
      </w:r>
      <w:proofErr w:type="gramStart"/>
      <w:r w:rsidRPr="0092785C">
        <w:rPr>
          <w:lang w:val="fr-CA"/>
        </w:rPr>
        <w:t>correspond[</w:t>
      </w:r>
      <w:proofErr w:type="spellStart"/>
      <w:proofErr w:type="gramEnd"/>
      <w:r w:rsidRPr="0092785C">
        <w:rPr>
          <w:lang w:val="fr-CA"/>
        </w:rPr>
        <w:t>ant</w:t>
      </w:r>
      <w:proofErr w:type="spellEnd"/>
      <w:r w:rsidRPr="0092785C">
        <w:rPr>
          <w:lang w:val="fr-CA"/>
        </w:rPr>
        <w:t>] à la notion d</w:t>
      </w:r>
      <w:r w:rsidR="00BA1CC2">
        <w:rPr>
          <w:lang w:val="fr-CA"/>
        </w:rPr>
        <w:t>’</w:t>
      </w:r>
      <w:r w:rsidRPr="0092785C">
        <w:rPr>
          <w:lang w:val="fr-CA"/>
        </w:rPr>
        <w:t>un créancier qui a les droits de propriété sur le bien donné en garantie » (par. 60), un droit qui « </w:t>
      </w:r>
      <w:r w:rsidRPr="0092785C">
        <w:rPr>
          <w:u w:val="single"/>
          <w:lang w:val="fr-CA"/>
        </w:rPr>
        <w:t>représente un droit de propriété</w:t>
      </w:r>
      <w:r w:rsidRPr="0092785C">
        <w:rPr>
          <w:lang w:val="fr-CA"/>
        </w:rPr>
        <w:t xml:space="preserve"> sur un ensemble dynamique d</w:t>
      </w:r>
      <w:r w:rsidR="00BA1CC2">
        <w:rPr>
          <w:lang w:val="fr-CA"/>
        </w:rPr>
        <w:t>’</w:t>
      </w:r>
      <w:r w:rsidRPr="0092785C">
        <w:rPr>
          <w:lang w:val="fr-CA"/>
        </w:rPr>
        <w:t>éléments d</w:t>
      </w:r>
      <w:r w:rsidR="00BA1CC2">
        <w:rPr>
          <w:lang w:val="fr-CA"/>
        </w:rPr>
        <w:t>’</w:t>
      </w:r>
      <w:r w:rsidRPr="0092785C">
        <w:rPr>
          <w:lang w:val="fr-CA"/>
        </w:rPr>
        <w:t>actif présents et futurs » (par. 63 (je souligne; soulignement dans l</w:t>
      </w:r>
      <w:r w:rsidR="00BA1CC2">
        <w:rPr>
          <w:lang w:val="fr-CA"/>
        </w:rPr>
        <w:t>’</w:t>
      </w:r>
      <w:r w:rsidRPr="0092785C">
        <w:rPr>
          <w:lang w:val="fr-CA"/>
        </w:rPr>
        <w:t>original omis)).  Il a ajouté que la création par la loi d</w:t>
      </w:r>
      <w:r w:rsidR="00BA1CC2">
        <w:rPr>
          <w:lang w:val="fr-CA"/>
        </w:rPr>
        <w:t>’</w:t>
      </w:r>
      <w:r w:rsidRPr="0092785C">
        <w:rPr>
          <w:lang w:val="fr-CA"/>
        </w:rPr>
        <w:t xml:space="preserve">une charge </w:t>
      </w:r>
      <w:r w:rsidRPr="0092785C">
        <w:rPr>
          <w:lang w:val="fr-CA"/>
        </w:rPr>
        <w:lastRenderedPageBreak/>
        <w:t>fixe sur des éléments d</w:t>
      </w:r>
      <w:r w:rsidR="00BA1CC2">
        <w:rPr>
          <w:lang w:val="fr-CA"/>
        </w:rPr>
        <w:t>’</w:t>
      </w:r>
      <w:r w:rsidRPr="0092785C">
        <w:rPr>
          <w:lang w:val="fr-CA"/>
        </w:rPr>
        <w:t xml:space="preserve">actif présents </w:t>
      </w:r>
      <w:r w:rsidRPr="0092785C">
        <w:rPr>
          <w:i/>
          <w:lang w:val="fr-CA"/>
        </w:rPr>
        <w:t>et futurs</w:t>
      </w:r>
      <w:r w:rsidRPr="0092785C">
        <w:rPr>
          <w:lang w:val="fr-CA"/>
        </w:rPr>
        <w:t xml:space="preserve"> mettait en question notre conception traditionnelle d</w:t>
      </w:r>
      <w:r w:rsidR="00BA1CC2">
        <w:rPr>
          <w:lang w:val="fr-CA"/>
        </w:rPr>
        <w:t>’</w:t>
      </w:r>
      <w:r w:rsidRPr="0092785C">
        <w:rPr>
          <w:lang w:val="fr-CA"/>
        </w:rPr>
        <w:t>une charge fixe.  Le caractère particulier d</w:t>
      </w:r>
      <w:r w:rsidR="00BA1CC2">
        <w:rPr>
          <w:lang w:val="fr-CA"/>
        </w:rPr>
        <w:t>’</w:t>
      </w:r>
      <w:r w:rsidRPr="0092785C">
        <w:rPr>
          <w:lang w:val="fr-CA"/>
        </w:rPr>
        <w:t xml:space="preserve">une sûreté créée au titre de la </w:t>
      </w:r>
      <w:r w:rsidR="00DE514D" w:rsidRPr="00DE514D">
        <w:rPr>
          <w:i/>
          <w:lang w:val="fr-CA"/>
        </w:rPr>
        <w:t>PPSA</w:t>
      </w:r>
      <w:r w:rsidRPr="0092785C">
        <w:rPr>
          <w:lang w:val="fr-CA"/>
        </w:rPr>
        <w:t xml:space="preserve"> sur les biens à venir est analysé plus à fond dans l</w:t>
      </w:r>
      <w:r w:rsidR="00BA1CC2">
        <w:rPr>
          <w:lang w:val="fr-CA"/>
        </w:rPr>
        <w:t>’</w:t>
      </w:r>
      <w:r w:rsidRPr="0092785C">
        <w:rPr>
          <w:lang w:val="fr-CA"/>
        </w:rPr>
        <w:t xml:space="preserve">affaire connexe </w:t>
      </w:r>
      <w:r w:rsidRPr="0092785C">
        <w:rPr>
          <w:i/>
          <w:lang w:val="fr-CA"/>
        </w:rPr>
        <w:t>Banque Royale</w:t>
      </w:r>
      <w:r w:rsidRPr="0092785C">
        <w:rPr>
          <w:lang w:val="fr-CA"/>
        </w:rPr>
        <w:t>.</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À mon avis, la Banque ne peut pas faire valoir maintenant dans le présent appel que l</w:t>
      </w:r>
      <w:r w:rsidR="00BA1CC2">
        <w:rPr>
          <w:lang w:val="fr-CA"/>
        </w:rPr>
        <w:t>’</w:t>
      </w:r>
      <w:r w:rsidRPr="0092785C">
        <w:rPr>
          <w:lang w:val="fr-CA"/>
        </w:rPr>
        <w:t>intérêt légal transmis à la Coopérative de crédit n</w:t>
      </w:r>
      <w:r w:rsidR="00BA1CC2">
        <w:rPr>
          <w:lang w:val="fr-CA"/>
        </w:rPr>
        <w:t>’</w:t>
      </w:r>
      <w:r w:rsidRPr="0092785C">
        <w:rPr>
          <w:lang w:val="fr-CA"/>
        </w:rPr>
        <w:t xml:space="preserve">est pas analogue à un droit </w:t>
      </w:r>
      <w:proofErr w:type="spellStart"/>
      <w:r w:rsidRPr="0092785C">
        <w:rPr>
          <w:lang w:val="fr-CA"/>
        </w:rPr>
        <w:t>propriétal</w:t>
      </w:r>
      <w:proofErr w:type="spellEnd"/>
      <w:r w:rsidRPr="0092785C">
        <w:rPr>
          <w:lang w:val="fr-CA"/>
        </w:rPr>
        <w:t>.  Lorsque M. </w:t>
      </w:r>
      <w:proofErr w:type="spellStart"/>
      <w:r w:rsidRPr="0092785C">
        <w:rPr>
          <w:lang w:val="fr-CA"/>
        </w:rPr>
        <w:t>Buist</w:t>
      </w:r>
      <w:proofErr w:type="spellEnd"/>
      <w:r w:rsidRPr="0092785C">
        <w:rPr>
          <w:lang w:val="fr-CA"/>
        </w:rPr>
        <w:t xml:space="preserve"> a consenti à la Banque de Montréal sa garantie en application de la </w:t>
      </w:r>
      <w:r w:rsidRPr="00DE514D">
        <w:rPr>
          <w:i/>
          <w:lang w:val="fr-CA"/>
        </w:rPr>
        <w:t>LB</w:t>
      </w:r>
      <w:r w:rsidRPr="0092785C">
        <w:rPr>
          <w:lang w:val="fr-CA"/>
        </w:rPr>
        <w:t>,</w:t>
      </w:r>
      <w:r w:rsidRPr="0092785C">
        <w:rPr>
          <w:i/>
          <w:lang w:val="fr-CA"/>
        </w:rPr>
        <w:t xml:space="preserve"> </w:t>
      </w:r>
      <w:r w:rsidRPr="0092785C">
        <w:rPr>
          <w:lang w:val="fr-CA"/>
        </w:rPr>
        <w:t>la Coopérative de crédit détenait déjà une sûreté valide de la nature d</w:t>
      </w:r>
      <w:r w:rsidR="00BA1CC2">
        <w:rPr>
          <w:lang w:val="fr-CA"/>
        </w:rPr>
        <w:t>’</w:t>
      </w:r>
      <w:r w:rsidRPr="0092785C">
        <w:rPr>
          <w:lang w:val="fr-CA"/>
        </w:rPr>
        <w:t>une charge fixe.  Cela veut dire que toute sûreté subséquente ne pouvait être prise que sur le droit de rachat de M. </w:t>
      </w:r>
      <w:proofErr w:type="spellStart"/>
      <w:r w:rsidRPr="0092785C">
        <w:rPr>
          <w:lang w:val="fr-CA"/>
        </w:rPr>
        <w:t>Buist</w:t>
      </w:r>
      <w:proofErr w:type="spellEnd"/>
      <w:r w:rsidRPr="0092785C">
        <w:rPr>
          <w:lang w:val="fr-CA"/>
        </w:rPr>
        <w:t xml:space="preserve"> relativement aux biens.</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Je ne puis retenir non plus l</w:t>
      </w:r>
      <w:r w:rsidR="00BA1CC2">
        <w:rPr>
          <w:lang w:val="fr-CA"/>
        </w:rPr>
        <w:t>’</w:t>
      </w:r>
      <w:r w:rsidRPr="0092785C">
        <w:rPr>
          <w:lang w:val="fr-CA"/>
        </w:rPr>
        <w:t xml:space="preserve">argument que le défaut de parfaire la sûreté influe sur cette qualification.  Sous le régime de la </w:t>
      </w:r>
      <w:r w:rsidR="00DE514D" w:rsidRPr="00DE514D">
        <w:rPr>
          <w:i/>
          <w:lang w:val="fr-CA"/>
        </w:rPr>
        <w:t>PPSA</w:t>
      </w:r>
      <w:r w:rsidRPr="0092785C">
        <w:rPr>
          <w:lang w:val="fr-CA"/>
        </w:rPr>
        <w:t>, le moment où la sûreté a été parfaite, ou le défaut de la parfaire, détermine laquelle de deux sûretés concurrentes prend rang avant l</w:t>
      </w:r>
      <w:r w:rsidR="00BA1CC2">
        <w:rPr>
          <w:lang w:val="fr-CA"/>
        </w:rPr>
        <w:t>’</w:t>
      </w:r>
      <w:r w:rsidRPr="0092785C">
        <w:rPr>
          <w:lang w:val="fr-CA"/>
        </w:rPr>
        <w:t>autre, mais ce facteur n</w:t>
      </w:r>
      <w:r w:rsidR="00BA1CC2">
        <w:rPr>
          <w:lang w:val="fr-CA"/>
        </w:rPr>
        <w:t>’</w:t>
      </w:r>
      <w:r w:rsidRPr="0092785C">
        <w:rPr>
          <w:lang w:val="fr-CA"/>
        </w:rPr>
        <w:t>a pas d</w:t>
      </w:r>
      <w:r w:rsidR="00BA1CC2">
        <w:rPr>
          <w:lang w:val="fr-CA"/>
        </w:rPr>
        <w:t>’</w:t>
      </w:r>
      <w:r w:rsidRPr="0092785C">
        <w:rPr>
          <w:lang w:val="fr-CA"/>
        </w:rPr>
        <w:t>incidence sur la nature ou la validité de la sûreté.  Depuis l</w:t>
      </w:r>
      <w:r w:rsidR="00BA1CC2">
        <w:rPr>
          <w:lang w:val="fr-CA"/>
        </w:rPr>
        <w:t>’</w:t>
      </w:r>
      <w:r w:rsidRPr="0092785C">
        <w:rPr>
          <w:lang w:val="fr-CA"/>
        </w:rPr>
        <w:t xml:space="preserve">adoption de la </w:t>
      </w:r>
      <w:r w:rsidR="00DE514D" w:rsidRPr="00DE514D">
        <w:rPr>
          <w:i/>
          <w:lang w:val="fr-CA"/>
        </w:rPr>
        <w:t>PPSA</w:t>
      </w:r>
      <w:r w:rsidRPr="0092785C">
        <w:rPr>
          <w:lang w:val="fr-CA"/>
        </w:rPr>
        <w:t>, le défaut d</w:t>
      </w:r>
      <w:r w:rsidR="00BA1CC2">
        <w:rPr>
          <w:lang w:val="fr-CA"/>
        </w:rPr>
        <w:t>’</w:t>
      </w:r>
      <w:r w:rsidRPr="0092785C">
        <w:rPr>
          <w:lang w:val="fr-CA"/>
        </w:rPr>
        <w:t>enregistrement n</w:t>
      </w:r>
      <w:r w:rsidR="00BA1CC2">
        <w:rPr>
          <w:lang w:val="fr-CA"/>
        </w:rPr>
        <w:t>’</w:t>
      </w:r>
      <w:r w:rsidRPr="0092785C">
        <w:rPr>
          <w:lang w:val="fr-CA"/>
        </w:rPr>
        <w:t>emporte plus la nullité de la sûreté.  L</w:t>
      </w:r>
      <w:r w:rsidR="00BA1CC2">
        <w:rPr>
          <w:lang w:val="fr-CA"/>
        </w:rPr>
        <w:t>’</w:t>
      </w:r>
      <w:r w:rsidRPr="0092785C">
        <w:rPr>
          <w:lang w:val="fr-CA"/>
        </w:rPr>
        <w:t xml:space="preserve">article 10 de la </w:t>
      </w:r>
      <w:r w:rsidR="00DE514D" w:rsidRPr="00DE514D">
        <w:rPr>
          <w:i/>
          <w:lang w:val="fr-CA"/>
        </w:rPr>
        <w:t>PPSA</w:t>
      </w:r>
      <w:r w:rsidRPr="0092785C">
        <w:rPr>
          <w:lang w:val="fr-CA"/>
        </w:rPr>
        <w:t xml:space="preserve"> indique à quels critères une sûreté doit répondre pour être opposable aux tiers.  La Banque admet ce qui suit au par</w:t>
      </w:r>
      <w:r w:rsidR="00DE514D">
        <w:rPr>
          <w:lang w:val="fr-CA"/>
        </w:rPr>
        <w:t>.</w:t>
      </w:r>
      <w:r w:rsidRPr="0092785C">
        <w:rPr>
          <w:lang w:val="fr-CA"/>
        </w:rPr>
        <w:t> 22 de son mémoire : [</w:t>
      </w:r>
      <w:r w:rsidRPr="0092785C">
        <w:rPr>
          <w:smallCaps/>
          <w:lang w:val="fr-CA"/>
        </w:rPr>
        <w:t>traduction</w:t>
      </w:r>
      <w:r w:rsidRPr="0092785C">
        <w:rPr>
          <w:lang w:val="fr-CA"/>
        </w:rPr>
        <w:t>] « Dans une situation comme celle-ci, où les biens constituent du matériel tangible, la principale exigence, suivant l</w:t>
      </w:r>
      <w:r w:rsidR="00BA1CC2">
        <w:rPr>
          <w:lang w:val="fr-CA"/>
        </w:rPr>
        <w:t>’</w:t>
      </w:r>
      <w:r w:rsidRPr="0092785C">
        <w:rPr>
          <w:lang w:val="fr-CA"/>
        </w:rPr>
        <w:t>al. 10(1)d), est l</w:t>
      </w:r>
      <w:r w:rsidR="00BA1CC2">
        <w:rPr>
          <w:lang w:val="fr-CA"/>
        </w:rPr>
        <w:t>’</w:t>
      </w:r>
      <w:r w:rsidRPr="0092785C">
        <w:rPr>
          <w:lang w:val="fr-CA"/>
        </w:rPr>
        <w:t>existence d</w:t>
      </w:r>
      <w:r w:rsidR="00BA1CC2">
        <w:rPr>
          <w:lang w:val="fr-CA"/>
        </w:rPr>
        <w:t>’</w:t>
      </w:r>
      <w:r w:rsidRPr="0092785C">
        <w:rPr>
          <w:lang w:val="fr-CA"/>
        </w:rPr>
        <w:t>un contrat de sûreté signé qui contient une description des biens. »  Il n</w:t>
      </w:r>
      <w:r w:rsidR="00BA1CC2">
        <w:rPr>
          <w:lang w:val="fr-CA"/>
        </w:rPr>
        <w:t>’</w:t>
      </w:r>
      <w:r w:rsidRPr="0092785C">
        <w:rPr>
          <w:lang w:val="fr-CA"/>
        </w:rPr>
        <w:t>est pas contesté que cette règle est respectée en l</w:t>
      </w:r>
      <w:r w:rsidR="00BA1CC2">
        <w:rPr>
          <w:lang w:val="fr-CA"/>
        </w:rPr>
        <w:t>’</w:t>
      </w:r>
      <w:r w:rsidRPr="0092785C">
        <w:rPr>
          <w:lang w:val="fr-CA"/>
        </w:rPr>
        <w:t>espèce.</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lastRenderedPageBreak/>
        <w:t>J</w:t>
      </w:r>
      <w:r w:rsidR="00BA1CC2">
        <w:rPr>
          <w:lang w:val="fr-CA"/>
        </w:rPr>
        <w:t>’</w:t>
      </w:r>
      <w:r w:rsidRPr="0092785C">
        <w:rPr>
          <w:lang w:val="fr-CA"/>
        </w:rPr>
        <w:t>examinerai maintenant la prétention de la Banque que le conflit doit être tranché selon la règle de priorité du premier enregistrement.</w:t>
      </w:r>
    </w:p>
    <w:p w:rsidR="00DC4439" w:rsidRPr="0092785C" w:rsidRDefault="00DE514D" w:rsidP="00DE514D">
      <w:pPr>
        <w:pStyle w:val="ListParagraph"/>
        <w:keepNext/>
        <w:tabs>
          <w:tab w:val="left" w:pos="540"/>
          <w:tab w:val="left" w:pos="1152"/>
        </w:tabs>
        <w:spacing w:after="480" w:line="480" w:lineRule="auto"/>
        <w:ind w:left="0"/>
        <w:jc w:val="both"/>
        <w:rPr>
          <w:spacing w:val="3"/>
          <w:lang w:val="fr-CA"/>
        </w:rPr>
      </w:pPr>
      <w:r>
        <w:rPr>
          <w:spacing w:val="3"/>
          <w:lang w:val="fr-CA"/>
        </w:rPr>
        <w:t>4.3</w:t>
      </w:r>
      <w:r>
        <w:rPr>
          <w:spacing w:val="3"/>
          <w:lang w:val="fr-CA"/>
        </w:rPr>
        <w:tab/>
      </w:r>
      <w:r w:rsidR="00DC4439" w:rsidRPr="0092785C">
        <w:rPr>
          <w:i/>
          <w:spacing w:val="3"/>
          <w:lang w:val="fr-CA"/>
        </w:rPr>
        <w:t xml:space="preserve">La résolution du conflit de priorité </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Comme je l</w:t>
      </w:r>
      <w:r w:rsidR="00BA1CC2">
        <w:rPr>
          <w:lang w:val="fr-CA"/>
        </w:rPr>
        <w:t>’</w:t>
      </w:r>
      <w:r w:rsidRPr="0092785C">
        <w:rPr>
          <w:lang w:val="fr-CA"/>
        </w:rPr>
        <w:t>ai déjà indiqué, le conflit en l</w:t>
      </w:r>
      <w:r w:rsidR="00BA1CC2">
        <w:rPr>
          <w:lang w:val="fr-CA"/>
        </w:rPr>
        <w:t>’</w:t>
      </w:r>
      <w:r w:rsidRPr="0092785C">
        <w:rPr>
          <w:lang w:val="fr-CA"/>
        </w:rPr>
        <w:t xml:space="preserve">espèce oppose deux sûretés concurrentes valides visant les mêmes biens.  Selon les règles de la </w:t>
      </w:r>
      <w:proofErr w:type="spellStart"/>
      <w:r w:rsidRPr="0092785C">
        <w:rPr>
          <w:lang w:val="fr-CA"/>
        </w:rPr>
        <w:t>common</w:t>
      </w:r>
      <w:proofErr w:type="spellEnd"/>
      <w:r w:rsidRPr="0092785C">
        <w:rPr>
          <w:lang w:val="fr-CA"/>
        </w:rPr>
        <w:t xml:space="preserve"> </w:t>
      </w:r>
      <w:proofErr w:type="spellStart"/>
      <w:r w:rsidRPr="0092785C">
        <w:rPr>
          <w:lang w:val="fr-CA"/>
        </w:rPr>
        <w:t>law</w:t>
      </w:r>
      <w:proofErr w:type="spellEnd"/>
      <w:r w:rsidRPr="0092785C">
        <w:rPr>
          <w:lang w:val="fr-CA"/>
        </w:rPr>
        <w:t xml:space="preserve">, la solution à un conflit de priorité entre deux intérêts en </w:t>
      </w:r>
      <w:proofErr w:type="spellStart"/>
      <w:r w:rsidRPr="0092785C">
        <w:rPr>
          <w:lang w:val="fr-CA"/>
        </w:rPr>
        <w:t>common</w:t>
      </w:r>
      <w:proofErr w:type="spellEnd"/>
      <w:r w:rsidRPr="0092785C">
        <w:rPr>
          <w:lang w:val="fr-CA"/>
        </w:rPr>
        <w:t xml:space="preserve"> </w:t>
      </w:r>
      <w:proofErr w:type="spellStart"/>
      <w:r w:rsidRPr="0092785C">
        <w:rPr>
          <w:lang w:val="fr-CA"/>
        </w:rPr>
        <w:t>law</w:t>
      </w:r>
      <w:proofErr w:type="spellEnd"/>
      <w:r w:rsidRPr="0092785C">
        <w:rPr>
          <w:lang w:val="fr-CA"/>
        </w:rPr>
        <w:t xml:space="preserve"> dans le même bien tient à la maxime </w:t>
      </w:r>
      <w:proofErr w:type="spellStart"/>
      <w:r w:rsidRPr="0092785C">
        <w:rPr>
          <w:i/>
          <w:lang w:val="fr-CA"/>
        </w:rPr>
        <w:t>nemo</w:t>
      </w:r>
      <w:proofErr w:type="spellEnd"/>
      <w:r w:rsidRPr="0092785C">
        <w:rPr>
          <w:i/>
          <w:lang w:val="fr-CA"/>
        </w:rPr>
        <w:t xml:space="preserve"> </w:t>
      </w:r>
      <w:proofErr w:type="spellStart"/>
      <w:r w:rsidRPr="0092785C">
        <w:rPr>
          <w:i/>
          <w:lang w:val="fr-CA"/>
        </w:rPr>
        <w:t>dat</w:t>
      </w:r>
      <w:proofErr w:type="spellEnd"/>
      <w:r w:rsidRPr="0092785C">
        <w:rPr>
          <w:i/>
          <w:lang w:val="fr-CA"/>
        </w:rPr>
        <w:t xml:space="preserve"> quod non </w:t>
      </w:r>
      <w:proofErr w:type="spellStart"/>
      <w:r w:rsidRPr="0092785C">
        <w:rPr>
          <w:i/>
          <w:lang w:val="fr-CA"/>
        </w:rPr>
        <w:t>habet</w:t>
      </w:r>
      <w:proofErr w:type="spellEnd"/>
      <w:r w:rsidRPr="0092785C">
        <w:rPr>
          <w:lang w:val="fr-CA"/>
        </w:rPr>
        <w:t xml:space="preserve"> : voir B. Ziff, </w:t>
      </w:r>
      <w:proofErr w:type="spellStart"/>
      <w:r w:rsidRPr="0092785C">
        <w:rPr>
          <w:i/>
          <w:lang w:val="fr-CA"/>
        </w:rPr>
        <w:t>Principles</w:t>
      </w:r>
      <w:proofErr w:type="spellEnd"/>
      <w:r w:rsidRPr="0092785C">
        <w:rPr>
          <w:i/>
          <w:lang w:val="fr-CA"/>
        </w:rPr>
        <w:t xml:space="preserve"> of </w:t>
      </w:r>
      <w:proofErr w:type="spellStart"/>
      <w:r w:rsidRPr="0092785C">
        <w:rPr>
          <w:i/>
          <w:lang w:val="fr-CA"/>
        </w:rPr>
        <w:t>Property</w:t>
      </w:r>
      <w:proofErr w:type="spellEnd"/>
      <w:r w:rsidRPr="0092785C">
        <w:rPr>
          <w:i/>
          <w:lang w:val="fr-CA"/>
        </w:rPr>
        <w:t xml:space="preserve"> Law</w:t>
      </w:r>
      <w:r w:rsidRPr="0092785C">
        <w:rPr>
          <w:lang w:val="fr-CA"/>
        </w:rPr>
        <w:t xml:space="preserve"> (4</w:t>
      </w:r>
      <w:r w:rsidRPr="0092785C">
        <w:rPr>
          <w:vertAlign w:val="superscript"/>
          <w:lang w:val="fr-CA"/>
        </w:rPr>
        <w:t>e</w:t>
      </w:r>
      <w:r w:rsidRPr="0092785C">
        <w:rPr>
          <w:lang w:val="fr-CA"/>
        </w:rPr>
        <w:t xml:space="preserve"> éd. 2006)</w:t>
      </w:r>
      <w:r w:rsidR="00DE514D">
        <w:rPr>
          <w:lang w:val="fr-CA"/>
        </w:rPr>
        <w:t xml:space="preserve">, </w:t>
      </w:r>
      <w:r w:rsidRPr="0092785C">
        <w:rPr>
          <w:lang w:val="fr-CA"/>
        </w:rPr>
        <w:t>p. 432</w:t>
      </w:r>
      <w:r w:rsidR="00DE514D">
        <w:rPr>
          <w:lang w:val="fr-CA"/>
        </w:rPr>
        <w:t>-</w:t>
      </w:r>
      <w:r w:rsidRPr="0092785C">
        <w:rPr>
          <w:lang w:val="fr-CA"/>
        </w:rPr>
        <w:t xml:space="preserve">434.  En termes simples, cette règle prévoit que, si A cède le titre en </w:t>
      </w:r>
      <w:proofErr w:type="spellStart"/>
      <w:r w:rsidRPr="0092785C">
        <w:rPr>
          <w:lang w:val="fr-CA"/>
        </w:rPr>
        <w:t>common</w:t>
      </w:r>
      <w:proofErr w:type="spellEnd"/>
      <w:r w:rsidRPr="0092785C">
        <w:rPr>
          <w:lang w:val="fr-CA"/>
        </w:rPr>
        <w:t xml:space="preserve"> </w:t>
      </w:r>
      <w:proofErr w:type="spellStart"/>
      <w:r w:rsidRPr="0092785C">
        <w:rPr>
          <w:lang w:val="fr-CA"/>
        </w:rPr>
        <w:t>law</w:t>
      </w:r>
      <w:proofErr w:type="spellEnd"/>
      <w:r w:rsidRPr="0092785C">
        <w:rPr>
          <w:lang w:val="fr-CA"/>
        </w:rPr>
        <w:t xml:space="preserve"> sur un bien à B, et ensuite à C, le titre est dévolu à B.  Puisque A n</w:t>
      </w:r>
      <w:r w:rsidR="00BA1CC2">
        <w:rPr>
          <w:lang w:val="fr-CA"/>
        </w:rPr>
        <w:t>’</w:t>
      </w:r>
      <w:r w:rsidRPr="0092785C">
        <w:rPr>
          <w:lang w:val="fr-CA"/>
        </w:rPr>
        <w:t xml:space="preserve">a plus de titre en </w:t>
      </w:r>
      <w:proofErr w:type="spellStart"/>
      <w:r w:rsidRPr="0092785C">
        <w:rPr>
          <w:lang w:val="fr-CA"/>
        </w:rPr>
        <w:t>common</w:t>
      </w:r>
      <w:proofErr w:type="spellEnd"/>
      <w:r w:rsidRPr="0092785C">
        <w:rPr>
          <w:lang w:val="fr-CA"/>
        </w:rPr>
        <w:t xml:space="preserve"> </w:t>
      </w:r>
      <w:proofErr w:type="spellStart"/>
      <w:r w:rsidRPr="0092785C">
        <w:rPr>
          <w:lang w:val="fr-CA"/>
        </w:rPr>
        <w:t>law</w:t>
      </w:r>
      <w:proofErr w:type="spellEnd"/>
      <w:r w:rsidRPr="0092785C">
        <w:rPr>
          <w:lang w:val="fr-CA"/>
        </w:rPr>
        <w:t xml:space="preserve"> à donner à C, il ne peut pas lui transmettre pareil titre.  Ainsi, en présence de deux intérêts en </w:t>
      </w:r>
      <w:proofErr w:type="spellStart"/>
      <w:r w:rsidRPr="0092785C">
        <w:rPr>
          <w:lang w:val="fr-CA"/>
        </w:rPr>
        <w:t>common</w:t>
      </w:r>
      <w:proofErr w:type="spellEnd"/>
      <w:r w:rsidRPr="0092785C">
        <w:rPr>
          <w:lang w:val="fr-CA"/>
        </w:rPr>
        <w:t xml:space="preserve"> </w:t>
      </w:r>
      <w:proofErr w:type="spellStart"/>
      <w:r w:rsidRPr="0092785C">
        <w:rPr>
          <w:lang w:val="fr-CA"/>
        </w:rPr>
        <w:t>law</w:t>
      </w:r>
      <w:proofErr w:type="spellEnd"/>
      <w:r w:rsidRPr="0092785C">
        <w:rPr>
          <w:lang w:val="fr-CA"/>
        </w:rPr>
        <w:t xml:space="preserve"> concurrents dans un bien, la règle </w:t>
      </w:r>
      <w:proofErr w:type="spellStart"/>
      <w:r w:rsidRPr="0092785C">
        <w:rPr>
          <w:i/>
          <w:lang w:val="fr-CA"/>
        </w:rPr>
        <w:t>nemo</w:t>
      </w:r>
      <w:proofErr w:type="spellEnd"/>
      <w:r w:rsidRPr="0092785C">
        <w:rPr>
          <w:i/>
          <w:lang w:val="fr-CA"/>
        </w:rPr>
        <w:t xml:space="preserve"> </w:t>
      </w:r>
      <w:proofErr w:type="spellStart"/>
      <w:r w:rsidRPr="0092785C">
        <w:rPr>
          <w:i/>
          <w:lang w:val="fr-CA"/>
        </w:rPr>
        <w:t>dat</w:t>
      </w:r>
      <w:proofErr w:type="spellEnd"/>
      <w:r w:rsidRPr="0092785C">
        <w:rPr>
          <w:i/>
          <w:lang w:val="fr-CA"/>
        </w:rPr>
        <w:t xml:space="preserve"> </w:t>
      </w:r>
      <w:r w:rsidRPr="0092785C">
        <w:rPr>
          <w:lang w:val="fr-CA"/>
        </w:rPr>
        <w:t xml:space="preserve">accorde priorité de rang à la première partie à acquérir un intérêt en </w:t>
      </w:r>
      <w:proofErr w:type="spellStart"/>
      <w:r w:rsidRPr="0092785C">
        <w:rPr>
          <w:lang w:val="fr-CA"/>
        </w:rPr>
        <w:t>common</w:t>
      </w:r>
      <w:proofErr w:type="spellEnd"/>
      <w:r w:rsidRPr="0092785C">
        <w:rPr>
          <w:lang w:val="fr-CA"/>
        </w:rPr>
        <w:t xml:space="preserve"> </w:t>
      </w:r>
      <w:proofErr w:type="spellStart"/>
      <w:r w:rsidRPr="0092785C">
        <w:rPr>
          <w:lang w:val="fr-CA"/>
        </w:rPr>
        <w:t>law</w:t>
      </w:r>
      <w:proofErr w:type="spellEnd"/>
      <w:r w:rsidRPr="0092785C">
        <w:rPr>
          <w:lang w:val="fr-CA"/>
        </w:rPr>
        <w:t xml:space="preserve"> dans le bien.  L</w:t>
      </w:r>
      <w:r w:rsidR="00BA1CC2">
        <w:rPr>
          <w:lang w:val="fr-CA"/>
        </w:rPr>
        <w:t>’</w:t>
      </w:r>
      <w:r w:rsidRPr="0092785C">
        <w:rPr>
          <w:lang w:val="fr-CA"/>
        </w:rPr>
        <w:t xml:space="preserve">application de la règle de la </w:t>
      </w:r>
      <w:proofErr w:type="spellStart"/>
      <w:r w:rsidRPr="0092785C">
        <w:rPr>
          <w:lang w:val="fr-CA"/>
        </w:rPr>
        <w:t>common</w:t>
      </w:r>
      <w:proofErr w:type="spellEnd"/>
      <w:r w:rsidRPr="0092785C">
        <w:rPr>
          <w:lang w:val="fr-CA"/>
        </w:rPr>
        <w:t xml:space="preserve"> </w:t>
      </w:r>
      <w:proofErr w:type="spellStart"/>
      <w:r w:rsidRPr="0092785C">
        <w:rPr>
          <w:lang w:val="fr-CA"/>
        </w:rPr>
        <w:t>law</w:t>
      </w:r>
      <w:proofErr w:type="spellEnd"/>
      <w:r w:rsidRPr="0092785C">
        <w:rPr>
          <w:lang w:val="fr-CA"/>
        </w:rPr>
        <w:t xml:space="preserve"> dans le présent dossier a pour effet de donner priorité de rang à l</w:t>
      </w:r>
      <w:r w:rsidR="00BA1CC2">
        <w:rPr>
          <w:lang w:val="fr-CA"/>
        </w:rPr>
        <w:t>’</w:t>
      </w:r>
      <w:r w:rsidRPr="0092785C">
        <w:rPr>
          <w:lang w:val="fr-CA"/>
        </w:rPr>
        <w:t>intérêt de la Coopérative de crédit.  Comme nous l</w:t>
      </w:r>
      <w:r w:rsidR="00BA1CC2">
        <w:rPr>
          <w:lang w:val="fr-CA"/>
        </w:rPr>
        <w:t>’</w:t>
      </w:r>
      <w:r w:rsidRPr="0092785C">
        <w:rPr>
          <w:lang w:val="fr-CA"/>
        </w:rPr>
        <w:t xml:space="preserve">avons constaté, la </w:t>
      </w:r>
      <w:r w:rsidRPr="00DE514D">
        <w:rPr>
          <w:i/>
          <w:lang w:val="fr-CA"/>
        </w:rPr>
        <w:t>LB</w:t>
      </w:r>
      <w:r w:rsidRPr="0092785C">
        <w:rPr>
          <w:i/>
          <w:lang w:val="fr-CA"/>
        </w:rPr>
        <w:t xml:space="preserve"> </w:t>
      </w:r>
      <w:r w:rsidRPr="0092785C">
        <w:rPr>
          <w:lang w:val="fr-CA"/>
        </w:rPr>
        <w:t>établit un régime de sûreté axé sur la propriété selon lequel, par suite de l</w:t>
      </w:r>
      <w:r w:rsidR="00BA1CC2">
        <w:rPr>
          <w:lang w:val="fr-CA"/>
        </w:rPr>
        <w:t>’</w:t>
      </w:r>
      <w:r w:rsidRPr="0092785C">
        <w:rPr>
          <w:lang w:val="fr-CA"/>
        </w:rPr>
        <w:t>effet conjugué des par. 427(2) et 435(2), la Banque ne peut recevoir dans les biens un intérêt supérieur à celui que détenait le débiteur lui-même.  Ces dispositions s</w:t>
      </w:r>
      <w:r w:rsidR="00BA1CC2">
        <w:rPr>
          <w:lang w:val="fr-CA"/>
        </w:rPr>
        <w:t>’</w:t>
      </w:r>
      <w:r w:rsidRPr="0092785C">
        <w:rPr>
          <w:lang w:val="fr-CA"/>
        </w:rPr>
        <w:t xml:space="preserve">appliquent donc de la même manière que la règle </w:t>
      </w:r>
      <w:proofErr w:type="spellStart"/>
      <w:r w:rsidRPr="0092785C">
        <w:rPr>
          <w:i/>
          <w:lang w:val="fr-CA"/>
        </w:rPr>
        <w:t>nemo</w:t>
      </w:r>
      <w:proofErr w:type="spellEnd"/>
      <w:r w:rsidRPr="0092785C">
        <w:rPr>
          <w:i/>
          <w:lang w:val="fr-CA"/>
        </w:rPr>
        <w:t xml:space="preserve"> </w:t>
      </w:r>
      <w:proofErr w:type="spellStart"/>
      <w:r w:rsidRPr="0092785C">
        <w:rPr>
          <w:i/>
          <w:lang w:val="fr-CA"/>
        </w:rPr>
        <w:t>dat</w:t>
      </w:r>
      <w:proofErr w:type="spellEnd"/>
      <w:r w:rsidRPr="0092785C">
        <w:rPr>
          <w:i/>
          <w:lang w:val="fr-CA"/>
        </w:rPr>
        <w:t xml:space="preserve"> </w:t>
      </w:r>
      <w:r w:rsidRPr="0092785C">
        <w:rPr>
          <w:lang w:val="fr-CA"/>
        </w:rPr>
        <w:t xml:space="preserve">de la </w:t>
      </w:r>
      <w:proofErr w:type="spellStart"/>
      <w:r w:rsidRPr="0092785C">
        <w:rPr>
          <w:lang w:val="fr-CA"/>
        </w:rPr>
        <w:t>common</w:t>
      </w:r>
      <w:proofErr w:type="spellEnd"/>
      <w:r w:rsidRPr="0092785C">
        <w:rPr>
          <w:lang w:val="fr-CA"/>
        </w:rPr>
        <w:t xml:space="preserve"> </w:t>
      </w:r>
      <w:proofErr w:type="spellStart"/>
      <w:r w:rsidRPr="0092785C">
        <w:rPr>
          <w:lang w:val="fr-CA"/>
        </w:rPr>
        <w:t>law</w:t>
      </w:r>
      <w:proofErr w:type="spellEnd"/>
      <w:r w:rsidRPr="0092785C">
        <w:rPr>
          <w:lang w:val="fr-CA"/>
        </w:rPr>
        <w:t xml:space="preserve">.  Lorsque la Banque a pris sa sûreté en vertu de la </w:t>
      </w:r>
      <w:r w:rsidRPr="00DE514D">
        <w:rPr>
          <w:i/>
          <w:lang w:val="fr-CA"/>
        </w:rPr>
        <w:t>LB</w:t>
      </w:r>
      <w:r w:rsidRPr="0092785C">
        <w:rPr>
          <w:lang w:val="fr-CA"/>
        </w:rPr>
        <w:t xml:space="preserve">, la Coopérative de crédit avait déjà acquis sur le même bien un intérêt légal qui, </w:t>
      </w:r>
      <w:r w:rsidRPr="0092785C">
        <w:rPr>
          <w:lang w:val="fr-CA"/>
        </w:rPr>
        <w:lastRenderedPageBreak/>
        <w:t>sous l</w:t>
      </w:r>
      <w:r w:rsidR="00BA1CC2">
        <w:rPr>
          <w:lang w:val="fr-CA"/>
        </w:rPr>
        <w:t>’</w:t>
      </w:r>
      <w:r w:rsidRPr="0092785C">
        <w:rPr>
          <w:lang w:val="fr-CA"/>
        </w:rPr>
        <w:t>angle de la propriété, correspondait à une charge fixe.  En conséquence, la Banque ne pouvait prendre sa sûreté que sous réserve de cette sûreté antérieure.</w:t>
      </w:r>
    </w:p>
    <w:p w:rsidR="00DC4439" w:rsidRPr="0092785C" w:rsidRDefault="00DC4439" w:rsidP="00DC4439">
      <w:pPr>
        <w:pStyle w:val="ListParagraph"/>
        <w:numPr>
          <w:ilvl w:val="0"/>
          <w:numId w:val="1"/>
        </w:numPr>
        <w:tabs>
          <w:tab w:val="left" w:pos="1152"/>
        </w:tabs>
        <w:spacing w:after="480" w:line="480" w:lineRule="auto"/>
        <w:ind w:left="0" w:firstLine="0"/>
        <w:jc w:val="both"/>
        <w:rPr>
          <w:lang w:val="fr-CA"/>
        </w:rPr>
      </w:pPr>
      <w:r w:rsidRPr="0092785C">
        <w:rPr>
          <w:spacing w:val="3"/>
          <w:lang w:val="fr-CA"/>
        </w:rPr>
        <w:t>La Banque de Montréal soutient que l</w:t>
      </w:r>
      <w:r w:rsidR="00BA1CC2">
        <w:rPr>
          <w:spacing w:val="3"/>
          <w:lang w:val="fr-CA"/>
        </w:rPr>
        <w:t>’</w:t>
      </w:r>
      <w:r w:rsidRPr="0092785C">
        <w:rPr>
          <w:spacing w:val="3"/>
          <w:lang w:val="fr-CA"/>
        </w:rPr>
        <w:t xml:space="preserve">application de la règle </w:t>
      </w:r>
      <w:proofErr w:type="spellStart"/>
      <w:r w:rsidRPr="0092785C">
        <w:rPr>
          <w:i/>
          <w:spacing w:val="3"/>
          <w:lang w:val="fr-CA"/>
        </w:rPr>
        <w:t>nemo</w:t>
      </w:r>
      <w:proofErr w:type="spellEnd"/>
      <w:r w:rsidRPr="0092785C">
        <w:rPr>
          <w:i/>
          <w:spacing w:val="3"/>
          <w:lang w:val="fr-CA"/>
        </w:rPr>
        <w:t xml:space="preserve"> </w:t>
      </w:r>
      <w:proofErr w:type="spellStart"/>
      <w:r w:rsidRPr="0092785C">
        <w:rPr>
          <w:i/>
          <w:spacing w:val="3"/>
          <w:lang w:val="fr-CA"/>
        </w:rPr>
        <w:t>dat</w:t>
      </w:r>
      <w:proofErr w:type="spellEnd"/>
      <w:r w:rsidRPr="0092785C">
        <w:rPr>
          <w:spacing w:val="3"/>
          <w:lang w:val="fr-CA"/>
        </w:rPr>
        <w:t xml:space="preserve"> doit être écartée dans les circonstances, car elle donne des résultats déraisonnables sur le plan commercial.  Puisque les banques prenant une garantie sous le régime de la </w:t>
      </w:r>
      <w:r w:rsidRPr="00DE514D">
        <w:rPr>
          <w:i/>
          <w:spacing w:val="3"/>
          <w:lang w:val="fr-CA"/>
        </w:rPr>
        <w:t>LB</w:t>
      </w:r>
      <w:r w:rsidRPr="0092785C">
        <w:rPr>
          <w:i/>
          <w:spacing w:val="3"/>
          <w:lang w:val="fr-CA"/>
        </w:rPr>
        <w:t xml:space="preserve"> </w:t>
      </w:r>
      <w:r w:rsidRPr="0092785C">
        <w:rPr>
          <w:spacing w:val="3"/>
          <w:lang w:val="fr-CA"/>
        </w:rPr>
        <w:t>n</w:t>
      </w:r>
      <w:r w:rsidR="00BA1CC2">
        <w:rPr>
          <w:spacing w:val="3"/>
          <w:lang w:val="fr-CA"/>
        </w:rPr>
        <w:t>’</w:t>
      </w:r>
      <w:r w:rsidRPr="0092785C">
        <w:rPr>
          <w:spacing w:val="3"/>
          <w:lang w:val="fr-CA"/>
        </w:rPr>
        <w:t>ont aucun moyen de découvrir l</w:t>
      </w:r>
      <w:r w:rsidR="00BA1CC2">
        <w:rPr>
          <w:spacing w:val="3"/>
          <w:lang w:val="fr-CA"/>
        </w:rPr>
        <w:t>’</w:t>
      </w:r>
      <w:r w:rsidRPr="0092785C">
        <w:rPr>
          <w:spacing w:val="3"/>
          <w:lang w:val="fr-CA"/>
        </w:rPr>
        <w:t xml:space="preserve">existence de sûretés relevant de la </w:t>
      </w:r>
      <w:r w:rsidRPr="00DE514D">
        <w:rPr>
          <w:i/>
          <w:spacing w:val="3"/>
          <w:lang w:val="fr-CA"/>
        </w:rPr>
        <w:t>PPSA</w:t>
      </w:r>
      <w:r w:rsidRPr="0092785C">
        <w:rPr>
          <w:spacing w:val="3"/>
          <w:lang w:val="fr-CA"/>
        </w:rPr>
        <w:t xml:space="preserve"> qui n</w:t>
      </w:r>
      <w:r w:rsidR="00BA1CC2">
        <w:rPr>
          <w:spacing w:val="3"/>
          <w:lang w:val="fr-CA"/>
        </w:rPr>
        <w:t>’</w:t>
      </w:r>
      <w:r w:rsidRPr="0092785C">
        <w:rPr>
          <w:spacing w:val="3"/>
          <w:lang w:val="fr-CA"/>
        </w:rPr>
        <w:t>ont été ni révélées, ni enregistrées, le fait d</w:t>
      </w:r>
      <w:r w:rsidR="00BA1CC2">
        <w:rPr>
          <w:spacing w:val="3"/>
          <w:lang w:val="fr-CA"/>
        </w:rPr>
        <w:t>’</w:t>
      </w:r>
      <w:r w:rsidRPr="0092785C">
        <w:rPr>
          <w:spacing w:val="3"/>
          <w:lang w:val="fr-CA"/>
        </w:rPr>
        <w:t xml:space="preserve">accorder la priorité aux sûretés de ce genre sur les garanties subséquentes régies par la </w:t>
      </w:r>
      <w:r w:rsidRPr="00DE514D">
        <w:rPr>
          <w:i/>
          <w:spacing w:val="3"/>
          <w:lang w:val="fr-CA"/>
        </w:rPr>
        <w:t>LB</w:t>
      </w:r>
      <w:r w:rsidRPr="0092785C">
        <w:rPr>
          <w:i/>
          <w:spacing w:val="3"/>
          <w:lang w:val="fr-CA"/>
        </w:rPr>
        <w:t xml:space="preserve"> </w:t>
      </w:r>
      <w:r w:rsidRPr="0092785C">
        <w:rPr>
          <w:spacing w:val="3"/>
          <w:lang w:val="fr-CA"/>
        </w:rPr>
        <w:t>exposerait les banques à des risques commerciaux déraisonnables.  La Banque presse donc la Cour d</w:t>
      </w:r>
      <w:r w:rsidR="00BA1CC2">
        <w:rPr>
          <w:spacing w:val="3"/>
          <w:lang w:val="fr-CA"/>
        </w:rPr>
        <w:t>’</w:t>
      </w:r>
      <w:r w:rsidRPr="0092785C">
        <w:rPr>
          <w:spacing w:val="3"/>
          <w:lang w:val="fr-CA"/>
        </w:rPr>
        <w:t xml:space="preserve">adopter une règle conférant priorité à la première sûreté </w:t>
      </w:r>
      <w:r w:rsidRPr="0092785C">
        <w:rPr>
          <w:i/>
          <w:spacing w:val="3"/>
          <w:lang w:val="fr-CA"/>
        </w:rPr>
        <w:t>enregistrée</w:t>
      </w:r>
      <w:r w:rsidRPr="0092785C">
        <w:rPr>
          <w:spacing w:val="3"/>
          <w:lang w:val="fr-CA"/>
        </w:rPr>
        <w:t>.</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L</w:t>
      </w:r>
      <w:r w:rsidR="00BA1CC2">
        <w:rPr>
          <w:lang w:val="fr-CA"/>
        </w:rPr>
        <w:t>’</w:t>
      </w:r>
      <w:r w:rsidRPr="0092785C">
        <w:rPr>
          <w:lang w:val="fr-CA"/>
        </w:rPr>
        <w:t xml:space="preserve">argument de la Banque fait écho aux demandes de réforme législative de nombreux commentateurs.  Bien entendu, le législateur peut décider de modifier la </w:t>
      </w:r>
      <w:r w:rsidRPr="00DE514D">
        <w:rPr>
          <w:i/>
          <w:lang w:val="fr-CA"/>
        </w:rPr>
        <w:t>LB</w:t>
      </w:r>
      <w:r w:rsidRPr="0092785C">
        <w:rPr>
          <w:lang w:val="fr-CA"/>
        </w:rPr>
        <w:t xml:space="preserve"> et d</w:t>
      </w:r>
      <w:r w:rsidR="00BA1CC2">
        <w:rPr>
          <w:lang w:val="fr-CA"/>
        </w:rPr>
        <w:t>’</w:t>
      </w:r>
      <w:r w:rsidRPr="0092785C">
        <w:rPr>
          <w:lang w:val="fr-CA"/>
        </w:rPr>
        <w:t xml:space="preserve">ajouter expressément une règle de priorité qui aurait pour effet de subordonner une sûreté antérieure non parfaite prise au titre de la </w:t>
      </w:r>
      <w:r w:rsidR="00DE514D" w:rsidRPr="00DE514D">
        <w:rPr>
          <w:i/>
          <w:lang w:val="fr-CA"/>
        </w:rPr>
        <w:t>PPSA</w:t>
      </w:r>
      <w:r w:rsidRPr="0092785C">
        <w:rPr>
          <w:lang w:val="fr-CA"/>
        </w:rPr>
        <w:t xml:space="preserve"> à une garantie subséquente régie par la </w:t>
      </w:r>
      <w:r w:rsidRPr="00DE514D">
        <w:rPr>
          <w:i/>
          <w:lang w:val="fr-CA"/>
        </w:rPr>
        <w:t>LB</w:t>
      </w:r>
      <w:r w:rsidRPr="0092785C">
        <w:rPr>
          <w:lang w:val="fr-CA"/>
        </w:rPr>
        <w:t>.  Toutefois, les tribunaux ne peuvent pour leur part établir une telle règle que si elle ne va pas à l</w:t>
      </w:r>
      <w:r w:rsidR="00BA1CC2">
        <w:rPr>
          <w:lang w:val="fr-CA"/>
        </w:rPr>
        <w:t>’</w:t>
      </w:r>
      <w:r w:rsidRPr="0092785C">
        <w:rPr>
          <w:lang w:val="fr-CA"/>
        </w:rPr>
        <w:t xml:space="preserve">encontre des dispositions actuelles de la </w:t>
      </w:r>
      <w:r w:rsidRPr="00DE514D">
        <w:rPr>
          <w:i/>
          <w:lang w:val="fr-CA"/>
        </w:rPr>
        <w:t>LB</w:t>
      </w:r>
      <w:r w:rsidRPr="0092785C">
        <w:rPr>
          <w:lang w:val="fr-CA"/>
        </w:rPr>
        <w:t>.  À mon avis, l</w:t>
      </w:r>
      <w:r w:rsidR="00BA1CC2">
        <w:rPr>
          <w:lang w:val="fr-CA"/>
        </w:rPr>
        <w:t>’</w:t>
      </w:r>
      <w:r w:rsidRPr="0092785C">
        <w:rPr>
          <w:lang w:val="fr-CA"/>
        </w:rPr>
        <w:t>adoption d</w:t>
      </w:r>
      <w:r w:rsidR="00BA1CC2">
        <w:rPr>
          <w:lang w:val="fr-CA"/>
        </w:rPr>
        <w:t>’</w:t>
      </w:r>
      <w:r w:rsidRPr="0092785C">
        <w:rPr>
          <w:lang w:val="fr-CA"/>
        </w:rPr>
        <w:t>une règle conférant priorité au premier enregistrement irait à l</w:t>
      </w:r>
      <w:r w:rsidR="00BA1CC2">
        <w:rPr>
          <w:lang w:val="fr-CA"/>
        </w:rPr>
        <w:t>’</w:t>
      </w:r>
      <w:r w:rsidRPr="0092785C">
        <w:rPr>
          <w:lang w:val="fr-CA"/>
        </w:rPr>
        <w:t>encontre des par. 427(2) et 435(2).  Le défaut d</w:t>
      </w:r>
      <w:r w:rsidR="00BA1CC2">
        <w:rPr>
          <w:lang w:val="fr-CA"/>
        </w:rPr>
        <w:t>’</w:t>
      </w:r>
      <w:r w:rsidRPr="0092785C">
        <w:rPr>
          <w:lang w:val="fr-CA"/>
        </w:rPr>
        <w:t>enregistrement n</w:t>
      </w:r>
      <w:r w:rsidR="00BA1CC2">
        <w:rPr>
          <w:lang w:val="fr-CA"/>
        </w:rPr>
        <w:t>’</w:t>
      </w:r>
      <w:r w:rsidRPr="0092785C">
        <w:rPr>
          <w:lang w:val="fr-CA"/>
        </w:rPr>
        <w:t>affecte en rien la nature et la validité de la sûreté antérieure de la Coopérative de crédit.  Comme l</w:t>
      </w:r>
      <w:r w:rsidR="00BA1CC2">
        <w:rPr>
          <w:lang w:val="fr-CA"/>
        </w:rPr>
        <w:t>’</w:t>
      </w:r>
      <w:r w:rsidRPr="0092785C">
        <w:rPr>
          <w:lang w:val="fr-CA"/>
        </w:rPr>
        <w:t xml:space="preserve">ont fait remarquer les professeurs </w:t>
      </w:r>
      <w:proofErr w:type="spellStart"/>
      <w:r w:rsidRPr="0092785C">
        <w:rPr>
          <w:lang w:val="fr-CA"/>
        </w:rPr>
        <w:t>Cuming</w:t>
      </w:r>
      <w:proofErr w:type="spellEnd"/>
      <w:r w:rsidRPr="0092785C">
        <w:rPr>
          <w:lang w:val="fr-CA"/>
        </w:rPr>
        <w:t xml:space="preserve">, Walsh et Wood à la p. 590 de leur ouvrage intitulé </w:t>
      </w:r>
      <w:proofErr w:type="spellStart"/>
      <w:r w:rsidRPr="0092785C">
        <w:rPr>
          <w:i/>
          <w:lang w:val="fr-CA"/>
        </w:rPr>
        <w:t>Personal</w:t>
      </w:r>
      <w:proofErr w:type="spellEnd"/>
      <w:r w:rsidRPr="0092785C">
        <w:rPr>
          <w:i/>
          <w:lang w:val="fr-CA"/>
        </w:rPr>
        <w:t xml:space="preserve"> </w:t>
      </w:r>
      <w:proofErr w:type="spellStart"/>
      <w:r w:rsidRPr="0092785C">
        <w:rPr>
          <w:i/>
          <w:lang w:val="fr-CA"/>
        </w:rPr>
        <w:t>Property</w:t>
      </w:r>
      <w:proofErr w:type="spellEnd"/>
      <w:r w:rsidRPr="0092785C">
        <w:rPr>
          <w:i/>
          <w:lang w:val="fr-CA"/>
        </w:rPr>
        <w:t xml:space="preserve"> Security Law</w:t>
      </w:r>
      <w:r w:rsidRPr="0092785C">
        <w:rPr>
          <w:lang w:val="fr-CA"/>
        </w:rPr>
        <w:t xml:space="preserve">, le cadre axé sur la propriété qui est établi par </w:t>
      </w:r>
      <w:r w:rsidRPr="0092785C">
        <w:rPr>
          <w:lang w:val="fr-CA"/>
        </w:rPr>
        <w:lastRenderedPageBreak/>
        <w:t xml:space="preserve">la </w:t>
      </w:r>
      <w:r w:rsidRPr="00DE514D">
        <w:rPr>
          <w:i/>
          <w:lang w:val="fr-CA"/>
        </w:rPr>
        <w:t>LB</w:t>
      </w:r>
      <w:r w:rsidRPr="0092785C">
        <w:rPr>
          <w:i/>
          <w:lang w:val="fr-CA"/>
        </w:rPr>
        <w:t xml:space="preserve"> </w:t>
      </w:r>
      <w:r w:rsidRPr="0092785C">
        <w:rPr>
          <w:lang w:val="fr-CA"/>
        </w:rPr>
        <w:t xml:space="preserve">ne permet pas vraiment de faire une distinction entre les sûretés parfaites et les sûretés non parfaites prises au titre de la </w:t>
      </w:r>
      <w:r w:rsidR="00DE514D" w:rsidRPr="00DE514D">
        <w:rPr>
          <w:i/>
          <w:lang w:val="fr-CA"/>
        </w:rPr>
        <w:t>PPSA</w:t>
      </w:r>
      <w:r w:rsidRPr="0092785C">
        <w:rPr>
          <w:lang w:val="fr-CA"/>
        </w:rPr>
        <w:t>, et il n</w:t>
      </w:r>
      <w:r w:rsidR="00BA1CC2">
        <w:rPr>
          <w:lang w:val="fr-CA"/>
        </w:rPr>
        <w:t>’</w:t>
      </w:r>
      <w:r w:rsidRPr="0092785C">
        <w:rPr>
          <w:lang w:val="fr-CA"/>
        </w:rPr>
        <w:t>existe pas non plus de règle de priorité prévoyant explicitement un traitement distinct :</w:t>
      </w:r>
    </w:p>
    <w:p w:rsidR="00DC4439" w:rsidRPr="0092785C" w:rsidRDefault="00DC4439" w:rsidP="00DC4439">
      <w:pPr>
        <w:pStyle w:val="Citation1"/>
        <w:contextualSpacing w:val="0"/>
      </w:pPr>
      <w:r w:rsidRPr="0092785C">
        <w:rPr>
          <w:spacing w:val="3"/>
        </w:rPr>
        <w:t>[</w:t>
      </w:r>
      <w:r w:rsidRPr="0092785C">
        <w:rPr>
          <w:smallCaps/>
        </w:rPr>
        <w:t>traduction</w:t>
      </w:r>
      <w:r w:rsidRPr="0092785C">
        <w:rPr>
          <w:spacing w:val="3"/>
        </w:rPr>
        <w:t>]</w:t>
      </w:r>
      <w:r w:rsidR="00DE514D">
        <w:rPr>
          <w:spacing w:val="3"/>
        </w:rPr>
        <w:t xml:space="preserve">  </w:t>
      </w:r>
      <w:r w:rsidRPr="0092785C">
        <w:t xml:space="preserve">Par application du [par. 427(2)], une banque obtient le bien du débiteur sous réserve de toute sûreté préexistante détenue par un tiers.  Ainsi, une sûreté antérieure relevant de la PPSA aura priorité sur une garantie subséquente régie par la </w:t>
      </w:r>
      <w:r w:rsidRPr="0092785C">
        <w:rPr>
          <w:i/>
        </w:rPr>
        <w:t>Loi sur les banque</w:t>
      </w:r>
      <w:r w:rsidRPr="00DE514D">
        <w:rPr>
          <w:i/>
        </w:rPr>
        <w:t>s</w:t>
      </w:r>
      <w:r w:rsidRPr="0092785C">
        <w:t>.  Cela vaut même si la sûreté antérieure relevant de la PPSA n</w:t>
      </w:r>
      <w:r w:rsidR="00BA1CC2">
        <w:t>’</w:t>
      </w:r>
      <w:r w:rsidRPr="0092785C">
        <w:t xml:space="preserve">a pas été parfaite.  Rien dans la </w:t>
      </w:r>
      <w:r w:rsidRPr="0092785C">
        <w:rPr>
          <w:i/>
        </w:rPr>
        <w:t>Loi sur les banques</w:t>
      </w:r>
      <w:r w:rsidRPr="0092785C">
        <w:t xml:space="preserve"> n</w:t>
      </w:r>
      <w:r w:rsidR="00BA1CC2">
        <w:t>’</w:t>
      </w:r>
      <w:r w:rsidRPr="0092785C">
        <w:t>abaisse le rang de priorité d</w:t>
      </w:r>
      <w:r w:rsidR="00BA1CC2">
        <w:t>’</w:t>
      </w:r>
      <w:r w:rsidRPr="0092785C">
        <w:t>une sûreté antérieure non parfaite sous le régime de la PPSA.</w:t>
      </w:r>
    </w:p>
    <w:p w:rsidR="00DC4439" w:rsidRPr="0092785C" w:rsidRDefault="00DC4439" w:rsidP="00DC4439">
      <w:pPr>
        <w:pStyle w:val="ListParagraph"/>
        <w:numPr>
          <w:ilvl w:val="0"/>
          <w:numId w:val="1"/>
        </w:numPr>
        <w:tabs>
          <w:tab w:val="left" w:pos="1166"/>
        </w:tabs>
        <w:spacing w:after="480" w:line="480" w:lineRule="auto"/>
        <w:ind w:left="0" w:firstLine="0"/>
        <w:jc w:val="both"/>
      </w:pPr>
      <w:r w:rsidRPr="0092785C">
        <w:rPr>
          <w:lang w:val="fr-CA"/>
        </w:rPr>
        <w:t xml:space="preserve">La Cour ne peut donc passer outre les dispositions de la </w:t>
      </w:r>
      <w:r w:rsidRPr="00DE514D">
        <w:rPr>
          <w:i/>
          <w:lang w:val="fr-CA"/>
        </w:rPr>
        <w:t>LB</w:t>
      </w:r>
      <w:r w:rsidRPr="0092785C">
        <w:rPr>
          <w:lang w:val="fr-CA"/>
        </w:rPr>
        <w:t>.  Pour ce seul motif, il est impossible d</w:t>
      </w:r>
      <w:r w:rsidR="00BA1CC2">
        <w:rPr>
          <w:lang w:val="fr-CA"/>
        </w:rPr>
        <w:t>’</w:t>
      </w:r>
      <w:r w:rsidRPr="0092785C">
        <w:rPr>
          <w:lang w:val="fr-CA"/>
        </w:rPr>
        <w:t>acquiescer au plaidoyer de la Banque en faveur d</w:t>
      </w:r>
      <w:r w:rsidR="00BA1CC2">
        <w:rPr>
          <w:lang w:val="fr-CA"/>
        </w:rPr>
        <w:t>’</w:t>
      </w:r>
      <w:r w:rsidRPr="0092785C">
        <w:rPr>
          <w:lang w:val="fr-CA"/>
        </w:rPr>
        <w:t xml:space="preserve">une règle conférant priorité au premier enregistrement.  </w:t>
      </w:r>
      <w:proofErr w:type="spellStart"/>
      <w:r w:rsidRPr="0092785C">
        <w:t>Cette</w:t>
      </w:r>
      <w:proofErr w:type="spellEnd"/>
      <w:r w:rsidRPr="0092785C">
        <w:t xml:space="preserve"> </w:t>
      </w:r>
      <w:proofErr w:type="spellStart"/>
      <w:r w:rsidRPr="0092785C">
        <w:t>règle</w:t>
      </w:r>
      <w:proofErr w:type="spellEnd"/>
      <w:r w:rsidRPr="0092785C">
        <w:t xml:space="preserve"> pose </w:t>
      </w:r>
      <w:proofErr w:type="spellStart"/>
      <w:r w:rsidRPr="0092785C">
        <w:t>toutefois</w:t>
      </w:r>
      <w:proofErr w:type="spellEnd"/>
      <w:r w:rsidRPr="0092785C">
        <w:t xml:space="preserve"> </w:t>
      </w:r>
      <w:proofErr w:type="spellStart"/>
      <w:r w:rsidRPr="0092785C">
        <w:t>problème</w:t>
      </w:r>
      <w:proofErr w:type="spellEnd"/>
      <w:r w:rsidRPr="0092785C">
        <w:t xml:space="preserve"> à </w:t>
      </w:r>
      <w:proofErr w:type="spellStart"/>
      <w:r w:rsidRPr="0092785C">
        <w:t>d</w:t>
      </w:r>
      <w:r w:rsidR="00BA1CC2">
        <w:t>’</w:t>
      </w:r>
      <w:r w:rsidRPr="0092785C">
        <w:t>autres</w:t>
      </w:r>
      <w:proofErr w:type="spellEnd"/>
      <w:r w:rsidRPr="0092785C">
        <w:t xml:space="preserve"> </w:t>
      </w:r>
      <w:proofErr w:type="spellStart"/>
      <w:r w:rsidRPr="0092785C">
        <w:t>égards</w:t>
      </w:r>
      <w:proofErr w:type="spellEnd"/>
      <w:r w:rsidRPr="0092785C">
        <w:t>.</w:t>
      </w:r>
    </w:p>
    <w:p w:rsidR="00DC4439" w:rsidRPr="00DE514D"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Une règle conférant priorité au premier enregistrement a pour prémisse que l</w:t>
      </w:r>
      <w:r w:rsidR="00BA1CC2">
        <w:rPr>
          <w:lang w:val="fr-CA"/>
        </w:rPr>
        <w:t>’</w:t>
      </w:r>
      <w:r w:rsidRPr="0092785C">
        <w:rPr>
          <w:lang w:val="fr-CA"/>
        </w:rPr>
        <w:t xml:space="preserve">enregistrement constitue « un avis à tous », un concept qui a été aboli sous le régime de la </w:t>
      </w:r>
      <w:r w:rsidR="00DE514D" w:rsidRPr="00DE514D">
        <w:rPr>
          <w:i/>
          <w:lang w:val="fr-CA"/>
        </w:rPr>
        <w:t>PPSA</w:t>
      </w:r>
      <w:r w:rsidRPr="0092785C">
        <w:rPr>
          <w:lang w:val="fr-CA"/>
        </w:rPr>
        <w:t xml:space="preserve">.  </w:t>
      </w:r>
      <w:r w:rsidRPr="00DE514D">
        <w:rPr>
          <w:lang w:val="fr-CA"/>
        </w:rPr>
        <w:t>Comme la juge Jackson l</w:t>
      </w:r>
      <w:r w:rsidR="00BA1CC2" w:rsidRPr="00DE514D">
        <w:rPr>
          <w:lang w:val="fr-CA"/>
        </w:rPr>
        <w:t>’</w:t>
      </w:r>
      <w:r w:rsidRPr="00DE514D">
        <w:rPr>
          <w:lang w:val="fr-CA"/>
        </w:rPr>
        <w:t>a expliqué au par</w:t>
      </w:r>
      <w:r w:rsidR="00DE514D">
        <w:rPr>
          <w:lang w:val="fr-CA"/>
        </w:rPr>
        <w:t>.</w:t>
      </w:r>
      <w:r w:rsidRPr="00DE514D">
        <w:rPr>
          <w:lang w:val="fr-CA"/>
        </w:rPr>
        <w:t> 31</w:t>
      </w:r>
      <w:r w:rsidR="00575F60">
        <w:rPr>
          <w:lang w:val="fr-CA"/>
        </w:rPr>
        <w:t> :</w:t>
      </w:r>
    </w:p>
    <w:p w:rsidR="00DC4439" w:rsidRPr="0092785C" w:rsidRDefault="00DC4439" w:rsidP="00DC4439">
      <w:pPr>
        <w:pStyle w:val="Citation1"/>
        <w:contextualSpacing w:val="0"/>
        <w:rPr>
          <w:spacing w:val="3"/>
        </w:rPr>
      </w:pPr>
      <w:r w:rsidRPr="0092785C">
        <w:rPr>
          <w:spacing w:val="3"/>
        </w:rPr>
        <w:t>[</w:t>
      </w:r>
      <w:r w:rsidRPr="0092785C">
        <w:rPr>
          <w:smallCaps/>
        </w:rPr>
        <w:t>traduction</w:t>
      </w:r>
      <w:r w:rsidRPr="0092785C">
        <w:rPr>
          <w:spacing w:val="3"/>
        </w:rPr>
        <w:t>]</w:t>
      </w:r>
      <w:r w:rsidR="00E21A6B">
        <w:rPr>
          <w:spacing w:val="3"/>
        </w:rPr>
        <w:t xml:space="preserve">  </w:t>
      </w:r>
      <w:r w:rsidRPr="0092785C">
        <w:rPr>
          <w:spacing w:val="3"/>
        </w:rPr>
        <w:t>L</w:t>
      </w:r>
      <w:r w:rsidR="00BA1CC2">
        <w:rPr>
          <w:spacing w:val="3"/>
        </w:rPr>
        <w:t>’</w:t>
      </w:r>
      <w:r w:rsidRPr="0092785C">
        <w:rPr>
          <w:spacing w:val="3"/>
        </w:rPr>
        <w:t xml:space="preserve">enregistrement dans le contexte de la </w:t>
      </w:r>
      <w:r w:rsidRPr="0092785C">
        <w:rPr>
          <w:i/>
          <w:spacing w:val="3"/>
        </w:rPr>
        <w:t>PPSA</w:t>
      </w:r>
      <w:r w:rsidRPr="0092785C">
        <w:rPr>
          <w:spacing w:val="3"/>
        </w:rPr>
        <w:t xml:space="preserve"> ne sert pas cet objectif.  Bien qu</w:t>
      </w:r>
      <w:r w:rsidR="00BA1CC2">
        <w:rPr>
          <w:spacing w:val="3"/>
        </w:rPr>
        <w:t>’</w:t>
      </w:r>
      <w:r w:rsidRPr="0092785C">
        <w:rPr>
          <w:spacing w:val="3"/>
        </w:rPr>
        <w:t>il ait accessoirement pour objectif de permettre à des créanciers éventuels de faire une recherche sur un débiteur à partir de son nom, et sur certains types de biens personnels à partir de leur numéro de série, l</w:t>
      </w:r>
      <w:r w:rsidR="00BA1CC2">
        <w:rPr>
          <w:spacing w:val="3"/>
        </w:rPr>
        <w:t>’</w:t>
      </w:r>
      <w:r w:rsidRPr="0092785C">
        <w:rPr>
          <w:spacing w:val="3"/>
        </w:rPr>
        <w:t>enregistrement a pour effet fondamental d</w:t>
      </w:r>
      <w:r w:rsidR="00BA1CC2">
        <w:rPr>
          <w:spacing w:val="3"/>
        </w:rPr>
        <w:t>’</w:t>
      </w:r>
      <w:r w:rsidRPr="0092785C">
        <w:rPr>
          <w:spacing w:val="3"/>
        </w:rPr>
        <w:t>établir l</w:t>
      </w:r>
      <w:r w:rsidR="00BA1CC2">
        <w:rPr>
          <w:spacing w:val="3"/>
        </w:rPr>
        <w:t>’</w:t>
      </w:r>
      <w:r w:rsidRPr="0092785C">
        <w:rPr>
          <w:spacing w:val="3"/>
        </w:rPr>
        <w:t>ordre de priorité en fonction du moment de l</w:t>
      </w:r>
      <w:r w:rsidR="00BA1CC2">
        <w:rPr>
          <w:spacing w:val="3"/>
        </w:rPr>
        <w:t>’</w:t>
      </w:r>
      <w:r w:rsidRPr="0092785C">
        <w:rPr>
          <w:spacing w:val="3"/>
        </w:rPr>
        <w:t>enregistrement, et ce, seulement pour l</w:t>
      </w:r>
      <w:r w:rsidR="00BA1CC2">
        <w:rPr>
          <w:spacing w:val="3"/>
        </w:rPr>
        <w:t>’</w:t>
      </w:r>
      <w:r w:rsidRPr="0092785C">
        <w:rPr>
          <w:spacing w:val="3"/>
        </w:rPr>
        <w:t xml:space="preserve">application de la </w:t>
      </w:r>
      <w:r w:rsidRPr="0092785C">
        <w:rPr>
          <w:i/>
          <w:spacing w:val="3"/>
        </w:rPr>
        <w:t>PPSA</w:t>
      </w:r>
      <w:r w:rsidRPr="0092785C">
        <w:rPr>
          <w:spacing w:val="3"/>
        </w:rPr>
        <w:t>.  L</w:t>
      </w:r>
      <w:r w:rsidR="00BA1CC2">
        <w:rPr>
          <w:spacing w:val="3"/>
        </w:rPr>
        <w:t>’</w:t>
      </w:r>
      <w:r w:rsidRPr="0092785C">
        <w:rPr>
          <w:spacing w:val="3"/>
        </w:rPr>
        <w:t xml:space="preserve">enregistrement ne constitue plus un avis réel ou présumé dans le contexte de la </w:t>
      </w:r>
      <w:r w:rsidRPr="0092785C">
        <w:rPr>
          <w:i/>
          <w:spacing w:val="3"/>
        </w:rPr>
        <w:t>PPSA</w:t>
      </w:r>
      <w:r w:rsidRPr="0092785C">
        <w:rPr>
          <w:spacing w:val="3"/>
        </w:rPr>
        <w:t>.  L</w:t>
      </w:r>
      <w:r w:rsidR="00BA1CC2">
        <w:rPr>
          <w:spacing w:val="3"/>
        </w:rPr>
        <w:t>’</w:t>
      </w:r>
      <w:r w:rsidRPr="0092785C">
        <w:rPr>
          <w:spacing w:val="3"/>
        </w:rPr>
        <w:t xml:space="preserve">article 47 de la </w:t>
      </w:r>
      <w:r w:rsidRPr="0092785C">
        <w:rPr>
          <w:i/>
          <w:spacing w:val="3"/>
        </w:rPr>
        <w:t>PPSA</w:t>
      </w:r>
      <w:r w:rsidRPr="0092785C">
        <w:rPr>
          <w:spacing w:val="3"/>
        </w:rPr>
        <w:t xml:space="preserve"> abolit ce concept.</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lastRenderedPageBreak/>
        <w:t>Je suis d</w:t>
      </w:r>
      <w:r w:rsidR="00BA1CC2">
        <w:rPr>
          <w:lang w:val="fr-CA"/>
        </w:rPr>
        <w:t>’</w:t>
      </w:r>
      <w:r w:rsidRPr="0092785C">
        <w:rPr>
          <w:lang w:val="fr-CA"/>
        </w:rPr>
        <w:t>accord pour dire que la thèse selon laquelle l</w:t>
      </w:r>
      <w:r w:rsidR="00BA1CC2">
        <w:rPr>
          <w:lang w:val="fr-CA"/>
        </w:rPr>
        <w:t>’</w:t>
      </w:r>
      <w:r w:rsidRPr="0092785C">
        <w:rPr>
          <w:lang w:val="fr-CA"/>
        </w:rPr>
        <w:t>enregistrement constitue un avis à tous va à l</w:t>
      </w:r>
      <w:r w:rsidR="00BA1CC2">
        <w:rPr>
          <w:lang w:val="fr-CA"/>
        </w:rPr>
        <w:t>’</w:t>
      </w:r>
      <w:r w:rsidRPr="0092785C">
        <w:rPr>
          <w:lang w:val="fr-CA"/>
        </w:rPr>
        <w:t>encontre du libellé exprès de l</w:t>
      </w:r>
      <w:r w:rsidR="00BA1CC2">
        <w:rPr>
          <w:lang w:val="fr-CA"/>
        </w:rPr>
        <w:t>’</w:t>
      </w:r>
      <w:r w:rsidRPr="0092785C">
        <w:rPr>
          <w:lang w:val="fr-CA"/>
        </w:rPr>
        <w:t xml:space="preserve">art. 47 de la </w:t>
      </w:r>
      <w:r w:rsidR="00E21A6B" w:rsidRPr="00DE514D">
        <w:rPr>
          <w:i/>
          <w:lang w:val="fr-CA"/>
        </w:rPr>
        <w:t>PPSA</w:t>
      </w:r>
      <w:r w:rsidRPr="0092785C">
        <w:rPr>
          <w:lang w:val="fr-CA"/>
        </w:rPr>
        <w:t xml:space="preserve">.  Cet article prévoit ce qui suit : </w:t>
      </w:r>
      <w:r w:rsidRPr="0092785C">
        <w:rPr>
          <w:spacing w:val="3"/>
          <w:lang w:val="fr-CA"/>
        </w:rPr>
        <w:t>[</w:t>
      </w:r>
      <w:r w:rsidRPr="0092785C">
        <w:rPr>
          <w:smallCaps/>
          <w:lang w:val="fr-CA"/>
        </w:rPr>
        <w:t>traduction</w:t>
      </w:r>
      <w:r w:rsidRPr="0092785C">
        <w:rPr>
          <w:spacing w:val="3"/>
          <w:lang w:val="fr-CA"/>
        </w:rPr>
        <w:t>] « Les tiers ne sont pas réputés avoir connaissance de l</w:t>
      </w:r>
      <w:r w:rsidR="00BA1CC2">
        <w:rPr>
          <w:spacing w:val="3"/>
          <w:lang w:val="fr-CA"/>
        </w:rPr>
        <w:t>’</w:t>
      </w:r>
      <w:r w:rsidRPr="0092785C">
        <w:rPr>
          <w:spacing w:val="3"/>
          <w:lang w:val="fr-CA"/>
        </w:rPr>
        <w:t>existence ou du contenu d</w:t>
      </w:r>
      <w:r w:rsidR="00BA1CC2">
        <w:rPr>
          <w:spacing w:val="3"/>
          <w:lang w:val="fr-CA"/>
        </w:rPr>
        <w:t>’</w:t>
      </w:r>
      <w:r w:rsidRPr="0092785C">
        <w:rPr>
          <w:spacing w:val="3"/>
          <w:lang w:val="fr-CA"/>
        </w:rPr>
        <w:t>un état de financement du seul fait de son enregistrement au Bureau d</w:t>
      </w:r>
      <w:r w:rsidR="00BA1CC2">
        <w:rPr>
          <w:spacing w:val="3"/>
          <w:lang w:val="fr-CA"/>
        </w:rPr>
        <w:t>’</w:t>
      </w:r>
      <w:r w:rsidRPr="0092785C">
        <w:rPr>
          <w:spacing w:val="3"/>
          <w:lang w:val="fr-CA"/>
        </w:rPr>
        <w:t>enregistrement. »  Il n</w:t>
      </w:r>
      <w:r w:rsidR="00BA1CC2">
        <w:rPr>
          <w:spacing w:val="3"/>
          <w:lang w:val="fr-CA"/>
        </w:rPr>
        <w:t>’</w:t>
      </w:r>
      <w:r w:rsidRPr="0092785C">
        <w:rPr>
          <w:spacing w:val="3"/>
          <w:lang w:val="fr-CA"/>
        </w:rPr>
        <w:t xml:space="preserve">est pas obligatoire de déposer les documents relatifs à la sûreté en application de la </w:t>
      </w:r>
      <w:r w:rsidR="00E21A6B" w:rsidRPr="00DE514D">
        <w:rPr>
          <w:i/>
          <w:lang w:val="fr-CA"/>
        </w:rPr>
        <w:t>PPSA</w:t>
      </w:r>
      <w:r w:rsidRPr="0092785C">
        <w:rPr>
          <w:spacing w:val="3"/>
          <w:lang w:val="fr-CA"/>
        </w:rPr>
        <w:t xml:space="preserve"> ni de les soumettre pour examen.  En fait, l</w:t>
      </w:r>
      <w:r w:rsidR="00BA1CC2">
        <w:rPr>
          <w:spacing w:val="3"/>
          <w:lang w:val="fr-CA"/>
        </w:rPr>
        <w:t>’</w:t>
      </w:r>
      <w:r w:rsidRPr="0092785C">
        <w:rPr>
          <w:spacing w:val="3"/>
          <w:lang w:val="fr-CA"/>
        </w:rPr>
        <w:t xml:space="preserve">art. 25 de la </w:t>
      </w:r>
      <w:r w:rsidR="00E21A6B" w:rsidRPr="00DE514D">
        <w:rPr>
          <w:i/>
          <w:lang w:val="fr-CA"/>
        </w:rPr>
        <w:t>PPSA</w:t>
      </w:r>
      <w:r w:rsidRPr="0092785C">
        <w:rPr>
          <w:spacing w:val="3"/>
          <w:lang w:val="fr-CA"/>
        </w:rPr>
        <w:t xml:space="preserve"> permet d</w:t>
      </w:r>
      <w:r w:rsidR="00BA1CC2">
        <w:rPr>
          <w:spacing w:val="3"/>
          <w:lang w:val="fr-CA"/>
        </w:rPr>
        <w:t>’</w:t>
      </w:r>
      <w:r w:rsidRPr="0092785C">
        <w:rPr>
          <w:spacing w:val="3"/>
          <w:lang w:val="fr-CA"/>
        </w:rPr>
        <w:t>enregistrer un état de financement avant la signature du contrat de sûreté.  Donc, l</w:t>
      </w:r>
      <w:r w:rsidR="00BA1CC2">
        <w:rPr>
          <w:spacing w:val="3"/>
          <w:lang w:val="fr-CA"/>
        </w:rPr>
        <w:t>’</w:t>
      </w:r>
      <w:r w:rsidRPr="0092785C">
        <w:rPr>
          <w:spacing w:val="3"/>
          <w:lang w:val="fr-CA"/>
        </w:rPr>
        <w:t>existence d</w:t>
      </w:r>
      <w:r w:rsidR="00BA1CC2">
        <w:rPr>
          <w:spacing w:val="3"/>
          <w:lang w:val="fr-CA"/>
        </w:rPr>
        <w:t>’</w:t>
      </w:r>
      <w:r w:rsidRPr="0092785C">
        <w:rPr>
          <w:spacing w:val="3"/>
          <w:lang w:val="fr-CA"/>
        </w:rPr>
        <w:t>un état de financement enregistré ne signifie pas qu</w:t>
      </w:r>
      <w:r w:rsidR="00BA1CC2">
        <w:rPr>
          <w:spacing w:val="3"/>
          <w:lang w:val="fr-CA"/>
        </w:rPr>
        <w:t>’</w:t>
      </w:r>
      <w:r w:rsidRPr="0092785C">
        <w:rPr>
          <w:spacing w:val="3"/>
          <w:lang w:val="fr-CA"/>
        </w:rPr>
        <w:t xml:space="preserve">une sûreté relevant de la </w:t>
      </w:r>
      <w:r w:rsidR="00E21A6B" w:rsidRPr="00DE514D">
        <w:rPr>
          <w:i/>
          <w:lang w:val="fr-CA"/>
        </w:rPr>
        <w:t>PPSA</w:t>
      </w:r>
      <w:r w:rsidRPr="0092785C">
        <w:rPr>
          <w:spacing w:val="3"/>
          <w:lang w:val="fr-CA"/>
        </w:rPr>
        <w:t xml:space="preserve"> existe nécessairement, mais indique seulement qu</w:t>
      </w:r>
      <w:r w:rsidR="00BA1CC2">
        <w:rPr>
          <w:spacing w:val="3"/>
          <w:lang w:val="fr-CA"/>
        </w:rPr>
        <w:t>’</w:t>
      </w:r>
      <w:r w:rsidRPr="0092785C">
        <w:rPr>
          <w:spacing w:val="3"/>
          <w:lang w:val="fr-CA"/>
        </w:rPr>
        <w:t>il est possible qu</w:t>
      </w:r>
      <w:r w:rsidR="00BA1CC2">
        <w:rPr>
          <w:spacing w:val="3"/>
          <w:lang w:val="fr-CA"/>
        </w:rPr>
        <w:t>’</w:t>
      </w:r>
      <w:r w:rsidRPr="0092785C">
        <w:rPr>
          <w:spacing w:val="3"/>
          <w:lang w:val="fr-CA"/>
        </w:rPr>
        <w:t>une sûreté de ce genre existe ou soit obtenue plus tard.  Le système d</w:t>
      </w:r>
      <w:r w:rsidR="00BA1CC2">
        <w:rPr>
          <w:spacing w:val="3"/>
          <w:lang w:val="fr-CA"/>
        </w:rPr>
        <w:t>’</w:t>
      </w:r>
      <w:r w:rsidRPr="0092785C">
        <w:rPr>
          <w:spacing w:val="3"/>
          <w:lang w:val="fr-CA"/>
        </w:rPr>
        <w:t xml:space="preserve">enregistrement de la </w:t>
      </w:r>
      <w:r w:rsidR="00E21A6B" w:rsidRPr="00DE514D">
        <w:rPr>
          <w:i/>
          <w:lang w:val="fr-CA"/>
        </w:rPr>
        <w:t>PPSA</w:t>
      </w:r>
      <w:r w:rsidRPr="0092785C">
        <w:rPr>
          <w:spacing w:val="3"/>
          <w:lang w:val="fr-CA"/>
        </w:rPr>
        <w:t xml:space="preserve"> diffère de ceux qui l</w:t>
      </w:r>
      <w:r w:rsidR="00BA1CC2">
        <w:rPr>
          <w:spacing w:val="3"/>
          <w:lang w:val="fr-CA"/>
        </w:rPr>
        <w:t>’</w:t>
      </w:r>
      <w:r w:rsidRPr="0092785C">
        <w:rPr>
          <w:spacing w:val="3"/>
          <w:lang w:val="fr-CA"/>
        </w:rPr>
        <w:t xml:space="preserve">ont précédé et des autres registres des titres fournissant une preuve </w:t>
      </w:r>
      <w:proofErr w:type="gramStart"/>
      <w:r w:rsidRPr="0092785C">
        <w:rPr>
          <w:i/>
          <w:spacing w:val="3"/>
          <w:lang w:val="fr-CA"/>
        </w:rPr>
        <w:t>prima</w:t>
      </w:r>
      <w:proofErr w:type="gramEnd"/>
      <w:r w:rsidRPr="0092785C">
        <w:rPr>
          <w:i/>
          <w:spacing w:val="3"/>
          <w:lang w:val="fr-CA"/>
        </w:rPr>
        <w:t xml:space="preserve"> </w:t>
      </w:r>
      <w:proofErr w:type="spellStart"/>
      <w:r w:rsidRPr="0092785C">
        <w:rPr>
          <w:i/>
          <w:spacing w:val="3"/>
          <w:lang w:val="fr-CA"/>
        </w:rPr>
        <w:t>facie</w:t>
      </w:r>
      <w:proofErr w:type="spellEnd"/>
      <w:r w:rsidRPr="0092785C">
        <w:rPr>
          <w:spacing w:val="3"/>
          <w:lang w:val="fr-CA"/>
        </w:rPr>
        <w:t xml:space="preserve"> de l</w:t>
      </w:r>
      <w:r w:rsidR="00BA1CC2">
        <w:rPr>
          <w:spacing w:val="3"/>
          <w:lang w:val="fr-CA"/>
        </w:rPr>
        <w:t>’</w:t>
      </w:r>
      <w:r w:rsidRPr="0092785C">
        <w:rPr>
          <w:spacing w:val="3"/>
          <w:lang w:val="fr-CA"/>
        </w:rPr>
        <w:t>existence de la sûreté.</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On peut soutenir que cette caractéristique de la </w:t>
      </w:r>
      <w:r w:rsidR="00E21A6B" w:rsidRPr="00DE514D">
        <w:rPr>
          <w:i/>
          <w:lang w:val="fr-CA"/>
        </w:rPr>
        <w:t>PPSA</w:t>
      </w:r>
      <w:r w:rsidRPr="0092785C">
        <w:rPr>
          <w:lang w:val="fr-CA"/>
        </w:rPr>
        <w:t xml:space="preserve"> ne poserait pas d</w:t>
      </w:r>
      <w:r w:rsidR="00BA1CC2">
        <w:rPr>
          <w:lang w:val="fr-CA"/>
        </w:rPr>
        <w:t>’</w:t>
      </w:r>
      <w:r w:rsidRPr="0092785C">
        <w:rPr>
          <w:lang w:val="fr-CA"/>
        </w:rPr>
        <w:t>obstacles insurmontables à l</w:t>
      </w:r>
      <w:r w:rsidR="00BA1CC2">
        <w:rPr>
          <w:lang w:val="fr-CA"/>
        </w:rPr>
        <w:t>’</w:t>
      </w:r>
      <w:r w:rsidRPr="0092785C">
        <w:rPr>
          <w:lang w:val="fr-CA"/>
        </w:rPr>
        <w:t>application d</w:t>
      </w:r>
      <w:r w:rsidR="00BA1CC2">
        <w:rPr>
          <w:lang w:val="fr-CA"/>
        </w:rPr>
        <w:t>’</w:t>
      </w:r>
      <w:r w:rsidRPr="0092785C">
        <w:rPr>
          <w:lang w:val="fr-CA"/>
        </w:rPr>
        <w:t>une règle conférant priorité au premier enregistrement, vu que l</w:t>
      </w:r>
      <w:r w:rsidR="00BA1CC2">
        <w:rPr>
          <w:lang w:val="fr-CA"/>
        </w:rPr>
        <w:t>’</w:t>
      </w:r>
      <w:r w:rsidRPr="0092785C">
        <w:rPr>
          <w:lang w:val="fr-CA"/>
        </w:rPr>
        <w:t xml:space="preserve">art. 18 de la </w:t>
      </w:r>
      <w:r w:rsidR="00E21A6B" w:rsidRPr="00DE514D">
        <w:rPr>
          <w:i/>
          <w:lang w:val="fr-CA"/>
        </w:rPr>
        <w:t>PPSA</w:t>
      </w:r>
      <w:r w:rsidRPr="0092785C">
        <w:rPr>
          <w:lang w:val="fr-CA"/>
        </w:rPr>
        <w:t xml:space="preserve"> permet à certaines personnes, dont les créanciers, d</w:t>
      </w:r>
      <w:r w:rsidR="00BA1CC2">
        <w:rPr>
          <w:lang w:val="fr-CA"/>
        </w:rPr>
        <w:t>’</w:t>
      </w:r>
      <w:r w:rsidRPr="0092785C">
        <w:rPr>
          <w:lang w:val="fr-CA"/>
        </w:rPr>
        <w:t>exiger du créancier garanti qu</w:t>
      </w:r>
      <w:r w:rsidR="00BA1CC2">
        <w:rPr>
          <w:lang w:val="fr-CA"/>
        </w:rPr>
        <w:t>’</w:t>
      </w:r>
      <w:r w:rsidRPr="0092785C">
        <w:rPr>
          <w:lang w:val="fr-CA"/>
        </w:rPr>
        <w:t>il leur transmette une copie du contrat de sûreté et des renseignements à jour sur l</w:t>
      </w:r>
      <w:r w:rsidR="00BA1CC2">
        <w:rPr>
          <w:lang w:val="fr-CA"/>
        </w:rPr>
        <w:t>’</w:t>
      </w:r>
      <w:r w:rsidRPr="0092785C">
        <w:rPr>
          <w:lang w:val="fr-CA"/>
        </w:rPr>
        <w:t>état de la dette.  L</w:t>
      </w:r>
      <w:r w:rsidR="00BA1CC2">
        <w:rPr>
          <w:lang w:val="fr-CA"/>
        </w:rPr>
        <w:t>’</w:t>
      </w:r>
      <w:r w:rsidRPr="0092785C">
        <w:rPr>
          <w:lang w:val="fr-CA"/>
        </w:rPr>
        <w:t>existence de ces dispositions relatives à la communication ne règle cependant pas la difficulté attribuable au fait que c</w:t>
      </w:r>
      <w:r w:rsidR="00BA1CC2">
        <w:rPr>
          <w:lang w:val="fr-CA"/>
        </w:rPr>
        <w:t>’</w:t>
      </w:r>
      <w:r w:rsidRPr="0092785C">
        <w:rPr>
          <w:lang w:val="fr-CA"/>
        </w:rPr>
        <w:t xml:space="preserve">est la notion de </w:t>
      </w:r>
      <w:r w:rsidRPr="0092785C">
        <w:rPr>
          <w:i/>
          <w:lang w:val="fr-CA"/>
        </w:rPr>
        <w:t>perfection</w:t>
      </w:r>
      <w:r w:rsidRPr="0092785C">
        <w:rPr>
          <w:lang w:val="fr-CA"/>
        </w:rPr>
        <w:t>, et non d</w:t>
      </w:r>
      <w:r w:rsidR="00BA1CC2">
        <w:rPr>
          <w:lang w:val="fr-CA"/>
        </w:rPr>
        <w:t>’</w:t>
      </w:r>
      <w:r w:rsidRPr="0092785C">
        <w:rPr>
          <w:lang w:val="fr-CA"/>
        </w:rPr>
        <w:t xml:space="preserve">enregistrement, qui est la clé du régime de priorité établi par la </w:t>
      </w:r>
      <w:r w:rsidR="00E21A6B" w:rsidRPr="00DE514D">
        <w:rPr>
          <w:i/>
          <w:lang w:val="fr-CA"/>
        </w:rPr>
        <w:t>PPSA</w:t>
      </w:r>
      <w:r w:rsidRPr="0092785C">
        <w:rPr>
          <w:lang w:val="fr-CA"/>
        </w:rPr>
        <w:t>.  L</w:t>
      </w:r>
      <w:r w:rsidR="00BA1CC2">
        <w:rPr>
          <w:lang w:val="fr-CA"/>
        </w:rPr>
        <w:t>’</w:t>
      </w:r>
      <w:r w:rsidRPr="0092785C">
        <w:rPr>
          <w:lang w:val="fr-CA"/>
        </w:rPr>
        <w:t>enregistrement est un mécanisme important de perfection d</w:t>
      </w:r>
      <w:r w:rsidR="00BA1CC2">
        <w:rPr>
          <w:lang w:val="fr-CA"/>
        </w:rPr>
        <w:t>’</w:t>
      </w:r>
      <w:r w:rsidRPr="0092785C">
        <w:rPr>
          <w:lang w:val="fr-CA"/>
        </w:rPr>
        <w:t>une sûreté, mais il en existe bien d</w:t>
      </w:r>
      <w:r w:rsidR="00BA1CC2">
        <w:rPr>
          <w:lang w:val="fr-CA"/>
        </w:rPr>
        <w:t>’</w:t>
      </w:r>
      <w:r w:rsidRPr="0092785C">
        <w:rPr>
          <w:lang w:val="fr-CA"/>
        </w:rPr>
        <w:t xml:space="preserve">autres.  Par conséquent, </w:t>
      </w:r>
      <w:r w:rsidRPr="0092785C">
        <w:rPr>
          <w:lang w:val="fr-CA"/>
        </w:rPr>
        <w:lastRenderedPageBreak/>
        <w:t>si la règle proposée conférant priorité au premier enregistrement a pour but d</w:t>
      </w:r>
      <w:r w:rsidR="00BA1CC2">
        <w:rPr>
          <w:lang w:val="fr-CA"/>
        </w:rPr>
        <w:t>’</w:t>
      </w:r>
      <w:r w:rsidRPr="0092785C">
        <w:rPr>
          <w:lang w:val="fr-CA"/>
        </w:rPr>
        <w:t xml:space="preserve">établir une priorité sur toutes les sûretés </w:t>
      </w:r>
      <w:r w:rsidRPr="0092785C">
        <w:rPr>
          <w:i/>
          <w:lang w:val="fr-CA"/>
        </w:rPr>
        <w:t>non parfaites</w:t>
      </w:r>
      <w:r w:rsidRPr="0092785C">
        <w:rPr>
          <w:lang w:val="fr-CA"/>
        </w:rPr>
        <w:t xml:space="preserve"> au titre de la </w:t>
      </w:r>
      <w:r w:rsidR="00E21A6B" w:rsidRPr="00DE514D">
        <w:rPr>
          <w:i/>
          <w:lang w:val="fr-CA"/>
        </w:rPr>
        <w:t>PPSA</w:t>
      </w:r>
      <w:r w:rsidRPr="0092785C">
        <w:rPr>
          <w:lang w:val="fr-CA"/>
        </w:rPr>
        <w:t>, elle n</w:t>
      </w:r>
      <w:r w:rsidR="00BA1CC2">
        <w:rPr>
          <w:lang w:val="fr-CA"/>
        </w:rPr>
        <w:t>’</w:t>
      </w:r>
      <w:r w:rsidRPr="0092785C">
        <w:rPr>
          <w:lang w:val="fr-CA"/>
        </w:rPr>
        <w:t xml:space="preserve">atteint pas son objectif, car certaines sûretés non enregistrées relevant de la </w:t>
      </w:r>
      <w:r w:rsidR="00E21A6B" w:rsidRPr="00DE514D">
        <w:rPr>
          <w:i/>
          <w:lang w:val="fr-CA"/>
        </w:rPr>
        <w:t>PPSA</w:t>
      </w:r>
      <w:r w:rsidRPr="0092785C">
        <w:rPr>
          <w:lang w:val="fr-CA"/>
        </w:rPr>
        <w:t xml:space="preserve"> seront néanmoins parfaites.  Une règle conférant priorité à la première sûreté </w:t>
      </w:r>
      <w:r w:rsidRPr="0092785C">
        <w:rPr>
          <w:i/>
          <w:lang w:val="fr-CA"/>
        </w:rPr>
        <w:t>parfaite</w:t>
      </w:r>
      <w:r w:rsidRPr="0092785C">
        <w:rPr>
          <w:lang w:val="fr-CA"/>
        </w:rPr>
        <w:t xml:space="preserve"> règlerait peut-être ce problème précis, mais il faudrait se reporter à l</w:t>
      </w:r>
      <w:r w:rsidR="00BA1CC2">
        <w:rPr>
          <w:lang w:val="fr-CA"/>
        </w:rPr>
        <w:t>’</w:t>
      </w:r>
      <w:r w:rsidRPr="0092785C">
        <w:rPr>
          <w:lang w:val="fr-CA"/>
        </w:rPr>
        <w:t xml:space="preserve">ensemble du régime de perfection de la </w:t>
      </w:r>
      <w:r w:rsidR="00E21A6B" w:rsidRPr="00DE514D">
        <w:rPr>
          <w:i/>
          <w:lang w:val="fr-CA"/>
        </w:rPr>
        <w:t>PPSA</w:t>
      </w:r>
      <w:r w:rsidRPr="0092785C">
        <w:rPr>
          <w:lang w:val="fr-CA"/>
        </w:rPr>
        <w:t xml:space="preserve"> pour résoudre le conflit sur cette base.  Personne ne soutient qu</w:t>
      </w:r>
      <w:r w:rsidR="00BA1CC2">
        <w:rPr>
          <w:lang w:val="fr-CA"/>
        </w:rPr>
        <w:t>’</w:t>
      </w:r>
      <w:r w:rsidRPr="0092785C">
        <w:rPr>
          <w:lang w:val="fr-CA"/>
        </w:rPr>
        <w:t xml:space="preserve">il </w:t>
      </w:r>
      <w:proofErr w:type="gramStart"/>
      <w:r w:rsidRPr="0092785C">
        <w:rPr>
          <w:lang w:val="fr-CA"/>
        </w:rPr>
        <w:t>est</w:t>
      </w:r>
      <w:proofErr w:type="gramEnd"/>
      <w:r w:rsidRPr="0092785C">
        <w:rPr>
          <w:lang w:val="fr-CA"/>
        </w:rPr>
        <w:t xml:space="preserve"> possible d</w:t>
      </w:r>
      <w:r w:rsidR="00BA1CC2">
        <w:rPr>
          <w:lang w:val="fr-CA"/>
        </w:rPr>
        <w:t>’</w:t>
      </w:r>
      <w:r w:rsidRPr="0092785C">
        <w:rPr>
          <w:lang w:val="fr-CA"/>
        </w:rPr>
        <w:t xml:space="preserve">invoquer les règles internes de priorité de la </w:t>
      </w:r>
      <w:r w:rsidR="00E21A6B" w:rsidRPr="00DE514D">
        <w:rPr>
          <w:i/>
          <w:lang w:val="fr-CA"/>
        </w:rPr>
        <w:t>PPSA</w:t>
      </w:r>
      <w:r w:rsidRPr="0092785C">
        <w:rPr>
          <w:lang w:val="fr-CA"/>
        </w:rPr>
        <w:t xml:space="preserve"> afin de résoudre le conflit.  Les raisons pour lesquelles il est impossible de le faire sont évidentes.</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Songeons à la manière dont la règle conférant priorité au premier </w:t>
      </w:r>
      <w:r w:rsidRPr="0092785C">
        <w:rPr>
          <w:i/>
          <w:lang w:val="fr-CA"/>
        </w:rPr>
        <w:t>enregistrement</w:t>
      </w:r>
      <w:r w:rsidRPr="0092785C">
        <w:rPr>
          <w:lang w:val="fr-CA"/>
        </w:rPr>
        <w:t xml:space="preserve"> s</w:t>
      </w:r>
      <w:r w:rsidR="00BA1CC2">
        <w:rPr>
          <w:lang w:val="fr-CA"/>
        </w:rPr>
        <w:t>’</w:t>
      </w:r>
      <w:r w:rsidRPr="0092785C">
        <w:rPr>
          <w:lang w:val="fr-CA"/>
        </w:rPr>
        <w:t xml:space="preserve">appliquerait pour régler un conflit entre une sûreté provinciale antérieure et une sûreté subséquente prise au titre de la </w:t>
      </w:r>
      <w:r w:rsidRPr="00E21A6B">
        <w:rPr>
          <w:i/>
          <w:lang w:val="fr-CA"/>
        </w:rPr>
        <w:t>LB</w:t>
      </w:r>
      <w:r w:rsidRPr="0092785C">
        <w:rPr>
          <w:lang w:val="fr-CA"/>
        </w:rPr>
        <w:t>.  Dans un premier scénario, la sûreté provinciale antérieure l</w:t>
      </w:r>
      <w:r w:rsidR="00BA1CC2">
        <w:rPr>
          <w:lang w:val="fr-CA"/>
        </w:rPr>
        <w:t>’</w:t>
      </w:r>
      <w:r w:rsidRPr="0092785C">
        <w:rPr>
          <w:lang w:val="fr-CA"/>
        </w:rPr>
        <w:t>emporterait parce qu</w:t>
      </w:r>
      <w:r w:rsidR="00BA1CC2">
        <w:rPr>
          <w:lang w:val="fr-CA"/>
        </w:rPr>
        <w:t>’</w:t>
      </w:r>
      <w:r w:rsidRPr="0092785C">
        <w:rPr>
          <w:lang w:val="fr-CA"/>
        </w:rPr>
        <w:t xml:space="preserve">elle a été enregistrée en premier sous le régime de la </w:t>
      </w:r>
      <w:r w:rsidR="00E21A6B" w:rsidRPr="00DE514D">
        <w:rPr>
          <w:i/>
          <w:lang w:val="fr-CA"/>
        </w:rPr>
        <w:t>PPSA</w:t>
      </w:r>
      <w:r w:rsidRPr="0092785C">
        <w:rPr>
          <w:lang w:val="fr-CA"/>
        </w:rPr>
        <w:t>.  Le problème qui se pose ici est que la province n</w:t>
      </w:r>
      <w:r w:rsidR="00BA1CC2">
        <w:rPr>
          <w:lang w:val="fr-CA"/>
        </w:rPr>
        <w:t>’</w:t>
      </w:r>
      <w:r w:rsidRPr="0092785C">
        <w:rPr>
          <w:lang w:val="fr-CA"/>
        </w:rPr>
        <w:t xml:space="preserve">a pas le pouvoir de restreindre les droits conférés à la banque en vertu de la </w:t>
      </w:r>
      <w:r w:rsidRPr="00E21A6B">
        <w:rPr>
          <w:i/>
          <w:lang w:val="fr-CA"/>
        </w:rPr>
        <w:t>LB</w:t>
      </w:r>
      <w:r w:rsidRPr="0092785C">
        <w:rPr>
          <w:lang w:val="fr-CA"/>
        </w:rPr>
        <w:t>.  En conséquence, si la sûreté doit avoir la priorité du fait de son enregistrement ou d</w:t>
      </w:r>
      <w:r w:rsidR="00BA1CC2">
        <w:rPr>
          <w:lang w:val="fr-CA"/>
        </w:rPr>
        <w:t>’</w:t>
      </w:r>
      <w:r w:rsidRPr="0092785C">
        <w:rPr>
          <w:lang w:val="fr-CA"/>
        </w:rPr>
        <w:t>une autre forme de perfection, ce ne peut être en application d</w:t>
      </w:r>
      <w:r w:rsidR="00BA1CC2">
        <w:rPr>
          <w:lang w:val="fr-CA"/>
        </w:rPr>
        <w:t>’</w:t>
      </w:r>
      <w:r w:rsidRPr="0092785C">
        <w:rPr>
          <w:lang w:val="fr-CA"/>
        </w:rPr>
        <w:t xml:space="preserve">une règle de priorité quelconque établie par le législateur provincial.  Dans un deuxième scénario, la garantie prise au titre de la </w:t>
      </w:r>
      <w:r w:rsidRPr="00E21A6B">
        <w:rPr>
          <w:i/>
          <w:lang w:val="fr-CA"/>
        </w:rPr>
        <w:t>LB</w:t>
      </w:r>
      <w:r w:rsidRPr="0092785C">
        <w:rPr>
          <w:i/>
          <w:lang w:val="fr-CA"/>
        </w:rPr>
        <w:t xml:space="preserve"> </w:t>
      </w:r>
      <w:r w:rsidRPr="0092785C">
        <w:rPr>
          <w:lang w:val="fr-CA"/>
        </w:rPr>
        <w:t>l</w:t>
      </w:r>
      <w:r w:rsidR="00BA1CC2">
        <w:rPr>
          <w:lang w:val="fr-CA"/>
        </w:rPr>
        <w:t>’</w:t>
      </w:r>
      <w:r w:rsidRPr="0092785C">
        <w:rPr>
          <w:lang w:val="fr-CA"/>
        </w:rPr>
        <w:t>emporterait sur la sûreté provinciale antérieure parce qu</w:t>
      </w:r>
      <w:r w:rsidR="00BA1CC2">
        <w:rPr>
          <w:lang w:val="fr-CA"/>
        </w:rPr>
        <w:t>’</w:t>
      </w:r>
      <w:r w:rsidRPr="0092785C">
        <w:rPr>
          <w:lang w:val="fr-CA"/>
        </w:rPr>
        <w:t>elle a été enregistrée en premier sous le régime de cette loi.  Il s</w:t>
      </w:r>
      <w:r w:rsidR="00BA1CC2">
        <w:rPr>
          <w:lang w:val="fr-CA"/>
        </w:rPr>
        <w:t>’</w:t>
      </w:r>
      <w:r w:rsidRPr="0092785C">
        <w:rPr>
          <w:lang w:val="fr-CA"/>
        </w:rPr>
        <w:t>agit essentiellement du raisonnement adopté par le juge saisi de la demande en l</w:t>
      </w:r>
      <w:r w:rsidR="00BA1CC2">
        <w:rPr>
          <w:lang w:val="fr-CA"/>
        </w:rPr>
        <w:t>’</w:t>
      </w:r>
      <w:r w:rsidRPr="0092785C">
        <w:rPr>
          <w:lang w:val="fr-CA"/>
        </w:rPr>
        <w:t xml:space="preserve">espèce.  </w:t>
      </w:r>
      <w:r w:rsidRPr="0092785C">
        <w:rPr>
          <w:lang w:val="fr-CA"/>
        </w:rPr>
        <w:lastRenderedPageBreak/>
        <w:t>Comme je l</w:t>
      </w:r>
      <w:r w:rsidR="00BA1CC2">
        <w:rPr>
          <w:lang w:val="fr-CA"/>
        </w:rPr>
        <w:t>’</w:t>
      </w:r>
      <w:r w:rsidRPr="0092785C">
        <w:rPr>
          <w:lang w:val="fr-CA"/>
        </w:rPr>
        <w:t>ai déjà expliqué, ce raisonnement ne tient pas compte de l</w:t>
      </w:r>
      <w:r w:rsidR="00BA1CC2">
        <w:rPr>
          <w:lang w:val="fr-CA"/>
        </w:rPr>
        <w:t>’</w:t>
      </w:r>
      <w:r w:rsidRPr="0092785C">
        <w:rPr>
          <w:lang w:val="fr-CA"/>
        </w:rPr>
        <w:t xml:space="preserve">effet des par. 427(2) et 435(2) de la </w:t>
      </w:r>
      <w:r w:rsidRPr="00E21A6B">
        <w:rPr>
          <w:i/>
          <w:lang w:val="fr-CA"/>
        </w:rPr>
        <w:t>LB</w:t>
      </w:r>
      <w:r w:rsidRPr="0092785C">
        <w:rPr>
          <w:lang w:val="fr-CA"/>
        </w:rPr>
        <w:t>.</w:t>
      </w:r>
    </w:p>
    <w:p w:rsidR="00DC4439" w:rsidRPr="0092785C" w:rsidRDefault="00DC4439" w:rsidP="00DC4439">
      <w:pPr>
        <w:pStyle w:val="ListParagraph"/>
        <w:numPr>
          <w:ilvl w:val="0"/>
          <w:numId w:val="1"/>
        </w:numPr>
        <w:tabs>
          <w:tab w:val="left" w:pos="1166"/>
        </w:tabs>
        <w:spacing w:after="480" w:line="480" w:lineRule="auto"/>
        <w:ind w:left="0" w:firstLine="0"/>
        <w:jc w:val="both"/>
      </w:pPr>
      <w:r w:rsidRPr="0092785C">
        <w:rPr>
          <w:lang w:val="fr-CA"/>
        </w:rPr>
        <w:t xml:space="preserve">Finalement, bien que la province ait le pouvoir de reconnaître que les garanties prises au titre de la </w:t>
      </w:r>
      <w:r w:rsidRPr="00E21A6B">
        <w:rPr>
          <w:i/>
          <w:lang w:val="fr-CA"/>
        </w:rPr>
        <w:t>LB</w:t>
      </w:r>
      <w:r w:rsidRPr="0092785C">
        <w:rPr>
          <w:i/>
          <w:lang w:val="fr-CA"/>
        </w:rPr>
        <w:t xml:space="preserve"> </w:t>
      </w:r>
      <w:r w:rsidRPr="0092785C">
        <w:rPr>
          <w:lang w:val="fr-CA"/>
        </w:rPr>
        <w:t xml:space="preserve">tombent sous le coup de la </w:t>
      </w:r>
      <w:r w:rsidR="00E21A6B" w:rsidRPr="00DE514D">
        <w:rPr>
          <w:i/>
          <w:lang w:val="fr-CA"/>
        </w:rPr>
        <w:t>PPSA</w:t>
      </w:r>
      <w:r w:rsidRPr="0092785C">
        <w:rPr>
          <w:lang w:val="fr-CA"/>
        </w:rPr>
        <w:t xml:space="preserve"> et d</w:t>
      </w:r>
      <w:r w:rsidR="00BA1CC2">
        <w:rPr>
          <w:lang w:val="fr-CA"/>
        </w:rPr>
        <w:t>’</w:t>
      </w:r>
      <w:r w:rsidRPr="0092785C">
        <w:rPr>
          <w:lang w:val="fr-CA"/>
        </w:rPr>
        <w:t>autoriser l</w:t>
      </w:r>
      <w:r w:rsidR="00BA1CC2">
        <w:rPr>
          <w:lang w:val="fr-CA"/>
        </w:rPr>
        <w:t>’</w:t>
      </w:r>
      <w:r w:rsidRPr="0092785C">
        <w:rPr>
          <w:lang w:val="fr-CA"/>
        </w:rPr>
        <w:t>enregistrement de ces sûretés en vertu du régime provincial, la Saskatchewan ne l</w:t>
      </w:r>
      <w:r w:rsidR="00BA1CC2">
        <w:rPr>
          <w:lang w:val="fr-CA"/>
        </w:rPr>
        <w:t>’</w:t>
      </w:r>
      <w:r w:rsidRPr="0092785C">
        <w:rPr>
          <w:lang w:val="fr-CA"/>
        </w:rPr>
        <w:t xml:space="preserve">a pas fait.  Au contraire, elle a expressément exclu les garanties visées par la </w:t>
      </w:r>
      <w:r w:rsidRPr="00E21A6B">
        <w:rPr>
          <w:i/>
          <w:lang w:val="fr-CA"/>
        </w:rPr>
        <w:t>LB</w:t>
      </w:r>
      <w:r w:rsidRPr="0092785C">
        <w:rPr>
          <w:i/>
          <w:lang w:val="fr-CA"/>
        </w:rPr>
        <w:t xml:space="preserve"> </w:t>
      </w:r>
      <w:r w:rsidRPr="0092785C">
        <w:rPr>
          <w:lang w:val="fr-CA"/>
        </w:rPr>
        <w:t xml:space="preserve">de la portée de sa loi.  </w:t>
      </w:r>
      <w:proofErr w:type="spellStart"/>
      <w:r w:rsidRPr="0092785C">
        <w:t>L</w:t>
      </w:r>
      <w:r w:rsidR="00BA1CC2">
        <w:t>’</w:t>
      </w:r>
      <w:r w:rsidRPr="0092785C">
        <w:t>alinéa</w:t>
      </w:r>
      <w:proofErr w:type="spellEnd"/>
      <w:r w:rsidRPr="0092785C">
        <w:t xml:space="preserve"> 4k) de la </w:t>
      </w:r>
      <w:r w:rsidR="00E21A6B" w:rsidRPr="00DE514D">
        <w:rPr>
          <w:i/>
          <w:lang w:val="fr-CA"/>
        </w:rPr>
        <w:t>PPSA</w:t>
      </w:r>
      <w:r w:rsidRPr="0092785C">
        <w:t xml:space="preserve"> </w:t>
      </w:r>
      <w:proofErr w:type="spellStart"/>
      <w:r w:rsidRPr="0092785C">
        <w:t>prévoit</w:t>
      </w:r>
      <w:proofErr w:type="spellEnd"/>
      <w:r w:rsidRPr="0092785C">
        <w:t xml:space="preserve"> </w:t>
      </w:r>
      <w:proofErr w:type="spellStart"/>
      <w:r w:rsidRPr="0092785C">
        <w:t>ce</w:t>
      </w:r>
      <w:proofErr w:type="spellEnd"/>
      <w:r w:rsidRPr="0092785C">
        <w:t xml:space="preserve"> qui suit :</w:t>
      </w:r>
    </w:p>
    <w:p w:rsidR="00DC4439" w:rsidRPr="0092785C" w:rsidRDefault="00DC4439" w:rsidP="007810BA">
      <w:pPr>
        <w:pStyle w:val="Citation1"/>
        <w:spacing w:after="240"/>
        <w:ind w:left="1170"/>
        <w:contextualSpacing w:val="0"/>
      </w:pPr>
      <w:r w:rsidRPr="0092785C">
        <w:rPr>
          <w:spacing w:val="3"/>
        </w:rPr>
        <w:t>[</w:t>
      </w:r>
      <w:r w:rsidRPr="0092785C">
        <w:rPr>
          <w:smallCaps/>
        </w:rPr>
        <w:t>traduction</w:t>
      </w:r>
      <w:r w:rsidRPr="0092785C">
        <w:rPr>
          <w:spacing w:val="3"/>
        </w:rPr>
        <w:t>]</w:t>
      </w:r>
      <w:r w:rsidRPr="0092785C">
        <w:t xml:space="preserve"> </w:t>
      </w:r>
    </w:p>
    <w:p w:rsidR="00DC4439" w:rsidRPr="0092785C" w:rsidRDefault="00DC4439" w:rsidP="007810BA">
      <w:pPr>
        <w:pStyle w:val="Citation1"/>
        <w:spacing w:after="240"/>
        <w:ind w:left="1170"/>
        <w:contextualSpacing w:val="0"/>
      </w:pPr>
      <w:r w:rsidRPr="0092785C">
        <w:rPr>
          <w:b/>
        </w:rPr>
        <w:t>4</w:t>
      </w:r>
      <w:r w:rsidR="00E21A6B">
        <w:rPr>
          <w:b/>
        </w:rPr>
        <w:tab/>
      </w:r>
      <w:r w:rsidRPr="0092785C">
        <w:t>Sauf disposition contraire de la présente loi ou du règlement, la présente loi ne s</w:t>
      </w:r>
      <w:r w:rsidR="00BA1CC2">
        <w:t>’</w:t>
      </w:r>
      <w:r w:rsidRPr="0092785C">
        <w:t>applique pas :</w:t>
      </w:r>
    </w:p>
    <w:p w:rsidR="00DC4439" w:rsidRPr="0092785C" w:rsidRDefault="00DC4439" w:rsidP="00E21A6B">
      <w:pPr>
        <w:pStyle w:val="Citation1"/>
        <w:spacing w:after="240"/>
        <w:contextualSpacing w:val="0"/>
        <w:jc w:val="center"/>
      </w:pPr>
      <w:r w:rsidRPr="0092785C">
        <w:t>. . .</w:t>
      </w:r>
    </w:p>
    <w:p w:rsidR="00DC4439" w:rsidRPr="0092785C" w:rsidRDefault="00DC4439" w:rsidP="007810BA">
      <w:pPr>
        <w:pStyle w:val="Citation1"/>
        <w:ind w:left="1440"/>
      </w:pPr>
      <w:r w:rsidRPr="0092785C">
        <w:t>k)</w:t>
      </w:r>
      <w:r w:rsidR="00E21A6B">
        <w:tab/>
      </w:r>
      <w:r w:rsidRPr="0092785C">
        <w:t xml:space="preserve">à un contrat de sûreté régi par une loi du Parlement du Canada qui traite des droits des parties au contrat ou des droits des tiers que touche une sûreté créée par le contrat, y compris tout accord régi par les articles 425 à 436 de la </w:t>
      </w:r>
      <w:r w:rsidRPr="0092785C">
        <w:rPr>
          <w:i/>
        </w:rPr>
        <w:t xml:space="preserve">Loi sur les banques </w:t>
      </w:r>
      <w:r w:rsidRPr="0092785C">
        <w:t>(Canada).</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Comme la juge Jackson, de la Cour d</w:t>
      </w:r>
      <w:r w:rsidR="00BA1CC2">
        <w:rPr>
          <w:lang w:val="fr-CA"/>
        </w:rPr>
        <w:t>’</w:t>
      </w:r>
      <w:r w:rsidRPr="0092785C">
        <w:rPr>
          <w:lang w:val="fr-CA"/>
        </w:rPr>
        <w:t>appel, l</w:t>
      </w:r>
      <w:r w:rsidR="00BA1CC2">
        <w:rPr>
          <w:lang w:val="fr-CA"/>
        </w:rPr>
        <w:t>’</w:t>
      </w:r>
      <w:r w:rsidRPr="0092785C">
        <w:rPr>
          <w:lang w:val="fr-CA"/>
        </w:rPr>
        <w:t>a expliqué, l</w:t>
      </w:r>
      <w:r w:rsidR="00BA1CC2">
        <w:rPr>
          <w:lang w:val="fr-CA"/>
        </w:rPr>
        <w:t>’</w:t>
      </w:r>
      <w:r w:rsidRPr="0092785C">
        <w:rPr>
          <w:lang w:val="fr-CA"/>
        </w:rPr>
        <w:t>alinéa 4</w:t>
      </w:r>
      <w:r w:rsidRPr="00E21A6B">
        <w:rPr>
          <w:lang w:val="fr-CA"/>
        </w:rPr>
        <w:t>k</w:t>
      </w:r>
      <w:r w:rsidRPr="0092785C">
        <w:rPr>
          <w:lang w:val="fr-CA"/>
        </w:rPr>
        <w:t>) a été adopté en 1993 pour empêcher les banques d</w:t>
      </w:r>
      <w:r w:rsidR="00BA1CC2">
        <w:rPr>
          <w:lang w:val="fr-CA"/>
        </w:rPr>
        <w:t>’</w:t>
      </w:r>
      <w:r w:rsidRPr="0092785C">
        <w:rPr>
          <w:lang w:val="fr-CA"/>
        </w:rPr>
        <w:t xml:space="preserve">enregistrer leurs garanties prises au titre de la </w:t>
      </w:r>
      <w:r w:rsidRPr="00E21A6B">
        <w:rPr>
          <w:i/>
          <w:lang w:val="fr-CA"/>
        </w:rPr>
        <w:t>LB</w:t>
      </w:r>
      <w:r w:rsidRPr="0092785C">
        <w:rPr>
          <w:i/>
          <w:lang w:val="fr-CA"/>
        </w:rPr>
        <w:t xml:space="preserve"> </w:t>
      </w:r>
      <w:r w:rsidRPr="0092785C">
        <w:rPr>
          <w:lang w:val="fr-CA"/>
        </w:rPr>
        <w:t xml:space="preserve">sous le régime de la </w:t>
      </w:r>
      <w:r w:rsidR="00E21A6B" w:rsidRPr="00DE514D">
        <w:rPr>
          <w:i/>
          <w:lang w:val="fr-CA"/>
        </w:rPr>
        <w:t>PPSA</w:t>
      </w:r>
      <w:r w:rsidRPr="0092785C">
        <w:rPr>
          <w:lang w:val="fr-CA"/>
        </w:rPr>
        <w:t xml:space="preserve"> et d</w:t>
      </w:r>
      <w:r w:rsidR="00BA1CC2">
        <w:rPr>
          <w:lang w:val="fr-CA"/>
        </w:rPr>
        <w:t>’</w:t>
      </w:r>
      <w:r w:rsidRPr="0092785C">
        <w:rPr>
          <w:lang w:val="fr-CA"/>
        </w:rPr>
        <w:t>obtenir ainsi le bénéfice de la loi provinciale sans pour autant être liées par elle.  À mon avis, l</w:t>
      </w:r>
      <w:r w:rsidR="00BA1CC2">
        <w:rPr>
          <w:lang w:val="fr-CA"/>
        </w:rPr>
        <w:t>’</w:t>
      </w:r>
      <w:r w:rsidRPr="0092785C">
        <w:rPr>
          <w:lang w:val="fr-CA"/>
        </w:rPr>
        <w:t>adoption d</w:t>
      </w:r>
      <w:r w:rsidR="00BA1CC2">
        <w:rPr>
          <w:lang w:val="fr-CA"/>
        </w:rPr>
        <w:t>’</w:t>
      </w:r>
      <w:r w:rsidRPr="0092785C">
        <w:rPr>
          <w:lang w:val="fr-CA"/>
        </w:rPr>
        <w:t xml:space="preserve">une règle conférant priorité au premier enregistrement qui ferait primer une garantie prise au titre de la </w:t>
      </w:r>
      <w:r w:rsidRPr="00E21A6B">
        <w:rPr>
          <w:i/>
          <w:lang w:val="fr-CA"/>
        </w:rPr>
        <w:t>LB</w:t>
      </w:r>
      <w:r w:rsidRPr="0092785C">
        <w:rPr>
          <w:i/>
          <w:lang w:val="fr-CA"/>
        </w:rPr>
        <w:t xml:space="preserve"> </w:t>
      </w:r>
      <w:r w:rsidRPr="0092785C">
        <w:rPr>
          <w:lang w:val="fr-CA"/>
        </w:rPr>
        <w:t xml:space="preserve">sur une sûreté antérieure non enregistrée régie par la </w:t>
      </w:r>
      <w:r w:rsidR="00E21A6B" w:rsidRPr="00DE514D">
        <w:rPr>
          <w:i/>
          <w:lang w:val="fr-CA"/>
        </w:rPr>
        <w:t>PPSA</w:t>
      </w:r>
      <w:r w:rsidRPr="0092785C">
        <w:rPr>
          <w:lang w:val="fr-CA"/>
        </w:rPr>
        <w:t xml:space="preserve"> permettrait </w:t>
      </w:r>
      <w:r w:rsidRPr="0092785C">
        <w:rPr>
          <w:lang w:val="fr-CA"/>
        </w:rPr>
        <w:lastRenderedPageBreak/>
        <w:t xml:space="preserve">effectivement à la Banque de bénéficier des règles de priorité de la </w:t>
      </w:r>
      <w:r w:rsidR="00E21A6B" w:rsidRPr="00DE514D">
        <w:rPr>
          <w:i/>
          <w:lang w:val="fr-CA"/>
        </w:rPr>
        <w:t>PPSA</w:t>
      </w:r>
      <w:r w:rsidRPr="0092785C">
        <w:rPr>
          <w:lang w:val="fr-CA"/>
        </w:rPr>
        <w:t>, contrairement à l</w:t>
      </w:r>
      <w:r w:rsidR="00BA1CC2">
        <w:rPr>
          <w:lang w:val="fr-CA"/>
        </w:rPr>
        <w:t>’</w:t>
      </w:r>
      <w:r w:rsidRPr="0092785C">
        <w:rPr>
          <w:lang w:val="fr-CA"/>
        </w:rPr>
        <w:t>intention manifeste de la législature de la Saskatchewan.</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J</w:t>
      </w:r>
      <w:r w:rsidR="00BA1CC2">
        <w:rPr>
          <w:lang w:val="fr-CA"/>
        </w:rPr>
        <w:t>’</w:t>
      </w:r>
      <w:r w:rsidRPr="0092785C">
        <w:rPr>
          <w:lang w:val="fr-CA"/>
        </w:rPr>
        <w:t>estime qu</w:t>
      </w:r>
      <w:r w:rsidR="00BA1CC2">
        <w:rPr>
          <w:lang w:val="fr-CA"/>
        </w:rPr>
        <w:t>’</w:t>
      </w:r>
      <w:r w:rsidRPr="0092785C">
        <w:rPr>
          <w:lang w:val="fr-CA"/>
        </w:rPr>
        <w:t>on ne peut attribuer aux régimes législatifs, tels qu</w:t>
      </w:r>
      <w:r w:rsidR="00BA1CC2">
        <w:rPr>
          <w:lang w:val="fr-CA"/>
        </w:rPr>
        <w:t>’</w:t>
      </w:r>
      <w:r w:rsidRPr="0092785C">
        <w:rPr>
          <w:lang w:val="fr-CA"/>
        </w:rPr>
        <w:t>ils existent actuellement, une interprétation acceptable qui permettrait aux tribunaux d</w:t>
      </w:r>
      <w:r w:rsidR="00BA1CC2">
        <w:rPr>
          <w:lang w:val="fr-CA"/>
        </w:rPr>
        <w:t>’</w:t>
      </w:r>
      <w:r w:rsidRPr="0092785C">
        <w:rPr>
          <w:lang w:val="fr-CA"/>
        </w:rPr>
        <w:t>établir une règle conférant priorité au premier enregistrement ou à la première sûreté parfaite, comme le demande la Banque.  C</w:t>
      </w:r>
      <w:r w:rsidR="00BA1CC2">
        <w:rPr>
          <w:lang w:val="fr-CA"/>
        </w:rPr>
        <w:t>’</w:t>
      </w:r>
      <w:r w:rsidRPr="0092785C">
        <w:rPr>
          <w:lang w:val="fr-CA"/>
        </w:rPr>
        <w:t>est au législateur qu</w:t>
      </w:r>
      <w:r w:rsidR="00BA1CC2">
        <w:rPr>
          <w:lang w:val="fr-CA"/>
        </w:rPr>
        <w:t>’</w:t>
      </w:r>
      <w:r w:rsidRPr="0092785C">
        <w:rPr>
          <w:lang w:val="fr-CA"/>
        </w:rPr>
        <w:t>il reviendrait d</w:t>
      </w:r>
      <w:r w:rsidR="00BA1CC2">
        <w:rPr>
          <w:lang w:val="fr-CA"/>
        </w:rPr>
        <w:t>’</w:t>
      </w:r>
      <w:r w:rsidRPr="0092785C">
        <w:rPr>
          <w:lang w:val="fr-CA"/>
        </w:rPr>
        <w:t>édicter pareille règle, s</w:t>
      </w:r>
      <w:r w:rsidR="00BA1CC2">
        <w:rPr>
          <w:lang w:val="fr-CA"/>
        </w:rPr>
        <w:t>’</w:t>
      </w:r>
      <w:r w:rsidRPr="0092785C">
        <w:rPr>
          <w:lang w:val="fr-CA"/>
        </w:rPr>
        <w:t xml:space="preserve">il le jugeait à propos. </w:t>
      </w:r>
    </w:p>
    <w:p w:rsidR="00DC4439" w:rsidRPr="00E21A6B"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La Banque présente un autre argument qui repose, non pas sur l</w:t>
      </w:r>
      <w:r w:rsidR="00BA1CC2">
        <w:rPr>
          <w:lang w:val="fr-CA"/>
        </w:rPr>
        <w:t>’</w:t>
      </w:r>
      <w:r w:rsidRPr="0092785C">
        <w:rPr>
          <w:lang w:val="fr-CA"/>
        </w:rPr>
        <w:t xml:space="preserve">interprétation de la </w:t>
      </w:r>
      <w:r w:rsidRPr="00E21A6B">
        <w:rPr>
          <w:i/>
          <w:lang w:val="fr-CA"/>
        </w:rPr>
        <w:t>LB</w:t>
      </w:r>
      <w:r w:rsidRPr="0092785C">
        <w:rPr>
          <w:lang w:val="fr-CA"/>
        </w:rPr>
        <w:t>, mais sur l</w:t>
      </w:r>
      <w:r w:rsidR="00BA1CC2">
        <w:rPr>
          <w:lang w:val="fr-CA"/>
        </w:rPr>
        <w:t>’</w:t>
      </w:r>
      <w:r w:rsidRPr="0092785C">
        <w:rPr>
          <w:lang w:val="fr-CA"/>
        </w:rPr>
        <w:t>effet conjugué de l</w:t>
      </w:r>
      <w:r w:rsidR="00BA1CC2">
        <w:rPr>
          <w:lang w:val="fr-CA"/>
        </w:rPr>
        <w:t>’</w:t>
      </w:r>
      <w:r w:rsidRPr="0092785C">
        <w:rPr>
          <w:lang w:val="fr-CA"/>
        </w:rPr>
        <w:t xml:space="preserve">al. 4k) et du par. 20(3) de la </w:t>
      </w:r>
      <w:r w:rsidR="00E21A6B" w:rsidRPr="00DE514D">
        <w:rPr>
          <w:i/>
          <w:lang w:val="fr-CA"/>
        </w:rPr>
        <w:t>PPSA</w:t>
      </w:r>
      <w:r w:rsidRPr="0092785C">
        <w:rPr>
          <w:lang w:val="fr-CA"/>
        </w:rPr>
        <w:t xml:space="preserve">.  </w:t>
      </w:r>
      <w:r w:rsidRPr="00E21A6B">
        <w:rPr>
          <w:lang w:val="fr-CA"/>
        </w:rPr>
        <w:t>Je passe maintenant à cet argument subsidiaire.</w:t>
      </w:r>
    </w:p>
    <w:p w:rsidR="00DC4439" w:rsidRPr="00E21A6B" w:rsidRDefault="00DC4439" w:rsidP="00E21A6B">
      <w:pPr>
        <w:pStyle w:val="ListParagraph"/>
        <w:keepNext/>
        <w:tabs>
          <w:tab w:val="left" w:pos="540"/>
          <w:tab w:val="left" w:pos="1152"/>
        </w:tabs>
        <w:spacing w:after="480" w:line="480" w:lineRule="auto"/>
        <w:ind w:left="0"/>
        <w:jc w:val="both"/>
        <w:rPr>
          <w:spacing w:val="3"/>
          <w:lang w:val="fr-CA"/>
        </w:rPr>
      </w:pPr>
      <w:r w:rsidRPr="00E21A6B">
        <w:rPr>
          <w:spacing w:val="3"/>
          <w:lang w:val="fr-CA"/>
        </w:rPr>
        <w:t>4.4</w:t>
      </w:r>
      <w:r w:rsidR="00E21A6B" w:rsidRPr="00E21A6B">
        <w:rPr>
          <w:spacing w:val="3"/>
          <w:lang w:val="fr-CA"/>
        </w:rPr>
        <w:tab/>
      </w:r>
      <w:r w:rsidRPr="00E21A6B">
        <w:rPr>
          <w:i/>
          <w:spacing w:val="3"/>
          <w:lang w:val="fr-CA"/>
        </w:rPr>
        <w:t>Le paragraphe 20(3) de la PPSA</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La Banque de Montréal a avancé un argument subsidiaire pour la première fois dans son mémoire adressé à la Cour.  Plus précisément, elle fait valoir que, dans le contexte factuel du présent pourvoi, le par. 20(3) de la </w:t>
      </w:r>
      <w:r w:rsidR="00E21A6B" w:rsidRPr="00DE514D">
        <w:rPr>
          <w:i/>
          <w:lang w:val="fr-CA"/>
        </w:rPr>
        <w:t>PPSA</w:t>
      </w:r>
      <w:r w:rsidRPr="0092785C">
        <w:rPr>
          <w:lang w:val="fr-CA"/>
        </w:rPr>
        <w:t xml:space="preserve"> a pour effet de subordonner une sûreté non parfaite à une garantie régie par la </w:t>
      </w:r>
      <w:r w:rsidRPr="00E21A6B">
        <w:rPr>
          <w:i/>
          <w:lang w:val="fr-CA"/>
        </w:rPr>
        <w:t>LB</w:t>
      </w:r>
      <w:r w:rsidRPr="0092785C">
        <w:rPr>
          <w:lang w:val="fr-CA"/>
        </w:rPr>
        <w:t>.</w:t>
      </w:r>
    </w:p>
    <w:p w:rsidR="00DC4439" w:rsidRPr="00E21A6B"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Comme je l</w:t>
      </w:r>
      <w:r w:rsidR="00BA1CC2">
        <w:rPr>
          <w:lang w:val="fr-CA"/>
        </w:rPr>
        <w:t>’</w:t>
      </w:r>
      <w:r w:rsidRPr="0092785C">
        <w:rPr>
          <w:lang w:val="fr-CA"/>
        </w:rPr>
        <w:t xml:space="preserve">ai déjà mentionné, la </w:t>
      </w:r>
      <w:r w:rsidR="00E21A6B" w:rsidRPr="00DE514D">
        <w:rPr>
          <w:i/>
          <w:lang w:val="fr-CA"/>
        </w:rPr>
        <w:t>PPSA</w:t>
      </w:r>
      <w:r w:rsidRPr="0092785C">
        <w:rPr>
          <w:lang w:val="fr-CA"/>
        </w:rPr>
        <w:t xml:space="preserve"> reconnaît les intérêts d</w:t>
      </w:r>
      <w:r w:rsidR="00BA1CC2">
        <w:rPr>
          <w:lang w:val="fr-CA"/>
        </w:rPr>
        <w:t>’</w:t>
      </w:r>
      <w:r w:rsidRPr="0092785C">
        <w:rPr>
          <w:lang w:val="fr-CA"/>
        </w:rPr>
        <w:t>autres personnes sur les biens donnés en garantie en subordonnant les intérêts des créanciers garantis à ceux de certains tiers.  Le par</w:t>
      </w:r>
      <w:r w:rsidR="00E21A6B">
        <w:rPr>
          <w:lang w:val="fr-CA"/>
        </w:rPr>
        <w:t>agraphe</w:t>
      </w:r>
      <w:r w:rsidRPr="0092785C">
        <w:rPr>
          <w:lang w:val="fr-CA"/>
        </w:rPr>
        <w:t xml:space="preserve"> 20(3) établit ainsi une règle qui, dans </w:t>
      </w:r>
      <w:r w:rsidRPr="0092785C">
        <w:rPr>
          <w:lang w:val="fr-CA"/>
        </w:rPr>
        <w:lastRenderedPageBreak/>
        <w:t>certaines circonstances, subordonne les droits du détenteur d</w:t>
      </w:r>
      <w:r w:rsidR="00BA1CC2">
        <w:rPr>
          <w:lang w:val="fr-CA"/>
        </w:rPr>
        <w:t>’</w:t>
      </w:r>
      <w:r w:rsidRPr="0092785C">
        <w:rPr>
          <w:lang w:val="fr-CA"/>
        </w:rPr>
        <w:t xml:space="preserve">une sûreté non parfaite au titre de la </w:t>
      </w:r>
      <w:r w:rsidR="00E21A6B" w:rsidRPr="00DE514D">
        <w:rPr>
          <w:i/>
          <w:lang w:val="fr-CA"/>
        </w:rPr>
        <w:t>PPSA</w:t>
      </w:r>
      <w:r w:rsidRPr="0092785C">
        <w:rPr>
          <w:lang w:val="fr-CA"/>
        </w:rPr>
        <w:t xml:space="preserve"> à ceux d</w:t>
      </w:r>
      <w:r w:rsidR="00BA1CC2">
        <w:rPr>
          <w:lang w:val="fr-CA"/>
        </w:rPr>
        <w:t>’</w:t>
      </w:r>
      <w:r w:rsidRPr="0092785C">
        <w:rPr>
          <w:lang w:val="fr-CA"/>
        </w:rPr>
        <w:t>une personne qui acquiert les biens à titre onéreux sans connaître l</w:t>
      </w:r>
      <w:r w:rsidR="00BA1CC2">
        <w:rPr>
          <w:lang w:val="fr-CA"/>
        </w:rPr>
        <w:t>’</w:t>
      </w:r>
      <w:r w:rsidRPr="0092785C">
        <w:rPr>
          <w:lang w:val="fr-CA"/>
        </w:rPr>
        <w:t xml:space="preserve">existence de la sûreté.  </w:t>
      </w:r>
      <w:r w:rsidRPr="00E21A6B">
        <w:rPr>
          <w:lang w:val="fr-CA"/>
        </w:rPr>
        <w:t>Voici ce que disait ce paragraphe à l</w:t>
      </w:r>
      <w:r w:rsidR="00BA1CC2" w:rsidRPr="00E21A6B">
        <w:rPr>
          <w:lang w:val="fr-CA"/>
        </w:rPr>
        <w:t>’</w:t>
      </w:r>
      <w:r w:rsidRPr="00E21A6B">
        <w:rPr>
          <w:lang w:val="fr-CA"/>
        </w:rPr>
        <w:t>époque pertinente :</w:t>
      </w:r>
    </w:p>
    <w:p w:rsidR="00DC4439" w:rsidRPr="0092785C" w:rsidRDefault="00DC4439" w:rsidP="00DC4439">
      <w:pPr>
        <w:pStyle w:val="Citation1"/>
        <w:spacing w:after="240"/>
        <w:contextualSpacing w:val="0"/>
        <w:rPr>
          <w:smallCaps/>
        </w:rPr>
      </w:pPr>
      <w:r w:rsidRPr="0092785C">
        <w:rPr>
          <w:smallCaps/>
        </w:rPr>
        <w:t>[traduction]</w:t>
      </w:r>
    </w:p>
    <w:p w:rsidR="00DC4439" w:rsidRPr="0092785C" w:rsidRDefault="00DC4439" w:rsidP="001F5DE3">
      <w:pPr>
        <w:pStyle w:val="Citation1"/>
        <w:spacing w:after="240"/>
        <w:contextualSpacing w:val="0"/>
      </w:pPr>
      <w:proofErr w:type="gramStart"/>
      <w:r w:rsidRPr="0092785C">
        <w:rPr>
          <w:b/>
        </w:rPr>
        <w:t xml:space="preserve">20 </w:t>
      </w:r>
      <w:r w:rsidRPr="0092785C">
        <w:t>.</w:t>
      </w:r>
      <w:proofErr w:type="gramEnd"/>
      <w:r w:rsidRPr="0092785C">
        <w:t> . .</w:t>
      </w:r>
    </w:p>
    <w:p w:rsidR="00DC4439" w:rsidRPr="0092785C" w:rsidRDefault="00DC4439" w:rsidP="001F5DE3">
      <w:pPr>
        <w:pStyle w:val="Citation1"/>
        <w:tabs>
          <w:tab w:val="left" w:pos="1620"/>
        </w:tabs>
        <w:spacing w:after="240"/>
        <w:contextualSpacing w:val="0"/>
      </w:pPr>
      <w:r w:rsidRPr="0092785C">
        <w:t>(3)</w:t>
      </w:r>
      <w:r w:rsidR="00E21A6B">
        <w:tab/>
      </w:r>
      <w:r w:rsidRPr="0092785C">
        <w:t>Une sûreté dont des objets, un acte mobilier, un titre, un instrument, un bien immatériel ou de l</w:t>
      </w:r>
      <w:r w:rsidR="00BA1CC2">
        <w:t>’</w:t>
      </w:r>
      <w:r w:rsidRPr="0092785C">
        <w:t>argent sont grevés est subordonnée à l</w:t>
      </w:r>
      <w:r w:rsidR="00BA1CC2">
        <w:t>’</w:t>
      </w:r>
      <w:r w:rsidRPr="0092785C">
        <w:t>intérêt du destinataire d</w:t>
      </w:r>
      <w:r w:rsidR="00BA1CC2">
        <w:t>’</w:t>
      </w:r>
      <w:r w:rsidRPr="0092785C">
        <w:t>un transfert si les conditions suivantes sont réunies :</w:t>
      </w:r>
    </w:p>
    <w:p w:rsidR="00DC4439" w:rsidRPr="0092785C" w:rsidRDefault="00E21A6B" w:rsidP="001F5DE3">
      <w:pPr>
        <w:pStyle w:val="Citation1"/>
        <w:spacing w:after="240"/>
        <w:ind w:left="1440" w:firstLine="180"/>
        <w:contextualSpacing w:val="0"/>
      </w:pPr>
      <w:r>
        <w:t>a)</w:t>
      </w:r>
      <w:r>
        <w:tab/>
      </w:r>
      <w:r w:rsidR="00DC4439" w:rsidRPr="0092785C">
        <w:t>le destinataire du transfert acquiert son intérêt aux termes d</w:t>
      </w:r>
      <w:r w:rsidR="00BA1CC2">
        <w:t>’</w:t>
      </w:r>
      <w:r w:rsidR="00DC4439" w:rsidRPr="0092785C">
        <w:t>une opération qui n</w:t>
      </w:r>
      <w:r w:rsidR="00BA1CC2">
        <w:t>’</w:t>
      </w:r>
      <w:r w:rsidR="00DC4439" w:rsidRPr="0092785C">
        <w:t xml:space="preserve">est pas un contrat de sûreté, </w:t>
      </w:r>
    </w:p>
    <w:p w:rsidR="00DC4439" w:rsidRPr="0092785C" w:rsidRDefault="00DC4439" w:rsidP="001F5DE3">
      <w:pPr>
        <w:pStyle w:val="Citation1"/>
        <w:spacing w:after="240"/>
        <w:ind w:left="1620"/>
        <w:contextualSpacing w:val="0"/>
      </w:pPr>
      <w:r w:rsidRPr="0092785C">
        <w:t>b)</w:t>
      </w:r>
      <w:r w:rsidR="00E21A6B">
        <w:tab/>
      </w:r>
      <w:r w:rsidRPr="0092785C">
        <w:t xml:space="preserve">il fournit une prestation, </w:t>
      </w:r>
    </w:p>
    <w:p w:rsidR="00DC4439" w:rsidRPr="0092785C" w:rsidRDefault="00DC4439" w:rsidP="001F5DE3">
      <w:pPr>
        <w:pStyle w:val="Citation1"/>
        <w:ind w:left="1620"/>
      </w:pPr>
      <w:r w:rsidRPr="0092785C">
        <w:t>c)</w:t>
      </w:r>
      <w:r w:rsidR="00E21A6B">
        <w:tab/>
      </w:r>
      <w:r w:rsidRPr="0092785C">
        <w:t>il acquiert son intérêt sans connaître l</w:t>
      </w:r>
      <w:r w:rsidR="00BA1CC2">
        <w:t>’</w:t>
      </w:r>
      <w:r w:rsidRPr="0092785C">
        <w:t xml:space="preserve">existence de la sûreté avant que celle-ci ne soit parfaite. </w:t>
      </w:r>
    </w:p>
    <w:p w:rsidR="00DC4439" w:rsidRPr="0092785C" w:rsidRDefault="00DC4439" w:rsidP="00DC4439">
      <w:pPr>
        <w:pStyle w:val="ListParagraph"/>
        <w:numPr>
          <w:ilvl w:val="0"/>
          <w:numId w:val="1"/>
        </w:numPr>
        <w:tabs>
          <w:tab w:val="left" w:pos="1166"/>
        </w:tabs>
        <w:spacing w:after="480" w:line="480" w:lineRule="auto"/>
        <w:ind w:left="0" w:firstLine="0"/>
        <w:jc w:val="both"/>
      </w:pPr>
      <w:r w:rsidRPr="0092785C">
        <w:rPr>
          <w:lang w:val="fr-CA"/>
        </w:rPr>
        <w:t xml:space="preserve">La </w:t>
      </w:r>
      <w:proofErr w:type="gramStart"/>
      <w:r w:rsidRPr="0092785C">
        <w:rPr>
          <w:lang w:val="fr-CA"/>
        </w:rPr>
        <w:t>Banque soutient</w:t>
      </w:r>
      <w:proofErr w:type="gramEnd"/>
      <w:r w:rsidRPr="0092785C">
        <w:rPr>
          <w:lang w:val="fr-CA"/>
        </w:rPr>
        <w:t xml:space="preserve"> que les al. 20(3)b) et c) sont manifestement respectés, car elle a fourni une prestation en consentant le prêt, et elle a obtenu sa garantie au titre de la </w:t>
      </w:r>
      <w:r w:rsidRPr="00E21A6B">
        <w:rPr>
          <w:i/>
          <w:lang w:val="fr-CA"/>
        </w:rPr>
        <w:t>LB</w:t>
      </w:r>
      <w:r w:rsidRPr="0092785C">
        <w:rPr>
          <w:i/>
          <w:lang w:val="fr-CA"/>
        </w:rPr>
        <w:t xml:space="preserve"> </w:t>
      </w:r>
      <w:r w:rsidRPr="0092785C">
        <w:rPr>
          <w:lang w:val="fr-CA"/>
        </w:rPr>
        <w:t>sans connaître l</w:t>
      </w:r>
      <w:r w:rsidR="00BA1CC2">
        <w:rPr>
          <w:lang w:val="fr-CA"/>
        </w:rPr>
        <w:t>’</w:t>
      </w:r>
      <w:r w:rsidRPr="0092785C">
        <w:rPr>
          <w:lang w:val="fr-CA"/>
        </w:rPr>
        <w:t xml:space="preserve">existence de la sûreté antérieure de la Coopérative de crédit.  </w:t>
      </w:r>
      <w:proofErr w:type="spellStart"/>
      <w:r w:rsidRPr="0092785C">
        <w:t>Jusqu</w:t>
      </w:r>
      <w:r w:rsidR="00BA1CC2">
        <w:t>’</w:t>
      </w:r>
      <w:r w:rsidRPr="0092785C">
        <w:t>à</w:t>
      </w:r>
      <w:proofErr w:type="spellEnd"/>
      <w:r w:rsidRPr="0092785C">
        <w:t xml:space="preserve"> </w:t>
      </w:r>
      <w:proofErr w:type="spellStart"/>
      <w:r w:rsidRPr="0092785C">
        <w:t>présent</w:t>
      </w:r>
      <w:proofErr w:type="spellEnd"/>
      <w:r w:rsidRPr="0092785C">
        <w:t xml:space="preserve">, je </w:t>
      </w:r>
      <w:proofErr w:type="spellStart"/>
      <w:proofErr w:type="gramStart"/>
      <w:r w:rsidRPr="0092785C">
        <w:t>suis</w:t>
      </w:r>
      <w:proofErr w:type="spellEnd"/>
      <w:proofErr w:type="gramEnd"/>
      <w:r w:rsidRPr="0092785C">
        <w:t xml:space="preserve"> </w:t>
      </w:r>
      <w:proofErr w:type="spellStart"/>
      <w:r w:rsidRPr="0092785C">
        <w:t>d</w:t>
      </w:r>
      <w:r w:rsidR="00BA1CC2">
        <w:t>’</w:t>
      </w:r>
      <w:r w:rsidRPr="0092785C">
        <w:t>accord</w:t>
      </w:r>
      <w:proofErr w:type="spellEnd"/>
      <w:r w:rsidRPr="0092785C">
        <w:t>.</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Comme l</w:t>
      </w:r>
      <w:r w:rsidR="00BA1CC2">
        <w:rPr>
          <w:lang w:val="fr-CA"/>
        </w:rPr>
        <w:t>’</w:t>
      </w:r>
      <w:r w:rsidRPr="0092785C">
        <w:rPr>
          <w:lang w:val="fr-CA"/>
        </w:rPr>
        <w:t>admet la Banque, l</w:t>
      </w:r>
      <w:r w:rsidR="00BA1CC2">
        <w:rPr>
          <w:lang w:val="fr-CA"/>
        </w:rPr>
        <w:t>’</w:t>
      </w:r>
      <w:r w:rsidRPr="0092785C">
        <w:rPr>
          <w:lang w:val="fr-CA"/>
        </w:rPr>
        <w:t>obstacle le plus important qui l</w:t>
      </w:r>
      <w:r w:rsidR="00BA1CC2">
        <w:rPr>
          <w:lang w:val="fr-CA"/>
        </w:rPr>
        <w:t>’</w:t>
      </w:r>
      <w:r w:rsidRPr="0092785C">
        <w:rPr>
          <w:lang w:val="fr-CA"/>
        </w:rPr>
        <w:t>empêche de tirer profit de cette disposition est l</w:t>
      </w:r>
      <w:r w:rsidR="00BA1CC2">
        <w:rPr>
          <w:lang w:val="fr-CA"/>
        </w:rPr>
        <w:t>’</w:t>
      </w:r>
      <w:r w:rsidRPr="0092785C">
        <w:rPr>
          <w:lang w:val="fr-CA"/>
        </w:rPr>
        <w:t>al. 20(3)a), qui l</w:t>
      </w:r>
      <w:r w:rsidR="00BA1CC2">
        <w:rPr>
          <w:lang w:val="fr-CA"/>
        </w:rPr>
        <w:t>’</w:t>
      </w:r>
      <w:r w:rsidRPr="0092785C">
        <w:rPr>
          <w:lang w:val="fr-CA"/>
        </w:rPr>
        <w:t>oblige à acquérir son [</w:t>
      </w:r>
      <w:r w:rsidRPr="0092785C">
        <w:rPr>
          <w:smallCaps/>
          <w:lang w:val="fr-CA"/>
        </w:rPr>
        <w:t>traduction</w:t>
      </w:r>
      <w:r w:rsidRPr="0092785C">
        <w:rPr>
          <w:lang w:val="fr-CA"/>
        </w:rPr>
        <w:t>] « intérêt aux termes d</w:t>
      </w:r>
      <w:r w:rsidR="00BA1CC2">
        <w:rPr>
          <w:lang w:val="fr-CA"/>
        </w:rPr>
        <w:t>’</w:t>
      </w:r>
      <w:r w:rsidRPr="0092785C">
        <w:rPr>
          <w:lang w:val="fr-CA"/>
        </w:rPr>
        <w:t xml:space="preserve">une opération qui </w:t>
      </w:r>
      <w:r w:rsidRPr="0092785C">
        <w:rPr>
          <w:u w:val="single"/>
          <w:lang w:val="fr-CA"/>
        </w:rPr>
        <w:t>n</w:t>
      </w:r>
      <w:r w:rsidR="00BA1CC2" w:rsidRPr="00E21A6B">
        <w:rPr>
          <w:lang w:val="fr-CA"/>
        </w:rPr>
        <w:t>’</w:t>
      </w:r>
      <w:r w:rsidRPr="00E21A6B">
        <w:rPr>
          <w:lang w:val="fr-CA"/>
        </w:rPr>
        <w:t xml:space="preserve">est </w:t>
      </w:r>
      <w:r w:rsidRPr="0092785C">
        <w:rPr>
          <w:u w:val="single"/>
          <w:lang w:val="fr-CA"/>
        </w:rPr>
        <w:t>pas</w:t>
      </w:r>
      <w:r w:rsidRPr="0092785C">
        <w:rPr>
          <w:lang w:val="fr-CA"/>
        </w:rPr>
        <w:t xml:space="preserve"> un contrat de sûreté ».  Selon les définitions incluses aux al. 2(1</w:t>
      </w:r>
      <w:proofErr w:type="gramStart"/>
      <w:r w:rsidRPr="0092785C">
        <w:rPr>
          <w:lang w:val="fr-CA"/>
        </w:rPr>
        <w:t>)pp</w:t>
      </w:r>
      <w:proofErr w:type="gramEnd"/>
      <w:r w:rsidRPr="0092785C">
        <w:rPr>
          <w:lang w:val="fr-CA"/>
        </w:rPr>
        <w:t xml:space="preserve">) et </w:t>
      </w:r>
      <w:proofErr w:type="spellStart"/>
      <w:r w:rsidRPr="0092785C">
        <w:rPr>
          <w:lang w:val="fr-CA"/>
        </w:rPr>
        <w:t>qq</w:t>
      </w:r>
      <w:proofErr w:type="spellEnd"/>
      <w:r w:rsidRPr="0092785C">
        <w:rPr>
          <w:lang w:val="fr-CA"/>
        </w:rPr>
        <w:t xml:space="preserve">) de la </w:t>
      </w:r>
      <w:r w:rsidR="00E21A6B" w:rsidRPr="00DE514D">
        <w:rPr>
          <w:i/>
          <w:lang w:val="fr-CA"/>
        </w:rPr>
        <w:t>PPSA</w:t>
      </w:r>
      <w:r w:rsidRPr="0092785C">
        <w:rPr>
          <w:lang w:val="fr-CA"/>
        </w:rPr>
        <w:t xml:space="preserve">, qui </w:t>
      </w:r>
      <w:r w:rsidRPr="0092785C">
        <w:rPr>
          <w:lang w:val="fr-CA"/>
        </w:rPr>
        <w:lastRenderedPageBreak/>
        <w:t xml:space="preserve">précisent ce qui constitue une sûreté et un contrat de sûreté, un contrat créant une garantie sous le régime de la </w:t>
      </w:r>
      <w:r w:rsidRPr="00E21A6B">
        <w:rPr>
          <w:i/>
          <w:lang w:val="fr-CA"/>
        </w:rPr>
        <w:t>LB</w:t>
      </w:r>
      <w:r w:rsidRPr="0092785C">
        <w:rPr>
          <w:i/>
          <w:lang w:val="fr-CA"/>
        </w:rPr>
        <w:t xml:space="preserve"> </w:t>
      </w:r>
      <w:r w:rsidRPr="0092785C">
        <w:rPr>
          <w:lang w:val="fr-CA"/>
        </w:rPr>
        <w:t xml:space="preserve">serait manifestement un contrat de sûreté au sens de la </w:t>
      </w:r>
      <w:r w:rsidR="00E21A6B" w:rsidRPr="00DE514D">
        <w:rPr>
          <w:i/>
          <w:lang w:val="fr-CA"/>
        </w:rPr>
        <w:t>PPSA</w:t>
      </w:r>
      <w:r w:rsidRPr="0092785C">
        <w:rPr>
          <w:lang w:val="fr-CA"/>
        </w:rPr>
        <w:t>.  La Banque de Montréal fait toutefois valoir que, par application de l</w:t>
      </w:r>
      <w:r w:rsidR="00BA1CC2">
        <w:rPr>
          <w:lang w:val="fr-CA"/>
        </w:rPr>
        <w:t>’</w:t>
      </w:r>
      <w:r w:rsidRPr="0092785C">
        <w:rPr>
          <w:lang w:val="fr-CA"/>
        </w:rPr>
        <w:t xml:space="preserve">al. 4k) de la </w:t>
      </w:r>
      <w:r w:rsidR="00E21A6B" w:rsidRPr="00DE514D">
        <w:rPr>
          <w:i/>
          <w:lang w:val="fr-CA"/>
        </w:rPr>
        <w:t>PPSA</w:t>
      </w:r>
      <w:r w:rsidRPr="0092785C">
        <w:rPr>
          <w:lang w:val="fr-CA"/>
        </w:rPr>
        <w:t>, qui comme nous l</w:t>
      </w:r>
      <w:r w:rsidR="00BA1CC2">
        <w:rPr>
          <w:lang w:val="fr-CA"/>
        </w:rPr>
        <w:t>’</w:t>
      </w:r>
      <w:r w:rsidRPr="0092785C">
        <w:rPr>
          <w:lang w:val="fr-CA"/>
        </w:rPr>
        <w:t xml:space="preserve">avons vu soustrait une garantie créée en vertu de la </w:t>
      </w:r>
      <w:r w:rsidRPr="00E21A6B">
        <w:rPr>
          <w:i/>
          <w:lang w:val="fr-CA"/>
        </w:rPr>
        <w:t>LB</w:t>
      </w:r>
      <w:r w:rsidRPr="0092785C">
        <w:rPr>
          <w:i/>
          <w:lang w:val="fr-CA"/>
        </w:rPr>
        <w:t xml:space="preserve"> </w:t>
      </w:r>
      <w:r w:rsidRPr="0092785C">
        <w:rPr>
          <w:lang w:val="fr-CA"/>
        </w:rPr>
        <w:t>de l</w:t>
      </w:r>
      <w:r w:rsidR="00BA1CC2">
        <w:rPr>
          <w:lang w:val="fr-CA"/>
        </w:rPr>
        <w:t>’</w:t>
      </w:r>
      <w:r w:rsidRPr="0092785C">
        <w:rPr>
          <w:lang w:val="fr-CA"/>
        </w:rPr>
        <w:t xml:space="preserve">application de la </w:t>
      </w:r>
      <w:r w:rsidR="00E21A6B" w:rsidRPr="00DE514D">
        <w:rPr>
          <w:i/>
          <w:lang w:val="fr-CA"/>
        </w:rPr>
        <w:t>PPSA</w:t>
      </w:r>
      <w:r w:rsidRPr="0092785C">
        <w:rPr>
          <w:lang w:val="fr-CA"/>
        </w:rPr>
        <w:t xml:space="preserve">, une telle garantie ne constitue pas une sûreté au sens de la </w:t>
      </w:r>
      <w:r w:rsidR="00E21A6B" w:rsidRPr="00DE514D">
        <w:rPr>
          <w:i/>
          <w:lang w:val="fr-CA"/>
        </w:rPr>
        <w:t>PPSA</w:t>
      </w:r>
      <w:r w:rsidRPr="0092785C">
        <w:rPr>
          <w:lang w:val="fr-CA"/>
        </w:rPr>
        <w:t>.  D</w:t>
      </w:r>
      <w:r w:rsidR="00BA1CC2">
        <w:rPr>
          <w:lang w:val="fr-CA"/>
        </w:rPr>
        <w:t>’</w:t>
      </w:r>
      <w:r w:rsidRPr="0092785C">
        <w:rPr>
          <w:lang w:val="fr-CA"/>
        </w:rPr>
        <w:t>après la Banque, cela signifie que la condition établie à l</w:t>
      </w:r>
      <w:r w:rsidR="00BA1CC2">
        <w:rPr>
          <w:lang w:val="fr-CA"/>
        </w:rPr>
        <w:t>’</w:t>
      </w:r>
      <w:r w:rsidRPr="0092785C">
        <w:rPr>
          <w:lang w:val="fr-CA"/>
        </w:rPr>
        <w:t>al.  20(3)a) est respectée, ce qui lui permet de tirer profit de cette disposition de subordination.</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À mon avis, l</w:t>
      </w:r>
      <w:r w:rsidR="00BA1CC2">
        <w:rPr>
          <w:lang w:val="fr-CA"/>
        </w:rPr>
        <w:t>’</w:t>
      </w:r>
      <w:r w:rsidRPr="0092785C">
        <w:rPr>
          <w:lang w:val="fr-CA"/>
        </w:rPr>
        <w:t>argument de la Banque n</w:t>
      </w:r>
      <w:r w:rsidR="00BA1CC2">
        <w:rPr>
          <w:lang w:val="fr-CA"/>
        </w:rPr>
        <w:t>’</w:t>
      </w:r>
      <w:r w:rsidRPr="0092785C">
        <w:rPr>
          <w:lang w:val="fr-CA"/>
        </w:rPr>
        <w:t>est pas compatible avec le libellé clair de la disposition ni avec l</w:t>
      </w:r>
      <w:r w:rsidR="00BA1CC2">
        <w:rPr>
          <w:lang w:val="fr-CA"/>
        </w:rPr>
        <w:t>’</w:t>
      </w:r>
      <w:r w:rsidRPr="0092785C">
        <w:rPr>
          <w:lang w:val="fr-CA"/>
        </w:rPr>
        <w:t>intention sous-jacente du législateur.  Aux termes de l</w:t>
      </w:r>
      <w:r w:rsidR="00BA1CC2">
        <w:rPr>
          <w:lang w:val="fr-CA"/>
        </w:rPr>
        <w:t>’</w:t>
      </w:r>
      <w:r w:rsidRPr="0092785C">
        <w:rPr>
          <w:lang w:val="fr-CA"/>
        </w:rPr>
        <w:t xml:space="preserve">al. 4k), la </w:t>
      </w:r>
      <w:r w:rsidR="0094352C" w:rsidRPr="00DE514D">
        <w:rPr>
          <w:i/>
          <w:lang w:val="fr-CA"/>
        </w:rPr>
        <w:t>PPSA</w:t>
      </w:r>
      <w:r w:rsidRPr="0092785C">
        <w:rPr>
          <w:lang w:val="fr-CA"/>
        </w:rPr>
        <w:t xml:space="preserve"> [</w:t>
      </w:r>
      <w:r w:rsidRPr="0092785C">
        <w:rPr>
          <w:smallCaps/>
          <w:lang w:val="fr-CA"/>
        </w:rPr>
        <w:t>traduction</w:t>
      </w:r>
      <w:r w:rsidRPr="0092785C">
        <w:rPr>
          <w:lang w:val="fr-CA"/>
        </w:rPr>
        <w:t>] « ne s</w:t>
      </w:r>
      <w:r w:rsidR="00BA1CC2">
        <w:rPr>
          <w:lang w:val="fr-CA"/>
        </w:rPr>
        <w:t>’</w:t>
      </w:r>
      <w:r w:rsidRPr="0092785C">
        <w:rPr>
          <w:lang w:val="fr-CA"/>
        </w:rPr>
        <w:t xml:space="preserve">applique pas à » une garantie régie par la </w:t>
      </w:r>
      <w:r w:rsidRPr="0094352C">
        <w:rPr>
          <w:i/>
          <w:lang w:val="fr-CA"/>
        </w:rPr>
        <w:t>LB</w:t>
      </w:r>
      <w:r w:rsidRPr="0092785C">
        <w:rPr>
          <w:lang w:val="fr-CA"/>
        </w:rPr>
        <w:t>.  Il me semble que le libellé clair de cet alinéa ne peut logiquement recevoir qu</w:t>
      </w:r>
      <w:r w:rsidR="00BA1CC2">
        <w:rPr>
          <w:lang w:val="fr-CA"/>
        </w:rPr>
        <w:t>’</w:t>
      </w:r>
      <w:r w:rsidRPr="0092785C">
        <w:rPr>
          <w:lang w:val="fr-CA"/>
        </w:rPr>
        <w:t xml:space="preserve">une interprétation : une garantie régie par la </w:t>
      </w:r>
      <w:r w:rsidRPr="0094352C">
        <w:rPr>
          <w:i/>
          <w:lang w:val="fr-CA"/>
        </w:rPr>
        <w:t>LB</w:t>
      </w:r>
      <w:r w:rsidRPr="0092785C">
        <w:rPr>
          <w:lang w:val="fr-CA"/>
        </w:rPr>
        <w:t xml:space="preserve"> constitue bel et bien une sûreté au sens de la </w:t>
      </w:r>
      <w:r w:rsidR="0094352C" w:rsidRPr="00DE514D">
        <w:rPr>
          <w:i/>
          <w:lang w:val="fr-CA"/>
        </w:rPr>
        <w:t>PPSA</w:t>
      </w:r>
      <w:r w:rsidRPr="0092785C">
        <w:rPr>
          <w:lang w:val="fr-CA"/>
        </w:rPr>
        <w:t>, mais l</w:t>
      </w:r>
      <w:r w:rsidR="00BA1CC2">
        <w:rPr>
          <w:lang w:val="fr-CA"/>
        </w:rPr>
        <w:t>’</w:t>
      </w:r>
      <w:r w:rsidRPr="0092785C">
        <w:rPr>
          <w:lang w:val="fr-CA"/>
        </w:rPr>
        <w:t xml:space="preserve">al. 4k) déclare les dispositions de la </w:t>
      </w:r>
      <w:r w:rsidR="0094352C" w:rsidRPr="00DE514D">
        <w:rPr>
          <w:i/>
          <w:lang w:val="fr-CA"/>
        </w:rPr>
        <w:t>PPSA</w:t>
      </w:r>
      <w:r w:rsidRPr="0092785C">
        <w:rPr>
          <w:lang w:val="fr-CA"/>
        </w:rPr>
        <w:t xml:space="preserve"> inapplicables à ce type de garantie.</w:t>
      </w:r>
    </w:p>
    <w:p w:rsidR="00DC4439" w:rsidRPr="00A30151"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Les considérations liées à l</w:t>
      </w:r>
      <w:r w:rsidR="00BA1CC2">
        <w:rPr>
          <w:lang w:val="fr-CA"/>
        </w:rPr>
        <w:t>’</w:t>
      </w:r>
      <w:r w:rsidRPr="0092785C">
        <w:rPr>
          <w:lang w:val="fr-CA"/>
        </w:rPr>
        <w:t>intention du législateur militent aussi contre l</w:t>
      </w:r>
      <w:r w:rsidR="00BA1CC2">
        <w:rPr>
          <w:lang w:val="fr-CA"/>
        </w:rPr>
        <w:t>’</w:t>
      </w:r>
      <w:r w:rsidRPr="0092785C">
        <w:rPr>
          <w:lang w:val="fr-CA"/>
        </w:rPr>
        <w:t>interprétation du par. 20(3) et de l</w:t>
      </w:r>
      <w:r w:rsidR="00BA1CC2">
        <w:rPr>
          <w:lang w:val="fr-CA"/>
        </w:rPr>
        <w:t>’</w:t>
      </w:r>
      <w:r w:rsidRPr="0092785C">
        <w:rPr>
          <w:lang w:val="fr-CA"/>
        </w:rPr>
        <w:t xml:space="preserve">al. 4k) préconisée par la Banque.  La </w:t>
      </w:r>
      <w:r w:rsidR="0094352C" w:rsidRPr="00DE514D">
        <w:rPr>
          <w:i/>
          <w:lang w:val="fr-CA"/>
        </w:rPr>
        <w:t>PPSA</w:t>
      </w:r>
      <w:r w:rsidRPr="0092785C">
        <w:rPr>
          <w:lang w:val="fr-CA"/>
        </w:rPr>
        <w:t xml:space="preserve"> de la Saskatchewan contient une disposition essentiellement semblable à l</w:t>
      </w:r>
      <w:r w:rsidR="00BA1CC2">
        <w:rPr>
          <w:lang w:val="fr-CA"/>
        </w:rPr>
        <w:t>’</w:t>
      </w:r>
      <w:r w:rsidRPr="0092785C">
        <w:rPr>
          <w:lang w:val="fr-CA"/>
        </w:rPr>
        <w:t xml:space="preserve">actuel par. 20(3) depuis son entrée en vigueur en 1980, mais son al. 4k), qui soustrait expressément la garantie régie par la </w:t>
      </w:r>
      <w:r w:rsidRPr="0094352C">
        <w:rPr>
          <w:i/>
          <w:lang w:val="fr-CA"/>
        </w:rPr>
        <w:t>LB</w:t>
      </w:r>
      <w:r w:rsidRPr="0092785C">
        <w:rPr>
          <w:lang w:val="fr-CA"/>
        </w:rPr>
        <w:t xml:space="preserve"> à l</w:t>
      </w:r>
      <w:r w:rsidR="00BA1CC2">
        <w:rPr>
          <w:lang w:val="fr-CA"/>
        </w:rPr>
        <w:t>’</w:t>
      </w:r>
      <w:r w:rsidRPr="0092785C">
        <w:rPr>
          <w:lang w:val="fr-CA"/>
        </w:rPr>
        <w:t xml:space="preserve">application de la </w:t>
      </w:r>
      <w:r w:rsidR="0094352C" w:rsidRPr="00DE514D">
        <w:rPr>
          <w:i/>
          <w:lang w:val="fr-CA"/>
        </w:rPr>
        <w:t>PPSA</w:t>
      </w:r>
      <w:r w:rsidRPr="0092785C">
        <w:rPr>
          <w:lang w:val="fr-CA"/>
        </w:rPr>
        <w:t>, n</w:t>
      </w:r>
      <w:r w:rsidR="00BA1CC2">
        <w:rPr>
          <w:lang w:val="fr-CA"/>
        </w:rPr>
        <w:t>’</w:t>
      </w:r>
      <w:r w:rsidRPr="0092785C">
        <w:rPr>
          <w:lang w:val="fr-CA"/>
        </w:rPr>
        <w:t>a été ajouté qu</w:t>
      </w:r>
      <w:r w:rsidR="00BA1CC2">
        <w:rPr>
          <w:lang w:val="fr-CA"/>
        </w:rPr>
        <w:t>’</w:t>
      </w:r>
      <w:r w:rsidRPr="0092785C">
        <w:rPr>
          <w:lang w:val="fr-CA"/>
        </w:rPr>
        <w:t>en 1993.  Lorsque le par. 20(3), ou son ancêtre, a été adopté initialement, il ne fait aucun doute qu</w:t>
      </w:r>
      <w:r w:rsidR="00BA1CC2">
        <w:rPr>
          <w:lang w:val="fr-CA"/>
        </w:rPr>
        <w:t>’</w:t>
      </w:r>
      <w:r w:rsidRPr="0092785C">
        <w:rPr>
          <w:lang w:val="fr-CA"/>
        </w:rPr>
        <w:t>il ne s</w:t>
      </w:r>
      <w:r w:rsidR="00BA1CC2">
        <w:rPr>
          <w:lang w:val="fr-CA"/>
        </w:rPr>
        <w:t>’</w:t>
      </w:r>
      <w:r w:rsidRPr="0092785C">
        <w:rPr>
          <w:lang w:val="fr-CA"/>
        </w:rPr>
        <w:t>appliquait pas et n</w:t>
      </w:r>
      <w:r w:rsidR="00BA1CC2">
        <w:rPr>
          <w:lang w:val="fr-CA"/>
        </w:rPr>
        <w:t>’</w:t>
      </w:r>
      <w:r w:rsidRPr="0092785C">
        <w:rPr>
          <w:lang w:val="fr-CA"/>
        </w:rPr>
        <w:t>était pas censé s</w:t>
      </w:r>
      <w:r w:rsidR="00BA1CC2">
        <w:rPr>
          <w:lang w:val="fr-CA"/>
        </w:rPr>
        <w:t>’</w:t>
      </w:r>
      <w:r w:rsidRPr="0092785C">
        <w:rPr>
          <w:lang w:val="fr-CA"/>
        </w:rPr>
        <w:t xml:space="preserve">appliquer à une garantie régie par la </w:t>
      </w:r>
      <w:r w:rsidRPr="0094352C">
        <w:rPr>
          <w:i/>
          <w:lang w:val="fr-CA"/>
        </w:rPr>
        <w:t>LB</w:t>
      </w:r>
      <w:r w:rsidRPr="0092785C">
        <w:rPr>
          <w:lang w:val="fr-CA"/>
        </w:rPr>
        <w:t xml:space="preserve">, </w:t>
      </w:r>
      <w:r w:rsidRPr="0092785C">
        <w:rPr>
          <w:lang w:val="fr-CA"/>
        </w:rPr>
        <w:lastRenderedPageBreak/>
        <w:t>puisque le libellé de cette disposition en limitait expressément l</w:t>
      </w:r>
      <w:r w:rsidR="00BA1CC2">
        <w:rPr>
          <w:lang w:val="fr-CA"/>
        </w:rPr>
        <w:t>’</w:t>
      </w:r>
      <w:r w:rsidRPr="0092785C">
        <w:rPr>
          <w:lang w:val="fr-CA"/>
        </w:rPr>
        <w:t xml:space="preserve">application aux intérêts qui </w:t>
      </w:r>
      <w:r w:rsidRPr="0092785C">
        <w:rPr>
          <w:i/>
          <w:lang w:val="fr-CA"/>
        </w:rPr>
        <w:t>n</w:t>
      </w:r>
      <w:r w:rsidR="00BA1CC2" w:rsidRPr="00570D0F">
        <w:rPr>
          <w:lang w:val="fr-CA"/>
        </w:rPr>
        <w:t>’</w:t>
      </w:r>
      <w:r w:rsidRPr="0092785C">
        <w:rPr>
          <w:lang w:val="fr-CA"/>
        </w:rPr>
        <w:t xml:space="preserve">étaient </w:t>
      </w:r>
      <w:r w:rsidRPr="0092785C">
        <w:rPr>
          <w:i/>
          <w:lang w:val="fr-CA"/>
        </w:rPr>
        <w:t>pas</w:t>
      </w:r>
      <w:r w:rsidRPr="0092785C">
        <w:rPr>
          <w:lang w:val="fr-CA"/>
        </w:rPr>
        <w:t xml:space="preserve"> acquis aux termes d</w:t>
      </w:r>
      <w:r w:rsidR="00BA1CC2">
        <w:rPr>
          <w:lang w:val="fr-CA"/>
        </w:rPr>
        <w:t>’</w:t>
      </w:r>
      <w:r w:rsidRPr="0092785C">
        <w:rPr>
          <w:lang w:val="fr-CA"/>
        </w:rPr>
        <w:t>un contrat de sûreté et qu</w:t>
      </w:r>
      <w:r w:rsidR="00BA1CC2">
        <w:rPr>
          <w:lang w:val="fr-CA"/>
        </w:rPr>
        <w:t>’</w:t>
      </w:r>
      <w:r w:rsidRPr="0092785C">
        <w:rPr>
          <w:lang w:val="fr-CA"/>
        </w:rPr>
        <w:t>il ne faisait aucun doute qu</w:t>
      </w:r>
      <w:r w:rsidR="00BA1CC2">
        <w:rPr>
          <w:lang w:val="fr-CA"/>
        </w:rPr>
        <w:t>’</w:t>
      </w:r>
      <w:r w:rsidRPr="0092785C">
        <w:rPr>
          <w:lang w:val="fr-CA"/>
        </w:rPr>
        <w:t xml:space="preserve">une garantie régie par la </w:t>
      </w:r>
      <w:r w:rsidRPr="0094352C">
        <w:rPr>
          <w:i/>
          <w:lang w:val="fr-CA"/>
        </w:rPr>
        <w:t>LB</w:t>
      </w:r>
      <w:r w:rsidRPr="0092785C">
        <w:rPr>
          <w:lang w:val="fr-CA"/>
        </w:rPr>
        <w:t xml:space="preserve"> constituait une sûreté au sens de la </w:t>
      </w:r>
      <w:r w:rsidR="0094352C" w:rsidRPr="00DE514D">
        <w:rPr>
          <w:i/>
          <w:lang w:val="fr-CA"/>
        </w:rPr>
        <w:t>PPSA</w:t>
      </w:r>
      <w:r w:rsidRPr="0092785C">
        <w:rPr>
          <w:lang w:val="fr-CA"/>
        </w:rPr>
        <w:t xml:space="preserve">.  </w:t>
      </w:r>
      <w:r w:rsidRPr="0092785C">
        <w:rPr>
          <w:spacing w:val="3"/>
          <w:lang w:val="fr-CA"/>
        </w:rPr>
        <w:t>Puisque l</w:t>
      </w:r>
      <w:r w:rsidR="00BA1CC2">
        <w:rPr>
          <w:spacing w:val="3"/>
          <w:lang w:val="fr-CA"/>
        </w:rPr>
        <w:t>’</w:t>
      </w:r>
      <w:r w:rsidRPr="0092785C">
        <w:rPr>
          <w:spacing w:val="3"/>
          <w:lang w:val="fr-CA"/>
        </w:rPr>
        <w:t>al. 4</w:t>
      </w:r>
      <w:r w:rsidRPr="0094352C">
        <w:rPr>
          <w:spacing w:val="3"/>
          <w:lang w:val="fr-CA"/>
        </w:rPr>
        <w:t>k</w:t>
      </w:r>
      <w:r w:rsidRPr="0092785C">
        <w:rPr>
          <w:spacing w:val="3"/>
          <w:lang w:val="fr-CA"/>
        </w:rPr>
        <w:t>) avait pour objet d</w:t>
      </w:r>
      <w:r w:rsidR="00BA1CC2">
        <w:rPr>
          <w:spacing w:val="3"/>
          <w:lang w:val="fr-CA"/>
        </w:rPr>
        <w:t>’</w:t>
      </w:r>
      <w:r w:rsidRPr="0092785C">
        <w:rPr>
          <w:spacing w:val="3"/>
          <w:lang w:val="fr-CA"/>
        </w:rPr>
        <w:t xml:space="preserve">exclure la garantie créée en vertu de la </w:t>
      </w:r>
      <w:r w:rsidRPr="0094352C">
        <w:rPr>
          <w:i/>
          <w:spacing w:val="3"/>
          <w:lang w:val="fr-CA"/>
        </w:rPr>
        <w:t>LB</w:t>
      </w:r>
      <w:r w:rsidRPr="0092785C">
        <w:rPr>
          <w:i/>
          <w:spacing w:val="3"/>
          <w:lang w:val="fr-CA"/>
        </w:rPr>
        <w:t xml:space="preserve"> </w:t>
      </w:r>
      <w:r w:rsidRPr="0092785C">
        <w:rPr>
          <w:spacing w:val="3"/>
          <w:lang w:val="fr-CA"/>
        </w:rPr>
        <w:t xml:space="preserve">du régime de priorité établi par la </w:t>
      </w:r>
      <w:r w:rsidR="0094352C" w:rsidRPr="00DE514D">
        <w:rPr>
          <w:i/>
          <w:lang w:val="fr-CA"/>
        </w:rPr>
        <w:t>PPSA</w:t>
      </w:r>
      <w:r w:rsidRPr="0092785C">
        <w:rPr>
          <w:spacing w:val="3"/>
          <w:lang w:val="fr-CA"/>
        </w:rPr>
        <w:t>, il semble contraire à l</w:t>
      </w:r>
      <w:r w:rsidR="00BA1CC2">
        <w:rPr>
          <w:spacing w:val="3"/>
          <w:lang w:val="fr-CA"/>
        </w:rPr>
        <w:t>’</w:t>
      </w:r>
      <w:r w:rsidRPr="0092785C">
        <w:rPr>
          <w:spacing w:val="3"/>
          <w:lang w:val="fr-CA"/>
        </w:rPr>
        <w:t>intention du législateur d</w:t>
      </w:r>
      <w:r w:rsidR="00BA1CC2">
        <w:rPr>
          <w:spacing w:val="3"/>
          <w:lang w:val="fr-CA"/>
        </w:rPr>
        <w:t>’</w:t>
      </w:r>
      <w:r w:rsidRPr="0092785C">
        <w:rPr>
          <w:spacing w:val="3"/>
          <w:lang w:val="fr-CA"/>
        </w:rPr>
        <w:t>interpréter cet alinéa comme ayant pour effet d</w:t>
      </w:r>
      <w:r w:rsidR="00BA1CC2">
        <w:rPr>
          <w:spacing w:val="3"/>
          <w:lang w:val="fr-CA"/>
        </w:rPr>
        <w:t>’</w:t>
      </w:r>
      <w:r w:rsidRPr="0092785C">
        <w:rPr>
          <w:spacing w:val="3"/>
          <w:lang w:val="fr-CA"/>
        </w:rPr>
        <w:t xml:space="preserve">appliquer à une garantie régie par la </w:t>
      </w:r>
      <w:r w:rsidRPr="0094352C">
        <w:rPr>
          <w:i/>
          <w:spacing w:val="3"/>
          <w:lang w:val="fr-CA"/>
        </w:rPr>
        <w:t>LB</w:t>
      </w:r>
      <w:r w:rsidRPr="0092785C">
        <w:rPr>
          <w:i/>
          <w:spacing w:val="3"/>
          <w:lang w:val="fr-CA"/>
        </w:rPr>
        <w:t xml:space="preserve"> </w:t>
      </w:r>
      <w:r w:rsidRPr="0092785C">
        <w:rPr>
          <w:spacing w:val="3"/>
          <w:lang w:val="fr-CA"/>
        </w:rPr>
        <w:t>une règle de priorité qui lui était inapplicable auparavant.  Or, c</w:t>
      </w:r>
      <w:r w:rsidR="00BA1CC2">
        <w:rPr>
          <w:spacing w:val="3"/>
          <w:lang w:val="fr-CA"/>
        </w:rPr>
        <w:t>’</w:t>
      </w:r>
      <w:r w:rsidRPr="0092785C">
        <w:rPr>
          <w:spacing w:val="3"/>
          <w:lang w:val="fr-CA"/>
        </w:rPr>
        <w:t>est exactement la conclusion que la Cour devrait tirer selon l</w:t>
      </w:r>
      <w:r w:rsidR="00BA1CC2">
        <w:rPr>
          <w:spacing w:val="3"/>
          <w:lang w:val="fr-CA"/>
        </w:rPr>
        <w:t>’</w:t>
      </w:r>
      <w:r w:rsidRPr="0092785C">
        <w:rPr>
          <w:spacing w:val="3"/>
          <w:lang w:val="fr-CA"/>
        </w:rPr>
        <w:t xml:space="preserve">interprétation proposée par la Banque de Montréal.  </w:t>
      </w:r>
      <w:r w:rsidRPr="0092785C">
        <w:rPr>
          <w:lang w:val="fr-CA"/>
        </w:rPr>
        <w:t>Le paragraphe 9(2), également adopté en 1993, démontre aussi l</w:t>
      </w:r>
      <w:r w:rsidR="00BA1CC2">
        <w:rPr>
          <w:lang w:val="fr-CA"/>
        </w:rPr>
        <w:t>’</w:t>
      </w:r>
      <w:r w:rsidRPr="0092785C">
        <w:rPr>
          <w:lang w:val="fr-CA"/>
        </w:rPr>
        <w:t>intention de la législature provinciale d</w:t>
      </w:r>
      <w:r w:rsidR="00BA1CC2">
        <w:rPr>
          <w:lang w:val="fr-CA"/>
        </w:rPr>
        <w:t>’</w:t>
      </w:r>
      <w:r w:rsidRPr="0092785C">
        <w:rPr>
          <w:lang w:val="fr-CA"/>
        </w:rPr>
        <w:t xml:space="preserve">empêcher les banques qui prennent une garantie au titre de la </w:t>
      </w:r>
      <w:r w:rsidRPr="00A30151">
        <w:rPr>
          <w:i/>
          <w:lang w:val="fr-CA"/>
        </w:rPr>
        <w:t>LB</w:t>
      </w:r>
      <w:r w:rsidRPr="0092785C">
        <w:rPr>
          <w:i/>
          <w:lang w:val="fr-CA"/>
        </w:rPr>
        <w:t xml:space="preserve"> </w:t>
      </w:r>
      <w:r w:rsidRPr="0092785C">
        <w:rPr>
          <w:lang w:val="fr-CA"/>
        </w:rPr>
        <w:t xml:space="preserve">de prendre une sûreté en vertu de la </w:t>
      </w:r>
      <w:r w:rsidR="00A30151" w:rsidRPr="00DE514D">
        <w:rPr>
          <w:i/>
          <w:lang w:val="fr-CA"/>
        </w:rPr>
        <w:t>PPSA</w:t>
      </w:r>
      <w:r w:rsidRPr="0092785C">
        <w:rPr>
          <w:lang w:val="fr-CA"/>
        </w:rPr>
        <w:t xml:space="preserve"> sur le même bien et de tirer ainsi parti des deux lois.  </w:t>
      </w:r>
      <w:r w:rsidRPr="00A30151">
        <w:rPr>
          <w:lang w:val="fr-CA"/>
        </w:rPr>
        <w:t>Le paragraphe 9(2) prévoit ce qui suit :</w:t>
      </w:r>
    </w:p>
    <w:p w:rsidR="00DC4439" w:rsidRDefault="00DC4439" w:rsidP="00DC4439">
      <w:pPr>
        <w:pStyle w:val="Citation1"/>
        <w:spacing w:after="0"/>
        <w:contextualSpacing w:val="0"/>
        <w:rPr>
          <w:spacing w:val="3"/>
        </w:rPr>
      </w:pPr>
      <w:r w:rsidRPr="0092785C">
        <w:rPr>
          <w:spacing w:val="3"/>
        </w:rPr>
        <w:t>[</w:t>
      </w:r>
      <w:r w:rsidRPr="0092785C">
        <w:rPr>
          <w:smallCaps/>
        </w:rPr>
        <w:t>traduction</w:t>
      </w:r>
      <w:r w:rsidRPr="0092785C">
        <w:rPr>
          <w:spacing w:val="3"/>
        </w:rPr>
        <w:t>]</w:t>
      </w:r>
    </w:p>
    <w:p w:rsidR="00A30151" w:rsidRPr="0092785C" w:rsidRDefault="00A30151" w:rsidP="00DC4439">
      <w:pPr>
        <w:pStyle w:val="Citation1"/>
        <w:spacing w:after="0"/>
        <w:contextualSpacing w:val="0"/>
        <w:rPr>
          <w:spacing w:val="3"/>
        </w:rPr>
      </w:pPr>
    </w:p>
    <w:p w:rsidR="00DC4439" w:rsidRPr="0092785C" w:rsidRDefault="00DC4439" w:rsidP="00DC4439">
      <w:pPr>
        <w:pStyle w:val="Citation1"/>
      </w:pPr>
      <w:proofErr w:type="gramStart"/>
      <w:r w:rsidRPr="0092785C">
        <w:rPr>
          <w:b/>
        </w:rPr>
        <w:t>9</w:t>
      </w:r>
      <w:r w:rsidRPr="0092785C">
        <w:t xml:space="preserve"> .</w:t>
      </w:r>
      <w:proofErr w:type="gramEnd"/>
      <w:r w:rsidRPr="0092785C">
        <w:t> . .</w:t>
      </w:r>
    </w:p>
    <w:p w:rsidR="00DC4439" w:rsidRPr="0092785C" w:rsidRDefault="00DC4439" w:rsidP="00DC4439">
      <w:pPr>
        <w:pStyle w:val="Citation1"/>
      </w:pPr>
    </w:p>
    <w:p w:rsidR="00DC4439" w:rsidRPr="0092785C" w:rsidRDefault="00DC4439" w:rsidP="00AC6C41">
      <w:pPr>
        <w:pStyle w:val="Citation1"/>
        <w:tabs>
          <w:tab w:val="left" w:pos="1710"/>
        </w:tabs>
        <w:ind w:firstLine="4"/>
      </w:pPr>
      <w:r w:rsidRPr="0092785C">
        <w:t>(2)</w:t>
      </w:r>
      <w:r w:rsidRPr="0092785C">
        <w:tab/>
        <w:t>Une sûreté sur un bien cesse d</w:t>
      </w:r>
      <w:r w:rsidR="00BA1CC2">
        <w:t>’</w:t>
      </w:r>
      <w:r w:rsidRPr="0092785C">
        <w:t>être valide à l</w:t>
      </w:r>
      <w:r w:rsidR="00BA1CC2">
        <w:t>’</w:t>
      </w:r>
      <w:r w:rsidRPr="0092785C">
        <w:t>égard de ce bien dans la mesure où elle garantit l</w:t>
      </w:r>
      <w:r w:rsidR="00BA1CC2">
        <w:t>’</w:t>
      </w:r>
      <w:r w:rsidRPr="0092785C">
        <w:t>exécution d</w:t>
      </w:r>
      <w:r w:rsidR="00BA1CC2">
        <w:t>’</w:t>
      </w:r>
      <w:r w:rsidRPr="0092785C">
        <w:t>une obligation dont l</w:t>
      </w:r>
      <w:r w:rsidR="00BA1CC2">
        <w:t>’</w:t>
      </w:r>
      <w:r w:rsidRPr="0092785C">
        <w:t xml:space="preserve">exécution est aussi garantie par une sûreté sur le même bien créée en faveur du même créancier en vertu des articles 425 à 436 de la </w:t>
      </w:r>
      <w:r w:rsidRPr="0092785C">
        <w:rPr>
          <w:i/>
        </w:rPr>
        <w:t xml:space="preserve">Loi sur les banques </w:t>
      </w:r>
      <w:r w:rsidRPr="0092785C">
        <w:t>(Canada).</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Je conclus donc que le par. 20(3) n</w:t>
      </w:r>
      <w:r w:rsidR="00BA1CC2">
        <w:rPr>
          <w:lang w:val="fr-CA"/>
        </w:rPr>
        <w:t>’</w:t>
      </w:r>
      <w:r w:rsidRPr="0092785C">
        <w:rPr>
          <w:lang w:val="fr-CA"/>
        </w:rPr>
        <w:t xml:space="preserve">a pas pour effet de subordonner la sûreté prise par la Coopérative de crédit en vertu de la </w:t>
      </w:r>
      <w:r w:rsidR="00A30151" w:rsidRPr="00DE514D">
        <w:rPr>
          <w:i/>
          <w:lang w:val="fr-CA"/>
        </w:rPr>
        <w:t>PPSA</w:t>
      </w:r>
      <w:r w:rsidRPr="0092785C">
        <w:rPr>
          <w:lang w:val="fr-CA"/>
        </w:rPr>
        <w:t xml:space="preserve"> à la garantie obtenue par la Banque au titre de la </w:t>
      </w:r>
      <w:r w:rsidRPr="00A30151">
        <w:rPr>
          <w:i/>
          <w:lang w:val="fr-CA"/>
        </w:rPr>
        <w:t>LB</w:t>
      </w:r>
      <w:r w:rsidRPr="0092785C">
        <w:rPr>
          <w:lang w:val="fr-CA"/>
        </w:rPr>
        <w:t>.</w:t>
      </w:r>
    </w:p>
    <w:p w:rsidR="00DC4439" w:rsidRPr="0092785C" w:rsidRDefault="00DC4439" w:rsidP="00A30151">
      <w:pPr>
        <w:pStyle w:val="ListParagraph"/>
        <w:tabs>
          <w:tab w:val="left" w:pos="540"/>
          <w:tab w:val="left" w:pos="1152"/>
        </w:tabs>
        <w:spacing w:after="480" w:line="480" w:lineRule="auto"/>
        <w:ind w:left="0"/>
        <w:jc w:val="both"/>
        <w:rPr>
          <w:spacing w:val="3"/>
        </w:rPr>
      </w:pPr>
      <w:r w:rsidRPr="0092785C">
        <w:rPr>
          <w:spacing w:val="3"/>
        </w:rPr>
        <w:lastRenderedPageBreak/>
        <w:t>5.</w:t>
      </w:r>
      <w:r w:rsidR="00A30151">
        <w:rPr>
          <w:spacing w:val="3"/>
        </w:rPr>
        <w:tab/>
      </w:r>
      <w:r w:rsidRPr="0092785C">
        <w:rPr>
          <w:u w:val="single"/>
        </w:rPr>
        <w:t>Conclusion</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 xml:space="preserve">En résumé, la </w:t>
      </w:r>
      <w:r w:rsidRPr="00A30151">
        <w:rPr>
          <w:i/>
          <w:lang w:val="fr-CA"/>
        </w:rPr>
        <w:t>LB</w:t>
      </w:r>
      <w:r w:rsidRPr="0092785C">
        <w:rPr>
          <w:lang w:val="fr-CA"/>
        </w:rPr>
        <w:t xml:space="preserve">, correctement interprétée, donne à une sûreté antérieure non parfaite relevant de la </w:t>
      </w:r>
      <w:r w:rsidR="00A30151" w:rsidRPr="00DE514D">
        <w:rPr>
          <w:i/>
          <w:lang w:val="fr-CA"/>
        </w:rPr>
        <w:t>PPSA</w:t>
      </w:r>
      <w:r w:rsidRPr="0092785C">
        <w:rPr>
          <w:lang w:val="fr-CA"/>
        </w:rPr>
        <w:t xml:space="preserve"> priorité sur une garantie subséquente régie par la </w:t>
      </w:r>
      <w:r w:rsidRPr="00A30151">
        <w:rPr>
          <w:i/>
          <w:lang w:val="fr-CA"/>
        </w:rPr>
        <w:t>LB</w:t>
      </w:r>
      <w:r w:rsidRPr="0092785C">
        <w:rPr>
          <w:lang w:val="fr-CA"/>
        </w:rPr>
        <w:t xml:space="preserve">, et aucune disposition de la </w:t>
      </w:r>
      <w:r w:rsidR="00A30151" w:rsidRPr="00DE514D">
        <w:rPr>
          <w:i/>
          <w:lang w:val="fr-CA"/>
        </w:rPr>
        <w:t>PPSA</w:t>
      </w:r>
      <w:r w:rsidRPr="0092785C">
        <w:rPr>
          <w:lang w:val="fr-CA"/>
        </w:rPr>
        <w:t xml:space="preserve"> ne subordonne une sûreté non parfaite visée par cette loi à une garantie consentie en application de la </w:t>
      </w:r>
      <w:r w:rsidRPr="0092785C">
        <w:rPr>
          <w:i/>
          <w:lang w:val="fr-CA"/>
        </w:rPr>
        <w:t>Loi sur les banqu</w:t>
      </w:r>
      <w:r w:rsidR="00A30151">
        <w:rPr>
          <w:i/>
          <w:lang w:val="fr-CA"/>
        </w:rPr>
        <w:t>es</w:t>
      </w:r>
      <w:r w:rsidRPr="0092785C">
        <w:rPr>
          <w:lang w:val="fr-CA"/>
        </w:rPr>
        <w:t>.</w:t>
      </w:r>
    </w:p>
    <w:p w:rsidR="00DC4439" w:rsidRPr="0092785C" w:rsidRDefault="00DC4439" w:rsidP="00DC4439">
      <w:pPr>
        <w:pStyle w:val="ListParagraph"/>
        <w:numPr>
          <w:ilvl w:val="0"/>
          <w:numId w:val="1"/>
        </w:numPr>
        <w:tabs>
          <w:tab w:val="left" w:pos="1166"/>
        </w:tabs>
        <w:spacing w:after="480" w:line="480" w:lineRule="auto"/>
        <w:ind w:left="0" w:firstLine="0"/>
        <w:jc w:val="both"/>
        <w:rPr>
          <w:lang w:val="fr-CA"/>
        </w:rPr>
      </w:pPr>
      <w:r w:rsidRPr="0092785C">
        <w:rPr>
          <w:lang w:val="fr-CA"/>
        </w:rPr>
        <w:t>Pour ces motifs, je suis d</w:t>
      </w:r>
      <w:r w:rsidR="00BA1CC2">
        <w:rPr>
          <w:lang w:val="fr-CA"/>
        </w:rPr>
        <w:t>’</w:t>
      </w:r>
      <w:r w:rsidRPr="0092785C">
        <w:rPr>
          <w:lang w:val="fr-CA"/>
        </w:rPr>
        <w:t>avis de rejeter l</w:t>
      </w:r>
      <w:r w:rsidR="00BA1CC2">
        <w:rPr>
          <w:lang w:val="fr-CA"/>
        </w:rPr>
        <w:t>’</w:t>
      </w:r>
      <w:r w:rsidRPr="0092785C">
        <w:rPr>
          <w:lang w:val="fr-CA"/>
        </w:rPr>
        <w:t>appel avec dépens en faveur de la Coopérative de crédit devant toutes les cours.</w:t>
      </w:r>
    </w:p>
    <w:p w:rsidR="00DC4439" w:rsidRPr="0092785C" w:rsidRDefault="00DC4439"/>
    <w:p w:rsidR="0033393C" w:rsidRPr="0092785C" w:rsidRDefault="0036198D" w:rsidP="00DC4439">
      <w:pPr>
        <w:pStyle w:val="SCCNormalDoubleSpacing"/>
        <w:tabs>
          <w:tab w:val="left" w:pos="1170"/>
        </w:tabs>
      </w:pPr>
      <w:r w:rsidRPr="0092785C">
        <w:tab/>
      </w:r>
      <w:r w:rsidR="00570D0F">
        <w:rPr>
          <w:i/>
        </w:rPr>
        <w:t xml:space="preserve">Pourvoi </w:t>
      </w:r>
      <w:r w:rsidRPr="0092785C">
        <w:rPr>
          <w:i/>
        </w:rPr>
        <w:t>rejeté avec dépens.</w:t>
      </w:r>
    </w:p>
    <w:p w:rsidR="00B07FF5" w:rsidRPr="0092785C" w:rsidRDefault="00B07FF5" w:rsidP="001A107D">
      <w:pPr>
        <w:pStyle w:val="SCCNormalDoubleSpacing"/>
      </w:pPr>
    </w:p>
    <w:p w:rsidR="00B07FF5" w:rsidRPr="0092785C" w:rsidRDefault="00B4628A" w:rsidP="00DC4439">
      <w:pPr>
        <w:tabs>
          <w:tab w:val="left" w:pos="-1440"/>
          <w:tab w:val="left" w:pos="-720"/>
          <w:tab w:val="left" w:pos="0"/>
          <w:tab w:val="left" w:pos="1152"/>
          <w:tab w:val="left" w:pos="1569"/>
          <w:tab w:val="left" w:pos="1843"/>
          <w:tab w:val="left" w:pos="2260"/>
          <w:tab w:val="left" w:pos="6480"/>
        </w:tabs>
        <w:spacing w:line="480" w:lineRule="auto"/>
        <w:jc w:val="both"/>
      </w:pPr>
      <w:r w:rsidRPr="0092785C">
        <w:rPr>
          <w:i/>
          <w:iCs/>
        </w:rPr>
        <w:tab/>
      </w:r>
      <w:r w:rsidR="00B07FF5" w:rsidRPr="0092785C">
        <w:rPr>
          <w:i/>
          <w:iCs/>
        </w:rPr>
        <w:t>Procureurs de l</w:t>
      </w:r>
      <w:r w:rsidR="00B07FF5" w:rsidRPr="0092785C">
        <w:rPr>
          <w:i/>
          <w:iCs/>
        </w:rPr>
        <w:sym w:font="WP TypographicSymbols" w:char="003D"/>
      </w:r>
      <w:r w:rsidR="00B07FF5" w:rsidRPr="0092785C">
        <w:rPr>
          <w:i/>
          <w:iCs/>
        </w:rPr>
        <w:t>appelante</w:t>
      </w:r>
      <w:r w:rsidR="0036198D" w:rsidRPr="0092785C">
        <w:rPr>
          <w:i/>
          <w:iCs/>
        </w:rPr>
        <w:t> :</w:t>
      </w:r>
      <w:r w:rsidR="00851340" w:rsidRPr="0092785C">
        <w:rPr>
          <w:i/>
          <w:iCs/>
        </w:rPr>
        <w:t> </w:t>
      </w:r>
      <w:r w:rsidR="00B07FF5" w:rsidRPr="0092785C">
        <w:rPr>
          <w:i/>
          <w:iCs/>
        </w:rPr>
        <w:t>Balfour Moss, Regina.</w:t>
      </w:r>
    </w:p>
    <w:p w:rsidR="00B07FF5" w:rsidRPr="0092785C" w:rsidRDefault="00B07FF5" w:rsidP="001A107D">
      <w:pPr>
        <w:tabs>
          <w:tab w:val="left" w:pos="-1440"/>
          <w:tab w:val="left" w:pos="-720"/>
          <w:tab w:val="left" w:pos="0"/>
          <w:tab w:val="left" w:pos="1152"/>
          <w:tab w:val="left" w:pos="1569"/>
          <w:tab w:val="left" w:pos="1843"/>
          <w:tab w:val="left" w:pos="2260"/>
          <w:tab w:val="left" w:pos="6480"/>
        </w:tabs>
        <w:spacing w:line="480" w:lineRule="auto"/>
        <w:jc w:val="both"/>
      </w:pPr>
    </w:p>
    <w:p w:rsidR="00B07FF5" w:rsidRPr="0092785C" w:rsidRDefault="00B4628A" w:rsidP="00DC4439">
      <w:pPr>
        <w:tabs>
          <w:tab w:val="left" w:pos="-1440"/>
          <w:tab w:val="left" w:pos="-720"/>
          <w:tab w:val="left" w:pos="0"/>
          <w:tab w:val="left" w:pos="1152"/>
          <w:tab w:val="left" w:pos="1569"/>
          <w:tab w:val="left" w:pos="1843"/>
          <w:tab w:val="left" w:pos="2260"/>
          <w:tab w:val="left" w:pos="6480"/>
        </w:tabs>
        <w:spacing w:line="480" w:lineRule="auto"/>
        <w:jc w:val="both"/>
        <w:rPr>
          <w:i/>
          <w:iCs/>
        </w:rPr>
      </w:pPr>
      <w:r w:rsidRPr="0092785C">
        <w:rPr>
          <w:i/>
          <w:iCs/>
        </w:rPr>
        <w:tab/>
      </w:r>
      <w:r w:rsidR="00B07FF5" w:rsidRPr="0092785C">
        <w:rPr>
          <w:i/>
          <w:iCs/>
        </w:rPr>
        <w:t>Procureurs de l</w:t>
      </w:r>
      <w:r w:rsidR="00B07FF5" w:rsidRPr="0092785C">
        <w:rPr>
          <w:i/>
          <w:iCs/>
        </w:rPr>
        <w:sym w:font="WP TypographicSymbols" w:char="003D"/>
      </w:r>
      <w:r w:rsidR="00B07FF5" w:rsidRPr="0092785C">
        <w:rPr>
          <w:i/>
          <w:iCs/>
        </w:rPr>
        <w:t>intimée</w:t>
      </w:r>
      <w:r w:rsidR="0036198D" w:rsidRPr="0092785C">
        <w:rPr>
          <w:i/>
          <w:iCs/>
        </w:rPr>
        <w:t> :</w:t>
      </w:r>
      <w:r w:rsidR="00851340" w:rsidRPr="0092785C">
        <w:rPr>
          <w:i/>
          <w:iCs/>
        </w:rPr>
        <w:t> </w:t>
      </w:r>
      <w:proofErr w:type="spellStart"/>
      <w:r w:rsidR="00B07FF5" w:rsidRPr="0092785C">
        <w:rPr>
          <w:i/>
          <w:iCs/>
        </w:rPr>
        <w:t>Layh</w:t>
      </w:r>
      <w:proofErr w:type="spellEnd"/>
      <w:r w:rsidR="00B07FF5" w:rsidRPr="0092785C">
        <w:rPr>
          <w:i/>
          <w:iCs/>
        </w:rPr>
        <w:t xml:space="preserve"> </w:t>
      </w:r>
      <w:r w:rsidR="00094E3F" w:rsidRPr="0092785C">
        <w:rPr>
          <w:i/>
          <w:iCs/>
        </w:rPr>
        <w:t>&amp;</w:t>
      </w:r>
      <w:r w:rsidR="0084021B" w:rsidRPr="0092785C">
        <w:rPr>
          <w:i/>
          <w:iCs/>
        </w:rPr>
        <w:t xml:space="preserve"> Associates</w:t>
      </w:r>
      <w:r w:rsidR="00B07FF5" w:rsidRPr="0092785C">
        <w:rPr>
          <w:i/>
          <w:iCs/>
        </w:rPr>
        <w:t xml:space="preserve">, </w:t>
      </w:r>
      <w:proofErr w:type="spellStart"/>
      <w:r w:rsidR="00B07FF5" w:rsidRPr="0092785C">
        <w:rPr>
          <w:i/>
          <w:iCs/>
        </w:rPr>
        <w:t>Langenburg</w:t>
      </w:r>
      <w:proofErr w:type="spellEnd"/>
      <w:r w:rsidR="00B07FF5" w:rsidRPr="0092785C">
        <w:rPr>
          <w:i/>
          <w:iCs/>
        </w:rPr>
        <w:t>, Saskatchewan.</w:t>
      </w:r>
    </w:p>
    <w:p w:rsidR="00DC4439" w:rsidRPr="0092785C" w:rsidRDefault="00DC4439" w:rsidP="00DC4439">
      <w:pPr>
        <w:tabs>
          <w:tab w:val="left" w:pos="-1440"/>
          <w:tab w:val="left" w:pos="-720"/>
          <w:tab w:val="left" w:pos="0"/>
          <w:tab w:val="left" w:pos="1152"/>
          <w:tab w:val="left" w:pos="1569"/>
          <w:tab w:val="left" w:pos="1843"/>
          <w:tab w:val="left" w:pos="2260"/>
          <w:tab w:val="left" w:pos="6480"/>
        </w:tabs>
        <w:spacing w:line="480" w:lineRule="auto"/>
        <w:jc w:val="both"/>
      </w:pPr>
    </w:p>
    <w:sectPr w:rsidR="00DC4439" w:rsidRPr="0092785C" w:rsidSect="00767511">
      <w:headerReference w:type="even" r:id="rId16"/>
      <w:headerReference w:type="default" r:id="rId17"/>
      <w:footerReference w:type="even" r:id="rId18"/>
      <w:footerReference w:type="default" r:id="rId19"/>
      <w:headerReference w:type="first" r:id="rId20"/>
      <w:footerReference w:type="first" r:id="rId21"/>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021" w:rsidRDefault="00072021">
      <w:r>
        <w:separator/>
      </w:r>
    </w:p>
  </w:endnote>
  <w:endnote w:type="continuationSeparator" w:id="0">
    <w:p w:rsidR="00072021" w:rsidRDefault="00072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18" w:rsidRDefault="009F4D18">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18" w:rsidRDefault="009F4D18">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18" w:rsidRDefault="009F4D1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021" w:rsidRDefault="00072021">
    <w:pPr>
      <w:tabs>
        <w:tab w:val="left" w:pos="-1440"/>
        <w:tab w:val="left" w:pos="-720"/>
        <w:tab w:val="left" w:pos="0"/>
        <w:tab w:val="left" w:pos="1152"/>
        <w:tab w:val="left" w:pos="1570"/>
        <w:tab w:val="left" w:pos="1843"/>
        <w:tab w:val="left" w:pos="2261"/>
        <w:tab w:val="left" w:pos="648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021" w:rsidRDefault="00072021">
    <w:pPr>
      <w:tabs>
        <w:tab w:val="left" w:pos="-1440"/>
        <w:tab w:val="left" w:pos="-720"/>
        <w:tab w:val="left" w:pos="0"/>
        <w:tab w:val="left" w:pos="1152"/>
        <w:tab w:val="left" w:pos="1570"/>
        <w:tab w:val="left" w:pos="1843"/>
        <w:tab w:val="left" w:pos="2261"/>
        <w:tab w:val="left" w:pos="6480"/>
      </w:tabs>
      <w:spacing w:line="0" w:lineRule="atLeas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021" w:rsidRDefault="00072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021" w:rsidRDefault="00072021">
      <w:r>
        <w:separator/>
      </w:r>
    </w:p>
  </w:footnote>
  <w:footnote w:type="continuationSeparator" w:id="0">
    <w:p w:rsidR="00072021" w:rsidRDefault="00072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18" w:rsidRDefault="009F4D18">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18" w:rsidRDefault="009F4D18" w:rsidP="000C59B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18" w:rsidRDefault="009F4D1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021" w:rsidRDefault="00072021">
    <w:pPr>
      <w:tabs>
        <w:tab w:val="left" w:pos="-1440"/>
        <w:tab w:val="left" w:pos="-720"/>
        <w:tab w:val="left" w:pos="0"/>
        <w:tab w:val="left" w:pos="1152"/>
        <w:tab w:val="left" w:pos="1570"/>
        <w:tab w:val="left" w:pos="1843"/>
        <w:tab w:val="left" w:pos="2261"/>
        <w:tab w:val="left" w:pos="648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021" w:rsidRDefault="00072021">
    <w:pPr>
      <w:pStyle w:val="Header"/>
      <w:jc w:val="center"/>
    </w:pPr>
    <w:r>
      <w:t xml:space="preserve">- </w:t>
    </w:r>
    <w:sdt>
      <w:sdtPr>
        <w:id w:val="4489881"/>
        <w:docPartObj>
          <w:docPartGallery w:val="Page Numbers (Top of Page)"/>
          <w:docPartUnique/>
        </w:docPartObj>
      </w:sdtPr>
      <w:sdtContent>
        <w:fldSimple w:instr=" PAGE   \* MERGEFORMAT ">
          <w:r w:rsidR="005E3AEF">
            <w:rPr>
              <w:noProof/>
            </w:rPr>
            <w:t>49</w:t>
          </w:r>
        </w:fldSimple>
        <w:r>
          <w:t xml:space="preserve"> -</w:t>
        </w:r>
      </w:sdtContent>
    </w:sdt>
  </w:p>
  <w:p w:rsidR="00072021" w:rsidRDefault="0007202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021" w:rsidRDefault="000720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rsids>
    <w:rsidRoot w:val="0031414C"/>
    <w:rsid w:val="00023A1D"/>
    <w:rsid w:val="00025198"/>
    <w:rsid w:val="00030FB8"/>
    <w:rsid w:val="00031121"/>
    <w:rsid w:val="000335D6"/>
    <w:rsid w:val="00036A48"/>
    <w:rsid w:val="00055A36"/>
    <w:rsid w:val="000578A3"/>
    <w:rsid w:val="00064563"/>
    <w:rsid w:val="000648CC"/>
    <w:rsid w:val="00064D9A"/>
    <w:rsid w:val="00072021"/>
    <w:rsid w:val="00084622"/>
    <w:rsid w:val="00090A72"/>
    <w:rsid w:val="00094DE0"/>
    <w:rsid w:val="00094E3F"/>
    <w:rsid w:val="000A5321"/>
    <w:rsid w:val="000B3C78"/>
    <w:rsid w:val="000C48A6"/>
    <w:rsid w:val="000C59B8"/>
    <w:rsid w:val="00104F2A"/>
    <w:rsid w:val="00111DE2"/>
    <w:rsid w:val="00116B38"/>
    <w:rsid w:val="0013109F"/>
    <w:rsid w:val="00135406"/>
    <w:rsid w:val="00135972"/>
    <w:rsid w:val="00140667"/>
    <w:rsid w:val="001426A9"/>
    <w:rsid w:val="00154D7C"/>
    <w:rsid w:val="001570B0"/>
    <w:rsid w:val="00172A04"/>
    <w:rsid w:val="00175A97"/>
    <w:rsid w:val="00185394"/>
    <w:rsid w:val="001A107D"/>
    <w:rsid w:val="001A451D"/>
    <w:rsid w:val="001A565E"/>
    <w:rsid w:val="001B33E0"/>
    <w:rsid w:val="001B4573"/>
    <w:rsid w:val="001C153D"/>
    <w:rsid w:val="001C2CCE"/>
    <w:rsid w:val="001C779F"/>
    <w:rsid w:val="001D2AC1"/>
    <w:rsid w:val="001D4F24"/>
    <w:rsid w:val="001F2B72"/>
    <w:rsid w:val="001F5DE3"/>
    <w:rsid w:val="001F7673"/>
    <w:rsid w:val="00212B0E"/>
    <w:rsid w:val="00220FC2"/>
    <w:rsid w:val="00224FC0"/>
    <w:rsid w:val="00225EA4"/>
    <w:rsid w:val="00226EAF"/>
    <w:rsid w:val="00231F3A"/>
    <w:rsid w:val="002374EA"/>
    <w:rsid w:val="002406EE"/>
    <w:rsid w:val="00243641"/>
    <w:rsid w:val="00261D08"/>
    <w:rsid w:val="002745CC"/>
    <w:rsid w:val="002A18D7"/>
    <w:rsid w:val="002A77F6"/>
    <w:rsid w:val="002B1468"/>
    <w:rsid w:val="002B198A"/>
    <w:rsid w:val="002B1DD4"/>
    <w:rsid w:val="002D39A4"/>
    <w:rsid w:val="002D3C7F"/>
    <w:rsid w:val="002E2FF8"/>
    <w:rsid w:val="002E6705"/>
    <w:rsid w:val="002F696C"/>
    <w:rsid w:val="0030329A"/>
    <w:rsid w:val="00305ACB"/>
    <w:rsid w:val="00307AFD"/>
    <w:rsid w:val="0031086F"/>
    <w:rsid w:val="00310E05"/>
    <w:rsid w:val="0031414C"/>
    <w:rsid w:val="00314E01"/>
    <w:rsid w:val="0032089D"/>
    <w:rsid w:val="0033393C"/>
    <w:rsid w:val="0034770C"/>
    <w:rsid w:val="0035259D"/>
    <w:rsid w:val="0036198D"/>
    <w:rsid w:val="003771F1"/>
    <w:rsid w:val="003866EC"/>
    <w:rsid w:val="00394476"/>
    <w:rsid w:val="003A4C70"/>
    <w:rsid w:val="003A4E15"/>
    <w:rsid w:val="003C799C"/>
    <w:rsid w:val="003E1C71"/>
    <w:rsid w:val="003F327B"/>
    <w:rsid w:val="004059A7"/>
    <w:rsid w:val="00406166"/>
    <w:rsid w:val="00411300"/>
    <w:rsid w:val="0042317E"/>
    <w:rsid w:val="00426659"/>
    <w:rsid w:val="0043088E"/>
    <w:rsid w:val="004308FE"/>
    <w:rsid w:val="004439D8"/>
    <w:rsid w:val="00444A6D"/>
    <w:rsid w:val="00465132"/>
    <w:rsid w:val="00480C90"/>
    <w:rsid w:val="0048396F"/>
    <w:rsid w:val="0049314C"/>
    <w:rsid w:val="00493C18"/>
    <w:rsid w:val="00494CDC"/>
    <w:rsid w:val="004A600C"/>
    <w:rsid w:val="004C202D"/>
    <w:rsid w:val="004C478D"/>
    <w:rsid w:val="004E6A2C"/>
    <w:rsid w:val="00521AE8"/>
    <w:rsid w:val="00527180"/>
    <w:rsid w:val="00536719"/>
    <w:rsid w:val="00551DCF"/>
    <w:rsid w:val="005564A7"/>
    <w:rsid w:val="00570D0F"/>
    <w:rsid w:val="00575F60"/>
    <w:rsid w:val="005D37C8"/>
    <w:rsid w:val="005E3AEF"/>
    <w:rsid w:val="005E4698"/>
    <w:rsid w:val="005E5A68"/>
    <w:rsid w:val="005F56E7"/>
    <w:rsid w:val="00625C35"/>
    <w:rsid w:val="00632DCB"/>
    <w:rsid w:val="00634E1B"/>
    <w:rsid w:val="00637DC5"/>
    <w:rsid w:val="00645057"/>
    <w:rsid w:val="00654858"/>
    <w:rsid w:val="006565F4"/>
    <w:rsid w:val="00681AD1"/>
    <w:rsid w:val="00694BE6"/>
    <w:rsid w:val="006A56F1"/>
    <w:rsid w:val="006B5FF5"/>
    <w:rsid w:val="006C5661"/>
    <w:rsid w:val="006D40DD"/>
    <w:rsid w:val="006D4790"/>
    <w:rsid w:val="00701759"/>
    <w:rsid w:val="00702C6F"/>
    <w:rsid w:val="00747288"/>
    <w:rsid w:val="00747DD3"/>
    <w:rsid w:val="00752F4E"/>
    <w:rsid w:val="007549C8"/>
    <w:rsid w:val="00762D30"/>
    <w:rsid w:val="00763377"/>
    <w:rsid w:val="00766D14"/>
    <w:rsid w:val="00767511"/>
    <w:rsid w:val="00767A0F"/>
    <w:rsid w:val="007810BA"/>
    <w:rsid w:val="007834A8"/>
    <w:rsid w:val="007A05F6"/>
    <w:rsid w:val="007B506F"/>
    <w:rsid w:val="007B6F4A"/>
    <w:rsid w:val="007C7709"/>
    <w:rsid w:val="007D3E9A"/>
    <w:rsid w:val="007E1C47"/>
    <w:rsid w:val="007E337A"/>
    <w:rsid w:val="007E5A54"/>
    <w:rsid w:val="007E5C70"/>
    <w:rsid w:val="007F2FF5"/>
    <w:rsid w:val="007F3369"/>
    <w:rsid w:val="008030AB"/>
    <w:rsid w:val="00817190"/>
    <w:rsid w:val="008322BD"/>
    <w:rsid w:val="0083470D"/>
    <w:rsid w:val="0084021B"/>
    <w:rsid w:val="008425CC"/>
    <w:rsid w:val="00845A4F"/>
    <w:rsid w:val="00851340"/>
    <w:rsid w:val="00855307"/>
    <w:rsid w:val="00862813"/>
    <w:rsid w:val="00862CF3"/>
    <w:rsid w:val="00864CF8"/>
    <w:rsid w:val="00874914"/>
    <w:rsid w:val="00892E1A"/>
    <w:rsid w:val="00893251"/>
    <w:rsid w:val="008958F5"/>
    <w:rsid w:val="008A6558"/>
    <w:rsid w:val="008A727C"/>
    <w:rsid w:val="008C01DA"/>
    <w:rsid w:val="008F16D9"/>
    <w:rsid w:val="008F78E9"/>
    <w:rsid w:val="00902462"/>
    <w:rsid w:val="0091479A"/>
    <w:rsid w:val="0092785C"/>
    <w:rsid w:val="00936002"/>
    <w:rsid w:val="009403F3"/>
    <w:rsid w:val="0094352C"/>
    <w:rsid w:val="009474B1"/>
    <w:rsid w:val="00957FA2"/>
    <w:rsid w:val="00966913"/>
    <w:rsid w:val="00967374"/>
    <w:rsid w:val="0097543E"/>
    <w:rsid w:val="00983F3F"/>
    <w:rsid w:val="00985C69"/>
    <w:rsid w:val="0099079B"/>
    <w:rsid w:val="009B2F23"/>
    <w:rsid w:val="009B53E2"/>
    <w:rsid w:val="009B57B3"/>
    <w:rsid w:val="009D5AEB"/>
    <w:rsid w:val="009E4B7C"/>
    <w:rsid w:val="009F383F"/>
    <w:rsid w:val="009F4D18"/>
    <w:rsid w:val="00A05DAD"/>
    <w:rsid w:val="00A05F0E"/>
    <w:rsid w:val="00A21107"/>
    <w:rsid w:val="00A21B90"/>
    <w:rsid w:val="00A24E15"/>
    <w:rsid w:val="00A25648"/>
    <w:rsid w:val="00A30151"/>
    <w:rsid w:val="00A548CB"/>
    <w:rsid w:val="00A6242E"/>
    <w:rsid w:val="00A63E75"/>
    <w:rsid w:val="00A643E7"/>
    <w:rsid w:val="00A73C38"/>
    <w:rsid w:val="00AC020A"/>
    <w:rsid w:val="00AC611A"/>
    <w:rsid w:val="00AC6C41"/>
    <w:rsid w:val="00AC7437"/>
    <w:rsid w:val="00AC7A44"/>
    <w:rsid w:val="00AE3FB7"/>
    <w:rsid w:val="00AF03C5"/>
    <w:rsid w:val="00B000D8"/>
    <w:rsid w:val="00B00F75"/>
    <w:rsid w:val="00B07FF5"/>
    <w:rsid w:val="00B145B6"/>
    <w:rsid w:val="00B4628A"/>
    <w:rsid w:val="00B50C81"/>
    <w:rsid w:val="00B557F8"/>
    <w:rsid w:val="00B64972"/>
    <w:rsid w:val="00B66DD8"/>
    <w:rsid w:val="00B677AF"/>
    <w:rsid w:val="00B75FC8"/>
    <w:rsid w:val="00B8145D"/>
    <w:rsid w:val="00B815FC"/>
    <w:rsid w:val="00B93FBC"/>
    <w:rsid w:val="00BA1CC2"/>
    <w:rsid w:val="00C02092"/>
    <w:rsid w:val="00C03805"/>
    <w:rsid w:val="00C057F7"/>
    <w:rsid w:val="00C24C8C"/>
    <w:rsid w:val="00C24D91"/>
    <w:rsid w:val="00C277FF"/>
    <w:rsid w:val="00C34334"/>
    <w:rsid w:val="00C52532"/>
    <w:rsid w:val="00C53F14"/>
    <w:rsid w:val="00C55B92"/>
    <w:rsid w:val="00C55C2E"/>
    <w:rsid w:val="00C600CF"/>
    <w:rsid w:val="00C6084F"/>
    <w:rsid w:val="00C62A66"/>
    <w:rsid w:val="00C62A6F"/>
    <w:rsid w:val="00C67CA5"/>
    <w:rsid w:val="00C71458"/>
    <w:rsid w:val="00C71F58"/>
    <w:rsid w:val="00C7258D"/>
    <w:rsid w:val="00C766BA"/>
    <w:rsid w:val="00C77613"/>
    <w:rsid w:val="00C828E7"/>
    <w:rsid w:val="00C921DD"/>
    <w:rsid w:val="00CA4D82"/>
    <w:rsid w:val="00CA6391"/>
    <w:rsid w:val="00CB0ACE"/>
    <w:rsid w:val="00CB3972"/>
    <w:rsid w:val="00CC0300"/>
    <w:rsid w:val="00CC790A"/>
    <w:rsid w:val="00CE3171"/>
    <w:rsid w:val="00CF1601"/>
    <w:rsid w:val="00D16A1C"/>
    <w:rsid w:val="00D32086"/>
    <w:rsid w:val="00D37A3F"/>
    <w:rsid w:val="00D45FCF"/>
    <w:rsid w:val="00D4667A"/>
    <w:rsid w:val="00D510BB"/>
    <w:rsid w:val="00D5435D"/>
    <w:rsid w:val="00D64611"/>
    <w:rsid w:val="00D74F2E"/>
    <w:rsid w:val="00D942BB"/>
    <w:rsid w:val="00DA0590"/>
    <w:rsid w:val="00DB30DC"/>
    <w:rsid w:val="00DB6A5F"/>
    <w:rsid w:val="00DC1788"/>
    <w:rsid w:val="00DC2992"/>
    <w:rsid w:val="00DC3DB1"/>
    <w:rsid w:val="00DC4439"/>
    <w:rsid w:val="00DE514D"/>
    <w:rsid w:val="00DF0CA8"/>
    <w:rsid w:val="00DF32EE"/>
    <w:rsid w:val="00DF49A7"/>
    <w:rsid w:val="00E01106"/>
    <w:rsid w:val="00E07EE2"/>
    <w:rsid w:val="00E21A6B"/>
    <w:rsid w:val="00E24573"/>
    <w:rsid w:val="00E377A1"/>
    <w:rsid w:val="00E45109"/>
    <w:rsid w:val="00E54B02"/>
    <w:rsid w:val="00E61608"/>
    <w:rsid w:val="00E64680"/>
    <w:rsid w:val="00E73493"/>
    <w:rsid w:val="00E97830"/>
    <w:rsid w:val="00EA03E5"/>
    <w:rsid w:val="00EA3BAB"/>
    <w:rsid w:val="00EE0FAF"/>
    <w:rsid w:val="00EF79D9"/>
    <w:rsid w:val="00F00EB7"/>
    <w:rsid w:val="00F07EEA"/>
    <w:rsid w:val="00F2258E"/>
    <w:rsid w:val="00F2361D"/>
    <w:rsid w:val="00F33658"/>
    <w:rsid w:val="00F36AB6"/>
    <w:rsid w:val="00F409CE"/>
    <w:rsid w:val="00F53730"/>
    <w:rsid w:val="00F670EA"/>
    <w:rsid w:val="00F84DF4"/>
    <w:rsid w:val="00F853FB"/>
    <w:rsid w:val="00F85C97"/>
    <w:rsid w:val="00FA2FE1"/>
    <w:rsid w:val="00FC606D"/>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243641"/>
    <w:pPr>
      <w:ind w:left="720"/>
    </w:pPr>
    <w:rPr>
      <w:lang w:val="en-CA"/>
    </w:rPr>
  </w:style>
  <w:style w:type="paragraph" w:styleId="NoSpacing">
    <w:name w:val="No Spacing"/>
    <w:uiPriority w:val="1"/>
    <w:rsid w:val="00DC4439"/>
    <w:rPr>
      <w:sz w:val="24"/>
    </w:rPr>
  </w:style>
  <w:style w:type="paragraph" w:customStyle="1" w:styleId="SCCLsocOtherPartyRoleSeparator">
    <w:name w:val="SCC.Lsoc.OtherPartyRoleSeparator"/>
    <w:basedOn w:val="Normal"/>
    <w:next w:val="Normal"/>
    <w:link w:val="SCCLsocOtherPartyRoleSeparatorChar"/>
    <w:rsid w:val="00DC4439"/>
    <w:pPr>
      <w:spacing w:after="480"/>
    </w:pPr>
    <w:rPr>
      <w:rFonts w:eastAsiaTheme="minorHAnsi" w:cstheme="minorBidi"/>
      <w:szCs w:val="22"/>
      <w:lang w:eastAsia="en-US"/>
    </w:rPr>
  </w:style>
  <w:style w:type="paragraph" w:customStyle="1" w:styleId="SCCCoram">
    <w:name w:val="SCC.Coram"/>
    <w:basedOn w:val="Normal"/>
    <w:next w:val="Normal"/>
    <w:link w:val="SCCCoramChar"/>
    <w:rsid w:val="00DC443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C4439"/>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DC4439"/>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DC4439"/>
    <w:rPr>
      <w:b/>
      <w:sz w:val="24"/>
      <w:lang w:val="fr-CA"/>
    </w:rPr>
  </w:style>
  <w:style w:type="table" w:styleId="TableGrid">
    <w:name w:val="Table Grid"/>
    <w:basedOn w:val="TableNormal"/>
    <w:uiPriority w:val="59"/>
    <w:rsid w:val="00DC44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DC4439"/>
    <w:pPr>
      <w:spacing w:after="720"/>
      <w:ind w:left="1166"/>
      <w:contextualSpacing/>
      <w:jc w:val="both"/>
    </w:pPr>
  </w:style>
  <w:style w:type="paragraph" w:customStyle="1" w:styleId="SCCLsocPrefix">
    <w:name w:val="SCC.Lsoc.Prefix"/>
    <w:basedOn w:val="Normal"/>
    <w:next w:val="Normal"/>
    <w:link w:val="SCCLsocPrefixChar"/>
    <w:rsid w:val="009F4D18"/>
    <w:rPr>
      <w:rFonts w:eastAsiaTheme="minorHAnsi" w:cstheme="minorBidi"/>
      <w:b/>
      <w:smallCaps/>
      <w:szCs w:val="24"/>
      <w:lang w:eastAsia="en-US"/>
    </w:rPr>
  </w:style>
  <w:style w:type="character" w:customStyle="1" w:styleId="SCCLsocPrefixChar">
    <w:name w:val="SCC.Lsoc.Prefix Char"/>
    <w:basedOn w:val="DefaultParagraphFont"/>
    <w:link w:val="SCCLsocPrefix"/>
    <w:rsid w:val="009F4D18"/>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7B51-3628-4FD4-9059-7DF93242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13026</Words>
  <Characters>63573</Characters>
  <Application>Microsoft Office Word</Application>
  <DocSecurity>0</DocSecurity>
  <Lines>529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2011-03-25T19:01:00Z</dcterms:created>
  <dcterms:modified xsi:type="dcterms:W3CDTF">2011-03-25T19:01:00Z</dcterms:modified>
</cp:coreProperties>
</file>