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053" w:rsidRPr="00176719" w:rsidRDefault="00771053" w:rsidP="00771053">
      <w:pPr>
        <w:tabs>
          <w:tab w:val="center" w:pos="4680"/>
          <w:tab w:val="right" w:pos="9360"/>
        </w:tabs>
        <w:rPr>
          <w:rFonts w:eastAsiaTheme="minorHAnsi" w:cstheme="minorBidi"/>
          <w:szCs w:val="24"/>
          <w:lang w:eastAsia="en-US"/>
        </w:rPr>
      </w:pPr>
      <w:r w:rsidRPr="00176719">
        <w:rPr>
          <w:rFonts w:eastAsiaTheme="minorHAnsi" w:cstheme="minorBidi"/>
          <w:szCs w:val="24"/>
          <w:lang w:eastAsia="en-US"/>
        </w:rPr>
        <w:ptab w:relativeTo="margin" w:alignment="center" w:leader="none"/>
      </w:r>
      <w:r w:rsidRPr="00176719">
        <w:rPr>
          <w:rFonts w:eastAsiaTheme="minorHAnsi" w:cstheme="minorBidi"/>
          <w:szCs w:val="24"/>
          <w:lang w:eastAsia="en-US"/>
        </w:rPr>
        <w:t xml:space="preserve"> </w:t>
      </w:r>
      <w:r w:rsidRPr="00176719">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362828881" r:id="rId8"/>
        </w:object>
      </w:r>
      <w:r w:rsidRPr="00176719">
        <w:rPr>
          <w:rFonts w:eastAsiaTheme="minorHAnsi" w:cstheme="minorBidi"/>
          <w:szCs w:val="24"/>
          <w:lang w:eastAsia="en-US"/>
        </w:rPr>
        <w:t xml:space="preserve"> </w:t>
      </w:r>
      <w:r w:rsidRPr="00176719">
        <w:rPr>
          <w:rFonts w:eastAsiaTheme="minorHAnsi" w:cstheme="minorBidi"/>
          <w:szCs w:val="24"/>
          <w:lang w:eastAsia="en-US"/>
        </w:rPr>
        <w:ptab w:relativeTo="margin" w:alignment="right" w:leader="none"/>
      </w:r>
    </w:p>
    <w:p w:rsidR="00771053" w:rsidRPr="00176719" w:rsidRDefault="00771053" w:rsidP="00771053">
      <w:pPr>
        <w:tabs>
          <w:tab w:val="center" w:pos="4680"/>
          <w:tab w:val="right" w:pos="9360"/>
        </w:tabs>
        <w:rPr>
          <w:rFonts w:eastAsiaTheme="minorHAnsi" w:cstheme="minorBidi"/>
          <w:szCs w:val="24"/>
          <w:lang w:eastAsia="en-US"/>
        </w:rPr>
      </w:pPr>
    </w:p>
    <w:p w:rsidR="00771053" w:rsidRPr="00176719" w:rsidRDefault="00771053" w:rsidP="00771053">
      <w:pPr>
        <w:jc w:val="center"/>
        <w:rPr>
          <w:rFonts w:eastAsiaTheme="minorHAnsi" w:cstheme="minorBidi"/>
          <w:b/>
          <w:szCs w:val="24"/>
          <w:lang w:eastAsia="en-US"/>
        </w:rPr>
      </w:pPr>
      <w:r w:rsidRPr="00176719">
        <w:rPr>
          <w:rFonts w:eastAsiaTheme="minorHAnsi" w:cstheme="minorBidi"/>
          <w:b/>
          <w:szCs w:val="24"/>
          <w:lang w:eastAsia="en-US"/>
        </w:rPr>
        <w:t>COUR SUPRÊME DU CANADA</w:t>
      </w:r>
    </w:p>
    <w:p w:rsidR="00771053" w:rsidRPr="00176719" w:rsidRDefault="00771053" w:rsidP="00771053">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71053" w:rsidRPr="00176719" w:rsidTr="00E30ABC">
        <w:trPr>
          <w:cantSplit/>
        </w:trPr>
        <w:tc>
          <w:tcPr>
            <w:tcW w:w="6768" w:type="dxa"/>
          </w:tcPr>
          <w:p w:rsidR="00771053" w:rsidRPr="00176719" w:rsidRDefault="00771053" w:rsidP="00E30ABC">
            <w:pPr>
              <w:rPr>
                <w:b/>
              </w:rPr>
            </w:pPr>
            <w:r w:rsidRPr="00176719">
              <w:rPr>
                <w:b/>
                <w:smallCaps/>
              </w:rPr>
              <w:t xml:space="preserve">Référence </w:t>
            </w:r>
            <w:r w:rsidRPr="00176719">
              <w:rPr>
                <w:b/>
              </w:rPr>
              <w:t>:</w:t>
            </w:r>
            <w:r w:rsidRPr="00176719">
              <w:t xml:space="preserve"> </w:t>
            </w:r>
            <w:proofErr w:type="spellStart"/>
            <w:r w:rsidRPr="00176719">
              <w:t>Gavrila</w:t>
            </w:r>
            <w:proofErr w:type="spellEnd"/>
            <w:r w:rsidRPr="00176719">
              <w:rPr>
                <w:b/>
              </w:rPr>
              <w:t xml:space="preserve"> </w:t>
            </w:r>
            <w:r w:rsidRPr="00176719">
              <w:rPr>
                <w:i/>
              </w:rPr>
              <w:t>c.</w:t>
            </w:r>
            <w:r w:rsidRPr="00176719">
              <w:rPr>
                <w:b/>
              </w:rPr>
              <w:t xml:space="preserve"> </w:t>
            </w:r>
            <w:r w:rsidRPr="00176719">
              <w:t>Canada (Justice), 2010 CSC 57</w:t>
            </w:r>
            <w:r w:rsidRPr="00771053">
              <w:rPr>
                <w:rStyle w:val="SCCRespondentForIndexChar"/>
                <w:b w:val="0"/>
              </w:rPr>
              <w:t>, [2010] 3 R.C.S. 342</w:t>
            </w:r>
          </w:p>
        </w:tc>
        <w:tc>
          <w:tcPr>
            <w:tcW w:w="2808" w:type="dxa"/>
          </w:tcPr>
          <w:p w:rsidR="00771053" w:rsidRPr="00176719" w:rsidRDefault="00771053" w:rsidP="00E30ABC">
            <w:r w:rsidRPr="00176719">
              <w:rPr>
                <w:b/>
                <w:smallCaps/>
              </w:rPr>
              <w:t xml:space="preserve">Date </w:t>
            </w:r>
            <w:r w:rsidRPr="00176719">
              <w:rPr>
                <w:b/>
              </w:rPr>
              <w:t>:</w:t>
            </w:r>
            <w:r w:rsidRPr="00176719">
              <w:t xml:space="preserve"> 20101125</w:t>
            </w:r>
          </w:p>
          <w:p w:rsidR="00771053" w:rsidRPr="00176719" w:rsidRDefault="00771053" w:rsidP="00E30ABC">
            <w:r w:rsidRPr="00176719">
              <w:rPr>
                <w:b/>
                <w:smallCaps/>
              </w:rPr>
              <w:t xml:space="preserve">Dossier </w:t>
            </w:r>
            <w:r w:rsidRPr="00176719">
              <w:rPr>
                <w:b/>
              </w:rPr>
              <w:t>:</w:t>
            </w:r>
            <w:r w:rsidRPr="00176719">
              <w:t xml:space="preserve"> 33313</w:t>
            </w:r>
          </w:p>
        </w:tc>
      </w:tr>
    </w:tbl>
    <w:p w:rsidR="00771053" w:rsidRPr="00176719" w:rsidRDefault="00771053" w:rsidP="00771053">
      <w:pPr>
        <w:rPr>
          <w:rFonts w:eastAsiaTheme="minorHAnsi" w:cstheme="minorBidi"/>
          <w:szCs w:val="24"/>
          <w:lang w:eastAsia="en-US"/>
        </w:rPr>
      </w:pPr>
    </w:p>
    <w:p w:rsidR="00771053" w:rsidRPr="00176719" w:rsidRDefault="00771053" w:rsidP="00771053">
      <w:pPr>
        <w:rPr>
          <w:rFonts w:eastAsiaTheme="minorHAnsi" w:cstheme="minorBidi"/>
          <w:b/>
          <w:smallCaps/>
          <w:szCs w:val="24"/>
          <w:lang w:eastAsia="en-US"/>
        </w:rPr>
      </w:pPr>
      <w:r w:rsidRPr="00176719">
        <w:rPr>
          <w:rFonts w:eastAsiaTheme="minorHAnsi" w:cstheme="minorBidi"/>
          <w:b/>
          <w:smallCaps/>
          <w:szCs w:val="24"/>
          <w:lang w:eastAsia="en-US"/>
        </w:rPr>
        <w:t>Entre :</w:t>
      </w:r>
    </w:p>
    <w:p w:rsidR="00771053" w:rsidRPr="00176719" w:rsidRDefault="00771053" w:rsidP="00771053">
      <w:pPr>
        <w:jc w:val="center"/>
        <w:rPr>
          <w:rFonts w:eastAsiaTheme="minorHAnsi" w:cstheme="minorBidi"/>
          <w:b/>
          <w:szCs w:val="24"/>
          <w:lang w:eastAsia="en-US"/>
        </w:rPr>
      </w:pPr>
      <w:proofErr w:type="spellStart"/>
      <w:r w:rsidRPr="00176719">
        <w:rPr>
          <w:rFonts w:eastAsiaTheme="minorHAnsi" w:cstheme="minorBidi"/>
          <w:b/>
          <w:szCs w:val="24"/>
          <w:lang w:eastAsia="en-US"/>
        </w:rPr>
        <w:t>Tiberiu</w:t>
      </w:r>
      <w:proofErr w:type="spellEnd"/>
      <w:r w:rsidRPr="00176719">
        <w:rPr>
          <w:rFonts w:eastAsiaTheme="minorHAnsi" w:cstheme="minorBidi"/>
          <w:b/>
          <w:szCs w:val="24"/>
          <w:lang w:eastAsia="en-US"/>
        </w:rPr>
        <w:t xml:space="preserve"> </w:t>
      </w:r>
      <w:proofErr w:type="spellStart"/>
      <w:r w:rsidRPr="00176719">
        <w:rPr>
          <w:rFonts w:eastAsiaTheme="minorHAnsi" w:cstheme="minorBidi"/>
          <w:b/>
          <w:szCs w:val="24"/>
          <w:lang w:eastAsia="en-US"/>
        </w:rPr>
        <w:t>Gavrila</w:t>
      </w:r>
      <w:proofErr w:type="spellEnd"/>
    </w:p>
    <w:p w:rsidR="00771053" w:rsidRPr="00176719" w:rsidRDefault="00771053" w:rsidP="00771053">
      <w:pPr>
        <w:jc w:val="center"/>
        <w:rPr>
          <w:rFonts w:eastAsiaTheme="minorHAnsi" w:cstheme="minorBidi"/>
          <w:szCs w:val="24"/>
          <w:lang w:eastAsia="en-US"/>
        </w:rPr>
      </w:pPr>
      <w:r w:rsidRPr="00176719">
        <w:rPr>
          <w:rFonts w:eastAsiaTheme="minorHAnsi" w:cstheme="minorBidi"/>
          <w:szCs w:val="24"/>
          <w:lang w:eastAsia="en-US"/>
        </w:rPr>
        <w:t>Appelant</w:t>
      </w:r>
    </w:p>
    <w:p w:rsidR="00771053" w:rsidRPr="00176719" w:rsidRDefault="00771053" w:rsidP="00771053">
      <w:pPr>
        <w:jc w:val="center"/>
        <w:rPr>
          <w:rFonts w:eastAsiaTheme="minorHAnsi" w:cstheme="minorBidi"/>
          <w:szCs w:val="24"/>
          <w:lang w:eastAsia="en-US"/>
        </w:rPr>
      </w:pPr>
      <w:proofErr w:type="gramStart"/>
      <w:r w:rsidRPr="00176719">
        <w:rPr>
          <w:rFonts w:eastAsiaTheme="minorHAnsi" w:cstheme="minorBidi"/>
          <w:szCs w:val="24"/>
          <w:lang w:eastAsia="en-US"/>
        </w:rPr>
        <w:t>et</w:t>
      </w:r>
      <w:proofErr w:type="gramEnd"/>
    </w:p>
    <w:p w:rsidR="00771053" w:rsidRPr="00176719" w:rsidRDefault="00771053" w:rsidP="00771053">
      <w:pPr>
        <w:jc w:val="center"/>
        <w:rPr>
          <w:rFonts w:eastAsiaTheme="minorHAnsi" w:cstheme="minorBidi"/>
          <w:b/>
          <w:szCs w:val="24"/>
          <w:lang w:eastAsia="en-US"/>
        </w:rPr>
      </w:pPr>
      <w:r w:rsidRPr="00176719">
        <w:rPr>
          <w:rFonts w:eastAsiaTheme="minorHAnsi" w:cstheme="minorBidi"/>
          <w:b/>
          <w:szCs w:val="24"/>
          <w:lang w:eastAsia="en-US"/>
        </w:rPr>
        <w:t>Ministre de la Justice du Canada</w:t>
      </w:r>
    </w:p>
    <w:p w:rsidR="00771053" w:rsidRPr="00176719" w:rsidRDefault="00771053" w:rsidP="00771053">
      <w:pPr>
        <w:jc w:val="center"/>
        <w:rPr>
          <w:rFonts w:eastAsiaTheme="minorHAnsi" w:cstheme="minorBidi"/>
          <w:szCs w:val="24"/>
          <w:lang w:eastAsia="en-US"/>
        </w:rPr>
      </w:pPr>
      <w:r w:rsidRPr="00176719">
        <w:rPr>
          <w:rFonts w:eastAsiaTheme="minorHAnsi" w:cstheme="minorBidi"/>
          <w:szCs w:val="24"/>
          <w:lang w:eastAsia="en-US"/>
        </w:rPr>
        <w:t>Intimé</w:t>
      </w:r>
    </w:p>
    <w:p w:rsidR="00771053" w:rsidRPr="00176719" w:rsidRDefault="00771053" w:rsidP="00771053">
      <w:pPr>
        <w:jc w:val="center"/>
        <w:rPr>
          <w:rFonts w:eastAsiaTheme="minorHAnsi" w:cstheme="minorBidi"/>
          <w:szCs w:val="24"/>
          <w:lang w:eastAsia="en-US"/>
        </w:rPr>
      </w:pPr>
      <w:r w:rsidRPr="00176719">
        <w:rPr>
          <w:rFonts w:eastAsiaTheme="minorHAnsi" w:cstheme="minorBidi"/>
          <w:szCs w:val="24"/>
          <w:lang w:eastAsia="en-US"/>
        </w:rPr>
        <w:t>- et -</w:t>
      </w:r>
    </w:p>
    <w:p w:rsidR="00771053" w:rsidRPr="00176719" w:rsidRDefault="00771053" w:rsidP="00771053">
      <w:pPr>
        <w:jc w:val="center"/>
        <w:rPr>
          <w:rFonts w:eastAsiaTheme="minorHAnsi" w:cstheme="minorBidi"/>
          <w:b/>
          <w:szCs w:val="24"/>
          <w:lang w:eastAsia="en-US"/>
        </w:rPr>
      </w:pPr>
      <w:r w:rsidRPr="00176719">
        <w:rPr>
          <w:rFonts w:eastAsiaTheme="minorHAnsi" w:cstheme="minorBidi"/>
          <w:b/>
          <w:szCs w:val="24"/>
          <w:lang w:eastAsia="en-US"/>
        </w:rPr>
        <w:t>Amnesty International (Canada Section),</w:t>
      </w:r>
    </w:p>
    <w:p w:rsidR="00771053" w:rsidRPr="00176719" w:rsidRDefault="00771053" w:rsidP="00771053">
      <w:pPr>
        <w:jc w:val="center"/>
        <w:rPr>
          <w:rFonts w:eastAsiaTheme="minorHAnsi" w:cstheme="minorBidi"/>
          <w:b/>
          <w:szCs w:val="24"/>
          <w:lang w:eastAsia="en-US"/>
        </w:rPr>
      </w:pPr>
      <w:r w:rsidRPr="00176719">
        <w:rPr>
          <w:rFonts w:eastAsiaTheme="minorHAnsi" w:cstheme="minorBidi"/>
          <w:b/>
          <w:szCs w:val="24"/>
          <w:lang w:eastAsia="en-US"/>
        </w:rPr>
        <w:t>Association québécoise des avocats et avocates en droit de l’immigration,</w:t>
      </w:r>
    </w:p>
    <w:p w:rsidR="00771053" w:rsidRPr="00176719" w:rsidRDefault="00771053" w:rsidP="00771053">
      <w:pPr>
        <w:jc w:val="center"/>
        <w:rPr>
          <w:rFonts w:eastAsiaTheme="minorHAnsi" w:cstheme="minorBidi"/>
          <w:b/>
          <w:szCs w:val="24"/>
          <w:lang w:eastAsia="en-US"/>
        </w:rPr>
      </w:pPr>
      <w:r w:rsidRPr="00176719">
        <w:rPr>
          <w:rFonts w:eastAsiaTheme="minorHAnsi" w:cstheme="minorBidi"/>
          <w:b/>
          <w:szCs w:val="24"/>
          <w:lang w:eastAsia="en-US"/>
        </w:rPr>
        <w:t>Association canadienne des libertés civiles</w:t>
      </w:r>
    </w:p>
    <w:p w:rsidR="00771053" w:rsidRPr="00176719" w:rsidRDefault="00771053" w:rsidP="00771053">
      <w:pPr>
        <w:jc w:val="center"/>
        <w:rPr>
          <w:rFonts w:eastAsiaTheme="minorHAnsi" w:cstheme="minorBidi"/>
          <w:szCs w:val="24"/>
          <w:lang w:eastAsia="en-US"/>
        </w:rPr>
      </w:pPr>
      <w:r w:rsidRPr="00176719">
        <w:rPr>
          <w:rFonts w:eastAsiaTheme="minorHAnsi" w:cstheme="minorBidi"/>
          <w:szCs w:val="24"/>
          <w:lang w:eastAsia="en-US"/>
        </w:rPr>
        <w:t>Intervenantes</w:t>
      </w:r>
    </w:p>
    <w:p w:rsidR="00771053" w:rsidRPr="00176719" w:rsidRDefault="00771053" w:rsidP="00771053">
      <w:pPr>
        <w:rPr>
          <w:rFonts w:eastAsiaTheme="minorHAnsi" w:cstheme="minorBidi"/>
          <w:szCs w:val="24"/>
          <w:lang w:eastAsia="en-US"/>
        </w:rPr>
      </w:pPr>
    </w:p>
    <w:p w:rsidR="00771053" w:rsidRPr="00176719" w:rsidRDefault="00771053" w:rsidP="00771053">
      <w:pPr>
        <w:jc w:val="center"/>
        <w:rPr>
          <w:rFonts w:eastAsiaTheme="minorHAnsi" w:cstheme="minorBidi"/>
          <w:b/>
          <w:smallCaps/>
          <w:szCs w:val="24"/>
          <w:lang w:eastAsia="en-US"/>
        </w:rPr>
      </w:pPr>
      <w:r w:rsidRPr="00176719">
        <w:rPr>
          <w:rFonts w:eastAsiaTheme="minorHAnsi" w:cstheme="minorBidi"/>
          <w:b/>
          <w:smallCaps/>
          <w:szCs w:val="24"/>
          <w:lang w:eastAsia="en-US"/>
        </w:rPr>
        <w:t>Traduction française officielle</w:t>
      </w:r>
    </w:p>
    <w:p w:rsidR="00771053" w:rsidRPr="00176719" w:rsidRDefault="00771053" w:rsidP="00771053">
      <w:pPr>
        <w:rPr>
          <w:rFonts w:eastAsiaTheme="minorHAnsi" w:cstheme="minorBidi"/>
          <w:szCs w:val="24"/>
          <w:lang w:eastAsia="en-US"/>
        </w:rPr>
      </w:pPr>
    </w:p>
    <w:p w:rsidR="00771053" w:rsidRPr="00176719" w:rsidRDefault="00771053" w:rsidP="00771053">
      <w:pPr>
        <w:rPr>
          <w:rFonts w:eastAsiaTheme="minorHAnsi" w:cstheme="minorBidi"/>
          <w:szCs w:val="24"/>
          <w:lang w:eastAsia="en-US"/>
        </w:rPr>
      </w:pPr>
      <w:r w:rsidRPr="00176719">
        <w:rPr>
          <w:rFonts w:eastAsiaTheme="minorHAnsi" w:cstheme="minorBidi"/>
          <w:b/>
          <w:smallCaps/>
          <w:szCs w:val="24"/>
          <w:lang w:eastAsia="en-US"/>
        </w:rPr>
        <w:t xml:space="preserve">Coram </w:t>
      </w:r>
      <w:r w:rsidRPr="00176719">
        <w:rPr>
          <w:rFonts w:eastAsiaTheme="minorHAnsi" w:cstheme="minorBidi"/>
          <w:b/>
          <w:szCs w:val="24"/>
          <w:lang w:eastAsia="en-US"/>
        </w:rPr>
        <w:t>:</w:t>
      </w:r>
      <w:r w:rsidRPr="00176719">
        <w:rPr>
          <w:rFonts w:eastAsiaTheme="minorHAnsi" w:cstheme="minorBidi"/>
          <w:szCs w:val="24"/>
          <w:lang w:eastAsia="en-US"/>
        </w:rPr>
        <w:t xml:space="preserve"> La juge en chef </w:t>
      </w:r>
      <w:proofErr w:type="spellStart"/>
      <w:r w:rsidRPr="00176719">
        <w:rPr>
          <w:rFonts w:eastAsiaTheme="minorHAnsi" w:cstheme="minorBidi"/>
          <w:szCs w:val="24"/>
          <w:lang w:eastAsia="en-US"/>
        </w:rPr>
        <w:t>McLachlin</w:t>
      </w:r>
      <w:proofErr w:type="spellEnd"/>
      <w:r w:rsidRPr="00176719">
        <w:rPr>
          <w:rFonts w:eastAsiaTheme="minorHAnsi" w:cstheme="minorBidi"/>
          <w:szCs w:val="24"/>
          <w:lang w:eastAsia="en-US"/>
        </w:rPr>
        <w:t xml:space="preserve"> et les juges </w:t>
      </w:r>
      <w:proofErr w:type="spellStart"/>
      <w:r w:rsidRPr="00176719">
        <w:rPr>
          <w:rFonts w:eastAsiaTheme="minorHAnsi" w:cstheme="minorBidi"/>
          <w:szCs w:val="24"/>
          <w:lang w:eastAsia="en-US"/>
        </w:rPr>
        <w:t>Binnie</w:t>
      </w:r>
      <w:proofErr w:type="spellEnd"/>
      <w:r w:rsidRPr="00176719">
        <w:rPr>
          <w:rFonts w:eastAsiaTheme="minorHAnsi" w:cstheme="minorBidi"/>
          <w:szCs w:val="24"/>
          <w:lang w:eastAsia="en-US"/>
        </w:rPr>
        <w:t xml:space="preserve">, </w:t>
      </w:r>
      <w:proofErr w:type="spellStart"/>
      <w:r w:rsidRPr="00176719">
        <w:rPr>
          <w:rFonts w:eastAsiaTheme="minorHAnsi" w:cstheme="minorBidi"/>
          <w:szCs w:val="24"/>
          <w:lang w:eastAsia="en-US"/>
        </w:rPr>
        <w:t>LeBel</w:t>
      </w:r>
      <w:proofErr w:type="spellEnd"/>
      <w:r w:rsidRPr="00176719">
        <w:rPr>
          <w:rFonts w:eastAsiaTheme="minorHAnsi" w:cstheme="minorBidi"/>
          <w:szCs w:val="24"/>
          <w:lang w:eastAsia="en-US"/>
        </w:rPr>
        <w:t xml:space="preserve">, Deschamps, Fish, Abella, Charron, </w:t>
      </w:r>
      <w:proofErr w:type="spellStart"/>
      <w:r w:rsidRPr="00176719">
        <w:rPr>
          <w:rFonts w:eastAsiaTheme="minorHAnsi" w:cstheme="minorBidi"/>
          <w:szCs w:val="24"/>
          <w:lang w:eastAsia="en-US"/>
        </w:rPr>
        <w:t>Rothstein</w:t>
      </w:r>
      <w:proofErr w:type="spellEnd"/>
      <w:r w:rsidRPr="00176719">
        <w:rPr>
          <w:rFonts w:eastAsiaTheme="minorHAnsi" w:cstheme="minorBidi"/>
          <w:szCs w:val="24"/>
          <w:lang w:eastAsia="en-US"/>
        </w:rPr>
        <w:t xml:space="preserve"> et Cromwell</w:t>
      </w:r>
    </w:p>
    <w:p w:rsidR="00771053" w:rsidRPr="00176719" w:rsidRDefault="00771053" w:rsidP="00771053">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71053" w:rsidRPr="00176719" w:rsidTr="00E30ABC">
        <w:trPr>
          <w:cantSplit/>
        </w:trPr>
        <w:tc>
          <w:tcPr>
            <w:tcW w:w="3618" w:type="dxa"/>
          </w:tcPr>
          <w:p w:rsidR="00771053" w:rsidRPr="00176719" w:rsidRDefault="00771053" w:rsidP="00E30ABC">
            <w:pPr>
              <w:rPr>
                <w:b/>
              </w:rPr>
            </w:pPr>
            <w:r w:rsidRPr="00176719">
              <w:rPr>
                <w:b/>
                <w:smallCaps/>
              </w:rPr>
              <w:t>Motifs de jugement</w:t>
            </w:r>
            <w:r w:rsidRPr="00176719">
              <w:t xml:space="preserve"> </w:t>
            </w:r>
            <w:r w:rsidRPr="00176719">
              <w:rPr>
                <w:b/>
              </w:rPr>
              <w:t>:</w:t>
            </w:r>
          </w:p>
          <w:p w:rsidR="00771053" w:rsidRPr="00176719" w:rsidRDefault="00771053" w:rsidP="00E30ABC">
            <w:r w:rsidRPr="00176719">
              <w:t>(par. 1 à 13)</w:t>
            </w:r>
          </w:p>
        </w:tc>
        <w:tc>
          <w:tcPr>
            <w:tcW w:w="5958" w:type="dxa"/>
          </w:tcPr>
          <w:p w:rsidR="00771053" w:rsidRPr="00176719" w:rsidRDefault="00771053" w:rsidP="00E30ABC">
            <w:r w:rsidRPr="00176719">
              <w:t xml:space="preserve">Le juge Cromwell (avec l’accord de la juge en chef </w:t>
            </w:r>
            <w:proofErr w:type="spellStart"/>
            <w:r w:rsidRPr="00176719">
              <w:t>McLachlin</w:t>
            </w:r>
            <w:proofErr w:type="spellEnd"/>
            <w:r w:rsidRPr="00176719">
              <w:t xml:space="preserve"> et des juges </w:t>
            </w:r>
            <w:proofErr w:type="spellStart"/>
            <w:r w:rsidRPr="00176719">
              <w:t>Binnie</w:t>
            </w:r>
            <w:proofErr w:type="spellEnd"/>
            <w:r w:rsidRPr="00176719">
              <w:t xml:space="preserve">, </w:t>
            </w:r>
            <w:proofErr w:type="spellStart"/>
            <w:r w:rsidRPr="00176719">
              <w:t>LeBel</w:t>
            </w:r>
            <w:proofErr w:type="spellEnd"/>
            <w:r w:rsidRPr="00176719">
              <w:t xml:space="preserve">, Deschamps, Fish, Abella, Charron et </w:t>
            </w:r>
            <w:proofErr w:type="spellStart"/>
            <w:r w:rsidRPr="00176719">
              <w:t>Rothstein</w:t>
            </w:r>
            <w:proofErr w:type="spellEnd"/>
            <w:r w:rsidRPr="00176719">
              <w:t>)</w:t>
            </w:r>
          </w:p>
        </w:tc>
      </w:tr>
    </w:tbl>
    <w:p w:rsidR="00771053" w:rsidRPr="00176719" w:rsidRDefault="00771053" w:rsidP="00771053">
      <w:pPr>
        <w:rPr>
          <w:rFonts w:eastAsiaTheme="minorHAnsi" w:cstheme="minorBidi"/>
          <w:szCs w:val="24"/>
          <w:lang w:eastAsia="en-US"/>
        </w:rPr>
      </w:pPr>
    </w:p>
    <w:p w:rsidR="00771053" w:rsidRPr="00176719" w:rsidRDefault="002F71DB" w:rsidP="00771053">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771053" w:rsidRDefault="00771053">
      <w:pPr>
        <w:rPr>
          <w:rStyle w:val="SCCAppellantForIndexChar"/>
          <w:b w:val="0"/>
        </w:rPr>
      </w:pPr>
      <w:r>
        <w:rPr>
          <w:rStyle w:val="SCCAppellantForIndexChar"/>
          <w:b w:val="0"/>
        </w:rPr>
        <w:br w:type="page"/>
      </w:r>
    </w:p>
    <w:p w:rsidR="008322BD" w:rsidRPr="00A00EA3" w:rsidRDefault="00EB3AA9" w:rsidP="00C1517B">
      <w:pPr>
        <w:spacing w:line="480" w:lineRule="auto"/>
        <w:jc w:val="both"/>
      </w:pPr>
      <w:proofErr w:type="spellStart"/>
      <w:r w:rsidRPr="00EB3AA9">
        <w:rPr>
          <w:rStyle w:val="SCCAppellantForIndexChar"/>
          <w:b w:val="0"/>
        </w:rPr>
        <w:lastRenderedPageBreak/>
        <w:t>Gavrila</w:t>
      </w:r>
      <w:proofErr w:type="spellEnd"/>
      <w:r w:rsidRPr="00EB3AA9">
        <w:t xml:space="preserve"> </w:t>
      </w:r>
      <w:r w:rsidRPr="00EB3AA9">
        <w:rPr>
          <w:i/>
        </w:rPr>
        <w:t>c.</w:t>
      </w:r>
      <w:r w:rsidRPr="00EB3AA9">
        <w:t xml:space="preserve"> </w:t>
      </w:r>
      <w:r w:rsidRPr="00EB3AA9">
        <w:rPr>
          <w:rStyle w:val="SCCRespondentForIndexChar"/>
          <w:b w:val="0"/>
        </w:rPr>
        <w:t>Canada (Justice)</w:t>
      </w:r>
      <w:r>
        <w:rPr>
          <w:rStyle w:val="SCCRespondentForRunningHeadChar"/>
        </w:rPr>
        <w:t xml:space="preserve">, </w:t>
      </w:r>
      <w:r w:rsidRPr="00771053">
        <w:rPr>
          <w:rStyle w:val="SCCRespondentForIndexChar"/>
          <w:b w:val="0"/>
        </w:rPr>
        <w:t>2010 CSC 57, [2010] 3 R.C.S. 342</w:t>
      </w:r>
    </w:p>
    <w:p w:rsidR="00766D14" w:rsidRPr="00A00EA3" w:rsidRDefault="00766D14" w:rsidP="00C1517B">
      <w:pPr>
        <w:spacing w:line="480" w:lineRule="auto"/>
        <w:jc w:val="both"/>
      </w:pPr>
    </w:p>
    <w:p w:rsidR="00D70077" w:rsidRPr="00A00EA3" w:rsidRDefault="00166647" w:rsidP="00D70077">
      <w:pPr>
        <w:pStyle w:val="SCCLsocParty"/>
        <w:tabs>
          <w:tab w:val="right" w:pos="8280"/>
        </w:tabs>
        <w:spacing w:line="480" w:lineRule="auto"/>
        <w:rPr>
          <w:b w:val="0"/>
          <w:i/>
        </w:rPr>
      </w:pPr>
      <w:proofErr w:type="spellStart"/>
      <w:r w:rsidRPr="00A00EA3">
        <w:t>Tiberiu</w:t>
      </w:r>
      <w:proofErr w:type="spellEnd"/>
      <w:r w:rsidR="00D70077" w:rsidRPr="00A00EA3">
        <w:t xml:space="preserve"> </w:t>
      </w:r>
      <w:proofErr w:type="spellStart"/>
      <w:r w:rsidRPr="00A00EA3">
        <w:t>Gavrila</w:t>
      </w:r>
      <w:proofErr w:type="spellEnd"/>
      <w:r w:rsidR="00C1517B" w:rsidRPr="00A00EA3">
        <w:tab/>
      </w:r>
      <w:r w:rsidRPr="00A00EA3">
        <w:rPr>
          <w:b w:val="0"/>
          <w:i/>
        </w:rPr>
        <w:t>Appelant</w:t>
      </w:r>
    </w:p>
    <w:p w:rsidR="00684E3A" w:rsidRPr="00A00EA3" w:rsidRDefault="00684E3A" w:rsidP="00D70077">
      <w:pPr>
        <w:pStyle w:val="SCCLsocParty"/>
        <w:tabs>
          <w:tab w:val="right" w:pos="8280"/>
        </w:tabs>
        <w:spacing w:line="480" w:lineRule="auto"/>
      </w:pPr>
    </w:p>
    <w:p w:rsidR="00684E3A" w:rsidRPr="00A00EA3" w:rsidRDefault="00166647" w:rsidP="00C1517B">
      <w:pPr>
        <w:pStyle w:val="SCCLsocVersus"/>
        <w:spacing w:line="480" w:lineRule="auto"/>
      </w:pPr>
      <w:proofErr w:type="gramStart"/>
      <w:r w:rsidRPr="00A00EA3">
        <w:t>c</w:t>
      </w:r>
      <w:proofErr w:type="gramEnd"/>
      <w:r w:rsidRPr="00A00EA3">
        <w:t>.</w:t>
      </w:r>
      <w:r w:rsidRPr="00A00EA3">
        <w:br/>
      </w:r>
    </w:p>
    <w:p w:rsidR="00D70077" w:rsidRPr="00A00EA3" w:rsidRDefault="00166647" w:rsidP="00D70077">
      <w:pPr>
        <w:pStyle w:val="SCCLsocParty"/>
        <w:tabs>
          <w:tab w:val="right" w:pos="8280"/>
        </w:tabs>
        <w:spacing w:line="480" w:lineRule="auto"/>
        <w:rPr>
          <w:b w:val="0"/>
          <w:i/>
        </w:rPr>
      </w:pPr>
      <w:r w:rsidRPr="00A00EA3">
        <w:t>Ministre de la Justice du Canada</w:t>
      </w:r>
      <w:r w:rsidR="00C1517B" w:rsidRPr="00A00EA3">
        <w:tab/>
      </w:r>
      <w:r w:rsidRPr="00A00EA3">
        <w:rPr>
          <w:b w:val="0"/>
          <w:i/>
        </w:rPr>
        <w:t>Intimé</w:t>
      </w:r>
    </w:p>
    <w:p w:rsidR="00684E3A" w:rsidRPr="00A00EA3" w:rsidRDefault="00684E3A" w:rsidP="00D70077">
      <w:pPr>
        <w:pStyle w:val="SCCLsocParty"/>
        <w:tabs>
          <w:tab w:val="right" w:pos="8280"/>
        </w:tabs>
        <w:spacing w:line="480" w:lineRule="auto"/>
      </w:pPr>
    </w:p>
    <w:p w:rsidR="00684E3A" w:rsidRPr="00A00EA3" w:rsidRDefault="00166647" w:rsidP="00C1517B">
      <w:pPr>
        <w:pStyle w:val="SCCLsocOtherPartySeparator"/>
        <w:spacing w:line="480" w:lineRule="auto"/>
      </w:pPr>
      <w:proofErr w:type="gramStart"/>
      <w:r w:rsidRPr="00A00EA3">
        <w:t>et</w:t>
      </w:r>
      <w:proofErr w:type="gramEnd"/>
      <w:r w:rsidRPr="00A00EA3">
        <w:br/>
      </w:r>
    </w:p>
    <w:p w:rsidR="00684E3A" w:rsidRPr="00A00EA3" w:rsidRDefault="00166647" w:rsidP="00C1517B">
      <w:pPr>
        <w:pStyle w:val="SCCLsocParty"/>
      </w:pPr>
      <w:r w:rsidRPr="00A00EA3">
        <w:t>Amn</w:t>
      </w:r>
      <w:r w:rsidR="00AD2331">
        <w:t>i</w:t>
      </w:r>
      <w:r w:rsidRPr="00A00EA3">
        <w:t>st</w:t>
      </w:r>
      <w:r w:rsidR="00AD2331">
        <w:t>ie</w:t>
      </w:r>
      <w:r w:rsidRPr="00A00EA3">
        <w:t xml:space="preserve"> </w:t>
      </w:r>
      <w:r w:rsidR="00AD2331">
        <w:t>i</w:t>
      </w:r>
      <w:r w:rsidRPr="00A00EA3">
        <w:t>nternational</w:t>
      </w:r>
      <w:r w:rsidR="00AD2331">
        <w:t xml:space="preserve">e — </w:t>
      </w:r>
      <w:r w:rsidRPr="00A00EA3">
        <w:t xml:space="preserve">Canada </w:t>
      </w:r>
      <w:r w:rsidR="00AD2331">
        <w:t>francophone</w:t>
      </w:r>
      <w:r w:rsidRPr="00A00EA3">
        <w:t xml:space="preserve">, </w:t>
      </w:r>
    </w:p>
    <w:p w:rsidR="00C1517B" w:rsidRPr="00A00EA3" w:rsidRDefault="00166647" w:rsidP="00C1517B">
      <w:pPr>
        <w:pStyle w:val="SCCLsocParty"/>
      </w:pPr>
      <w:r w:rsidRPr="00A00EA3">
        <w:t xml:space="preserve">Association québécoise des avocats et </w:t>
      </w:r>
    </w:p>
    <w:p w:rsidR="00684E3A" w:rsidRPr="00A00EA3" w:rsidRDefault="00AD2331" w:rsidP="00C1517B">
      <w:pPr>
        <w:pStyle w:val="SCCLsocParty"/>
      </w:pPr>
      <w:proofErr w:type="gramStart"/>
      <w:r>
        <w:t>avocates</w:t>
      </w:r>
      <w:proofErr w:type="gramEnd"/>
      <w:r>
        <w:t xml:space="preserve"> en droit de l’</w:t>
      </w:r>
      <w:r w:rsidR="00166647" w:rsidRPr="00A00EA3">
        <w:t>immigration</w:t>
      </w:r>
      <w:r>
        <w:t xml:space="preserve"> et</w:t>
      </w:r>
      <w:r w:rsidR="00166647" w:rsidRPr="00A00EA3">
        <w:t xml:space="preserve"> </w:t>
      </w:r>
    </w:p>
    <w:p w:rsidR="00684E3A" w:rsidRPr="00A00EA3" w:rsidRDefault="00166647" w:rsidP="00C1517B">
      <w:pPr>
        <w:pStyle w:val="SCCLsocParty"/>
        <w:tabs>
          <w:tab w:val="right" w:pos="8190"/>
        </w:tabs>
        <w:rPr>
          <w:b w:val="0"/>
          <w:i/>
        </w:rPr>
      </w:pPr>
      <w:r w:rsidRPr="00A00EA3">
        <w:t>Association canadienne des libertés civiles</w:t>
      </w:r>
      <w:r w:rsidR="00C1517B" w:rsidRPr="00A00EA3">
        <w:tab/>
      </w:r>
      <w:r w:rsidRPr="00A00EA3">
        <w:rPr>
          <w:b w:val="0"/>
          <w:i/>
        </w:rPr>
        <w:t>Intervenantes</w:t>
      </w:r>
    </w:p>
    <w:p w:rsidR="00A00EA3" w:rsidRPr="00A00EA3" w:rsidRDefault="00A00EA3" w:rsidP="00A00EA3"/>
    <w:p w:rsidR="00766D14" w:rsidRPr="00A00EA3" w:rsidRDefault="00766D14" w:rsidP="00C1517B">
      <w:pPr>
        <w:spacing w:line="480" w:lineRule="auto"/>
        <w:jc w:val="both"/>
      </w:pPr>
    </w:p>
    <w:p w:rsidR="00426659" w:rsidRPr="00A00EA3" w:rsidRDefault="0043088E" w:rsidP="00C1517B">
      <w:pPr>
        <w:spacing w:line="480" w:lineRule="auto"/>
        <w:jc w:val="both"/>
        <w:rPr>
          <w:b/>
        </w:rPr>
      </w:pPr>
      <w:r w:rsidRPr="00A00EA3">
        <w:rPr>
          <w:b/>
        </w:rPr>
        <w:t>Répertorié</w:t>
      </w:r>
      <w:r w:rsidR="00C67CA5" w:rsidRPr="00A00EA3">
        <w:rPr>
          <w:b/>
        </w:rPr>
        <w:t> </w:t>
      </w:r>
      <w:r w:rsidR="00426659" w:rsidRPr="00A00EA3">
        <w:rPr>
          <w:b/>
        </w:rPr>
        <w:t>:</w:t>
      </w:r>
      <w:r w:rsidR="00C67CA5" w:rsidRPr="00A00EA3">
        <w:rPr>
          <w:b/>
        </w:rPr>
        <w:t> </w:t>
      </w:r>
      <w:proofErr w:type="spellStart"/>
      <w:r w:rsidRPr="00A00EA3">
        <w:rPr>
          <w:rStyle w:val="SCCAppellantForIndexChar"/>
        </w:rPr>
        <w:t>Gavrila</w:t>
      </w:r>
      <w:proofErr w:type="spellEnd"/>
      <w:r w:rsidR="00426659" w:rsidRPr="00A00EA3">
        <w:rPr>
          <w:b/>
        </w:rPr>
        <w:t xml:space="preserve"> </w:t>
      </w:r>
      <w:r w:rsidR="00645057" w:rsidRPr="00A00EA3">
        <w:rPr>
          <w:b/>
          <w:i/>
        </w:rPr>
        <w:t>c</w:t>
      </w:r>
      <w:r w:rsidR="00426659" w:rsidRPr="00A00EA3">
        <w:rPr>
          <w:b/>
          <w:i/>
        </w:rPr>
        <w:t>.</w:t>
      </w:r>
      <w:r w:rsidR="00426659" w:rsidRPr="00A00EA3">
        <w:rPr>
          <w:b/>
        </w:rPr>
        <w:t xml:space="preserve"> </w:t>
      </w:r>
      <w:r w:rsidR="00FD7060" w:rsidRPr="00A00EA3">
        <w:rPr>
          <w:rStyle w:val="SCCRespondentForIndexChar"/>
        </w:rPr>
        <w:t>Canada (</w:t>
      </w:r>
      <w:r w:rsidRPr="00A00EA3">
        <w:rPr>
          <w:rStyle w:val="SCCRespondentForIndexChar"/>
        </w:rPr>
        <w:t>Justice</w:t>
      </w:r>
      <w:r w:rsidR="00FD7060" w:rsidRPr="00A00EA3">
        <w:rPr>
          <w:rStyle w:val="SCCRespondentForIndexChar"/>
        </w:rPr>
        <w:t>)</w:t>
      </w:r>
    </w:p>
    <w:p w:rsidR="00426659" w:rsidRPr="00A00EA3" w:rsidRDefault="00426659" w:rsidP="00C1517B">
      <w:pPr>
        <w:spacing w:line="480" w:lineRule="auto"/>
        <w:jc w:val="both"/>
      </w:pPr>
    </w:p>
    <w:p w:rsidR="00426659" w:rsidRPr="00A00EA3" w:rsidRDefault="00F853FB" w:rsidP="00C1517B">
      <w:pPr>
        <w:pStyle w:val="SCCSystemYear"/>
        <w:spacing w:line="480" w:lineRule="auto"/>
        <w:jc w:val="both"/>
      </w:pPr>
      <w:r w:rsidRPr="00A00EA3">
        <w:t>2010</w:t>
      </w:r>
      <w:r w:rsidR="00EE0FAF" w:rsidRPr="00A00EA3">
        <w:t xml:space="preserve"> </w:t>
      </w:r>
      <w:r w:rsidR="00C71F58" w:rsidRPr="00A00EA3">
        <w:t>C</w:t>
      </w:r>
      <w:r w:rsidR="00426659" w:rsidRPr="00A00EA3">
        <w:t>SC </w:t>
      </w:r>
      <w:r w:rsidR="00830D12" w:rsidRPr="00A00EA3">
        <w:t>57</w:t>
      </w:r>
    </w:p>
    <w:p w:rsidR="007834A8" w:rsidRPr="00A00EA3" w:rsidRDefault="007834A8" w:rsidP="00C1517B">
      <w:pPr>
        <w:spacing w:line="480" w:lineRule="auto"/>
        <w:jc w:val="both"/>
      </w:pPr>
    </w:p>
    <w:p w:rsidR="008322BD" w:rsidRPr="00A00EA3" w:rsidRDefault="009B57B3" w:rsidP="00C1517B">
      <w:pPr>
        <w:spacing w:line="480" w:lineRule="auto"/>
        <w:jc w:val="both"/>
      </w:pPr>
      <w:r w:rsidRPr="00A00EA3">
        <w:t>N</w:t>
      </w:r>
      <w:r w:rsidRPr="00A00EA3">
        <w:rPr>
          <w:vertAlign w:val="superscript"/>
        </w:rPr>
        <w:t>o</w:t>
      </w:r>
      <w:r w:rsidR="0043088E" w:rsidRPr="00A00EA3">
        <w:t xml:space="preserve"> du greffe</w:t>
      </w:r>
      <w:r w:rsidR="00C67CA5" w:rsidRPr="00A00EA3">
        <w:t> </w:t>
      </w:r>
      <w:r w:rsidRPr="00A00EA3">
        <w:t>:</w:t>
      </w:r>
      <w:r w:rsidR="00C1517B" w:rsidRPr="00A00EA3">
        <w:t xml:space="preserve"> </w:t>
      </w:r>
      <w:r w:rsidRPr="00A00EA3">
        <w:t>33313.</w:t>
      </w:r>
    </w:p>
    <w:p w:rsidR="007834A8" w:rsidRPr="00A00EA3" w:rsidRDefault="007834A8" w:rsidP="00C1517B">
      <w:pPr>
        <w:spacing w:line="480" w:lineRule="auto"/>
        <w:jc w:val="both"/>
      </w:pPr>
    </w:p>
    <w:p w:rsidR="008322BD" w:rsidRPr="00A00EA3" w:rsidRDefault="00C1517B" w:rsidP="00C1517B">
      <w:pPr>
        <w:spacing w:line="480" w:lineRule="auto"/>
        <w:jc w:val="both"/>
      </w:pPr>
      <w:r w:rsidRPr="00A00EA3">
        <w:t>2010 : 13 </w:t>
      </w:r>
      <w:r w:rsidR="00F853FB" w:rsidRPr="00A00EA3">
        <w:t>janvier</w:t>
      </w:r>
      <w:r w:rsidR="009B57B3" w:rsidRPr="00A00EA3">
        <w:t xml:space="preserve">; </w:t>
      </w:r>
      <w:r w:rsidRPr="00A00EA3">
        <w:t>2010 : 25 </w:t>
      </w:r>
      <w:r w:rsidR="00FD7060" w:rsidRPr="00A00EA3">
        <w:t>novembre</w:t>
      </w:r>
      <w:r w:rsidR="009B57B3" w:rsidRPr="00A00EA3">
        <w:t>.</w:t>
      </w:r>
    </w:p>
    <w:p w:rsidR="007834A8" w:rsidRPr="00A00EA3" w:rsidRDefault="007834A8" w:rsidP="00C1517B">
      <w:pPr>
        <w:spacing w:line="480" w:lineRule="auto"/>
        <w:jc w:val="both"/>
      </w:pPr>
    </w:p>
    <w:p w:rsidR="008322BD" w:rsidRPr="00A00EA3" w:rsidRDefault="009B57B3" w:rsidP="00C1517B">
      <w:pPr>
        <w:jc w:val="both"/>
      </w:pPr>
      <w:r w:rsidRPr="00A00EA3">
        <w:t>Pr</w:t>
      </w:r>
      <w:r w:rsidR="0043088E" w:rsidRPr="00A00EA3">
        <w:t>é</w:t>
      </w:r>
      <w:r w:rsidRPr="00A00EA3">
        <w:t>sent</w:t>
      </w:r>
      <w:r w:rsidR="008A6558" w:rsidRPr="00A00EA3">
        <w:t>s</w:t>
      </w:r>
      <w:r w:rsidR="00C67CA5" w:rsidRPr="00A00EA3">
        <w:t> </w:t>
      </w:r>
      <w:r w:rsidRPr="00A00EA3">
        <w:t>:</w:t>
      </w:r>
      <w:r w:rsidR="00C67CA5" w:rsidRPr="00A00EA3">
        <w:t> </w:t>
      </w:r>
      <w:r w:rsidRPr="00A00EA3">
        <w:t xml:space="preserve">La juge en chef McLachlin et les juges Binnie, LeBel, Deschamps, Fish, Abella, Charron, </w:t>
      </w:r>
      <w:proofErr w:type="spellStart"/>
      <w:r w:rsidRPr="00A00EA3">
        <w:t>Rothstein</w:t>
      </w:r>
      <w:proofErr w:type="spellEnd"/>
      <w:r w:rsidRPr="00A00EA3">
        <w:t xml:space="preserve"> et Cromwell.</w:t>
      </w:r>
    </w:p>
    <w:p w:rsidR="00C1517B" w:rsidRPr="00A00EA3" w:rsidRDefault="00C1517B" w:rsidP="00C1517B">
      <w:pPr>
        <w:jc w:val="both"/>
      </w:pPr>
    </w:p>
    <w:p w:rsidR="007834A8" w:rsidRDefault="007834A8" w:rsidP="00C1517B">
      <w:pPr>
        <w:spacing w:line="480" w:lineRule="auto"/>
        <w:jc w:val="both"/>
      </w:pPr>
    </w:p>
    <w:p w:rsidR="00C018A7" w:rsidRPr="00A00EA3" w:rsidRDefault="00C018A7" w:rsidP="00C1517B">
      <w:pPr>
        <w:spacing w:line="480" w:lineRule="auto"/>
        <w:jc w:val="both"/>
      </w:pPr>
    </w:p>
    <w:p w:rsidR="008322BD" w:rsidRPr="00A00EA3" w:rsidRDefault="00AC7437" w:rsidP="00C1517B">
      <w:pPr>
        <w:pStyle w:val="SCCLowerCourtNameLowercase"/>
      </w:pPr>
      <w:r w:rsidRPr="00A00EA3">
        <w:t>e</w:t>
      </w:r>
      <w:r w:rsidR="00855307" w:rsidRPr="00A00EA3">
        <w:t>n</w:t>
      </w:r>
      <w:r w:rsidR="00224FC0" w:rsidRPr="00A00EA3">
        <w:t xml:space="preserve"> </w:t>
      </w:r>
      <w:r w:rsidR="00855307" w:rsidRPr="00A00EA3">
        <w:t>appel</w:t>
      </w:r>
      <w:r w:rsidR="00224FC0" w:rsidRPr="00A00EA3">
        <w:t xml:space="preserve"> </w:t>
      </w:r>
      <w:r w:rsidR="00855307" w:rsidRPr="00A00EA3">
        <w:t>de</w:t>
      </w:r>
      <w:r w:rsidR="0043088E" w:rsidRPr="00A00EA3">
        <w:t xml:space="preserve"> </w:t>
      </w:r>
      <w:r w:rsidR="00855307" w:rsidRPr="00A00EA3">
        <w:t>la</w:t>
      </w:r>
      <w:r w:rsidR="00224FC0" w:rsidRPr="00A00EA3">
        <w:t xml:space="preserve"> </w:t>
      </w:r>
      <w:r w:rsidR="009B57B3" w:rsidRPr="00A00EA3">
        <w:t xml:space="preserve">cour d’appel du québec </w:t>
      </w:r>
    </w:p>
    <w:p w:rsidR="003A4C70" w:rsidRPr="00A00EA3" w:rsidRDefault="003A4C70" w:rsidP="00C1517B">
      <w:pPr>
        <w:pStyle w:val="SCCNormalDoubleSpacing"/>
      </w:pPr>
    </w:p>
    <w:p w:rsidR="008322BD" w:rsidRPr="00A00EA3" w:rsidRDefault="009B57B3" w:rsidP="00C1517B">
      <w:pPr>
        <w:pStyle w:val="SCCNormalDoubleSpacing"/>
        <w:rPr>
          <w:i/>
        </w:rPr>
      </w:pPr>
      <w:r w:rsidRPr="00A00EA3">
        <w:tab/>
      </w:r>
      <w:r w:rsidR="00A72983" w:rsidRPr="00A00EA3">
        <w:rPr>
          <w:i/>
        </w:rPr>
        <w:t>Extradition ― Remise ―</w:t>
      </w:r>
      <w:r w:rsidR="00A44DB3" w:rsidRPr="00A00EA3">
        <w:rPr>
          <w:i/>
        </w:rPr>
        <w:t xml:space="preserve"> Réfugiés au sens de la </w:t>
      </w:r>
      <w:r w:rsidR="00AD2331">
        <w:rPr>
          <w:i/>
        </w:rPr>
        <w:t>C</w:t>
      </w:r>
      <w:r w:rsidR="00A44DB3" w:rsidRPr="00A00EA3">
        <w:rPr>
          <w:i/>
        </w:rPr>
        <w:t xml:space="preserve">onvention </w:t>
      </w:r>
      <w:r w:rsidR="00A72983" w:rsidRPr="00A00EA3">
        <w:rPr>
          <w:i/>
        </w:rPr>
        <w:t>―</w:t>
      </w:r>
      <w:r w:rsidR="00A44DB3" w:rsidRPr="00A00EA3">
        <w:rPr>
          <w:i/>
        </w:rPr>
        <w:t xml:space="preserve"> Principe de </w:t>
      </w:r>
      <w:proofErr w:type="spellStart"/>
      <w:r w:rsidR="00A44DB3" w:rsidRPr="00A00EA3">
        <w:rPr>
          <w:i/>
        </w:rPr>
        <w:t>non</w:t>
      </w:r>
      <w:r w:rsidR="00F43D53" w:rsidRPr="00A00EA3">
        <w:rPr>
          <w:i/>
        </w:rPr>
        <w:noBreakHyphen/>
      </w:r>
      <w:r w:rsidR="00A44DB3" w:rsidRPr="00A00EA3">
        <w:rPr>
          <w:i/>
        </w:rPr>
        <w:t>refoulement</w:t>
      </w:r>
      <w:proofErr w:type="spellEnd"/>
      <w:r w:rsidR="00A44DB3" w:rsidRPr="00A00EA3">
        <w:rPr>
          <w:i/>
        </w:rPr>
        <w:t xml:space="preserve"> </w:t>
      </w:r>
      <w:r w:rsidR="00A72983" w:rsidRPr="00A00EA3">
        <w:rPr>
          <w:i/>
        </w:rPr>
        <w:t>―</w:t>
      </w:r>
      <w:r w:rsidR="00A44DB3" w:rsidRPr="00A00EA3">
        <w:rPr>
          <w:i/>
        </w:rPr>
        <w:t xml:space="preserve"> Extradition vers la Roumanie d’un réfugié au sens de la </w:t>
      </w:r>
      <w:r w:rsidR="007B586E" w:rsidRPr="00A00EA3">
        <w:rPr>
          <w:i/>
        </w:rPr>
        <w:t>C</w:t>
      </w:r>
      <w:r w:rsidR="00A44DB3" w:rsidRPr="00A00EA3">
        <w:rPr>
          <w:i/>
        </w:rPr>
        <w:t xml:space="preserve">onvention ordonnée par le ministre de la Justice </w:t>
      </w:r>
      <w:r w:rsidR="00A72983" w:rsidRPr="00A00EA3">
        <w:rPr>
          <w:i/>
        </w:rPr>
        <w:t>―</w:t>
      </w:r>
      <w:r w:rsidR="00A44DB3" w:rsidRPr="00A00EA3">
        <w:rPr>
          <w:i/>
        </w:rPr>
        <w:t xml:space="preserve"> Le ministre de la Justice </w:t>
      </w:r>
      <w:proofErr w:type="spellStart"/>
      <w:r w:rsidR="001B57DE" w:rsidRPr="00A00EA3">
        <w:rPr>
          <w:i/>
        </w:rPr>
        <w:t>ét</w:t>
      </w:r>
      <w:r w:rsidR="00A44DB3" w:rsidRPr="00A00EA3">
        <w:rPr>
          <w:i/>
        </w:rPr>
        <w:t>ait</w:t>
      </w:r>
      <w:r w:rsidR="00F43D53" w:rsidRPr="00A00EA3">
        <w:rPr>
          <w:i/>
        </w:rPr>
        <w:noBreakHyphen/>
      </w:r>
      <w:r w:rsidR="00A44DB3" w:rsidRPr="00A00EA3">
        <w:rPr>
          <w:i/>
        </w:rPr>
        <w:t>il</w:t>
      </w:r>
      <w:proofErr w:type="spellEnd"/>
      <w:r w:rsidR="00A44DB3" w:rsidRPr="00A00EA3">
        <w:rPr>
          <w:i/>
        </w:rPr>
        <w:t xml:space="preserve"> </w:t>
      </w:r>
      <w:r w:rsidR="001B57DE" w:rsidRPr="00A00EA3">
        <w:rPr>
          <w:i/>
        </w:rPr>
        <w:t xml:space="preserve">légalement habilité à </w:t>
      </w:r>
      <w:r w:rsidR="00A44DB3" w:rsidRPr="00A00EA3">
        <w:rPr>
          <w:i/>
        </w:rPr>
        <w:t>ordonner l’extradition d’un réfugié dont la qualité de réfugié</w:t>
      </w:r>
      <w:r w:rsidR="00E8392A" w:rsidRPr="00A00EA3">
        <w:rPr>
          <w:i/>
        </w:rPr>
        <w:t xml:space="preserve"> n’a pas été perdue ou révoquée? </w:t>
      </w:r>
      <w:r w:rsidR="00A72983" w:rsidRPr="00A00EA3">
        <w:rPr>
          <w:i/>
        </w:rPr>
        <w:t>―</w:t>
      </w:r>
      <w:r w:rsidR="00E8392A" w:rsidRPr="00A00EA3">
        <w:rPr>
          <w:i/>
        </w:rPr>
        <w:t xml:space="preserve"> Si oui, le ministre </w:t>
      </w:r>
      <w:proofErr w:type="spellStart"/>
      <w:r w:rsidR="00E8392A" w:rsidRPr="00A00EA3">
        <w:rPr>
          <w:i/>
        </w:rPr>
        <w:t>a</w:t>
      </w:r>
      <w:r w:rsidR="00F43D53" w:rsidRPr="00A00EA3">
        <w:rPr>
          <w:i/>
        </w:rPr>
        <w:noBreakHyphen/>
      </w:r>
      <w:r w:rsidR="00E8392A" w:rsidRPr="00A00EA3">
        <w:rPr>
          <w:i/>
        </w:rPr>
        <w:t>t</w:t>
      </w:r>
      <w:r w:rsidR="00F43D53" w:rsidRPr="00A00EA3">
        <w:rPr>
          <w:i/>
        </w:rPr>
        <w:noBreakHyphen/>
      </w:r>
      <w:r w:rsidR="00E8392A" w:rsidRPr="00A00EA3">
        <w:rPr>
          <w:i/>
        </w:rPr>
        <w:t>il</w:t>
      </w:r>
      <w:proofErr w:type="spellEnd"/>
      <w:r w:rsidR="00E8392A" w:rsidRPr="00A00EA3">
        <w:rPr>
          <w:i/>
        </w:rPr>
        <w:t xml:space="preserve"> exercé de manière raisonnable son pouvoir d’ordonner l’extradition? </w:t>
      </w:r>
      <w:r w:rsidR="00A72983" w:rsidRPr="00A00EA3">
        <w:rPr>
          <w:i/>
        </w:rPr>
        <w:t>―</w:t>
      </w:r>
      <w:r w:rsidR="00AD2331">
        <w:rPr>
          <w:i/>
        </w:rPr>
        <w:t xml:space="preserve"> Loi sur l’e</w:t>
      </w:r>
      <w:r w:rsidR="00E8392A" w:rsidRPr="00A00EA3">
        <w:rPr>
          <w:i/>
        </w:rPr>
        <w:t xml:space="preserve">xtradition, L.C. 1999, ch. 18, art. 44 </w:t>
      </w:r>
      <w:r w:rsidR="00A72983" w:rsidRPr="00A00EA3">
        <w:rPr>
          <w:i/>
        </w:rPr>
        <w:t>―</w:t>
      </w:r>
      <w:r w:rsidR="00E8392A" w:rsidRPr="00A00EA3">
        <w:rPr>
          <w:i/>
        </w:rPr>
        <w:t xml:space="preserve"> Loi sur l’immigration et la protection des réfugiés, L.C. 2001, ch. 27</w:t>
      </w:r>
      <w:r w:rsidR="00DF233A">
        <w:rPr>
          <w:i/>
        </w:rPr>
        <w:t>, art. 115</w:t>
      </w:r>
      <w:r w:rsidR="00AD2331">
        <w:rPr>
          <w:i/>
        </w:rPr>
        <w:t>.</w:t>
      </w:r>
    </w:p>
    <w:p w:rsidR="00E8392A" w:rsidRPr="00A00EA3" w:rsidRDefault="00E8392A" w:rsidP="00C1517B">
      <w:pPr>
        <w:pStyle w:val="SCCNormalDoubleSpacing"/>
        <w:rPr>
          <w:i/>
        </w:rPr>
      </w:pPr>
    </w:p>
    <w:p w:rsidR="00E8392A" w:rsidRPr="00A00EA3" w:rsidRDefault="00E8392A" w:rsidP="00C1517B">
      <w:pPr>
        <w:pStyle w:val="SCCNormalDoubleSpacing"/>
      </w:pPr>
      <w:r w:rsidRPr="00A00EA3">
        <w:rPr>
          <w:i/>
        </w:rPr>
        <w:tab/>
        <w:t xml:space="preserve">Extradition </w:t>
      </w:r>
      <w:r w:rsidR="00A72983" w:rsidRPr="00A00EA3">
        <w:rPr>
          <w:i/>
        </w:rPr>
        <w:t>―</w:t>
      </w:r>
      <w:r w:rsidRPr="00A00EA3">
        <w:rPr>
          <w:i/>
        </w:rPr>
        <w:t xml:space="preserve"> Remise </w:t>
      </w:r>
      <w:r w:rsidR="00A72983" w:rsidRPr="00A00EA3">
        <w:rPr>
          <w:i/>
        </w:rPr>
        <w:t>―</w:t>
      </w:r>
      <w:r w:rsidRPr="00A00EA3">
        <w:rPr>
          <w:i/>
        </w:rPr>
        <w:t xml:space="preserve"> Preuve </w:t>
      </w:r>
      <w:r w:rsidR="00A72983" w:rsidRPr="00A00EA3">
        <w:rPr>
          <w:i/>
        </w:rPr>
        <w:t>―</w:t>
      </w:r>
      <w:r w:rsidRPr="00A00EA3">
        <w:rPr>
          <w:i/>
        </w:rPr>
        <w:t xml:space="preserve"> Fardeau de la preuve </w:t>
      </w:r>
      <w:r w:rsidR="00A72983" w:rsidRPr="00A00EA3">
        <w:rPr>
          <w:i/>
        </w:rPr>
        <w:t>―</w:t>
      </w:r>
      <w:r w:rsidRPr="00A00EA3">
        <w:rPr>
          <w:i/>
        </w:rPr>
        <w:t xml:space="preserve"> Demande d’extradition d’un réfugié au sens de la </w:t>
      </w:r>
      <w:r w:rsidR="001B57DE" w:rsidRPr="00A00EA3">
        <w:rPr>
          <w:i/>
        </w:rPr>
        <w:t>C</w:t>
      </w:r>
      <w:r w:rsidRPr="00A00EA3">
        <w:rPr>
          <w:i/>
        </w:rPr>
        <w:t xml:space="preserve">onvention </w:t>
      </w:r>
      <w:r w:rsidR="00A72983" w:rsidRPr="00A00EA3">
        <w:rPr>
          <w:i/>
        </w:rPr>
        <w:t>―</w:t>
      </w:r>
      <w:r w:rsidRPr="00A00EA3">
        <w:rPr>
          <w:i/>
        </w:rPr>
        <w:t xml:space="preserve"> Motifs prévus par la loi justifiant le refus du ministre de la Justice de prendre un arrêté d’extradition </w:t>
      </w:r>
      <w:r w:rsidR="00A72983" w:rsidRPr="00A00EA3">
        <w:rPr>
          <w:i/>
        </w:rPr>
        <w:t>―</w:t>
      </w:r>
      <w:r w:rsidRPr="00A00EA3">
        <w:rPr>
          <w:i/>
        </w:rPr>
        <w:t xml:space="preserve"> Le risque de persécution </w:t>
      </w:r>
      <w:proofErr w:type="spellStart"/>
      <w:r w:rsidR="00FC1DF6" w:rsidRPr="00A00EA3">
        <w:rPr>
          <w:i/>
        </w:rPr>
        <w:t>constitue</w:t>
      </w:r>
      <w:r w:rsidR="00AD2331">
        <w:rPr>
          <w:i/>
        </w:rPr>
        <w:noBreakHyphen/>
      </w:r>
      <w:r w:rsidR="00FC1DF6" w:rsidRPr="00A00EA3">
        <w:rPr>
          <w:i/>
        </w:rPr>
        <w:t>t</w:t>
      </w:r>
      <w:r w:rsidR="00F43D53" w:rsidRPr="00A00EA3">
        <w:rPr>
          <w:i/>
        </w:rPr>
        <w:noBreakHyphen/>
      </w:r>
      <w:r w:rsidRPr="00A00EA3">
        <w:rPr>
          <w:i/>
        </w:rPr>
        <w:t>il</w:t>
      </w:r>
      <w:proofErr w:type="spellEnd"/>
      <w:r w:rsidR="00FC1DF6" w:rsidRPr="00A00EA3">
        <w:rPr>
          <w:i/>
        </w:rPr>
        <w:t>, au sens de l’a</w:t>
      </w:r>
      <w:r w:rsidR="00AD2331">
        <w:rPr>
          <w:i/>
        </w:rPr>
        <w:t>rt</w:t>
      </w:r>
      <w:r w:rsidR="00FC1DF6" w:rsidRPr="00A00EA3">
        <w:rPr>
          <w:i/>
        </w:rPr>
        <w:t>. 44(1)b) de la Loi sur l’extradition,</w:t>
      </w:r>
      <w:r w:rsidRPr="00A00EA3">
        <w:rPr>
          <w:i/>
        </w:rPr>
        <w:t xml:space="preserve"> un motif obligatoire de refuser l’extradition</w:t>
      </w:r>
      <w:r w:rsidR="00FC1DF6" w:rsidRPr="00A00EA3">
        <w:rPr>
          <w:i/>
        </w:rPr>
        <w:t xml:space="preserve">? </w:t>
      </w:r>
      <w:r w:rsidR="00A72983" w:rsidRPr="00A00EA3">
        <w:rPr>
          <w:i/>
        </w:rPr>
        <w:t>―</w:t>
      </w:r>
      <w:r w:rsidR="00F43D53" w:rsidRPr="00A00EA3">
        <w:rPr>
          <w:i/>
        </w:rPr>
        <w:t xml:space="preserve"> Le ministre de la Justice </w:t>
      </w:r>
      <w:proofErr w:type="spellStart"/>
      <w:r w:rsidR="00F43D53" w:rsidRPr="00A00EA3">
        <w:rPr>
          <w:i/>
        </w:rPr>
        <w:t>a</w:t>
      </w:r>
      <w:r w:rsidR="00F43D53" w:rsidRPr="00A00EA3">
        <w:rPr>
          <w:i/>
        </w:rPr>
        <w:noBreakHyphen/>
      </w:r>
      <w:r w:rsidR="00FC1DF6" w:rsidRPr="00A00EA3">
        <w:rPr>
          <w:i/>
        </w:rPr>
        <w:t>t</w:t>
      </w:r>
      <w:r w:rsidR="00F43D53" w:rsidRPr="00A00EA3">
        <w:rPr>
          <w:i/>
        </w:rPr>
        <w:noBreakHyphen/>
      </w:r>
      <w:r w:rsidR="00FC1DF6" w:rsidRPr="00A00EA3">
        <w:rPr>
          <w:i/>
        </w:rPr>
        <w:t>il</w:t>
      </w:r>
      <w:proofErr w:type="spellEnd"/>
      <w:r w:rsidR="00FC1DF6" w:rsidRPr="00A00EA3">
        <w:rPr>
          <w:i/>
        </w:rPr>
        <w:t xml:space="preserve"> commis une erreur en imposant au réfugié le fardeau de prouver qu’il serait persécuté s’il était extradé? </w:t>
      </w:r>
      <w:r w:rsidR="00A72983" w:rsidRPr="00A00EA3">
        <w:rPr>
          <w:i/>
        </w:rPr>
        <w:t>―</w:t>
      </w:r>
      <w:r w:rsidR="00AD2331">
        <w:rPr>
          <w:i/>
        </w:rPr>
        <w:t xml:space="preserve"> Loi sur l’e</w:t>
      </w:r>
      <w:r w:rsidR="00FC1DF6" w:rsidRPr="00A00EA3">
        <w:rPr>
          <w:i/>
        </w:rPr>
        <w:t>x</w:t>
      </w:r>
      <w:r w:rsidR="00D70077" w:rsidRPr="00A00EA3">
        <w:rPr>
          <w:i/>
        </w:rPr>
        <w:t>tradition, L.C. 1999, ch. 18, art</w:t>
      </w:r>
      <w:r w:rsidR="00FC1DF6" w:rsidRPr="00A00EA3">
        <w:rPr>
          <w:i/>
        </w:rPr>
        <w:t>. 44(1)b)</w:t>
      </w:r>
      <w:r w:rsidR="00D70077" w:rsidRPr="00A00EA3">
        <w:rPr>
          <w:i/>
        </w:rPr>
        <w:t>.</w:t>
      </w:r>
      <w:r w:rsidR="00FC1DF6" w:rsidRPr="00A00EA3">
        <w:t xml:space="preserve"> </w:t>
      </w:r>
    </w:p>
    <w:p w:rsidR="007834A8" w:rsidRPr="00A00EA3" w:rsidRDefault="007834A8" w:rsidP="00C1517B">
      <w:pPr>
        <w:pStyle w:val="SCCNormalDoubleSpacing"/>
      </w:pPr>
    </w:p>
    <w:p w:rsidR="008322BD" w:rsidRPr="00A00EA3" w:rsidRDefault="009B57B3" w:rsidP="00C1517B">
      <w:pPr>
        <w:pStyle w:val="SCCNormalDoubleSpacing"/>
      </w:pPr>
      <w:r w:rsidRPr="00A00EA3">
        <w:lastRenderedPageBreak/>
        <w:tab/>
      </w:r>
      <w:r w:rsidR="00FC1DF6" w:rsidRPr="00A00EA3">
        <w:t xml:space="preserve">G est entré au Canada en 2004 et y a revendiqué le statut de réfugié, alléguant qu'il avait été persécuté en Roumanie en raison de son origine ethnique et de ses activités au sein d'une association de défense des </w:t>
      </w:r>
      <w:proofErr w:type="spellStart"/>
      <w:r w:rsidR="00FC1DF6" w:rsidRPr="00A00EA3">
        <w:t>Roms</w:t>
      </w:r>
      <w:proofErr w:type="spellEnd"/>
      <w:r w:rsidR="00FC1DF6" w:rsidRPr="00A00EA3">
        <w:t>.</w:t>
      </w:r>
      <w:r w:rsidR="00A72983" w:rsidRPr="00A00EA3">
        <w:t xml:space="preserve"> </w:t>
      </w:r>
      <w:r w:rsidR="00FC1DF6" w:rsidRPr="00A00EA3">
        <w:t xml:space="preserve"> Il a obtenu la qualité de réfugié. </w:t>
      </w:r>
      <w:r w:rsidR="00A72983" w:rsidRPr="00A00EA3">
        <w:t xml:space="preserve"> </w:t>
      </w:r>
      <w:r w:rsidR="00FC1DF6" w:rsidRPr="00A00EA3">
        <w:t>Par la suite, les autorités roumaines ont réclamé son extradition pour qu</w:t>
      </w:r>
      <w:r w:rsidR="00AD2331">
        <w:t>’</w:t>
      </w:r>
      <w:r w:rsidR="00FC1DF6" w:rsidRPr="00A00EA3">
        <w:t xml:space="preserve">il purge une peine d’emprisonnement relativement à une condamnation pour fabrication de faux visas. </w:t>
      </w:r>
      <w:r w:rsidR="00A72983" w:rsidRPr="00A00EA3">
        <w:t xml:space="preserve"> </w:t>
      </w:r>
      <w:r w:rsidR="00FC1DF6" w:rsidRPr="00A00EA3">
        <w:t>G aurait été reconnu coupable, en Roumanie, d’avoir participé à la fabrication de faux visas pour deux person</w:t>
      </w:r>
      <w:r w:rsidR="00AD2331">
        <w:t>nes, pour une valeur de 1 800 $</w:t>
      </w:r>
      <w:r w:rsidR="00FC1DF6" w:rsidRPr="00A00EA3">
        <w:t xml:space="preserve">US. </w:t>
      </w:r>
      <w:r w:rsidR="00A72983" w:rsidRPr="00A00EA3">
        <w:t xml:space="preserve"> </w:t>
      </w:r>
      <w:r w:rsidR="0081237C" w:rsidRPr="00A00EA3">
        <w:t>En 2008, le ministre de la Justice a ordonné que</w:t>
      </w:r>
      <w:r w:rsidR="00AD2331">
        <w:t xml:space="preserve"> G soit extradé dans son pays d’</w:t>
      </w:r>
      <w:r w:rsidR="0081237C" w:rsidRPr="00A00EA3">
        <w:t xml:space="preserve">origine pour y purger sa peine d’emprisonnement. </w:t>
      </w:r>
      <w:r w:rsidR="00A72983" w:rsidRPr="00A00EA3">
        <w:t xml:space="preserve"> </w:t>
      </w:r>
      <w:r w:rsidR="0081237C" w:rsidRPr="00A00EA3">
        <w:t xml:space="preserve">La Cour d’appel a rejeté la requête en révision judiciaire. </w:t>
      </w:r>
    </w:p>
    <w:p w:rsidR="007834A8" w:rsidRPr="00A00EA3" w:rsidRDefault="007834A8" w:rsidP="00C1517B">
      <w:pPr>
        <w:pStyle w:val="SCCNormalDoubleSpacing"/>
      </w:pPr>
    </w:p>
    <w:p w:rsidR="008322BD" w:rsidRPr="00A00EA3" w:rsidRDefault="0081237C" w:rsidP="00C1517B">
      <w:pPr>
        <w:pStyle w:val="SCCNormalDoubleSpacing"/>
      </w:pPr>
      <w:r w:rsidRPr="00A00EA3">
        <w:tab/>
      </w:r>
      <w:r w:rsidR="0043088E" w:rsidRPr="00A00EA3">
        <w:rPr>
          <w:i/>
        </w:rPr>
        <w:t>Arrêt</w:t>
      </w:r>
      <w:r w:rsidR="00A72983" w:rsidRPr="00A00EA3">
        <w:t> </w:t>
      </w:r>
      <w:r w:rsidR="009B57B3" w:rsidRPr="00A00EA3">
        <w:rPr>
          <w:rStyle w:val="QuoteChar"/>
          <w:i w:val="0"/>
          <w:color w:val="auto"/>
          <w:lang w:val="fr-CA"/>
        </w:rPr>
        <w:t>:</w:t>
      </w:r>
      <w:r w:rsidR="009B57B3" w:rsidRPr="00A00EA3">
        <w:t xml:space="preserve"> </w:t>
      </w:r>
      <w:r w:rsidR="0043088E" w:rsidRPr="00A00EA3">
        <w:t>Le pourvoi est</w:t>
      </w:r>
      <w:r w:rsidRPr="00A00EA3">
        <w:t xml:space="preserve"> accueilli et l’affaire est renvoyée au ministre </w:t>
      </w:r>
      <w:r w:rsidR="00FC1B6A" w:rsidRPr="00A00EA3">
        <w:t xml:space="preserve">de la Justice </w:t>
      </w:r>
      <w:r w:rsidRPr="00A00EA3">
        <w:t>pour réexamen.</w:t>
      </w:r>
    </w:p>
    <w:p w:rsidR="007834A8" w:rsidRPr="00A00EA3" w:rsidRDefault="007834A8" w:rsidP="00C1517B">
      <w:pPr>
        <w:pStyle w:val="SCCNormalDoubleSpacing"/>
      </w:pPr>
    </w:p>
    <w:p w:rsidR="006C5661" w:rsidRPr="00A00EA3" w:rsidRDefault="009B57B3" w:rsidP="00C1517B">
      <w:pPr>
        <w:pStyle w:val="SCCNormalDoubleSpacing"/>
      </w:pPr>
      <w:r w:rsidRPr="00A00EA3">
        <w:tab/>
      </w:r>
      <w:r w:rsidR="0081237C" w:rsidRPr="00A00EA3">
        <w:t xml:space="preserve">Pour les motifs exposés dans </w:t>
      </w:r>
      <w:proofErr w:type="spellStart"/>
      <w:r w:rsidR="0081237C" w:rsidRPr="00A00EA3">
        <w:rPr>
          <w:i/>
        </w:rPr>
        <w:t>Németh</w:t>
      </w:r>
      <w:proofErr w:type="spellEnd"/>
      <w:r w:rsidR="0081237C" w:rsidRPr="00A00EA3">
        <w:rPr>
          <w:i/>
        </w:rPr>
        <w:t xml:space="preserve"> c. Canada (Justice)</w:t>
      </w:r>
      <w:r w:rsidR="0015719D" w:rsidRPr="00A00EA3">
        <w:t>, 2010 CSC 56</w:t>
      </w:r>
      <w:r w:rsidR="0015719D">
        <w:t xml:space="preserve">, [2010] 3 R.C.S. </w:t>
      </w:r>
      <w:r w:rsidR="004A70E7">
        <w:t>281</w:t>
      </w:r>
      <w:r w:rsidR="0081237C" w:rsidRPr="00A00EA3">
        <w:t xml:space="preserve">, le ministre n’a pas appliqué les bons critères juridiques, puisque la qualité de réfugié de G n’avait pas été perdue ou révoquée lorsque la décision d’extradition a été prise. </w:t>
      </w:r>
      <w:r w:rsidR="00A72983" w:rsidRPr="00A00EA3">
        <w:t xml:space="preserve"> </w:t>
      </w:r>
      <w:r w:rsidR="00E842A2" w:rsidRPr="00A00EA3">
        <w:t>L</w:t>
      </w:r>
      <w:r w:rsidR="0081237C" w:rsidRPr="00A00EA3">
        <w:t>e min</w:t>
      </w:r>
      <w:r w:rsidR="00A72983" w:rsidRPr="00A00EA3">
        <w:t>istre aurait dû appliquer l’al. </w:t>
      </w:r>
      <w:r w:rsidR="0081237C" w:rsidRPr="00A00EA3">
        <w:t>44(1)</w:t>
      </w:r>
      <w:r w:rsidR="0081237C" w:rsidRPr="00A00EA3">
        <w:rPr>
          <w:i/>
        </w:rPr>
        <w:t>b</w:t>
      </w:r>
      <w:r w:rsidR="0081237C" w:rsidRPr="00A00EA3">
        <w:t xml:space="preserve">) de la </w:t>
      </w:r>
      <w:r w:rsidR="00E842A2" w:rsidRPr="00A00EA3">
        <w:rPr>
          <w:i/>
        </w:rPr>
        <w:t>Loi sur l’extradition</w:t>
      </w:r>
      <w:r w:rsidR="0081237C" w:rsidRPr="00A00EA3">
        <w:t>.</w:t>
      </w:r>
      <w:r w:rsidR="00A72983" w:rsidRPr="00A00EA3">
        <w:t xml:space="preserve"> </w:t>
      </w:r>
      <w:r w:rsidR="0081237C" w:rsidRPr="00A00EA3">
        <w:t xml:space="preserve"> </w:t>
      </w:r>
      <w:r w:rsidR="00E842A2" w:rsidRPr="00A00EA3">
        <w:t>La décision du ministre étant fondée sur des principes juridiques erronés, elle est déraisonnable et doit être annulée.</w:t>
      </w:r>
      <w:r w:rsidR="00A72983" w:rsidRPr="00A00EA3">
        <w:t xml:space="preserve"> </w:t>
      </w:r>
      <w:r w:rsidR="00E842A2" w:rsidRPr="00A00EA3">
        <w:t xml:space="preserve"> Les décisions prises sous le régime de la </w:t>
      </w:r>
      <w:r w:rsidR="00E842A2" w:rsidRPr="00A00EA3">
        <w:rPr>
          <w:i/>
        </w:rPr>
        <w:t>Loi sur l’immigration et la protection des réfugiés</w:t>
      </w:r>
      <w:r w:rsidR="00E842A2" w:rsidRPr="00A00EA3">
        <w:t xml:space="preserve"> ne lient pas le ministre, mais G n’aurait pas dû avoir à prouver qu’il aurait effectivement été victime de persécution et que cette persécution choquerait la conscience de la société </w:t>
      </w:r>
      <w:r w:rsidR="00E842A2" w:rsidRPr="00A00EA3">
        <w:lastRenderedPageBreak/>
        <w:t>canadienne ou serait fondamentalement inacceptable pour elle, et son dossier n’aurait pas dû être évalué uniquement en application de l’al. 44(1)</w:t>
      </w:r>
      <w:r w:rsidR="00E842A2" w:rsidRPr="00A00EA3">
        <w:rPr>
          <w:i/>
        </w:rPr>
        <w:t>a</w:t>
      </w:r>
      <w:r w:rsidR="00E842A2" w:rsidRPr="00A00EA3">
        <w:t xml:space="preserve">). </w:t>
      </w:r>
    </w:p>
    <w:p w:rsidR="007834A8" w:rsidRPr="00A00EA3" w:rsidRDefault="007834A8" w:rsidP="00C1517B">
      <w:pPr>
        <w:pStyle w:val="SCCNormalDoubleSpacing"/>
      </w:pPr>
    </w:p>
    <w:p w:rsidR="007E1C47" w:rsidRPr="00A00EA3" w:rsidRDefault="0043088E" w:rsidP="00C1517B">
      <w:pPr>
        <w:pStyle w:val="SCCNormalDoubleSpacing"/>
        <w:keepNext/>
        <w:keepLines/>
        <w:rPr>
          <w:b/>
        </w:rPr>
      </w:pPr>
      <w:r w:rsidRPr="00A00EA3">
        <w:rPr>
          <w:b/>
        </w:rPr>
        <w:t>Jurisprudence</w:t>
      </w:r>
    </w:p>
    <w:p w:rsidR="007834A8" w:rsidRPr="00A00EA3" w:rsidRDefault="007834A8" w:rsidP="00C1517B">
      <w:pPr>
        <w:pStyle w:val="SCCNormalDoubleSpacing"/>
        <w:keepNext/>
        <w:keepLines/>
      </w:pPr>
    </w:p>
    <w:p w:rsidR="002E6705" w:rsidRPr="00A00EA3" w:rsidRDefault="002E6705" w:rsidP="00D74F2E">
      <w:pPr>
        <w:pStyle w:val="SCCNormalDoubleSpacing"/>
        <w:keepNext/>
        <w:keepLines/>
        <w:rPr>
          <w:b/>
        </w:rPr>
      </w:pPr>
      <w:r w:rsidRPr="00A00EA3">
        <w:tab/>
      </w:r>
      <w:r w:rsidR="0043088E" w:rsidRPr="00A00EA3">
        <w:rPr>
          <w:b/>
        </w:rPr>
        <w:t>A</w:t>
      </w:r>
      <w:r w:rsidR="001C568B">
        <w:rPr>
          <w:b/>
        </w:rPr>
        <w:t xml:space="preserve">ppliqué </w:t>
      </w:r>
      <w:r w:rsidRPr="00A00EA3">
        <w:rPr>
          <w:b/>
        </w:rPr>
        <w:t>:</w:t>
      </w:r>
      <w:r w:rsidR="00172A04" w:rsidRPr="00A00EA3">
        <w:t xml:space="preserve"> </w:t>
      </w:r>
      <w:proofErr w:type="spellStart"/>
      <w:r w:rsidR="00166647" w:rsidRPr="00A00EA3">
        <w:rPr>
          <w:i/>
        </w:rPr>
        <w:t>Németh</w:t>
      </w:r>
      <w:proofErr w:type="spellEnd"/>
      <w:r w:rsidR="00166647" w:rsidRPr="00A00EA3">
        <w:rPr>
          <w:i/>
        </w:rPr>
        <w:t xml:space="preserve"> c. Canada (Justice)</w:t>
      </w:r>
      <w:r w:rsidR="00D70077" w:rsidRPr="00A00EA3">
        <w:t>, 2010 CSC 56</w:t>
      </w:r>
      <w:r w:rsidR="00AD2331">
        <w:t xml:space="preserve">, [2010] 3 R.C.S. </w:t>
      </w:r>
      <w:r w:rsidR="002C7519">
        <w:t>281</w:t>
      </w:r>
      <w:r w:rsidR="00D70077" w:rsidRPr="00A00EA3">
        <w:t>.</w:t>
      </w:r>
    </w:p>
    <w:p w:rsidR="007834A8" w:rsidRPr="00A00EA3" w:rsidRDefault="007834A8" w:rsidP="00172A04">
      <w:pPr>
        <w:pStyle w:val="SCCNormalDoubleSpacing"/>
      </w:pPr>
    </w:p>
    <w:p w:rsidR="00231F3A" w:rsidRPr="00A00EA3" w:rsidRDefault="0043088E" w:rsidP="00A72983">
      <w:pPr>
        <w:pStyle w:val="SCCNormalDoubleSpacing"/>
        <w:keepNext/>
        <w:rPr>
          <w:b/>
        </w:rPr>
      </w:pPr>
      <w:r w:rsidRPr="00A00EA3">
        <w:rPr>
          <w:b/>
        </w:rPr>
        <w:t>Lois</w:t>
      </w:r>
      <w:r w:rsidR="002E6705" w:rsidRPr="00A00EA3">
        <w:rPr>
          <w:b/>
        </w:rPr>
        <w:t xml:space="preserve"> </w:t>
      </w:r>
      <w:r w:rsidR="008A6558" w:rsidRPr="00A00EA3">
        <w:rPr>
          <w:b/>
        </w:rPr>
        <w:t>et</w:t>
      </w:r>
      <w:r w:rsidR="002E6705" w:rsidRPr="00A00EA3">
        <w:rPr>
          <w:b/>
        </w:rPr>
        <w:t xml:space="preserve"> </w:t>
      </w:r>
      <w:r w:rsidRPr="00A00EA3">
        <w:rPr>
          <w:b/>
        </w:rPr>
        <w:t>rè</w:t>
      </w:r>
      <w:r w:rsidR="002E6705" w:rsidRPr="00A00EA3">
        <w:rPr>
          <w:b/>
        </w:rPr>
        <w:t>gl</w:t>
      </w:r>
      <w:r w:rsidRPr="00A00EA3">
        <w:rPr>
          <w:b/>
        </w:rPr>
        <w:t>ements</w:t>
      </w:r>
      <w:r w:rsidR="002E6705" w:rsidRPr="00A00EA3">
        <w:rPr>
          <w:b/>
        </w:rPr>
        <w:t xml:space="preserve"> </w:t>
      </w:r>
      <w:r w:rsidRPr="00A00EA3">
        <w:rPr>
          <w:b/>
        </w:rPr>
        <w:t>c</w:t>
      </w:r>
      <w:r w:rsidR="002E6705" w:rsidRPr="00A00EA3">
        <w:rPr>
          <w:b/>
        </w:rPr>
        <w:t>it</w:t>
      </w:r>
      <w:r w:rsidRPr="00A00EA3">
        <w:rPr>
          <w:b/>
        </w:rPr>
        <w:t>és</w:t>
      </w:r>
    </w:p>
    <w:p w:rsidR="00A00EA3" w:rsidRPr="00A00EA3" w:rsidRDefault="00A00EA3" w:rsidP="00A72983">
      <w:pPr>
        <w:pStyle w:val="SCCNormalDoubleSpacing"/>
        <w:keepNext/>
        <w:rPr>
          <w:b/>
        </w:rPr>
      </w:pPr>
    </w:p>
    <w:p w:rsidR="00166647" w:rsidRPr="00A00EA3" w:rsidRDefault="00166647" w:rsidP="00A72983">
      <w:pPr>
        <w:pStyle w:val="SCCNormalDoubleSpacing"/>
        <w:keepNext/>
        <w:spacing w:line="240" w:lineRule="auto"/>
        <w:ind w:left="540" w:hanging="540"/>
      </w:pPr>
      <w:r w:rsidRPr="00A00EA3">
        <w:rPr>
          <w:i/>
        </w:rPr>
        <w:t>Charte canadienne des droits et libertés</w:t>
      </w:r>
      <w:r w:rsidR="00A72983" w:rsidRPr="00A00EA3">
        <w:t>, art. </w:t>
      </w:r>
      <w:r w:rsidRPr="00A00EA3">
        <w:t>7.</w:t>
      </w:r>
    </w:p>
    <w:p w:rsidR="00166647" w:rsidRPr="00A00EA3" w:rsidRDefault="00166647" w:rsidP="000A5321">
      <w:pPr>
        <w:pStyle w:val="SCCNormalDoubleSpacing"/>
        <w:spacing w:line="240" w:lineRule="auto"/>
        <w:ind w:left="540" w:hanging="540"/>
      </w:pPr>
    </w:p>
    <w:p w:rsidR="00166647" w:rsidRPr="00A00EA3" w:rsidRDefault="00AD2331" w:rsidP="000A5321">
      <w:pPr>
        <w:pStyle w:val="SCCNormalDoubleSpacing"/>
        <w:spacing w:line="240" w:lineRule="auto"/>
        <w:ind w:left="540" w:hanging="540"/>
      </w:pPr>
      <w:r>
        <w:rPr>
          <w:i/>
        </w:rPr>
        <w:t>Code p</w:t>
      </w:r>
      <w:r w:rsidR="00166647" w:rsidRPr="00A00EA3">
        <w:rPr>
          <w:i/>
        </w:rPr>
        <w:t>énal</w:t>
      </w:r>
      <w:r w:rsidR="00166647" w:rsidRPr="00A00EA3">
        <w:t xml:space="preserve"> (Roumanie).</w:t>
      </w:r>
    </w:p>
    <w:p w:rsidR="00166647" w:rsidRPr="00A00EA3" w:rsidRDefault="00166647" w:rsidP="000A5321">
      <w:pPr>
        <w:pStyle w:val="SCCNormalDoubleSpacing"/>
        <w:spacing w:line="240" w:lineRule="auto"/>
        <w:ind w:left="540" w:hanging="540"/>
      </w:pPr>
    </w:p>
    <w:p w:rsidR="000A5321" w:rsidRPr="00A00EA3" w:rsidRDefault="00166647" w:rsidP="000A5321">
      <w:pPr>
        <w:pStyle w:val="SCCNormalDoubleSpacing"/>
        <w:spacing w:line="240" w:lineRule="auto"/>
        <w:ind w:left="540" w:hanging="540"/>
      </w:pPr>
      <w:r w:rsidRPr="00A00EA3">
        <w:rPr>
          <w:i/>
        </w:rPr>
        <w:t>Loi sur l’extradition</w:t>
      </w:r>
      <w:r w:rsidRPr="00A00EA3">
        <w:t xml:space="preserve">, L.C. </w:t>
      </w:r>
      <w:r w:rsidR="00A72983" w:rsidRPr="00A00EA3">
        <w:t>1999, c</w:t>
      </w:r>
      <w:r w:rsidR="00AD2331">
        <w:t>h</w:t>
      </w:r>
      <w:r w:rsidR="00A72983" w:rsidRPr="00A00EA3">
        <w:t>. 18, art. </w:t>
      </w:r>
      <w:r w:rsidRPr="00A00EA3">
        <w:t>44(1)</w:t>
      </w:r>
      <w:r w:rsidRPr="00A00EA3">
        <w:rPr>
          <w:i/>
        </w:rPr>
        <w:t>a</w:t>
      </w:r>
      <w:r w:rsidRPr="00A00EA3">
        <w:t xml:space="preserve">), </w:t>
      </w:r>
      <w:r w:rsidRPr="00A00EA3">
        <w:rPr>
          <w:i/>
        </w:rPr>
        <w:t>b</w:t>
      </w:r>
      <w:r w:rsidRPr="00A00EA3">
        <w:t xml:space="preserve">). </w:t>
      </w:r>
    </w:p>
    <w:p w:rsidR="00166647" w:rsidRPr="00A00EA3" w:rsidRDefault="00166647" w:rsidP="000A5321">
      <w:pPr>
        <w:pStyle w:val="SCCNormalDoubleSpacing"/>
        <w:spacing w:line="240" w:lineRule="auto"/>
        <w:ind w:left="540" w:hanging="540"/>
      </w:pPr>
    </w:p>
    <w:p w:rsidR="000A5321" w:rsidRPr="00A00EA3" w:rsidRDefault="00166647" w:rsidP="000A5321">
      <w:pPr>
        <w:pStyle w:val="SCCNormalDoubleSpacing"/>
        <w:spacing w:line="240" w:lineRule="auto"/>
        <w:ind w:left="540" w:hanging="540"/>
      </w:pPr>
      <w:r w:rsidRPr="00A00EA3">
        <w:rPr>
          <w:i/>
        </w:rPr>
        <w:t>Loi sur l’immigration et la protection des réfugiés</w:t>
      </w:r>
      <w:r w:rsidRPr="00A00EA3">
        <w:t>, L.C. 2001, c</w:t>
      </w:r>
      <w:r w:rsidR="00AD2331">
        <w:t>h</w:t>
      </w:r>
      <w:r w:rsidRPr="00A00EA3">
        <w:t>.</w:t>
      </w:r>
      <w:r w:rsidR="00A72983" w:rsidRPr="00A00EA3">
        <w:t> </w:t>
      </w:r>
      <w:r w:rsidRPr="00A00EA3">
        <w:t xml:space="preserve">27. </w:t>
      </w:r>
    </w:p>
    <w:p w:rsidR="00A72983" w:rsidRPr="00A00EA3" w:rsidRDefault="00A72983" w:rsidP="000A5321">
      <w:pPr>
        <w:pStyle w:val="SCCNormalDoubleSpacing"/>
        <w:spacing w:line="240" w:lineRule="auto"/>
        <w:ind w:left="540" w:hanging="540"/>
      </w:pPr>
    </w:p>
    <w:p w:rsidR="000A5321" w:rsidRPr="00A00EA3" w:rsidRDefault="000A5321" w:rsidP="00A72983">
      <w:pPr>
        <w:pStyle w:val="SCCNormalDoubleSpacing"/>
        <w:ind w:left="540" w:hanging="540"/>
      </w:pPr>
    </w:p>
    <w:p w:rsidR="00166647" w:rsidRPr="00A00EA3" w:rsidRDefault="00012FC2" w:rsidP="00A72983">
      <w:pPr>
        <w:pStyle w:val="SCCNormalDoubleSpacing"/>
        <w:keepNext/>
        <w:ind w:left="547" w:hanging="547"/>
        <w:rPr>
          <w:b/>
        </w:rPr>
      </w:pPr>
      <w:r>
        <w:rPr>
          <w:b/>
        </w:rPr>
        <w:t xml:space="preserve">Documents </w:t>
      </w:r>
      <w:r w:rsidR="00166647" w:rsidRPr="00A00EA3">
        <w:rPr>
          <w:b/>
        </w:rPr>
        <w:t>internationaux</w:t>
      </w:r>
    </w:p>
    <w:p w:rsidR="000A5321" w:rsidRPr="00A00EA3" w:rsidRDefault="000A5321" w:rsidP="00A72983">
      <w:pPr>
        <w:pStyle w:val="SCCNormalDoubleSpacing"/>
        <w:keepNext/>
        <w:ind w:left="547" w:hanging="547"/>
      </w:pPr>
    </w:p>
    <w:p w:rsidR="009D74EE" w:rsidRPr="00A00EA3" w:rsidRDefault="00812B5A" w:rsidP="009D74EE">
      <w:pPr>
        <w:pStyle w:val="SCCNormalDoubleSpacing"/>
        <w:keepNext/>
        <w:spacing w:line="240" w:lineRule="auto"/>
        <w:ind w:left="547" w:hanging="547"/>
      </w:pPr>
      <w:r w:rsidRPr="00A00EA3">
        <w:rPr>
          <w:i/>
        </w:rPr>
        <w:t>Convention de sauvegarde des droits de l’homme et des libertés fondamentales</w:t>
      </w:r>
      <w:r w:rsidRPr="00A00EA3">
        <w:t>, 213 R.T.N.U. 221.</w:t>
      </w:r>
    </w:p>
    <w:p w:rsidR="009D74EE" w:rsidRPr="00A00EA3" w:rsidRDefault="009D74EE" w:rsidP="009D74EE">
      <w:pPr>
        <w:pStyle w:val="SCCNormalDoubleSpacing"/>
        <w:keepNext/>
        <w:spacing w:line="240" w:lineRule="auto"/>
        <w:ind w:left="547" w:hanging="547"/>
      </w:pPr>
    </w:p>
    <w:p w:rsidR="009D74EE" w:rsidRPr="00A00EA3" w:rsidRDefault="009D74EE" w:rsidP="009D74EE">
      <w:pPr>
        <w:pStyle w:val="SCCNormalDoubleSpacing"/>
        <w:keepNext/>
        <w:spacing w:line="240" w:lineRule="auto"/>
        <w:ind w:left="547" w:hanging="547"/>
      </w:pPr>
      <w:r w:rsidRPr="00A00EA3">
        <w:rPr>
          <w:i/>
          <w:iCs/>
        </w:rPr>
        <w:t xml:space="preserve">Convention relative au </w:t>
      </w:r>
      <w:r w:rsidR="00AD2331">
        <w:rPr>
          <w:i/>
          <w:iCs/>
        </w:rPr>
        <w:t>S</w:t>
      </w:r>
      <w:r w:rsidRPr="00A00EA3">
        <w:rPr>
          <w:i/>
          <w:iCs/>
        </w:rPr>
        <w:t xml:space="preserve">tatut de </w:t>
      </w:r>
      <w:r w:rsidR="00AD2331">
        <w:rPr>
          <w:i/>
          <w:iCs/>
        </w:rPr>
        <w:t>R</w:t>
      </w:r>
      <w:r w:rsidRPr="00A00EA3">
        <w:rPr>
          <w:i/>
          <w:iCs/>
        </w:rPr>
        <w:t>éfugiés</w:t>
      </w:r>
      <w:r w:rsidRPr="00A00EA3">
        <w:t xml:space="preserve">, R.T. Can. 1969 </w:t>
      </w:r>
      <w:proofErr w:type="gramStart"/>
      <w:r w:rsidRPr="00A00EA3">
        <w:t>n</w:t>
      </w:r>
      <w:r w:rsidRPr="00A00EA3">
        <w:rPr>
          <w:vertAlign w:val="superscript"/>
        </w:rPr>
        <w:t>o</w:t>
      </w:r>
      <w:proofErr w:type="gramEnd"/>
      <w:r w:rsidR="00AD2331">
        <w:t> 6, art. 1F</w:t>
      </w:r>
      <w:r w:rsidRPr="00A00EA3">
        <w:t xml:space="preserve">b). </w:t>
      </w:r>
    </w:p>
    <w:p w:rsidR="00A00EA3" w:rsidRPr="00A00EA3" w:rsidRDefault="00A00EA3" w:rsidP="009D74EE">
      <w:pPr>
        <w:pStyle w:val="SCCNormalDoubleSpacing"/>
        <w:keepNext/>
        <w:spacing w:line="240" w:lineRule="auto"/>
        <w:ind w:left="547" w:hanging="547"/>
      </w:pPr>
    </w:p>
    <w:p w:rsidR="00DB443C" w:rsidRPr="00A00EA3" w:rsidRDefault="00DB443C" w:rsidP="00DB443C">
      <w:pPr>
        <w:pStyle w:val="SCCNormalDoubleSpacing"/>
        <w:ind w:left="540" w:hanging="540"/>
      </w:pPr>
    </w:p>
    <w:p w:rsidR="00D5435D" w:rsidRDefault="00812B5A" w:rsidP="00D74F2E">
      <w:pPr>
        <w:pStyle w:val="SCCNormalDoubleSpacing"/>
      </w:pPr>
      <w:r w:rsidRPr="00A00EA3">
        <w:tab/>
      </w:r>
      <w:r w:rsidR="009B57B3" w:rsidRPr="00A00EA3">
        <w:t>P</w:t>
      </w:r>
      <w:r w:rsidR="0043088E" w:rsidRPr="00A00EA3">
        <w:t>OURVOI contre un arrêt de la</w:t>
      </w:r>
      <w:r w:rsidR="009B57B3" w:rsidRPr="00A00EA3">
        <w:t xml:space="preserve"> Cour d’appel du Québec </w:t>
      </w:r>
      <w:r w:rsidRPr="00A00EA3">
        <w:t xml:space="preserve">(les juges Beauregard, </w:t>
      </w:r>
      <w:proofErr w:type="spellStart"/>
      <w:r w:rsidRPr="00A00EA3">
        <w:t>Gendreau</w:t>
      </w:r>
      <w:proofErr w:type="spellEnd"/>
      <w:r w:rsidRPr="00A00EA3">
        <w:t xml:space="preserve"> et Côté)</w:t>
      </w:r>
      <w:r w:rsidR="00AD2331">
        <w:t>,</w:t>
      </w:r>
      <w:r w:rsidRPr="00A00EA3">
        <w:t xml:space="preserve"> 2009 QCCA 1288, [2009] J.Q. n</w:t>
      </w:r>
      <w:r w:rsidRPr="00A00EA3">
        <w:rPr>
          <w:vertAlign w:val="superscript"/>
        </w:rPr>
        <w:t>o</w:t>
      </w:r>
      <w:r w:rsidR="00A72983" w:rsidRPr="00A00EA3">
        <w:t> </w:t>
      </w:r>
      <w:r w:rsidRPr="00A00EA3">
        <w:t>6686 (QL)</w:t>
      </w:r>
      <w:r w:rsidR="00A8604C">
        <w:t>,</w:t>
      </w:r>
      <w:r w:rsidRPr="00A00EA3">
        <w:t xml:space="preserve"> 2009 </w:t>
      </w:r>
      <w:proofErr w:type="spellStart"/>
      <w:r w:rsidRPr="00A00EA3">
        <w:t>CarswellQue</w:t>
      </w:r>
      <w:proofErr w:type="spellEnd"/>
      <w:r w:rsidRPr="00A00EA3">
        <w:t xml:space="preserve"> 6650, qui a rejeté la demande de révision judiciaire </w:t>
      </w:r>
      <w:r w:rsidR="005E0B81" w:rsidRPr="00A00EA3">
        <w:t xml:space="preserve">à l’encontre de la </w:t>
      </w:r>
      <w:r w:rsidR="005E0B81" w:rsidRPr="00A00EA3">
        <w:lastRenderedPageBreak/>
        <w:t>décision du ministre de la Justice du Canada ordonnant la remise de l’appelant.</w:t>
      </w:r>
      <w:r w:rsidRPr="00A00EA3">
        <w:t xml:space="preserve"> Pourvoi </w:t>
      </w:r>
      <w:r w:rsidR="007E7BDE" w:rsidRPr="00A00EA3">
        <w:t>accueilli</w:t>
      </w:r>
      <w:r w:rsidRPr="00A00EA3">
        <w:t xml:space="preserve">. </w:t>
      </w:r>
    </w:p>
    <w:p w:rsidR="00A8604C" w:rsidRPr="00A00EA3" w:rsidRDefault="00A8604C" w:rsidP="00D74F2E">
      <w:pPr>
        <w:pStyle w:val="SCCNormalDoubleSpacing"/>
      </w:pPr>
    </w:p>
    <w:p w:rsidR="00966913" w:rsidRPr="00A00EA3" w:rsidRDefault="00966913" w:rsidP="00D74F2E">
      <w:pPr>
        <w:pStyle w:val="SCCNormalDoubleSpacing"/>
      </w:pPr>
    </w:p>
    <w:p w:rsidR="00684E3A" w:rsidRPr="00A00EA3" w:rsidRDefault="00166647">
      <w:pPr>
        <w:pStyle w:val="SCCNormalDoubleSpacing"/>
      </w:pPr>
      <w:r w:rsidRPr="00A00EA3">
        <w:rPr>
          <w:rStyle w:val="SCCCounselNameChar"/>
        </w:rPr>
        <w:tab/>
        <w:t xml:space="preserve">Stéphane </w:t>
      </w:r>
      <w:proofErr w:type="spellStart"/>
      <w:r w:rsidRPr="00A00EA3">
        <w:rPr>
          <w:rStyle w:val="SCCCounselNameChar"/>
        </w:rPr>
        <w:t>Handfield</w:t>
      </w:r>
      <w:proofErr w:type="spellEnd"/>
      <w:r w:rsidRPr="00A00EA3">
        <w:rPr>
          <w:rStyle w:val="SCCCounselSeparatorChar"/>
        </w:rPr>
        <w:t xml:space="preserve"> et </w:t>
      </w:r>
      <w:proofErr w:type="spellStart"/>
      <w:r w:rsidRPr="00A00EA3">
        <w:rPr>
          <w:rStyle w:val="SCCCounselNameChar"/>
        </w:rPr>
        <w:t>Dimitrios</w:t>
      </w:r>
      <w:proofErr w:type="spellEnd"/>
      <w:r w:rsidRPr="00A00EA3">
        <w:rPr>
          <w:rStyle w:val="SCCCounselNameChar"/>
        </w:rPr>
        <w:t xml:space="preserve"> </w:t>
      </w:r>
      <w:proofErr w:type="spellStart"/>
      <w:r w:rsidRPr="00A00EA3">
        <w:rPr>
          <w:rStyle w:val="SCCCounselNameChar"/>
        </w:rPr>
        <w:t>Strapatsas</w:t>
      </w:r>
      <w:proofErr w:type="spellEnd"/>
      <w:r w:rsidRPr="00A00EA3">
        <w:rPr>
          <w:rStyle w:val="SCCCounselPartyRoleChar"/>
        </w:rPr>
        <w:t>, pour l</w:t>
      </w:r>
      <w:r w:rsidR="00A8604C">
        <w:rPr>
          <w:rStyle w:val="SCCCounselPartyRoleChar"/>
        </w:rPr>
        <w:t>’</w:t>
      </w:r>
      <w:r w:rsidRPr="00A00EA3">
        <w:rPr>
          <w:rStyle w:val="SCCCounselPartyRoleChar"/>
        </w:rPr>
        <w:t>appelant.</w:t>
      </w:r>
    </w:p>
    <w:p w:rsidR="00684E3A" w:rsidRPr="00A00EA3" w:rsidRDefault="00684E3A">
      <w:pPr>
        <w:pStyle w:val="SCCNormalDoubleSpacing"/>
      </w:pPr>
    </w:p>
    <w:p w:rsidR="00684E3A" w:rsidRDefault="00166647">
      <w:pPr>
        <w:pStyle w:val="SCCNormalDoubleSpacing"/>
        <w:rPr>
          <w:rStyle w:val="SCCCounselPartyRoleChar"/>
        </w:rPr>
      </w:pPr>
      <w:r w:rsidRPr="00A00EA3">
        <w:rPr>
          <w:rStyle w:val="SCCCounselNameChar"/>
        </w:rPr>
        <w:tab/>
        <w:t xml:space="preserve">Ginette </w:t>
      </w:r>
      <w:proofErr w:type="spellStart"/>
      <w:r w:rsidRPr="00A00EA3">
        <w:rPr>
          <w:rStyle w:val="SCCCounselNameChar"/>
        </w:rPr>
        <w:t>Gobeil</w:t>
      </w:r>
      <w:proofErr w:type="spellEnd"/>
      <w:r w:rsidRPr="00A00EA3">
        <w:rPr>
          <w:rStyle w:val="SCCCounselSeparatorChar"/>
        </w:rPr>
        <w:t xml:space="preserve"> et </w:t>
      </w:r>
      <w:r w:rsidRPr="00A00EA3">
        <w:rPr>
          <w:rStyle w:val="SCCCounselNameChar"/>
        </w:rPr>
        <w:t xml:space="preserve">Janet </w:t>
      </w:r>
      <w:proofErr w:type="spellStart"/>
      <w:r w:rsidRPr="00A00EA3">
        <w:rPr>
          <w:rStyle w:val="SCCCounselNameChar"/>
        </w:rPr>
        <w:t>Henchey</w:t>
      </w:r>
      <w:proofErr w:type="spellEnd"/>
      <w:r w:rsidRPr="00A00EA3">
        <w:rPr>
          <w:rStyle w:val="SCCCounselPartyRoleChar"/>
        </w:rPr>
        <w:t>, pour l</w:t>
      </w:r>
      <w:r w:rsidR="00A8604C">
        <w:rPr>
          <w:rStyle w:val="SCCCounselPartyRoleChar"/>
        </w:rPr>
        <w:t>’</w:t>
      </w:r>
      <w:r w:rsidRPr="00A00EA3">
        <w:rPr>
          <w:rStyle w:val="SCCCounselPartyRoleChar"/>
        </w:rPr>
        <w:t>intimé.</w:t>
      </w:r>
    </w:p>
    <w:p w:rsidR="00AD2331" w:rsidRPr="00A00EA3" w:rsidRDefault="00AD2331">
      <w:pPr>
        <w:pStyle w:val="SCCNormalDoubleSpacing"/>
      </w:pPr>
    </w:p>
    <w:p w:rsidR="00AD2331" w:rsidRPr="00A00EA3" w:rsidRDefault="00AD2331" w:rsidP="00AD2331">
      <w:pPr>
        <w:pStyle w:val="SCCNormalDoubleSpacing"/>
      </w:pPr>
      <w:r w:rsidRPr="00A00EA3">
        <w:rPr>
          <w:rStyle w:val="SCCCounselNameChar"/>
        </w:rPr>
        <w:tab/>
        <w:t xml:space="preserve">Lorne </w:t>
      </w:r>
      <w:proofErr w:type="spellStart"/>
      <w:r w:rsidRPr="00A00EA3">
        <w:rPr>
          <w:rStyle w:val="SCCCounselNameChar"/>
        </w:rPr>
        <w:t>Waldman</w:t>
      </w:r>
      <w:proofErr w:type="spellEnd"/>
      <w:r w:rsidRPr="00A00EA3">
        <w:rPr>
          <w:rStyle w:val="SCCCounselSeparatorChar"/>
        </w:rPr>
        <w:t xml:space="preserve"> et </w:t>
      </w:r>
      <w:r w:rsidRPr="00A00EA3">
        <w:rPr>
          <w:rStyle w:val="SCCCounselNameChar"/>
        </w:rPr>
        <w:t xml:space="preserve">Jacqueline </w:t>
      </w:r>
      <w:proofErr w:type="spellStart"/>
      <w:r w:rsidRPr="00A00EA3">
        <w:rPr>
          <w:rStyle w:val="SCCCounselNameChar"/>
        </w:rPr>
        <w:t>Swaisland</w:t>
      </w:r>
      <w:proofErr w:type="spellEnd"/>
      <w:r w:rsidRPr="00A00EA3">
        <w:rPr>
          <w:rStyle w:val="SCCCounselPartyRoleChar"/>
        </w:rPr>
        <w:t>, pour l</w:t>
      </w:r>
      <w:r>
        <w:rPr>
          <w:rStyle w:val="SCCCounselPartyRoleChar"/>
        </w:rPr>
        <w:t>’</w:t>
      </w:r>
      <w:r w:rsidRPr="00A00EA3">
        <w:rPr>
          <w:rStyle w:val="SCCCounselPartyRoleChar"/>
        </w:rPr>
        <w:t xml:space="preserve">intervenante </w:t>
      </w:r>
      <w:r>
        <w:rPr>
          <w:rStyle w:val="SCCCounselPartyRoleChar"/>
        </w:rPr>
        <w:t>l’</w:t>
      </w:r>
      <w:r w:rsidRPr="00A00EA3">
        <w:rPr>
          <w:rStyle w:val="SCCCounselPartyRoleChar"/>
        </w:rPr>
        <w:t>Amn</w:t>
      </w:r>
      <w:r>
        <w:rPr>
          <w:rStyle w:val="SCCCounselPartyRoleChar"/>
        </w:rPr>
        <w:t>i</w:t>
      </w:r>
      <w:r w:rsidRPr="00A00EA3">
        <w:rPr>
          <w:rStyle w:val="SCCCounselPartyRoleChar"/>
        </w:rPr>
        <w:t>st</w:t>
      </w:r>
      <w:r>
        <w:rPr>
          <w:rStyle w:val="SCCCounselPartyRoleChar"/>
        </w:rPr>
        <w:t>ie i</w:t>
      </w:r>
      <w:r w:rsidRPr="00A00EA3">
        <w:rPr>
          <w:rStyle w:val="SCCCounselPartyRoleChar"/>
        </w:rPr>
        <w:t>nternational</w:t>
      </w:r>
      <w:r>
        <w:rPr>
          <w:rStyle w:val="SCCCounselPartyRoleChar"/>
        </w:rPr>
        <w:t xml:space="preserve">e — </w:t>
      </w:r>
      <w:r w:rsidRPr="00A00EA3">
        <w:rPr>
          <w:rStyle w:val="SCCCounselPartyRoleChar"/>
        </w:rPr>
        <w:t xml:space="preserve">Canada </w:t>
      </w:r>
      <w:r>
        <w:rPr>
          <w:rStyle w:val="SCCCounselPartyRoleChar"/>
        </w:rPr>
        <w:t>francophone</w:t>
      </w:r>
      <w:r w:rsidRPr="00A00EA3">
        <w:rPr>
          <w:rStyle w:val="SCCCounselPartyRoleChar"/>
        </w:rPr>
        <w:t>.</w:t>
      </w:r>
    </w:p>
    <w:p w:rsidR="00684E3A" w:rsidRPr="00A00EA3" w:rsidRDefault="00684E3A">
      <w:pPr>
        <w:pStyle w:val="SCCNormalDoubleSpacing"/>
      </w:pPr>
    </w:p>
    <w:p w:rsidR="00684E3A" w:rsidRPr="00A00EA3" w:rsidRDefault="00166647">
      <w:pPr>
        <w:pStyle w:val="SCCNormalDoubleSpacing"/>
      </w:pPr>
      <w:r w:rsidRPr="00A00EA3">
        <w:rPr>
          <w:rStyle w:val="SCCCounselNameChar"/>
        </w:rPr>
        <w:tab/>
        <w:t>Johanne Doyon</w:t>
      </w:r>
      <w:r w:rsidRPr="00A00EA3">
        <w:rPr>
          <w:rStyle w:val="SCCCounselSeparatorChar"/>
        </w:rPr>
        <w:t xml:space="preserve">, </w:t>
      </w:r>
      <w:proofErr w:type="spellStart"/>
      <w:r w:rsidRPr="00A00EA3">
        <w:rPr>
          <w:rStyle w:val="SCCCounselNameChar"/>
        </w:rPr>
        <w:t>Elaine</w:t>
      </w:r>
      <w:proofErr w:type="spellEnd"/>
      <w:r w:rsidRPr="00A00EA3">
        <w:rPr>
          <w:rStyle w:val="SCCCounselNameChar"/>
        </w:rPr>
        <w:t xml:space="preserve"> Doyon</w:t>
      </w:r>
      <w:r w:rsidR="00A8604C">
        <w:rPr>
          <w:rStyle w:val="SCCCounselNameChar"/>
        </w:rPr>
        <w:t xml:space="preserve"> </w:t>
      </w:r>
      <w:r w:rsidR="00A8604C" w:rsidRPr="00AD2331">
        <w:rPr>
          <w:rStyle w:val="SCCCounselNameChar"/>
          <w:i w:val="0"/>
        </w:rPr>
        <w:t>et</w:t>
      </w:r>
      <w:r w:rsidR="00A8604C">
        <w:rPr>
          <w:rStyle w:val="SCCCounselNameChar"/>
        </w:rPr>
        <w:t xml:space="preserve"> </w:t>
      </w:r>
      <w:r w:rsidR="00A8604C" w:rsidRPr="00A00EA3">
        <w:rPr>
          <w:rStyle w:val="SCCCounselNameChar"/>
        </w:rPr>
        <w:t xml:space="preserve">Dan </w:t>
      </w:r>
      <w:proofErr w:type="spellStart"/>
      <w:r w:rsidR="00A8604C" w:rsidRPr="00A00EA3">
        <w:rPr>
          <w:rStyle w:val="SCCCounselNameChar"/>
        </w:rPr>
        <w:t>Bohbot</w:t>
      </w:r>
      <w:proofErr w:type="spellEnd"/>
      <w:r w:rsidR="005E0B81" w:rsidRPr="00A00EA3">
        <w:rPr>
          <w:rStyle w:val="SCCCounselPartyRoleChar"/>
        </w:rPr>
        <w:t>, pour l’</w:t>
      </w:r>
      <w:r w:rsidRPr="00A00EA3">
        <w:rPr>
          <w:rStyle w:val="SCCCounselPartyRoleChar"/>
        </w:rPr>
        <w:t xml:space="preserve">intervenante </w:t>
      </w:r>
      <w:r w:rsidR="005E0B81" w:rsidRPr="00A00EA3">
        <w:rPr>
          <w:rStyle w:val="SCCCounselPartyRoleChar"/>
        </w:rPr>
        <w:t>l’</w:t>
      </w:r>
      <w:r w:rsidRPr="00A00EA3">
        <w:rPr>
          <w:rStyle w:val="SCCCounselPartyRoleChar"/>
        </w:rPr>
        <w:t>Association québécoise des av</w:t>
      </w:r>
      <w:r w:rsidR="00AD2331">
        <w:rPr>
          <w:rStyle w:val="SCCCounselPartyRoleChar"/>
        </w:rPr>
        <w:t>ocats et avocates en droit de l’</w:t>
      </w:r>
      <w:r w:rsidRPr="00A00EA3">
        <w:rPr>
          <w:rStyle w:val="SCCCounselPartyRoleChar"/>
        </w:rPr>
        <w:t>immigration.</w:t>
      </w:r>
    </w:p>
    <w:p w:rsidR="00684E3A" w:rsidRPr="00A00EA3" w:rsidRDefault="00684E3A">
      <w:pPr>
        <w:pStyle w:val="SCCNormalDoubleSpacing"/>
      </w:pPr>
    </w:p>
    <w:p w:rsidR="00684E3A" w:rsidRPr="00A00EA3" w:rsidRDefault="00166647">
      <w:pPr>
        <w:pStyle w:val="SCCNormalDoubleSpacing"/>
      </w:pPr>
      <w:r w:rsidRPr="00A00EA3">
        <w:rPr>
          <w:rStyle w:val="SCCCounselNameChar"/>
        </w:rPr>
        <w:tab/>
      </w:r>
      <w:proofErr w:type="spellStart"/>
      <w:r w:rsidRPr="00A00EA3">
        <w:rPr>
          <w:rStyle w:val="SCCCounselNameChar"/>
        </w:rPr>
        <w:t>Sukanya</w:t>
      </w:r>
      <w:proofErr w:type="spellEnd"/>
      <w:r w:rsidRPr="00A00EA3">
        <w:rPr>
          <w:rStyle w:val="SCCCounselNameChar"/>
        </w:rPr>
        <w:t xml:space="preserve"> </w:t>
      </w:r>
      <w:proofErr w:type="spellStart"/>
      <w:r w:rsidRPr="00A00EA3">
        <w:rPr>
          <w:rStyle w:val="SCCCounselNameChar"/>
        </w:rPr>
        <w:t>Pillay</w:t>
      </w:r>
      <w:proofErr w:type="spellEnd"/>
      <w:r w:rsidRPr="00A00EA3">
        <w:rPr>
          <w:rStyle w:val="SCCCounselPartyRoleChar"/>
        </w:rPr>
        <w:t>, pour l</w:t>
      </w:r>
      <w:r w:rsidR="00A8604C">
        <w:rPr>
          <w:rStyle w:val="SCCCounselPartyRoleChar"/>
        </w:rPr>
        <w:t>’</w:t>
      </w:r>
      <w:r w:rsidRPr="00A00EA3">
        <w:rPr>
          <w:rStyle w:val="SCCCounselPartyRoleChar"/>
        </w:rPr>
        <w:t xml:space="preserve">intervenante </w:t>
      </w:r>
      <w:r w:rsidR="005E0B81" w:rsidRPr="00A00EA3">
        <w:rPr>
          <w:rStyle w:val="SCCCounselPartyRoleChar"/>
        </w:rPr>
        <w:t>l’</w:t>
      </w:r>
      <w:r w:rsidRPr="00A00EA3">
        <w:rPr>
          <w:rStyle w:val="SCCCounselPartyRoleChar"/>
        </w:rPr>
        <w:t>Association canadienne des libertés civiles.</w:t>
      </w:r>
    </w:p>
    <w:p w:rsidR="00AD2331" w:rsidRDefault="00AD2331" w:rsidP="004A46AF">
      <w:pPr>
        <w:tabs>
          <w:tab w:val="left" w:pos="-1440"/>
          <w:tab w:val="left" w:pos="-720"/>
          <w:tab w:val="left" w:pos="1170"/>
        </w:tabs>
        <w:spacing w:after="480" w:line="480" w:lineRule="auto"/>
      </w:pPr>
    </w:p>
    <w:p w:rsidR="00AD2331" w:rsidRDefault="00AD2331" w:rsidP="004A46AF">
      <w:pPr>
        <w:tabs>
          <w:tab w:val="left" w:pos="-1440"/>
          <w:tab w:val="left" w:pos="-720"/>
          <w:tab w:val="left" w:pos="1170"/>
        </w:tabs>
        <w:spacing w:after="480" w:line="480" w:lineRule="auto"/>
      </w:pPr>
      <w:r>
        <w:tab/>
        <w:t>Version fran</w:t>
      </w:r>
      <w:r w:rsidR="009B4306">
        <w:t>çaise du jugement de la Cour rendu par</w:t>
      </w:r>
    </w:p>
    <w:p w:rsidR="004A46AF" w:rsidRPr="00E64B32" w:rsidRDefault="004A46AF" w:rsidP="004A46AF">
      <w:pPr>
        <w:tabs>
          <w:tab w:val="left" w:pos="-1440"/>
          <w:tab w:val="left" w:pos="-720"/>
          <w:tab w:val="left" w:pos="1170"/>
        </w:tabs>
        <w:spacing w:after="480" w:line="480" w:lineRule="auto"/>
      </w:pPr>
      <w:r w:rsidRPr="00E64B32">
        <w:tab/>
      </w:r>
      <w:r w:rsidR="009B4306">
        <w:rPr>
          <w:smallCaps/>
        </w:rPr>
        <w:t>Le juge C</w:t>
      </w:r>
      <w:r w:rsidRPr="00E64B32">
        <w:rPr>
          <w:smallCaps/>
        </w:rPr>
        <w:t xml:space="preserve">romwell </w:t>
      </w:r>
      <w:r w:rsidRPr="00E64B32">
        <w:t xml:space="preserve">— </w:t>
      </w:r>
    </w:p>
    <w:p w:rsidR="004A46AF" w:rsidRPr="00E64B32" w:rsidRDefault="004A46AF" w:rsidP="004A46AF">
      <w:pPr>
        <w:pStyle w:val="ListParagraph"/>
        <w:keepNext/>
        <w:tabs>
          <w:tab w:val="left" w:pos="1152"/>
        </w:tabs>
        <w:spacing w:after="480" w:line="480" w:lineRule="auto"/>
        <w:ind w:left="0"/>
        <w:jc w:val="both"/>
      </w:pPr>
      <w:r w:rsidRPr="00E64B32">
        <w:lastRenderedPageBreak/>
        <w:t>I.  </w:t>
      </w:r>
      <w:r w:rsidRPr="00E64B32">
        <w:rPr>
          <w:u w:val="single"/>
        </w:rPr>
        <w:t>Introduction</w:t>
      </w:r>
    </w:p>
    <w:p w:rsidR="004A46AF" w:rsidRPr="00E64B32" w:rsidRDefault="004A46AF" w:rsidP="004A46AF">
      <w:pPr>
        <w:pStyle w:val="ListParagraph"/>
        <w:keepNext/>
        <w:numPr>
          <w:ilvl w:val="0"/>
          <w:numId w:val="1"/>
        </w:numPr>
        <w:tabs>
          <w:tab w:val="left" w:pos="1166"/>
        </w:tabs>
        <w:spacing w:after="480" w:line="480" w:lineRule="auto"/>
        <w:ind w:left="0" w:firstLine="0"/>
        <w:jc w:val="both"/>
      </w:pPr>
      <w:r w:rsidRPr="00E64B32">
        <w:t xml:space="preserve">Le présent pourvoi, comme le pourvoi connexe </w:t>
      </w:r>
      <w:proofErr w:type="spellStart"/>
      <w:r w:rsidRPr="00E64B32">
        <w:rPr>
          <w:i/>
        </w:rPr>
        <w:t>Németh</w:t>
      </w:r>
      <w:proofErr w:type="spellEnd"/>
      <w:r w:rsidRPr="00E64B32">
        <w:rPr>
          <w:i/>
        </w:rPr>
        <w:t xml:space="preserve"> c. Can</w:t>
      </w:r>
      <w:r w:rsidR="009B4306">
        <w:rPr>
          <w:i/>
        </w:rPr>
        <w:t>ada (</w:t>
      </w:r>
      <w:r w:rsidRPr="00E64B32">
        <w:rPr>
          <w:i/>
        </w:rPr>
        <w:t>Justice)</w:t>
      </w:r>
      <w:r w:rsidRPr="00E64B32">
        <w:t xml:space="preserve">, 2010 CSC 56, </w:t>
      </w:r>
      <w:r w:rsidR="009B4306">
        <w:t xml:space="preserve">[2010] 3 R.C.S. </w:t>
      </w:r>
      <w:r w:rsidR="002C7519">
        <w:t>281</w:t>
      </w:r>
      <w:r w:rsidR="009B4306">
        <w:t xml:space="preserve">, </w:t>
      </w:r>
      <w:r w:rsidRPr="00E64B32">
        <w:t xml:space="preserve">tranché en même temps, soulève des questions découlant de l’interaction entre l’extradition et la protection des réfugiés.  En application des principes formulés dans </w:t>
      </w:r>
      <w:proofErr w:type="spellStart"/>
      <w:r w:rsidRPr="00E64B32">
        <w:rPr>
          <w:i/>
        </w:rPr>
        <w:t>Németh</w:t>
      </w:r>
      <w:proofErr w:type="spellEnd"/>
      <w:r w:rsidRPr="00E64B32">
        <w:t>, je suis d’avis d’accueillir le pourvoi et de renvoyer l’affaire au ministre de la Justice pour qu’il réexamine sa décision d’extrader l’appelant.</w:t>
      </w:r>
    </w:p>
    <w:p w:rsidR="004A46AF" w:rsidRPr="00E64B32" w:rsidRDefault="004A46AF" w:rsidP="004A46AF">
      <w:pPr>
        <w:pStyle w:val="ListParagraph"/>
        <w:keepNext/>
        <w:tabs>
          <w:tab w:val="left" w:pos="1152"/>
        </w:tabs>
        <w:spacing w:after="480" w:line="480" w:lineRule="auto"/>
        <w:ind w:left="0"/>
        <w:jc w:val="both"/>
      </w:pPr>
      <w:r w:rsidRPr="00E64B32">
        <w:t>II.  </w:t>
      </w:r>
      <w:r w:rsidRPr="00E64B32">
        <w:rPr>
          <w:u w:val="single"/>
        </w:rPr>
        <w:t>Faits et historique judiciaire</w:t>
      </w:r>
    </w:p>
    <w:p w:rsidR="004A46AF" w:rsidRPr="00E64B32" w:rsidRDefault="004A46AF" w:rsidP="004A46AF">
      <w:pPr>
        <w:pStyle w:val="ListParagraph"/>
        <w:keepNext/>
        <w:numPr>
          <w:ilvl w:val="0"/>
          <w:numId w:val="1"/>
        </w:numPr>
        <w:tabs>
          <w:tab w:val="left" w:pos="1166"/>
        </w:tabs>
        <w:spacing w:after="480" w:line="480" w:lineRule="auto"/>
        <w:ind w:left="0" w:firstLine="0"/>
        <w:jc w:val="both"/>
      </w:pPr>
      <w:r w:rsidRPr="00E64B32">
        <w:t>L’appelant est entré au Canada en 2004 et y a revendiqué le statut de réfugié, alléguant qu</w:t>
      </w:r>
      <w:r w:rsidR="009B4306">
        <w:t>’</w:t>
      </w:r>
      <w:r w:rsidRPr="00E64B32">
        <w:t>il avait été persécuté en Roumanie en raison de son origine ethnique et de ses activités au sein d</w:t>
      </w:r>
      <w:r w:rsidR="009B4306">
        <w:t>’</w:t>
      </w:r>
      <w:r w:rsidRPr="00E64B32">
        <w:t xml:space="preserve">une association de défense des </w:t>
      </w:r>
      <w:proofErr w:type="spellStart"/>
      <w:r w:rsidRPr="00E64B32">
        <w:t>Roms</w:t>
      </w:r>
      <w:proofErr w:type="spellEnd"/>
      <w:r w:rsidRPr="00E64B32">
        <w:t>.  La Commission de l’immigration et du statut de réfugié (« CISR ») a accueilli la demande d</w:t>
      </w:r>
      <w:r w:rsidR="009B4306">
        <w:t>’</w:t>
      </w:r>
      <w:r w:rsidRPr="00E64B32">
        <w:t>asile de l’appelant.</w:t>
      </w:r>
    </w:p>
    <w:p w:rsidR="004A46AF" w:rsidRPr="00E64B32" w:rsidRDefault="004A46AF" w:rsidP="004A46AF">
      <w:pPr>
        <w:pStyle w:val="ListParagraph"/>
        <w:numPr>
          <w:ilvl w:val="0"/>
          <w:numId w:val="1"/>
        </w:numPr>
        <w:tabs>
          <w:tab w:val="left" w:pos="1170"/>
        </w:tabs>
        <w:spacing w:after="480" w:line="480" w:lineRule="auto"/>
        <w:ind w:left="0" w:firstLine="0"/>
        <w:jc w:val="both"/>
      </w:pPr>
      <w:r w:rsidRPr="00E64B32">
        <w:t>Par la suite, les autorités roumaines ont réclamé son extradition pour qu</w:t>
      </w:r>
      <w:r w:rsidR="009B4306">
        <w:t>’</w:t>
      </w:r>
      <w:r w:rsidRPr="00E64B32">
        <w:t xml:space="preserve">il purge une peine d’emprisonnement relativement à une condamnation pour fabrication de faux visas.  L’appelant aurait été reconnu coupable, en Roumanie, d’avoir participé à la fabrication de faux visas Schengen pour deux personnes, pour une valeur de </w:t>
      </w:r>
      <w:r w:rsidR="009B4306">
        <w:t>1 800 $</w:t>
      </w:r>
      <w:r w:rsidRPr="00E64B32">
        <w:t xml:space="preserve">US.  Dans sa revendication du statut de réfugié, l’appelant n’a pas révélé qu’il était recherché par la police roumaine ou qu’il avait été déclaré coupable </w:t>
      </w:r>
      <w:r w:rsidRPr="00E64B32">
        <w:lastRenderedPageBreak/>
        <w:t>de fabrication de faux visas.  À l’époque, M. </w:t>
      </w:r>
      <w:proofErr w:type="spellStart"/>
      <w:r w:rsidRPr="00E64B32">
        <w:t>Gavrila</w:t>
      </w:r>
      <w:proofErr w:type="spellEnd"/>
      <w:r w:rsidRPr="00E64B32">
        <w:t xml:space="preserve"> ne s</w:t>
      </w:r>
      <w:r w:rsidR="009B4306">
        <w:t>’</w:t>
      </w:r>
      <w:r w:rsidRPr="00E64B32">
        <w:t>était p</w:t>
      </w:r>
      <w:r w:rsidR="009B4306">
        <w:t>as présenté à son procès ni à l’</w:t>
      </w:r>
      <w:r w:rsidRPr="00E64B32">
        <w:t>audition de son appel, même s</w:t>
      </w:r>
      <w:r w:rsidR="009B4306">
        <w:t>’</w:t>
      </w:r>
      <w:r w:rsidRPr="00E64B32">
        <w:t xml:space="preserve">il résidait encore en Roumanie.  Il a donc été condamné </w:t>
      </w:r>
      <w:r w:rsidRPr="00E64B32">
        <w:rPr>
          <w:i/>
        </w:rPr>
        <w:t>in absentia</w:t>
      </w:r>
      <w:r w:rsidRPr="00E64B32">
        <w:t>.  Il a néanmoins été représenté par avocat à toutes les étapes des procédures, tant en première instance qu’en appel.  Il a quitté son pays le 18 décembre 2003, soit une semaine après le rejet de son appel.</w:t>
      </w:r>
    </w:p>
    <w:p w:rsidR="004A46AF" w:rsidRPr="00E64B32" w:rsidRDefault="004A46AF" w:rsidP="004A46AF">
      <w:pPr>
        <w:pStyle w:val="ListParagraph"/>
        <w:numPr>
          <w:ilvl w:val="0"/>
          <w:numId w:val="1"/>
        </w:numPr>
        <w:tabs>
          <w:tab w:val="left" w:pos="1170"/>
        </w:tabs>
        <w:spacing w:after="480" w:line="480" w:lineRule="auto"/>
        <w:ind w:left="0" w:firstLine="0"/>
        <w:jc w:val="both"/>
      </w:pPr>
      <w:r w:rsidRPr="00E64B32">
        <w:t xml:space="preserve">En mai 2005, l’épouse de l’appelant est entrée au Canada sans leurs enfants.  Les deux fils du couple ont été laissés à la garde de leurs </w:t>
      </w:r>
      <w:proofErr w:type="spellStart"/>
      <w:r w:rsidRPr="00E64B32">
        <w:t>grands</w:t>
      </w:r>
      <w:r w:rsidRPr="00E64B32">
        <w:noBreakHyphen/>
        <w:t>parents</w:t>
      </w:r>
      <w:proofErr w:type="spellEnd"/>
      <w:r w:rsidRPr="00E64B32">
        <w:t xml:space="preserve"> jusqu’en juillet 2008, date où ils ont rejoint leurs parents ici.  M</w:t>
      </w:r>
      <w:r w:rsidRPr="00CC42EA">
        <w:rPr>
          <w:vertAlign w:val="superscript"/>
        </w:rPr>
        <w:t>me</w:t>
      </w:r>
      <w:r w:rsidRPr="00E64B32">
        <w:t xml:space="preserve"> </w:t>
      </w:r>
      <w:proofErr w:type="spellStart"/>
      <w:r w:rsidRPr="00E64B32">
        <w:t>Gavrila</w:t>
      </w:r>
      <w:proofErr w:type="spellEnd"/>
      <w:r w:rsidRPr="00E64B32">
        <w:t xml:space="preserve"> est maintenant résidente permanente au Canada depuis décembre 2007.  Le 4 mai 2006, elle a donné naissance, au Québec, à un troisième enfant. </w:t>
      </w:r>
    </w:p>
    <w:p w:rsidR="004A46AF" w:rsidRPr="00E64B32" w:rsidRDefault="004A46AF" w:rsidP="004A46AF">
      <w:pPr>
        <w:pStyle w:val="ListParagraph"/>
        <w:numPr>
          <w:ilvl w:val="0"/>
          <w:numId w:val="1"/>
        </w:numPr>
        <w:tabs>
          <w:tab w:val="left" w:pos="1170"/>
        </w:tabs>
        <w:spacing w:after="480" w:line="480" w:lineRule="auto"/>
        <w:ind w:left="0" w:firstLine="0"/>
        <w:jc w:val="both"/>
      </w:pPr>
      <w:r w:rsidRPr="00E64B32">
        <w:t xml:space="preserve">L’appelant n’a jamais pu obtenir la résidence permanente en raison de son interdiction du territoire canadien pour cause de grande criminalité.  Entre le moment de son arrivée au Canada et le début de sa détention, ordonnée aux termes de la </w:t>
      </w:r>
      <w:r w:rsidRPr="00E64B32">
        <w:rPr>
          <w:i/>
        </w:rPr>
        <w:t>Loi sur l’extradition</w:t>
      </w:r>
      <w:r w:rsidRPr="00E64B32">
        <w:t>, L.C. 1999, ch. 18 (« </w:t>
      </w:r>
      <w:r w:rsidRPr="009B4306">
        <w:rPr>
          <w:i/>
        </w:rPr>
        <w:t>LE</w:t>
      </w:r>
      <w:r w:rsidRPr="00E64B32">
        <w:t xml:space="preserve"> »), l’appelant a été condamné pour plusieurs actes criminels, tels que le vol, la fraude, la possession et l’usage de documents contrefaits (carte de crédit), l’entrave à un agent de la paix, la possession d’outils de cambriolage et un complot. </w:t>
      </w:r>
    </w:p>
    <w:p w:rsidR="004A46AF" w:rsidRPr="00E64B32" w:rsidRDefault="004A46AF" w:rsidP="004A46AF">
      <w:pPr>
        <w:pStyle w:val="ListParagraph"/>
        <w:numPr>
          <w:ilvl w:val="0"/>
          <w:numId w:val="1"/>
        </w:numPr>
        <w:tabs>
          <w:tab w:val="left" w:pos="1170"/>
        </w:tabs>
        <w:spacing w:after="480" w:line="480" w:lineRule="auto"/>
        <w:ind w:left="0" w:firstLine="0"/>
        <w:jc w:val="both"/>
      </w:pPr>
      <w:r w:rsidRPr="00E64B32">
        <w:t xml:space="preserve">En mai 2006, le ministre de la Citoyenneté et de l’Immigration du Canada a demandé à la CISR l’annulation de la décision accordant l’asile à l’appelant.  La question était de savoir si cette dernière décision résultait directement </w:t>
      </w:r>
      <w:r w:rsidRPr="00E64B32">
        <w:lastRenderedPageBreak/>
        <w:t>ou indirectement de présentations erronées sur un fait important et pertinent.  La CISR a rejeté la demande d’annulation du ministre.  Dans sa décision, la CISR a conclu que l’avis d’I</w:t>
      </w:r>
      <w:r w:rsidR="009B4306">
        <w:t>NTERPOL</w:t>
      </w:r>
      <w:r w:rsidRPr="00E64B32">
        <w:t xml:space="preserve"> semblait avoir été fabriqué puisqu’il était invraisemblable qu’I</w:t>
      </w:r>
      <w:r w:rsidR="009B4306">
        <w:t>NTERPOL</w:t>
      </w:r>
      <w:r w:rsidRPr="00E64B32">
        <w:t xml:space="preserve"> lance, à l’égard d’une personne qui aurait été arrêtée, jugée et condamnée, un avis de recherche ne comportant pas les empreintes digitales de la personne recherchée. </w:t>
      </w:r>
    </w:p>
    <w:p w:rsidR="004A46AF" w:rsidRPr="00E64B32" w:rsidRDefault="004A46AF" w:rsidP="004A46AF">
      <w:pPr>
        <w:pStyle w:val="ListParagraph"/>
        <w:numPr>
          <w:ilvl w:val="0"/>
          <w:numId w:val="1"/>
        </w:numPr>
        <w:tabs>
          <w:tab w:val="left" w:pos="1170"/>
        </w:tabs>
        <w:spacing w:after="480" w:line="480" w:lineRule="auto"/>
        <w:ind w:left="0" w:firstLine="0"/>
        <w:jc w:val="both"/>
      </w:pPr>
      <w:r w:rsidRPr="00E64B32">
        <w:t>La Cour s</w:t>
      </w:r>
      <w:r w:rsidR="009B4306">
        <w:t>upérieure du Québec a ordonné l’</w:t>
      </w:r>
      <w:r w:rsidRPr="00E64B32">
        <w:t>incarcération de l’appelant jusqu’à son extradition.  Ce dernier a contesté son extradition, invoquant notamment le ris</w:t>
      </w:r>
      <w:r w:rsidR="009B4306">
        <w:t>que de mauvais traitements et l’impossibilité d’</w:t>
      </w:r>
      <w:r w:rsidRPr="00E64B32">
        <w:t>obtenir une révision du verdict et de la peine.  Le 2 juillet 2008, le ministre de la Justice (« ministre ») a ordonné que l’appelant soit extradé d</w:t>
      </w:r>
      <w:r w:rsidR="009B4306">
        <w:t>ans son pays d’</w:t>
      </w:r>
      <w:r w:rsidRPr="00E64B32">
        <w:t>origine pour y purger sa peine d’emprisonnement.</w:t>
      </w:r>
    </w:p>
    <w:p w:rsidR="004A46AF" w:rsidRPr="00E64B32" w:rsidRDefault="004A46AF" w:rsidP="004A46AF">
      <w:pPr>
        <w:pStyle w:val="ListParagraph"/>
        <w:numPr>
          <w:ilvl w:val="0"/>
          <w:numId w:val="1"/>
        </w:numPr>
        <w:tabs>
          <w:tab w:val="left" w:pos="1170"/>
        </w:tabs>
        <w:spacing w:after="480" w:line="480" w:lineRule="auto"/>
        <w:ind w:left="0" w:firstLine="0"/>
        <w:jc w:val="both"/>
      </w:pPr>
      <w:r w:rsidRPr="00E64B32">
        <w:t xml:space="preserve">Dans cette décision, le ministre a appliqué le même critère que dans l’affaire </w:t>
      </w:r>
      <w:proofErr w:type="spellStart"/>
      <w:r w:rsidRPr="00E64B32">
        <w:rPr>
          <w:i/>
        </w:rPr>
        <w:t>Németh</w:t>
      </w:r>
      <w:proofErr w:type="spellEnd"/>
      <w:r w:rsidRPr="00E64B32">
        <w:t>, à savoir si l’intéressé avait établi suivant la prépondérance des probabilités qu’il serait persécuté et que la persécution choquerait suffisamment la conscience de la société canadienne ou serait fondamentalement inacceptable pour elle.  Le ministre a indiqué q</w:t>
      </w:r>
      <w:r w:rsidR="009B4306">
        <w:t>ue la Roumanie s’est jointe à l’</w:t>
      </w:r>
      <w:r w:rsidRPr="00E64B32">
        <w:t>Union européenne et que, en conséquence, elle a dû satisfaire aux e</w:t>
      </w:r>
      <w:r w:rsidR="009B4306">
        <w:t>xigences de l’</w:t>
      </w:r>
      <w:r w:rsidRPr="00E64B32">
        <w:t>Union notamment en ce qui concerne la primauté du droit ainsi que le respect et la protection des minorités.  Au surplus</w:t>
      </w:r>
      <w:r w:rsidR="009B4306">
        <w:t>, du fait de cette adhésion à l’</w:t>
      </w:r>
      <w:r w:rsidRPr="00E64B32">
        <w:t xml:space="preserve">Union européenne, les citoyens roumains jouissent maintenant des protections et des garanties qu’offre la </w:t>
      </w:r>
      <w:r w:rsidRPr="00E64B32">
        <w:rPr>
          <w:i/>
        </w:rPr>
        <w:t xml:space="preserve">Convention de </w:t>
      </w:r>
      <w:r w:rsidR="009B4306">
        <w:rPr>
          <w:i/>
        </w:rPr>
        <w:lastRenderedPageBreak/>
        <w:t>sauvegarde des droits de l’</w:t>
      </w:r>
      <w:r w:rsidRPr="00E64B32">
        <w:rPr>
          <w:i/>
        </w:rPr>
        <w:t>homme et des libertés fondamentales</w:t>
      </w:r>
      <w:r w:rsidRPr="00E64B32">
        <w:t>, 213 R.T.N.U. 221.  Le minist</w:t>
      </w:r>
      <w:r w:rsidR="009B4306">
        <w:t>re a conclu que l’appelant ne l’</w:t>
      </w:r>
      <w:r w:rsidRPr="00E64B32">
        <w:t xml:space="preserve">avait pas convaincu que son extradition serait injuste, tyrannique ou contraire à la </w:t>
      </w:r>
      <w:r w:rsidRPr="00E64B32">
        <w:rPr>
          <w:i/>
        </w:rPr>
        <w:t>Charte canadienne des droits et libertés</w:t>
      </w:r>
      <w:r w:rsidR="009B4306">
        <w:t>.  Le ministre a exprimé l’</w:t>
      </w:r>
      <w:r w:rsidRPr="00E64B32">
        <w:t>avis que la reconnaissance du statut de réfugié ne faisait pas échec à une extradition si celle</w:t>
      </w:r>
      <w:r w:rsidR="005E6945">
        <w:t>-</w:t>
      </w:r>
      <w:r w:rsidRPr="00E64B32">
        <w:t>ci est par ailleurs justifiée.  Enfin, il a rappel</w:t>
      </w:r>
      <w:r w:rsidR="009B4306">
        <w:t>é que les autorités roumaines l’</w:t>
      </w:r>
      <w:r w:rsidRPr="00E64B32">
        <w:t xml:space="preserve">avaient informé que leur </w:t>
      </w:r>
      <w:r w:rsidRPr="00E64B32">
        <w:rPr>
          <w:i/>
        </w:rPr>
        <w:t>Code pénal</w:t>
      </w:r>
      <w:r w:rsidRPr="00E64B32">
        <w:t xml:space="preserve"> offre, dans certaines circonstances, un droit à un nouveau procès.  L’appe</w:t>
      </w:r>
      <w:r w:rsidR="009B4306">
        <w:t>lant a alors déposé à la Cour d’</w:t>
      </w:r>
      <w:r w:rsidRPr="00E64B32">
        <w:t>appel une requ</w:t>
      </w:r>
      <w:r w:rsidR="009B4306">
        <w:t>ête en révision judiciaire de l’arrêté d’</w:t>
      </w:r>
      <w:r w:rsidRPr="00E64B32">
        <w:t xml:space="preserve">extradition. </w:t>
      </w:r>
    </w:p>
    <w:p w:rsidR="004A46AF" w:rsidRPr="00E64B32" w:rsidRDefault="004A46AF" w:rsidP="004A46AF">
      <w:pPr>
        <w:pStyle w:val="ListParagraph"/>
        <w:numPr>
          <w:ilvl w:val="0"/>
          <w:numId w:val="1"/>
        </w:numPr>
        <w:tabs>
          <w:tab w:val="left" w:pos="1166"/>
        </w:tabs>
        <w:spacing w:after="480" w:line="480" w:lineRule="auto"/>
        <w:ind w:left="0" w:firstLine="0"/>
        <w:jc w:val="both"/>
      </w:pPr>
      <w:r w:rsidRPr="00E64B32">
        <w:t>La Cour d’appel a rejeté la requête en révision judiciaire (2009 QCCA 128</w:t>
      </w:r>
      <w:r w:rsidR="009B4306">
        <w:t>8 (</w:t>
      </w:r>
      <w:proofErr w:type="spellStart"/>
      <w:r w:rsidR="009B4306">
        <w:t>CanLII</w:t>
      </w:r>
      <w:proofErr w:type="spellEnd"/>
      <w:r w:rsidR="009B4306">
        <w:t>)).  Selon elle, l’</w:t>
      </w:r>
      <w:r w:rsidRPr="00E64B32">
        <w:t xml:space="preserve">objet et la finalité de la </w:t>
      </w:r>
      <w:r w:rsidRPr="009B4306">
        <w:rPr>
          <w:i/>
        </w:rPr>
        <w:t>LE</w:t>
      </w:r>
      <w:r w:rsidRPr="00E64B32">
        <w:t xml:space="preserve"> divergent de ceux de la </w:t>
      </w:r>
      <w:r w:rsidRPr="00E64B32">
        <w:rPr>
          <w:i/>
        </w:rPr>
        <w:t>Loi sur l</w:t>
      </w:r>
      <w:r w:rsidR="009B4306">
        <w:rPr>
          <w:i/>
        </w:rPr>
        <w:t>’</w:t>
      </w:r>
      <w:r w:rsidRPr="00E64B32">
        <w:rPr>
          <w:i/>
        </w:rPr>
        <w:t>immigration et la protection des réfugiés</w:t>
      </w:r>
      <w:r w:rsidR="009B4306">
        <w:t>, L.C. 2001, ch. 27 (</w:t>
      </w:r>
      <w:r w:rsidRPr="00E64B32">
        <w:t>« </w:t>
      </w:r>
      <w:r w:rsidRPr="009B4306">
        <w:rPr>
          <w:i/>
        </w:rPr>
        <w:t>LIPR</w:t>
      </w:r>
      <w:r w:rsidRPr="00E64B32">
        <w:t xml:space="preserve"> »).  Le principe de </w:t>
      </w:r>
      <w:proofErr w:type="spellStart"/>
      <w:r w:rsidRPr="00E64B32">
        <w:rPr>
          <w:i/>
        </w:rPr>
        <w:t>non</w:t>
      </w:r>
      <w:r w:rsidRPr="00E64B32">
        <w:rPr>
          <w:i/>
        </w:rPr>
        <w:noBreakHyphen/>
        <w:t>refoulement</w:t>
      </w:r>
      <w:proofErr w:type="spellEnd"/>
      <w:r w:rsidR="009B4306">
        <w:t xml:space="preserve"> d’</w:t>
      </w:r>
      <w:r w:rsidRPr="00E64B32">
        <w:t>un</w:t>
      </w:r>
      <w:r w:rsidR="009B4306">
        <w:t>e personne à qui on a accordé l’</w:t>
      </w:r>
      <w:r w:rsidRPr="00E64B32">
        <w:t>asile ne fait donc pas échec à la demande d’ext</w:t>
      </w:r>
      <w:r w:rsidR="009B4306">
        <w:t>radition de la personne pour qu’elle soit jugée ou qu’</w:t>
      </w:r>
      <w:r w:rsidRPr="00E64B32">
        <w:t>elle purge</w:t>
      </w:r>
      <w:r w:rsidR="009B4306">
        <w:t xml:space="preserve"> une peine infligée par suite d’</w:t>
      </w:r>
      <w:r w:rsidRPr="00E64B32">
        <w:t>un verdict de culpabilité.  De plus, la CISR peut annuler une décisi</w:t>
      </w:r>
      <w:r w:rsidR="009B4306">
        <w:t>on qui a accueilli la demande d’asile s’</w:t>
      </w:r>
      <w:r w:rsidRPr="00E64B32">
        <w:t>il est démontré que l’asile a été obtenu sur la foi de déclarations e</w:t>
      </w:r>
      <w:r w:rsidR="009B4306">
        <w:t>rronées, ce qui est le cas en l’</w:t>
      </w:r>
      <w:r w:rsidRPr="00E64B32">
        <w:t>espèce.  Enfin, la Cour d’appel a conclu que la décision attaquée n’était p</w:t>
      </w:r>
      <w:r w:rsidR="009B4306">
        <w:t>as déraisonnable au regard de l’application de l’</w:t>
      </w:r>
      <w:r w:rsidRPr="00E64B32">
        <w:t xml:space="preserve">art. 7 de la </w:t>
      </w:r>
      <w:r w:rsidRPr="00E64B32">
        <w:rPr>
          <w:i/>
        </w:rPr>
        <w:t>Charte</w:t>
      </w:r>
      <w:r w:rsidRPr="00E64B32">
        <w:t xml:space="preserve">. </w:t>
      </w:r>
    </w:p>
    <w:p w:rsidR="004A46AF" w:rsidRPr="00E64B32" w:rsidRDefault="004A46AF" w:rsidP="004A46AF">
      <w:pPr>
        <w:pStyle w:val="ListParagraph"/>
        <w:keepLines/>
        <w:tabs>
          <w:tab w:val="left" w:pos="1152"/>
        </w:tabs>
        <w:spacing w:after="480" w:line="480" w:lineRule="auto"/>
        <w:ind w:left="0"/>
        <w:jc w:val="both"/>
      </w:pPr>
      <w:r w:rsidRPr="00E64B32">
        <w:t>III.  </w:t>
      </w:r>
      <w:r w:rsidRPr="00E64B32">
        <w:rPr>
          <w:u w:val="single"/>
        </w:rPr>
        <w:t>Question en litige</w:t>
      </w:r>
    </w:p>
    <w:p w:rsidR="004A46AF" w:rsidRPr="00E64B32" w:rsidRDefault="004A46AF" w:rsidP="004A46AF">
      <w:pPr>
        <w:pStyle w:val="ListParagraph"/>
        <w:keepLines/>
        <w:numPr>
          <w:ilvl w:val="0"/>
          <w:numId w:val="1"/>
        </w:numPr>
        <w:tabs>
          <w:tab w:val="left" w:pos="1166"/>
        </w:tabs>
        <w:spacing w:after="480" w:line="480" w:lineRule="auto"/>
        <w:ind w:left="0" w:firstLine="0"/>
        <w:jc w:val="both"/>
      </w:pPr>
      <w:r w:rsidRPr="00E64B32">
        <w:lastRenderedPageBreak/>
        <w:t>Bien que l’appelant ait soulevé plusieurs questions, il n’est nécessaire de trancher qu’une seule d’entre elles, celle du caractère raisonnable de l’arrêté d’extradition pris par le ministre.</w:t>
      </w:r>
    </w:p>
    <w:p w:rsidR="004A46AF" w:rsidRPr="00E64B32" w:rsidRDefault="004A46AF" w:rsidP="004A46AF">
      <w:pPr>
        <w:pStyle w:val="ListParagraph"/>
        <w:keepNext/>
        <w:tabs>
          <w:tab w:val="left" w:pos="1152"/>
        </w:tabs>
        <w:spacing w:after="480" w:line="480" w:lineRule="auto"/>
        <w:ind w:left="0"/>
        <w:jc w:val="both"/>
      </w:pPr>
      <w:r w:rsidRPr="00E64B32">
        <w:t>IV.  </w:t>
      </w:r>
      <w:r w:rsidRPr="00E64B32">
        <w:rPr>
          <w:u w:val="single"/>
        </w:rPr>
        <w:t>Analyse</w:t>
      </w:r>
    </w:p>
    <w:p w:rsidR="004A46AF" w:rsidRPr="00E64B32" w:rsidRDefault="004A46AF" w:rsidP="004A46AF">
      <w:pPr>
        <w:pStyle w:val="ListParagraph"/>
        <w:keepNext/>
        <w:numPr>
          <w:ilvl w:val="0"/>
          <w:numId w:val="1"/>
        </w:numPr>
        <w:tabs>
          <w:tab w:val="left" w:pos="1166"/>
        </w:tabs>
        <w:spacing w:after="480" w:line="480" w:lineRule="auto"/>
        <w:ind w:left="0" w:firstLine="0"/>
        <w:jc w:val="both"/>
      </w:pPr>
      <w:r w:rsidRPr="00E64B32">
        <w:t>Dans ses réponses aux observations soumises par l’appelant, le ministre a examiné l’affaire en fonction de l’al. 44(1)</w:t>
      </w:r>
      <w:r w:rsidRPr="00E64B32">
        <w:rPr>
          <w:i/>
        </w:rPr>
        <w:t>a</w:t>
      </w:r>
      <w:r w:rsidRPr="00E64B32">
        <w:t xml:space="preserve">) de la </w:t>
      </w:r>
      <w:r w:rsidRPr="001A0108">
        <w:rPr>
          <w:i/>
        </w:rPr>
        <w:t>LE</w:t>
      </w:r>
      <w:r w:rsidRPr="00E64B32">
        <w:t xml:space="preserve">, et il s’est demandé si l’appelant l’avait convaincu suivant la prépondérance des probabilités que l’extradition serait tyrannique ou injuste.  Comme on l’a vu, il a estimé que le critère applicable consistait à se demander si l’appelant avait établi, suivant la prépondérance des probabilités, qu’il serait persécuté dans l’État requérant et que la persécution choquerait la conscience de la société canadienne ou serait fondamentalement inacceptable pour elle.  Pour les motifs exposés dans </w:t>
      </w:r>
      <w:proofErr w:type="spellStart"/>
      <w:r w:rsidRPr="00E64B32">
        <w:rPr>
          <w:i/>
        </w:rPr>
        <w:t>Németh</w:t>
      </w:r>
      <w:proofErr w:type="spellEnd"/>
      <w:r w:rsidRPr="00E64B32">
        <w:t xml:space="preserve">, ce n’était pas là le critère juridique applicable, puisque la qualité de réfugié de l’appelant n’avait pas été perdue ou révoquée lorsque la décision d’extradition a été prise.  Compte tenu des principes établis dans </w:t>
      </w:r>
      <w:proofErr w:type="spellStart"/>
      <w:r w:rsidRPr="00E64B32">
        <w:rPr>
          <w:i/>
        </w:rPr>
        <w:t>Németh</w:t>
      </w:r>
      <w:proofErr w:type="spellEnd"/>
      <w:r w:rsidRPr="00E64B32">
        <w:t>, le ministre aurait dû appliquer la disposition la plus pertinente en l’espèce, l’al. 44(1)</w:t>
      </w:r>
      <w:r w:rsidRPr="00E64B32">
        <w:rPr>
          <w:i/>
        </w:rPr>
        <w:t>b</w:t>
      </w:r>
      <w:r w:rsidRPr="00E64B32">
        <w:t xml:space="preserve">) de la </w:t>
      </w:r>
      <w:r w:rsidRPr="001A0108">
        <w:rPr>
          <w:i/>
        </w:rPr>
        <w:t>LE</w:t>
      </w:r>
      <w:r w:rsidRPr="00E64B32">
        <w:t xml:space="preserve">.  Sa décision n’étant pas fondée sur les principes juridiques applicables, elle est déraisonnable et elle doit être annulée.  Comme il </w:t>
      </w:r>
      <w:r w:rsidR="004C68F0">
        <w:t xml:space="preserve">a </w:t>
      </w:r>
      <w:r w:rsidRPr="00E64B32">
        <w:t xml:space="preserve">été indiqué dans </w:t>
      </w:r>
      <w:proofErr w:type="spellStart"/>
      <w:r w:rsidRPr="00E64B32">
        <w:rPr>
          <w:i/>
        </w:rPr>
        <w:t>Németh</w:t>
      </w:r>
      <w:proofErr w:type="spellEnd"/>
      <w:r w:rsidRPr="00E64B32">
        <w:t xml:space="preserve">, il est vrai que les décisions prises sous le régime de la </w:t>
      </w:r>
      <w:r w:rsidRPr="001A0108">
        <w:rPr>
          <w:i/>
        </w:rPr>
        <w:t>LIPR</w:t>
      </w:r>
      <w:r w:rsidRPr="00E64B32">
        <w:t xml:space="preserve"> (</w:t>
      </w:r>
      <w:proofErr w:type="spellStart"/>
      <w:r w:rsidRPr="00E64B32">
        <w:t>c.</w:t>
      </w:r>
      <w:r w:rsidRPr="00E64B32">
        <w:noBreakHyphen/>
        <w:t>à</w:t>
      </w:r>
      <w:r w:rsidRPr="00E64B32">
        <w:noBreakHyphen/>
        <w:t>d</w:t>
      </w:r>
      <w:proofErr w:type="spellEnd"/>
      <w:r w:rsidRPr="00E64B32">
        <w:t xml:space="preserve">. les décisions rendues en matière d’asile ou d’annulation d’asile) ne lient pas le ministre, mais l’appelant n’aurait pas dû avoir à prouver qu’il aurait effectivement été victime de persécution et que cette persécution choquerait la </w:t>
      </w:r>
      <w:r w:rsidRPr="00E64B32">
        <w:lastRenderedPageBreak/>
        <w:t>conscience de la société canadienne ou serait fondamentalement inacceptable pour elle, et son dossier n’aurait pas dû être évalué uniquement en application de l’al. 44(1)</w:t>
      </w:r>
      <w:r w:rsidRPr="00E64B32">
        <w:rPr>
          <w:i/>
        </w:rPr>
        <w:t>a</w:t>
      </w:r>
      <w:r w:rsidRPr="00E64B32">
        <w:t>).</w:t>
      </w:r>
    </w:p>
    <w:p w:rsidR="004A46AF" w:rsidRPr="00E64B32" w:rsidRDefault="004A46AF" w:rsidP="004A46AF">
      <w:pPr>
        <w:pStyle w:val="ListParagraph"/>
        <w:numPr>
          <w:ilvl w:val="0"/>
          <w:numId w:val="1"/>
        </w:numPr>
        <w:tabs>
          <w:tab w:val="left" w:pos="1166"/>
        </w:tabs>
        <w:spacing w:after="480" w:line="480" w:lineRule="auto"/>
        <w:ind w:left="0" w:firstLine="0"/>
        <w:jc w:val="both"/>
      </w:pPr>
      <w:r w:rsidRPr="00E64B32">
        <w:t>J’ajouterais que le ministre n’a pas fondé sa décision d’extradition sur la question de savoir si l’exception relative aux crimes graves de droit commun, prévue à la section</w:t>
      </w:r>
      <w:r w:rsidRPr="00E64B32">
        <w:rPr>
          <w:i/>
        </w:rPr>
        <w:t xml:space="preserve"> </w:t>
      </w:r>
      <w:r w:rsidRPr="00E64B32">
        <w:t>F</w:t>
      </w:r>
      <w:r w:rsidRPr="001A0108">
        <w:t>b</w:t>
      </w:r>
      <w:r w:rsidRPr="00E64B32">
        <w:t xml:space="preserve">) de l’article premier de la </w:t>
      </w:r>
      <w:r w:rsidRPr="00E64B32">
        <w:rPr>
          <w:i/>
        </w:rPr>
        <w:t xml:space="preserve">Convention relative au </w:t>
      </w:r>
      <w:r w:rsidR="001A0108">
        <w:rPr>
          <w:i/>
        </w:rPr>
        <w:t>S</w:t>
      </w:r>
      <w:r w:rsidRPr="00E64B32">
        <w:rPr>
          <w:i/>
        </w:rPr>
        <w:t xml:space="preserve">tatut de </w:t>
      </w:r>
      <w:r w:rsidR="001A0108">
        <w:rPr>
          <w:i/>
        </w:rPr>
        <w:t>R</w:t>
      </w:r>
      <w:r w:rsidRPr="00E64B32">
        <w:rPr>
          <w:i/>
        </w:rPr>
        <w:t>éfugiés</w:t>
      </w:r>
      <w:r w:rsidRPr="00E64B32">
        <w:t>, R.T. Can. 1969 n</w:t>
      </w:r>
      <w:r w:rsidRPr="001A0108">
        <w:rPr>
          <w:vertAlign w:val="superscript"/>
        </w:rPr>
        <w:t>o</w:t>
      </w:r>
      <w:r w:rsidRPr="00E64B32">
        <w:t xml:space="preserve"> 6, ou le casier judiciaire chargé de l’appelant au Canada, empêchaient ce dernier de se réclamer du régime de protection des réfugiés (et, conséquemment, du principe de </w:t>
      </w:r>
      <w:proofErr w:type="spellStart"/>
      <w:r w:rsidRPr="00E64B32">
        <w:t>non</w:t>
      </w:r>
      <w:r w:rsidRPr="00E64B32">
        <w:noBreakHyphen/>
        <w:t>refoulement</w:t>
      </w:r>
      <w:proofErr w:type="spellEnd"/>
      <w:r w:rsidRPr="00E64B32">
        <w:t xml:space="preserve">), et il semble qu’il n’a pas examiné cette question.  Par ailleurs, bien que le point n’ait pas été débattu devant la Cour, il semble clair, à la lecture du dossier, que l’infraction entraînant l’extradition constituerait un acte de grande criminalité pour l’application de la </w:t>
      </w:r>
      <w:r w:rsidRPr="001A0108">
        <w:rPr>
          <w:i/>
        </w:rPr>
        <w:t>LIPR</w:t>
      </w:r>
      <w:r w:rsidRPr="00E64B32">
        <w:t>.  En outre, il est loisible au ministre d’envisager l’application de la section F</w:t>
      </w:r>
      <w:r w:rsidRPr="001A0108">
        <w:t>b</w:t>
      </w:r>
      <w:r w:rsidRPr="00E64B32">
        <w:t xml:space="preserve">) de l’article premier de la </w:t>
      </w:r>
      <w:r w:rsidRPr="00E64B32">
        <w:rPr>
          <w:i/>
        </w:rPr>
        <w:t xml:space="preserve">Convention relative au </w:t>
      </w:r>
      <w:r w:rsidR="001A0108">
        <w:rPr>
          <w:i/>
        </w:rPr>
        <w:t>S</w:t>
      </w:r>
      <w:r w:rsidRPr="00E64B32">
        <w:rPr>
          <w:i/>
        </w:rPr>
        <w:t xml:space="preserve">tatut de </w:t>
      </w:r>
      <w:r w:rsidR="001A0108">
        <w:rPr>
          <w:i/>
        </w:rPr>
        <w:t>R</w:t>
      </w:r>
      <w:r w:rsidRPr="00E64B32">
        <w:rPr>
          <w:i/>
        </w:rPr>
        <w:t>éfugiés</w:t>
      </w:r>
      <w:r w:rsidRPr="00E64B32">
        <w:t xml:space="preserve"> au moment de décider si l’appelant peut bénéficier de la protection des réfugiés.  Je n’estime pas nécessaire d’examiner les observations de l’appelant au sujet des répercussions qu’entraînerait son extradition sur son épouse et ses enfants.</w:t>
      </w:r>
    </w:p>
    <w:p w:rsidR="004A46AF" w:rsidRPr="00E64B32" w:rsidRDefault="004A46AF" w:rsidP="004A46AF">
      <w:pPr>
        <w:pStyle w:val="ListParagraph"/>
        <w:keepLines/>
        <w:tabs>
          <w:tab w:val="left" w:pos="1152"/>
        </w:tabs>
        <w:spacing w:after="480" w:line="480" w:lineRule="auto"/>
        <w:ind w:left="0"/>
        <w:jc w:val="both"/>
      </w:pPr>
      <w:r w:rsidRPr="00E64B32">
        <w:t>V.  </w:t>
      </w:r>
      <w:r w:rsidRPr="00E64B32">
        <w:rPr>
          <w:u w:val="single"/>
        </w:rPr>
        <w:t>Dispositif</w:t>
      </w:r>
    </w:p>
    <w:p w:rsidR="004A46AF" w:rsidRPr="00E64B32" w:rsidRDefault="004A46AF" w:rsidP="004A46AF">
      <w:pPr>
        <w:pStyle w:val="ListParagraph"/>
        <w:keepLines/>
        <w:numPr>
          <w:ilvl w:val="0"/>
          <w:numId w:val="1"/>
        </w:numPr>
        <w:tabs>
          <w:tab w:val="left" w:pos="1166"/>
        </w:tabs>
        <w:spacing w:after="480" w:line="480" w:lineRule="auto"/>
        <w:ind w:left="0" w:firstLine="0"/>
        <w:jc w:val="both"/>
      </w:pPr>
      <w:r w:rsidRPr="00E64B32">
        <w:lastRenderedPageBreak/>
        <w:t>Je suis d’avis d’accueillir le pourvoi, d’annuler la décision de la Cour d’appel et l’arrêté d’extradition du ministre et de renvoyer l’affaire au ministre pour réexamen conformément au droit.</w:t>
      </w:r>
      <w:r>
        <w:t xml:space="preserve">  L’appelant n’ayant pas demandé l’adjudication de dépens, aucune ordonnance n’est rendue à cet égard.</w:t>
      </w:r>
    </w:p>
    <w:p w:rsidR="0033393C" w:rsidRPr="00A00EA3" w:rsidRDefault="002605D9" w:rsidP="004A46AF">
      <w:pPr>
        <w:pStyle w:val="SCCNormalDoubleSpacing"/>
        <w:tabs>
          <w:tab w:val="left" w:pos="1170"/>
        </w:tabs>
        <w:rPr>
          <w:i/>
        </w:rPr>
      </w:pPr>
      <w:r w:rsidRPr="00A00EA3">
        <w:tab/>
      </w:r>
      <w:r w:rsidRPr="00A00EA3">
        <w:rPr>
          <w:i/>
        </w:rPr>
        <w:t xml:space="preserve">Pourvoi </w:t>
      </w:r>
      <w:r w:rsidR="001F35C7" w:rsidRPr="00A00EA3">
        <w:rPr>
          <w:i/>
        </w:rPr>
        <w:t>accueilli</w:t>
      </w:r>
      <w:r w:rsidRPr="00A00EA3">
        <w:rPr>
          <w:i/>
        </w:rPr>
        <w:t>.</w:t>
      </w:r>
    </w:p>
    <w:p w:rsidR="0033393C" w:rsidRPr="00A00EA3" w:rsidRDefault="0033393C" w:rsidP="004A46AF">
      <w:pPr>
        <w:pStyle w:val="SCCNormalDoubleSpacing"/>
        <w:tabs>
          <w:tab w:val="left" w:pos="1170"/>
        </w:tabs>
      </w:pPr>
    </w:p>
    <w:p w:rsidR="009D74EE" w:rsidRPr="00A00EA3" w:rsidRDefault="00A8604C" w:rsidP="004A46AF">
      <w:pPr>
        <w:pStyle w:val="SCCLawFirm"/>
        <w:tabs>
          <w:tab w:val="left" w:pos="1170"/>
        </w:tabs>
      </w:pPr>
      <w:r>
        <w:tab/>
        <w:t>Procureur</w:t>
      </w:r>
      <w:r w:rsidR="001A0108">
        <w:t>s</w:t>
      </w:r>
      <w:r>
        <w:t xml:space="preserve"> de l’a</w:t>
      </w:r>
      <w:r w:rsidR="009D74EE" w:rsidRPr="00A00EA3">
        <w:t>ppelant : Lapointe &amp; Associés, Montréal.</w:t>
      </w:r>
    </w:p>
    <w:p w:rsidR="009D74EE" w:rsidRPr="00A00EA3" w:rsidRDefault="009D74EE" w:rsidP="004A46AF">
      <w:pPr>
        <w:pStyle w:val="SCCLawFirm"/>
        <w:tabs>
          <w:tab w:val="left" w:pos="1170"/>
        </w:tabs>
      </w:pPr>
    </w:p>
    <w:p w:rsidR="009D74EE" w:rsidRPr="00A00EA3" w:rsidRDefault="009D74EE" w:rsidP="004A46AF">
      <w:pPr>
        <w:pStyle w:val="SCCLawFirm"/>
        <w:tabs>
          <w:tab w:val="left" w:pos="1170"/>
        </w:tabs>
      </w:pPr>
      <w:r w:rsidRPr="00A00EA3">
        <w:tab/>
        <w:t>Procureur de l</w:t>
      </w:r>
      <w:r w:rsidR="00A8604C">
        <w:t>’</w:t>
      </w:r>
      <w:r w:rsidRPr="00A00EA3">
        <w:t>intimé : Procureur général du Canada, Montréal.</w:t>
      </w:r>
    </w:p>
    <w:p w:rsidR="001A0108" w:rsidRPr="00A00EA3" w:rsidRDefault="001A0108" w:rsidP="001A0108">
      <w:pPr>
        <w:pStyle w:val="SCCLawFirm"/>
        <w:tabs>
          <w:tab w:val="left" w:pos="1170"/>
        </w:tabs>
      </w:pPr>
    </w:p>
    <w:p w:rsidR="001A0108" w:rsidRPr="00A00EA3" w:rsidRDefault="001A0108" w:rsidP="001A0108">
      <w:pPr>
        <w:pStyle w:val="SCCLawFirm"/>
        <w:tabs>
          <w:tab w:val="left" w:pos="1170"/>
        </w:tabs>
      </w:pPr>
      <w:r w:rsidRPr="00A00EA3">
        <w:tab/>
        <w:t>Procureurs de l</w:t>
      </w:r>
      <w:r>
        <w:t>’</w:t>
      </w:r>
      <w:r w:rsidRPr="00A00EA3">
        <w:t xml:space="preserve">intervenante </w:t>
      </w:r>
      <w:r w:rsidR="00DD0334">
        <w:t>l’</w:t>
      </w:r>
      <w:r w:rsidRPr="00A00EA3">
        <w:t>Amn</w:t>
      </w:r>
      <w:r>
        <w:t>i</w:t>
      </w:r>
      <w:r w:rsidRPr="00A00EA3">
        <w:t>st</w:t>
      </w:r>
      <w:r>
        <w:t>ie i</w:t>
      </w:r>
      <w:r w:rsidRPr="00A00EA3">
        <w:t>nternational</w:t>
      </w:r>
      <w:r>
        <w:t>e</w:t>
      </w:r>
      <w:r w:rsidRPr="00A00EA3">
        <w:t xml:space="preserve"> </w:t>
      </w:r>
      <w:r>
        <w:t xml:space="preserve">— </w:t>
      </w:r>
      <w:r w:rsidRPr="00A00EA3">
        <w:t xml:space="preserve">Canada </w:t>
      </w:r>
      <w:r>
        <w:t>francophone</w:t>
      </w:r>
      <w:r w:rsidRPr="00A00EA3">
        <w:t> : </w:t>
      </w:r>
      <w:proofErr w:type="spellStart"/>
      <w:r w:rsidRPr="00A00EA3">
        <w:t>Waldman</w:t>
      </w:r>
      <w:proofErr w:type="spellEnd"/>
      <w:r w:rsidRPr="00A00EA3">
        <w:t xml:space="preserve"> &amp; Associates, Toronto.</w:t>
      </w:r>
    </w:p>
    <w:p w:rsidR="009D74EE" w:rsidRPr="00A00EA3" w:rsidRDefault="009D74EE" w:rsidP="004A46AF">
      <w:pPr>
        <w:pStyle w:val="SCCLawFirm"/>
        <w:tabs>
          <w:tab w:val="left" w:pos="1170"/>
        </w:tabs>
      </w:pPr>
    </w:p>
    <w:p w:rsidR="009D74EE" w:rsidRPr="00A00EA3" w:rsidRDefault="009D74EE" w:rsidP="004A46AF">
      <w:pPr>
        <w:pStyle w:val="SCCLawFirm"/>
        <w:tabs>
          <w:tab w:val="left" w:pos="1170"/>
        </w:tabs>
      </w:pPr>
      <w:r w:rsidRPr="00A00EA3">
        <w:tab/>
        <w:t>Procureurs de l</w:t>
      </w:r>
      <w:r w:rsidR="00A8604C">
        <w:t>’</w:t>
      </w:r>
      <w:r w:rsidRPr="00A00EA3">
        <w:t>intervenante l’Association québécoise des avocats et avocates en droit de l</w:t>
      </w:r>
      <w:r w:rsidR="00A8604C">
        <w:t>’</w:t>
      </w:r>
      <w:r w:rsidRPr="00A00EA3">
        <w:t>immigration : Doyon et Associés, Montréal.</w:t>
      </w:r>
    </w:p>
    <w:p w:rsidR="009D74EE" w:rsidRPr="00A00EA3" w:rsidRDefault="009D74EE" w:rsidP="004A46AF">
      <w:pPr>
        <w:pStyle w:val="SCCLawFirm"/>
        <w:tabs>
          <w:tab w:val="left" w:pos="1170"/>
        </w:tabs>
      </w:pPr>
    </w:p>
    <w:p w:rsidR="009D74EE" w:rsidRPr="00A00EA3" w:rsidRDefault="009D74EE" w:rsidP="004A46AF">
      <w:pPr>
        <w:pStyle w:val="SCCLawFirm"/>
        <w:tabs>
          <w:tab w:val="left" w:pos="1170"/>
        </w:tabs>
      </w:pPr>
      <w:r w:rsidRPr="00A00EA3">
        <w:tab/>
        <w:t>Procureur de l</w:t>
      </w:r>
      <w:r w:rsidR="00A8604C">
        <w:t>’</w:t>
      </w:r>
      <w:r w:rsidRPr="00A00EA3">
        <w:t>intervenante l’Association canadienne des libertés civiles : Association canadienne des libertés civiles, Toronto.</w:t>
      </w:r>
    </w:p>
    <w:p w:rsidR="0033393C" w:rsidRPr="00A00EA3" w:rsidRDefault="0033393C" w:rsidP="004A46AF">
      <w:pPr>
        <w:pStyle w:val="SCCNormalDoubleSpacing"/>
        <w:tabs>
          <w:tab w:val="left" w:pos="1170"/>
          <w:tab w:val="left" w:pos="3600"/>
        </w:tabs>
      </w:pPr>
    </w:p>
    <w:sectPr w:rsidR="0033393C" w:rsidRPr="00A00EA3" w:rsidSect="005604D5">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108" w:rsidRDefault="001A0108">
      <w:r>
        <w:separator/>
      </w:r>
    </w:p>
  </w:endnote>
  <w:endnote w:type="continuationSeparator" w:id="0">
    <w:p w:rsidR="001A0108" w:rsidRDefault="001A0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08" w:rsidRDefault="001A0108">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08" w:rsidRDefault="001A0108">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108" w:rsidRDefault="001A0108">
      <w:r>
        <w:separator/>
      </w:r>
    </w:p>
  </w:footnote>
  <w:footnote w:type="continuationSeparator" w:id="0">
    <w:p w:rsidR="001A0108" w:rsidRDefault="001A0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08" w:rsidRDefault="001A0108">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08" w:rsidRDefault="001A0108">
    <w:pPr>
      <w:pStyle w:val="Header"/>
      <w:jc w:val="center"/>
    </w:pPr>
    <w:r>
      <w:t xml:space="preserve">- </w:t>
    </w:r>
    <w:sdt>
      <w:sdtPr>
        <w:id w:val="4489881"/>
        <w:docPartObj>
          <w:docPartGallery w:val="Page Numbers (Top of Page)"/>
          <w:docPartUnique/>
        </w:docPartObj>
      </w:sdtPr>
      <w:sdtContent>
        <w:fldSimple w:instr=" PAGE   \* MERGEFORMAT ">
          <w:r w:rsidR="0032471E">
            <w:rPr>
              <w:noProof/>
            </w:rPr>
            <w:t>13</w:t>
          </w:r>
        </w:fldSimple>
        <w:r>
          <w:t xml:space="preserve"> -</w:t>
        </w:r>
      </w:sdtContent>
    </w:sdt>
  </w:p>
  <w:p w:rsidR="001A0108" w:rsidRDefault="001A01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rsids>
    <w:rsidRoot w:val="0031414C"/>
    <w:rsid w:val="00000163"/>
    <w:rsid w:val="00012FC2"/>
    <w:rsid w:val="00025198"/>
    <w:rsid w:val="00055A36"/>
    <w:rsid w:val="000578A3"/>
    <w:rsid w:val="00064563"/>
    <w:rsid w:val="000648CC"/>
    <w:rsid w:val="000914CB"/>
    <w:rsid w:val="00094DE0"/>
    <w:rsid w:val="000A5321"/>
    <w:rsid w:val="000C59B8"/>
    <w:rsid w:val="00111DE2"/>
    <w:rsid w:val="00116B38"/>
    <w:rsid w:val="001304C5"/>
    <w:rsid w:val="0013109F"/>
    <w:rsid w:val="00135406"/>
    <w:rsid w:val="00135972"/>
    <w:rsid w:val="00140667"/>
    <w:rsid w:val="001426A9"/>
    <w:rsid w:val="00154D7C"/>
    <w:rsid w:val="001570B0"/>
    <w:rsid w:val="0015719D"/>
    <w:rsid w:val="00166647"/>
    <w:rsid w:val="00170AAF"/>
    <w:rsid w:val="00172A04"/>
    <w:rsid w:val="00175A97"/>
    <w:rsid w:val="00185394"/>
    <w:rsid w:val="001A0108"/>
    <w:rsid w:val="001A451D"/>
    <w:rsid w:val="001B33E0"/>
    <w:rsid w:val="001B4573"/>
    <w:rsid w:val="001B57DE"/>
    <w:rsid w:val="001C568B"/>
    <w:rsid w:val="001C779F"/>
    <w:rsid w:val="001D2AC1"/>
    <w:rsid w:val="001E22A9"/>
    <w:rsid w:val="001F35C7"/>
    <w:rsid w:val="001F7673"/>
    <w:rsid w:val="00220FC2"/>
    <w:rsid w:val="00224FC0"/>
    <w:rsid w:val="00225EA4"/>
    <w:rsid w:val="00226EAF"/>
    <w:rsid w:val="00231F3A"/>
    <w:rsid w:val="002406EE"/>
    <w:rsid w:val="002605D9"/>
    <w:rsid w:val="002745CC"/>
    <w:rsid w:val="002C7519"/>
    <w:rsid w:val="002D39A4"/>
    <w:rsid w:val="002D6F28"/>
    <w:rsid w:val="002E6705"/>
    <w:rsid w:val="002E73EC"/>
    <w:rsid w:val="002F696C"/>
    <w:rsid w:val="002F71DB"/>
    <w:rsid w:val="0030329A"/>
    <w:rsid w:val="00307AFD"/>
    <w:rsid w:val="0031086F"/>
    <w:rsid w:val="00310E05"/>
    <w:rsid w:val="0031414C"/>
    <w:rsid w:val="00314E01"/>
    <w:rsid w:val="0032089D"/>
    <w:rsid w:val="003213FB"/>
    <w:rsid w:val="0032471E"/>
    <w:rsid w:val="0033393C"/>
    <w:rsid w:val="00343D52"/>
    <w:rsid w:val="0034770C"/>
    <w:rsid w:val="0035259D"/>
    <w:rsid w:val="0037050F"/>
    <w:rsid w:val="003866EC"/>
    <w:rsid w:val="00394476"/>
    <w:rsid w:val="003A4C70"/>
    <w:rsid w:val="003A4E15"/>
    <w:rsid w:val="003C799C"/>
    <w:rsid w:val="003E1C71"/>
    <w:rsid w:val="003F327B"/>
    <w:rsid w:val="004059A7"/>
    <w:rsid w:val="00406166"/>
    <w:rsid w:val="00411300"/>
    <w:rsid w:val="00426659"/>
    <w:rsid w:val="0043088E"/>
    <w:rsid w:val="004439D8"/>
    <w:rsid w:val="00465132"/>
    <w:rsid w:val="00470486"/>
    <w:rsid w:val="00480C90"/>
    <w:rsid w:val="0048396F"/>
    <w:rsid w:val="00493C18"/>
    <w:rsid w:val="00494CDC"/>
    <w:rsid w:val="004A46AF"/>
    <w:rsid w:val="004A600C"/>
    <w:rsid w:val="004A70E7"/>
    <w:rsid w:val="004C478D"/>
    <w:rsid w:val="004C68F0"/>
    <w:rsid w:val="004E6A2C"/>
    <w:rsid w:val="00521AE8"/>
    <w:rsid w:val="00527180"/>
    <w:rsid w:val="00536719"/>
    <w:rsid w:val="005564A7"/>
    <w:rsid w:val="005604D5"/>
    <w:rsid w:val="005B109B"/>
    <w:rsid w:val="005E0B81"/>
    <w:rsid w:val="005E4698"/>
    <w:rsid w:val="005E6945"/>
    <w:rsid w:val="00625C35"/>
    <w:rsid w:val="00634E1B"/>
    <w:rsid w:val="00645057"/>
    <w:rsid w:val="00654858"/>
    <w:rsid w:val="006565F4"/>
    <w:rsid w:val="00681AD1"/>
    <w:rsid w:val="00684E3A"/>
    <w:rsid w:val="006A56F1"/>
    <w:rsid w:val="006B5FF5"/>
    <w:rsid w:val="006C5661"/>
    <w:rsid w:val="006D4790"/>
    <w:rsid w:val="00701759"/>
    <w:rsid w:val="00702C6F"/>
    <w:rsid w:val="00747288"/>
    <w:rsid w:val="00747DD3"/>
    <w:rsid w:val="00752F4E"/>
    <w:rsid w:val="007549C8"/>
    <w:rsid w:val="00762D30"/>
    <w:rsid w:val="00763377"/>
    <w:rsid w:val="0076646C"/>
    <w:rsid w:val="00766D14"/>
    <w:rsid w:val="00767A0F"/>
    <w:rsid w:val="00771053"/>
    <w:rsid w:val="007834A8"/>
    <w:rsid w:val="007A05F6"/>
    <w:rsid w:val="007B586E"/>
    <w:rsid w:val="007B6F4A"/>
    <w:rsid w:val="007C54A9"/>
    <w:rsid w:val="007E1C47"/>
    <w:rsid w:val="007E337A"/>
    <w:rsid w:val="007E5C70"/>
    <w:rsid w:val="007E7BDE"/>
    <w:rsid w:val="007F2FF5"/>
    <w:rsid w:val="0081237C"/>
    <w:rsid w:val="00812B5A"/>
    <w:rsid w:val="00817190"/>
    <w:rsid w:val="00830D12"/>
    <w:rsid w:val="008322BD"/>
    <w:rsid w:val="00855307"/>
    <w:rsid w:val="00862CF3"/>
    <w:rsid w:val="00864CF8"/>
    <w:rsid w:val="00874914"/>
    <w:rsid w:val="00892E1A"/>
    <w:rsid w:val="008958F5"/>
    <w:rsid w:val="008A6558"/>
    <w:rsid w:val="008A727C"/>
    <w:rsid w:val="008B4565"/>
    <w:rsid w:val="008C01DA"/>
    <w:rsid w:val="008F16D9"/>
    <w:rsid w:val="008F78E9"/>
    <w:rsid w:val="009004F2"/>
    <w:rsid w:val="00902462"/>
    <w:rsid w:val="009403F3"/>
    <w:rsid w:val="00957FA2"/>
    <w:rsid w:val="00966913"/>
    <w:rsid w:val="00967374"/>
    <w:rsid w:val="0097543E"/>
    <w:rsid w:val="00983F3F"/>
    <w:rsid w:val="00985C69"/>
    <w:rsid w:val="0099079B"/>
    <w:rsid w:val="009B2F23"/>
    <w:rsid w:val="009B4306"/>
    <w:rsid w:val="009B53E2"/>
    <w:rsid w:val="009B57B3"/>
    <w:rsid w:val="009D5AEB"/>
    <w:rsid w:val="009D74EE"/>
    <w:rsid w:val="009F1885"/>
    <w:rsid w:val="009F383F"/>
    <w:rsid w:val="00A00EA3"/>
    <w:rsid w:val="00A05F0E"/>
    <w:rsid w:val="00A21107"/>
    <w:rsid w:val="00A21B90"/>
    <w:rsid w:val="00A24E15"/>
    <w:rsid w:val="00A44DB3"/>
    <w:rsid w:val="00A548CB"/>
    <w:rsid w:val="00A6242E"/>
    <w:rsid w:val="00A643E7"/>
    <w:rsid w:val="00A72983"/>
    <w:rsid w:val="00A73C38"/>
    <w:rsid w:val="00A85547"/>
    <w:rsid w:val="00A8604C"/>
    <w:rsid w:val="00AC7437"/>
    <w:rsid w:val="00AC7A44"/>
    <w:rsid w:val="00AD2331"/>
    <w:rsid w:val="00AF03C5"/>
    <w:rsid w:val="00B000D8"/>
    <w:rsid w:val="00B00F75"/>
    <w:rsid w:val="00B145B6"/>
    <w:rsid w:val="00B50C81"/>
    <w:rsid w:val="00B557F8"/>
    <w:rsid w:val="00B62AFA"/>
    <w:rsid w:val="00B64972"/>
    <w:rsid w:val="00B66DD8"/>
    <w:rsid w:val="00B8145D"/>
    <w:rsid w:val="00B815FC"/>
    <w:rsid w:val="00B93FBC"/>
    <w:rsid w:val="00BE1708"/>
    <w:rsid w:val="00C018A7"/>
    <w:rsid w:val="00C02092"/>
    <w:rsid w:val="00C057F7"/>
    <w:rsid w:val="00C1517B"/>
    <w:rsid w:val="00C24C8C"/>
    <w:rsid w:val="00C24D91"/>
    <w:rsid w:val="00C46F40"/>
    <w:rsid w:val="00C52532"/>
    <w:rsid w:val="00C53867"/>
    <w:rsid w:val="00C53F14"/>
    <w:rsid w:val="00C55C2E"/>
    <w:rsid w:val="00C600CF"/>
    <w:rsid w:val="00C6084F"/>
    <w:rsid w:val="00C62A66"/>
    <w:rsid w:val="00C62A6F"/>
    <w:rsid w:val="00C66045"/>
    <w:rsid w:val="00C67CA5"/>
    <w:rsid w:val="00C71458"/>
    <w:rsid w:val="00C71F58"/>
    <w:rsid w:val="00C77613"/>
    <w:rsid w:val="00C828E7"/>
    <w:rsid w:val="00C921DD"/>
    <w:rsid w:val="00CA4D82"/>
    <w:rsid w:val="00CA6391"/>
    <w:rsid w:val="00CC42EA"/>
    <w:rsid w:val="00CE3171"/>
    <w:rsid w:val="00CF1601"/>
    <w:rsid w:val="00D32086"/>
    <w:rsid w:val="00D37A3F"/>
    <w:rsid w:val="00D45FCF"/>
    <w:rsid w:val="00D4667A"/>
    <w:rsid w:val="00D510BB"/>
    <w:rsid w:val="00D5435D"/>
    <w:rsid w:val="00D70077"/>
    <w:rsid w:val="00D74F2E"/>
    <w:rsid w:val="00DA0590"/>
    <w:rsid w:val="00DB443C"/>
    <w:rsid w:val="00DC1788"/>
    <w:rsid w:val="00DD0334"/>
    <w:rsid w:val="00DF0CA8"/>
    <w:rsid w:val="00DF1ADD"/>
    <w:rsid w:val="00DF233A"/>
    <w:rsid w:val="00DF49A7"/>
    <w:rsid w:val="00E01106"/>
    <w:rsid w:val="00E07EE2"/>
    <w:rsid w:val="00E24573"/>
    <w:rsid w:val="00E377A1"/>
    <w:rsid w:val="00E45109"/>
    <w:rsid w:val="00E54B02"/>
    <w:rsid w:val="00E8392A"/>
    <w:rsid w:val="00E842A2"/>
    <w:rsid w:val="00E97830"/>
    <w:rsid w:val="00EA03E5"/>
    <w:rsid w:val="00EB3AA9"/>
    <w:rsid w:val="00EE0FAF"/>
    <w:rsid w:val="00F00EB7"/>
    <w:rsid w:val="00F07C34"/>
    <w:rsid w:val="00F2258E"/>
    <w:rsid w:val="00F33658"/>
    <w:rsid w:val="00F36AB6"/>
    <w:rsid w:val="00F409CE"/>
    <w:rsid w:val="00F43D53"/>
    <w:rsid w:val="00F84DF4"/>
    <w:rsid w:val="00F853FB"/>
    <w:rsid w:val="00F85C97"/>
    <w:rsid w:val="00FA2FE1"/>
    <w:rsid w:val="00FC1B6A"/>
    <w:rsid w:val="00FC1DF6"/>
    <w:rsid w:val="00FC606D"/>
    <w:rsid w:val="00FD068D"/>
    <w:rsid w:val="00FD4F28"/>
    <w:rsid w:val="00FD7060"/>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4A46AF"/>
    <w:pPr>
      <w:ind w:left="720"/>
    </w:pPr>
  </w:style>
  <w:style w:type="paragraph" w:customStyle="1" w:styleId="SCCCoram">
    <w:name w:val="SCC.Coram"/>
    <w:basedOn w:val="Normal"/>
    <w:next w:val="Normal"/>
    <w:link w:val="SCCCoramChar"/>
    <w:rsid w:val="004A46A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A46AF"/>
    <w:rPr>
      <w:rFonts w:eastAsiaTheme="minorHAnsi" w:cstheme="minorBidi"/>
      <w:sz w:val="24"/>
      <w:szCs w:val="22"/>
      <w:lang w:val="fr-CA" w:eastAsia="en-US"/>
    </w:rPr>
  </w:style>
  <w:style w:type="table" w:styleId="TableGrid">
    <w:name w:val="Table Grid"/>
    <w:basedOn w:val="TableNormal"/>
    <w:uiPriority w:val="59"/>
    <w:rsid w:val="004A46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2411</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2011-03-28T18:48:00Z</dcterms:created>
  <dcterms:modified xsi:type="dcterms:W3CDTF">2011-03-28T18:48:00Z</dcterms:modified>
</cp:coreProperties>
</file>