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F39" w:rsidRPr="00C2721C" w:rsidRDefault="00946F39" w:rsidP="00946F39">
      <w:pPr>
        <w:tabs>
          <w:tab w:val="center" w:pos="4680"/>
          <w:tab w:val="right" w:pos="9360"/>
        </w:tabs>
        <w:rPr>
          <w:rFonts w:eastAsiaTheme="minorHAnsi" w:cstheme="minorBidi"/>
          <w:szCs w:val="24"/>
          <w:lang w:eastAsia="en-US"/>
        </w:rPr>
      </w:pPr>
      <w:r w:rsidRPr="00C2721C">
        <w:rPr>
          <w:rFonts w:eastAsiaTheme="minorHAnsi" w:cstheme="minorBidi"/>
          <w:szCs w:val="24"/>
          <w:lang w:eastAsia="en-US"/>
        </w:rPr>
        <w:ptab w:relativeTo="margin" w:alignment="center" w:leader="none"/>
      </w:r>
      <w:r w:rsidRPr="00C2721C">
        <w:rPr>
          <w:rFonts w:eastAsiaTheme="minorHAnsi" w:cstheme="minorBidi"/>
          <w:szCs w:val="24"/>
          <w:lang w:eastAsia="en-US"/>
        </w:rPr>
        <w:t xml:space="preserve"> </w:t>
      </w:r>
      <w:r w:rsidRPr="00C2721C">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7" o:title=""/>
          </v:shape>
          <o:OLEObject Type="Embed" ProgID="Presentations.Drawing.13" ShapeID="_x0000_i1025" DrawAspect="Content" ObjectID="_1370689499" r:id="rId8"/>
        </w:object>
      </w:r>
      <w:r w:rsidRPr="00C2721C">
        <w:rPr>
          <w:rFonts w:eastAsiaTheme="minorHAnsi" w:cstheme="minorBidi"/>
          <w:szCs w:val="24"/>
          <w:lang w:eastAsia="en-US"/>
        </w:rPr>
        <w:t xml:space="preserve"> </w:t>
      </w:r>
      <w:r w:rsidRPr="00C2721C">
        <w:rPr>
          <w:rFonts w:eastAsiaTheme="minorHAnsi" w:cstheme="minorBidi"/>
          <w:szCs w:val="24"/>
          <w:lang w:eastAsia="en-US"/>
        </w:rPr>
        <w:ptab w:relativeTo="margin" w:alignment="right" w:leader="none"/>
      </w:r>
    </w:p>
    <w:p w:rsidR="00946F39" w:rsidRPr="00C2721C" w:rsidRDefault="00946F39" w:rsidP="00946F39">
      <w:pPr>
        <w:tabs>
          <w:tab w:val="center" w:pos="4680"/>
          <w:tab w:val="right" w:pos="9360"/>
        </w:tabs>
        <w:rPr>
          <w:rFonts w:eastAsiaTheme="minorHAnsi" w:cstheme="minorBidi"/>
          <w:szCs w:val="24"/>
          <w:lang w:eastAsia="en-US"/>
        </w:rPr>
      </w:pPr>
    </w:p>
    <w:p w:rsidR="00946F39" w:rsidRPr="00C2721C" w:rsidRDefault="00946F39" w:rsidP="00946F39">
      <w:pPr>
        <w:jc w:val="center"/>
        <w:rPr>
          <w:rFonts w:eastAsiaTheme="minorHAnsi" w:cstheme="minorBidi"/>
          <w:b/>
          <w:szCs w:val="24"/>
          <w:lang w:eastAsia="en-US"/>
        </w:rPr>
      </w:pPr>
      <w:r w:rsidRPr="00C2721C">
        <w:rPr>
          <w:rFonts w:eastAsiaTheme="minorHAnsi" w:cstheme="minorBidi"/>
          <w:b/>
          <w:szCs w:val="24"/>
          <w:lang w:eastAsia="en-US"/>
        </w:rPr>
        <w:t>COUR SUPRÊME DU CANADA</w:t>
      </w:r>
    </w:p>
    <w:p w:rsidR="00946F39" w:rsidRPr="00C2721C" w:rsidRDefault="00946F39" w:rsidP="00946F39">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946F39" w:rsidRPr="00C2721C" w:rsidTr="00F943DD">
        <w:trPr>
          <w:cantSplit/>
        </w:trPr>
        <w:tc>
          <w:tcPr>
            <w:tcW w:w="6768" w:type="dxa"/>
          </w:tcPr>
          <w:p w:rsidR="00946F39" w:rsidRPr="00946F39" w:rsidRDefault="00946F39" w:rsidP="00F943DD">
            <w:pPr>
              <w:rPr>
                <w:lang w:val="fr-CA"/>
              </w:rPr>
            </w:pPr>
            <w:r w:rsidRPr="00946F39">
              <w:rPr>
                <w:b/>
                <w:smallCaps/>
                <w:lang w:val="fr-CA"/>
              </w:rPr>
              <w:t>Référence :</w:t>
            </w:r>
            <w:r w:rsidRPr="00946F39">
              <w:rPr>
                <w:lang w:val="fr-CA"/>
              </w:rPr>
              <w:t xml:space="preserve"> </w:t>
            </w:r>
            <w:proofErr w:type="spellStart"/>
            <w:r w:rsidRPr="00946F39">
              <w:rPr>
                <w:lang w:val="fr-CA"/>
              </w:rPr>
              <w:t>Celgene</w:t>
            </w:r>
            <w:proofErr w:type="spellEnd"/>
            <w:r w:rsidRPr="00946F39">
              <w:rPr>
                <w:lang w:val="fr-CA"/>
              </w:rPr>
              <w:t xml:space="preserve"> Corp. </w:t>
            </w:r>
            <w:r w:rsidRPr="00946F39">
              <w:rPr>
                <w:i/>
                <w:lang w:val="fr-CA"/>
              </w:rPr>
              <w:t>c.</w:t>
            </w:r>
            <w:r w:rsidRPr="00946F39">
              <w:rPr>
                <w:lang w:val="fr-CA"/>
              </w:rPr>
              <w:t xml:space="preserve"> Canada (Procureur général)</w:t>
            </w:r>
          </w:p>
          <w:p w:rsidR="00946F39" w:rsidRPr="00C2721C" w:rsidRDefault="00946F39" w:rsidP="00F943DD">
            <w:r w:rsidRPr="00A71CC5">
              <w:rPr>
                <w:rStyle w:val="SCCRespondentForIndexChar"/>
                <w:b w:val="0"/>
                <w:lang w:val="fr-CA"/>
              </w:rPr>
              <w:t>2011 CSC 1, [2011] 1 R.C.S. 3</w:t>
            </w:r>
          </w:p>
        </w:tc>
        <w:tc>
          <w:tcPr>
            <w:tcW w:w="2808" w:type="dxa"/>
          </w:tcPr>
          <w:p w:rsidR="00946F39" w:rsidRPr="00C2721C" w:rsidRDefault="00946F39" w:rsidP="00F943DD">
            <w:r w:rsidRPr="00C2721C">
              <w:rPr>
                <w:b/>
                <w:smallCaps/>
              </w:rPr>
              <w:t>Date :</w:t>
            </w:r>
            <w:r w:rsidRPr="00C2721C">
              <w:t xml:space="preserve"> 20110120</w:t>
            </w:r>
          </w:p>
          <w:p w:rsidR="00946F39" w:rsidRPr="00C2721C" w:rsidRDefault="00946F39" w:rsidP="00F943DD">
            <w:r w:rsidRPr="00C2721C">
              <w:rPr>
                <w:b/>
                <w:smallCaps/>
              </w:rPr>
              <w:t>Dossier :</w:t>
            </w:r>
            <w:r w:rsidRPr="00C2721C">
              <w:t xml:space="preserve"> 33579</w:t>
            </w:r>
          </w:p>
        </w:tc>
      </w:tr>
    </w:tbl>
    <w:p w:rsidR="00946F39" w:rsidRPr="00C2721C" w:rsidRDefault="00946F39" w:rsidP="00946F39">
      <w:pPr>
        <w:rPr>
          <w:rFonts w:eastAsiaTheme="minorHAnsi" w:cstheme="minorBidi"/>
          <w:szCs w:val="24"/>
          <w:lang w:eastAsia="en-US"/>
        </w:rPr>
      </w:pPr>
    </w:p>
    <w:p w:rsidR="00946F39" w:rsidRPr="00C2721C" w:rsidRDefault="00946F39" w:rsidP="00946F39">
      <w:pPr>
        <w:rPr>
          <w:rFonts w:eastAsiaTheme="minorHAnsi" w:cstheme="minorBidi"/>
          <w:b/>
          <w:smallCaps/>
          <w:szCs w:val="24"/>
          <w:lang w:eastAsia="en-US"/>
        </w:rPr>
      </w:pPr>
      <w:proofErr w:type="gramStart"/>
      <w:r w:rsidRPr="00C2721C">
        <w:rPr>
          <w:rFonts w:eastAsiaTheme="minorHAnsi" w:cstheme="minorBidi"/>
          <w:b/>
          <w:smallCaps/>
          <w:szCs w:val="24"/>
          <w:lang w:eastAsia="en-US"/>
        </w:rPr>
        <w:t>Entre :</w:t>
      </w:r>
      <w:proofErr w:type="gramEnd"/>
    </w:p>
    <w:p w:rsidR="00946F39" w:rsidRPr="00C2721C" w:rsidRDefault="00946F39" w:rsidP="00946F39">
      <w:pPr>
        <w:jc w:val="center"/>
        <w:rPr>
          <w:rFonts w:eastAsiaTheme="minorHAnsi" w:cstheme="minorBidi"/>
          <w:b/>
          <w:szCs w:val="24"/>
          <w:lang w:eastAsia="en-US"/>
        </w:rPr>
      </w:pPr>
      <w:proofErr w:type="spellStart"/>
      <w:r w:rsidRPr="00C2721C">
        <w:rPr>
          <w:rFonts w:eastAsiaTheme="minorHAnsi" w:cstheme="minorBidi"/>
          <w:b/>
          <w:szCs w:val="24"/>
          <w:lang w:eastAsia="en-US"/>
        </w:rPr>
        <w:t>Celgene</w:t>
      </w:r>
      <w:proofErr w:type="spellEnd"/>
      <w:r w:rsidRPr="00C2721C">
        <w:rPr>
          <w:rFonts w:eastAsiaTheme="minorHAnsi" w:cstheme="minorBidi"/>
          <w:b/>
          <w:szCs w:val="24"/>
          <w:lang w:eastAsia="en-US"/>
        </w:rPr>
        <w:t xml:space="preserve"> Corporation</w:t>
      </w:r>
    </w:p>
    <w:p w:rsidR="00946F39" w:rsidRPr="00C2721C" w:rsidRDefault="00946F39" w:rsidP="00946F39">
      <w:pPr>
        <w:jc w:val="center"/>
        <w:rPr>
          <w:rFonts w:eastAsiaTheme="minorHAnsi" w:cstheme="minorBidi"/>
          <w:szCs w:val="24"/>
          <w:lang w:eastAsia="en-US"/>
        </w:rPr>
      </w:pPr>
      <w:proofErr w:type="spellStart"/>
      <w:r w:rsidRPr="00C2721C">
        <w:rPr>
          <w:rFonts w:eastAsiaTheme="minorHAnsi" w:cstheme="minorBidi"/>
          <w:szCs w:val="24"/>
          <w:lang w:eastAsia="en-US"/>
        </w:rPr>
        <w:t>Appelante</w:t>
      </w:r>
      <w:proofErr w:type="spellEnd"/>
    </w:p>
    <w:p w:rsidR="00946F39" w:rsidRPr="00C2721C" w:rsidRDefault="00946F39" w:rsidP="00946F39">
      <w:pPr>
        <w:jc w:val="center"/>
        <w:rPr>
          <w:rFonts w:eastAsiaTheme="minorHAnsi" w:cstheme="minorBidi"/>
          <w:szCs w:val="24"/>
          <w:lang w:eastAsia="en-US"/>
        </w:rPr>
      </w:pPr>
      <w:proofErr w:type="gramStart"/>
      <w:r w:rsidRPr="00C2721C">
        <w:rPr>
          <w:rFonts w:eastAsiaTheme="minorHAnsi" w:cstheme="minorBidi"/>
          <w:szCs w:val="24"/>
          <w:lang w:eastAsia="en-US"/>
        </w:rPr>
        <w:t>et</w:t>
      </w:r>
      <w:proofErr w:type="gramEnd"/>
    </w:p>
    <w:p w:rsidR="00946F39" w:rsidRPr="00C2721C" w:rsidRDefault="00946F39" w:rsidP="00946F39">
      <w:pPr>
        <w:jc w:val="center"/>
        <w:rPr>
          <w:rFonts w:eastAsiaTheme="minorHAnsi" w:cstheme="minorBidi"/>
          <w:b/>
          <w:szCs w:val="24"/>
          <w:lang w:eastAsia="en-US"/>
        </w:rPr>
      </w:pPr>
      <w:proofErr w:type="spellStart"/>
      <w:r w:rsidRPr="00C2721C">
        <w:rPr>
          <w:rFonts w:eastAsiaTheme="minorHAnsi" w:cstheme="minorBidi"/>
          <w:b/>
          <w:szCs w:val="24"/>
          <w:lang w:eastAsia="en-US"/>
        </w:rPr>
        <w:t>Procureur</w:t>
      </w:r>
      <w:proofErr w:type="spellEnd"/>
      <w:r w:rsidRPr="00C2721C">
        <w:rPr>
          <w:rFonts w:eastAsiaTheme="minorHAnsi" w:cstheme="minorBidi"/>
          <w:b/>
          <w:szCs w:val="24"/>
          <w:lang w:eastAsia="en-US"/>
        </w:rPr>
        <w:t xml:space="preserve"> </w:t>
      </w:r>
      <w:proofErr w:type="spellStart"/>
      <w:r w:rsidRPr="00C2721C">
        <w:rPr>
          <w:rFonts w:eastAsiaTheme="minorHAnsi" w:cstheme="minorBidi"/>
          <w:b/>
          <w:szCs w:val="24"/>
          <w:lang w:eastAsia="en-US"/>
        </w:rPr>
        <w:t>général</w:t>
      </w:r>
      <w:proofErr w:type="spellEnd"/>
      <w:r w:rsidRPr="00C2721C">
        <w:rPr>
          <w:rFonts w:eastAsiaTheme="minorHAnsi" w:cstheme="minorBidi"/>
          <w:b/>
          <w:szCs w:val="24"/>
          <w:lang w:eastAsia="en-US"/>
        </w:rPr>
        <w:t xml:space="preserve"> du Canada</w:t>
      </w:r>
    </w:p>
    <w:p w:rsidR="00946F39" w:rsidRPr="00C2721C" w:rsidRDefault="00946F39" w:rsidP="00946F39">
      <w:pPr>
        <w:jc w:val="center"/>
        <w:rPr>
          <w:rFonts w:eastAsiaTheme="minorHAnsi" w:cstheme="minorBidi"/>
          <w:szCs w:val="24"/>
          <w:lang w:eastAsia="en-US"/>
        </w:rPr>
      </w:pPr>
      <w:proofErr w:type="spellStart"/>
      <w:r w:rsidRPr="00C2721C">
        <w:rPr>
          <w:rFonts w:eastAsiaTheme="minorHAnsi" w:cstheme="minorBidi"/>
          <w:szCs w:val="24"/>
          <w:lang w:eastAsia="en-US"/>
        </w:rPr>
        <w:t>Intimé</w:t>
      </w:r>
      <w:proofErr w:type="spellEnd"/>
    </w:p>
    <w:p w:rsidR="00946F39" w:rsidRPr="00C2721C" w:rsidRDefault="00946F39" w:rsidP="00946F39">
      <w:pPr>
        <w:rPr>
          <w:rFonts w:eastAsiaTheme="minorHAnsi" w:cstheme="minorBidi"/>
          <w:szCs w:val="24"/>
          <w:lang w:eastAsia="en-US"/>
        </w:rPr>
      </w:pPr>
    </w:p>
    <w:p w:rsidR="00946F39" w:rsidRPr="00C2721C" w:rsidRDefault="00946F39" w:rsidP="00946F39">
      <w:pPr>
        <w:jc w:val="center"/>
        <w:rPr>
          <w:rFonts w:eastAsiaTheme="minorHAnsi" w:cstheme="minorBidi"/>
          <w:b/>
          <w:smallCaps/>
          <w:szCs w:val="24"/>
          <w:lang w:eastAsia="en-US"/>
        </w:rPr>
      </w:pPr>
      <w:proofErr w:type="spellStart"/>
      <w:r w:rsidRPr="00C2721C">
        <w:rPr>
          <w:rFonts w:eastAsiaTheme="minorHAnsi" w:cstheme="minorBidi"/>
          <w:b/>
          <w:smallCaps/>
          <w:szCs w:val="24"/>
          <w:lang w:eastAsia="en-US"/>
        </w:rPr>
        <w:t>Traduction</w:t>
      </w:r>
      <w:proofErr w:type="spellEnd"/>
      <w:r w:rsidRPr="00C2721C">
        <w:rPr>
          <w:rFonts w:eastAsiaTheme="minorHAnsi" w:cstheme="minorBidi"/>
          <w:b/>
          <w:smallCaps/>
          <w:szCs w:val="24"/>
          <w:lang w:eastAsia="en-US"/>
        </w:rPr>
        <w:t xml:space="preserve"> </w:t>
      </w:r>
      <w:proofErr w:type="spellStart"/>
      <w:r w:rsidRPr="00C2721C">
        <w:rPr>
          <w:rFonts w:eastAsiaTheme="minorHAnsi" w:cstheme="minorBidi"/>
          <w:b/>
          <w:smallCaps/>
          <w:szCs w:val="24"/>
          <w:lang w:eastAsia="en-US"/>
        </w:rPr>
        <w:t>française</w:t>
      </w:r>
      <w:proofErr w:type="spellEnd"/>
      <w:r w:rsidRPr="00C2721C">
        <w:rPr>
          <w:rFonts w:eastAsiaTheme="minorHAnsi" w:cstheme="minorBidi"/>
          <w:b/>
          <w:smallCaps/>
          <w:szCs w:val="24"/>
          <w:lang w:eastAsia="en-US"/>
        </w:rPr>
        <w:t xml:space="preserve"> </w:t>
      </w:r>
      <w:proofErr w:type="spellStart"/>
      <w:r w:rsidRPr="00C2721C">
        <w:rPr>
          <w:rFonts w:eastAsiaTheme="minorHAnsi" w:cstheme="minorBidi"/>
          <w:b/>
          <w:smallCaps/>
          <w:szCs w:val="24"/>
          <w:lang w:eastAsia="en-US"/>
        </w:rPr>
        <w:t>officielle</w:t>
      </w:r>
      <w:proofErr w:type="spellEnd"/>
    </w:p>
    <w:p w:rsidR="00946F39" w:rsidRPr="00C2721C" w:rsidRDefault="00946F39" w:rsidP="00946F39">
      <w:pPr>
        <w:rPr>
          <w:rFonts w:eastAsiaTheme="minorHAnsi" w:cstheme="minorBidi"/>
          <w:szCs w:val="24"/>
          <w:lang w:eastAsia="en-US"/>
        </w:rPr>
      </w:pPr>
    </w:p>
    <w:p w:rsidR="00946F39" w:rsidRPr="00946F39" w:rsidRDefault="00946F39" w:rsidP="00946F39">
      <w:pPr>
        <w:rPr>
          <w:rFonts w:eastAsiaTheme="minorHAnsi" w:cstheme="minorBidi"/>
          <w:szCs w:val="24"/>
          <w:lang w:val="fr-CA" w:eastAsia="en-US"/>
        </w:rPr>
      </w:pPr>
      <w:r w:rsidRPr="00946F39">
        <w:rPr>
          <w:rFonts w:eastAsiaTheme="minorHAnsi" w:cstheme="minorBidi"/>
          <w:b/>
          <w:smallCaps/>
          <w:szCs w:val="24"/>
          <w:lang w:val="fr-CA" w:eastAsia="en-US"/>
        </w:rPr>
        <w:t>Coram :</w:t>
      </w:r>
      <w:r w:rsidRPr="00946F39">
        <w:rPr>
          <w:rFonts w:eastAsiaTheme="minorHAnsi" w:cstheme="minorBidi"/>
          <w:szCs w:val="24"/>
          <w:lang w:val="fr-CA" w:eastAsia="en-US"/>
        </w:rPr>
        <w:t xml:space="preserve"> La juge en chef </w:t>
      </w:r>
      <w:proofErr w:type="spellStart"/>
      <w:r w:rsidRPr="00946F39">
        <w:rPr>
          <w:rFonts w:eastAsiaTheme="minorHAnsi" w:cstheme="minorBidi"/>
          <w:szCs w:val="24"/>
          <w:lang w:val="fr-CA" w:eastAsia="en-US"/>
        </w:rPr>
        <w:t>McLachlin</w:t>
      </w:r>
      <w:proofErr w:type="spellEnd"/>
      <w:r w:rsidRPr="00946F39">
        <w:rPr>
          <w:rFonts w:eastAsiaTheme="minorHAnsi" w:cstheme="minorBidi"/>
          <w:szCs w:val="24"/>
          <w:lang w:val="fr-CA" w:eastAsia="en-US"/>
        </w:rPr>
        <w:t xml:space="preserve"> et les juges </w:t>
      </w:r>
      <w:proofErr w:type="spellStart"/>
      <w:r w:rsidRPr="00946F39">
        <w:rPr>
          <w:rFonts w:eastAsiaTheme="minorHAnsi" w:cstheme="minorBidi"/>
          <w:szCs w:val="24"/>
          <w:lang w:val="fr-CA" w:eastAsia="en-US"/>
        </w:rPr>
        <w:t>Binnie</w:t>
      </w:r>
      <w:proofErr w:type="spellEnd"/>
      <w:r w:rsidRPr="00946F39">
        <w:rPr>
          <w:rFonts w:eastAsiaTheme="minorHAnsi" w:cstheme="minorBidi"/>
          <w:szCs w:val="24"/>
          <w:lang w:val="fr-CA" w:eastAsia="en-US"/>
        </w:rPr>
        <w:t xml:space="preserve">, </w:t>
      </w:r>
      <w:proofErr w:type="spellStart"/>
      <w:r w:rsidRPr="00946F39">
        <w:rPr>
          <w:rFonts w:eastAsiaTheme="minorHAnsi" w:cstheme="minorBidi"/>
          <w:szCs w:val="24"/>
          <w:lang w:val="fr-CA" w:eastAsia="en-US"/>
        </w:rPr>
        <w:t>LeBel</w:t>
      </w:r>
      <w:proofErr w:type="spellEnd"/>
      <w:r w:rsidRPr="00946F39">
        <w:rPr>
          <w:rFonts w:eastAsiaTheme="minorHAnsi" w:cstheme="minorBidi"/>
          <w:szCs w:val="24"/>
          <w:lang w:val="fr-CA" w:eastAsia="en-US"/>
        </w:rPr>
        <w:t xml:space="preserve">, Deschamps, Fish, Abella, Charron, </w:t>
      </w:r>
      <w:proofErr w:type="spellStart"/>
      <w:r w:rsidRPr="00946F39">
        <w:rPr>
          <w:rFonts w:eastAsiaTheme="minorHAnsi" w:cstheme="minorBidi"/>
          <w:szCs w:val="24"/>
          <w:lang w:val="fr-CA" w:eastAsia="en-US"/>
        </w:rPr>
        <w:t>Rothstein</w:t>
      </w:r>
      <w:proofErr w:type="spellEnd"/>
      <w:r w:rsidRPr="00946F39">
        <w:rPr>
          <w:rFonts w:eastAsiaTheme="minorHAnsi" w:cstheme="minorBidi"/>
          <w:szCs w:val="24"/>
          <w:lang w:val="fr-CA" w:eastAsia="en-US"/>
        </w:rPr>
        <w:t xml:space="preserve"> et Cromwell</w:t>
      </w:r>
    </w:p>
    <w:p w:rsidR="00946F39" w:rsidRPr="00946F39" w:rsidRDefault="00946F39" w:rsidP="00946F39">
      <w:pPr>
        <w:rPr>
          <w:rFonts w:eastAsiaTheme="minorHAnsi" w:cstheme="minorBidi"/>
          <w:szCs w:val="24"/>
          <w:lang w:val="fr-CA"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946F39" w:rsidRPr="00946F39" w:rsidTr="00F943DD">
        <w:trPr>
          <w:cantSplit/>
        </w:trPr>
        <w:tc>
          <w:tcPr>
            <w:tcW w:w="3618" w:type="dxa"/>
          </w:tcPr>
          <w:p w:rsidR="00946F39" w:rsidRPr="00946F39" w:rsidRDefault="00946F39" w:rsidP="00F943DD">
            <w:pPr>
              <w:rPr>
                <w:b/>
                <w:smallCaps/>
                <w:lang w:val="fr-CA"/>
              </w:rPr>
            </w:pPr>
            <w:r w:rsidRPr="00946F39">
              <w:rPr>
                <w:b/>
                <w:smallCaps/>
                <w:lang w:val="fr-CA"/>
              </w:rPr>
              <w:t>Motifs de jugement :</w:t>
            </w:r>
          </w:p>
          <w:p w:rsidR="00946F39" w:rsidRPr="00946F39" w:rsidRDefault="00946F39" w:rsidP="00F943DD">
            <w:pPr>
              <w:rPr>
                <w:lang w:val="fr-CA"/>
              </w:rPr>
            </w:pPr>
            <w:r w:rsidRPr="00946F39">
              <w:rPr>
                <w:lang w:val="fr-CA"/>
              </w:rPr>
              <w:t>(par. 1 à 35)</w:t>
            </w:r>
          </w:p>
        </w:tc>
        <w:tc>
          <w:tcPr>
            <w:tcW w:w="5958" w:type="dxa"/>
          </w:tcPr>
          <w:p w:rsidR="00946F39" w:rsidRPr="00946F39" w:rsidRDefault="00946F39" w:rsidP="00F943DD">
            <w:pPr>
              <w:rPr>
                <w:lang w:val="fr-CA"/>
              </w:rPr>
            </w:pPr>
            <w:r w:rsidRPr="00946F39">
              <w:rPr>
                <w:lang w:val="fr-CA"/>
              </w:rPr>
              <w:t xml:space="preserve">La juge Abella (avec l’accord de la juge en chef </w:t>
            </w:r>
            <w:proofErr w:type="spellStart"/>
            <w:r w:rsidRPr="00946F39">
              <w:rPr>
                <w:lang w:val="fr-CA"/>
              </w:rPr>
              <w:t>McLachlin</w:t>
            </w:r>
            <w:proofErr w:type="spellEnd"/>
            <w:r w:rsidRPr="00946F39">
              <w:rPr>
                <w:lang w:val="fr-CA"/>
              </w:rPr>
              <w:t xml:space="preserve"> et des juges </w:t>
            </w:r>
            <w:proofErr w:type="spellStart"/>
            <w:r w:rsidRPr="00946F39">
              <w:rPr>
                <w:lang w:val="fr-CA"/>
              </w:rPr>
              <w:t>Binnie</w:t>
            </w:r>
            <w:proofErr w:type="spellEnd"/>
            <w:r w:rsidRPr="00946F39">
              <w:rPr>
                <w:lang w:val="fr-CA"/>
              </w:rPr>
              <w:t xml:space="preserve">, </w:t>
            </w:r>
            <w:proofErr w:type="spellStart"/>
            <w:r w:rsidRPr="00946F39">
              <w:rPr>
                <w:lang w:val="fr-CA"/>
              </w:rPr>
              <w:t>LeBel</w:t>
            </w:r>
            <w:proofErr w:type="spellEnd"/>
            <w:r w:rsidRPr="00946F39">
              <w:rPr>
                <w:lang w:val="fr-CA"/>
              </w:rPr>
              <w:t xml:space="preserve">, Deschamps, Fish, Charron, </w:t>
            </w:r>
            <w:proofErr w:type="spellStart"/>
            <w:r w:rsidRPr="00946F39">
              <w:rPr>
                <w:lang w:val="fr-CA"/>
              </w:rPr>
              <w:t>Rothstein</w:t>
            </w:r>
            <w:proofErr w:type="spellEnd"/>
            <w:r w:rsidRPr="00946F39">
              <w:rPr>
                <w:lang w:val="fr-CA"/>
              </w:rPr>
              <w:t xml:space="preserve"> et Cromwell)</w:t>
            </w:r>
          </w:p>
        </w:tc>
      </w:tr>
    </w:tbl>
    <w:p w:rsidR="00946F39" w:rsidRPr="00946F39" w:rsidRDefault="00946F39" w:rsidP="00946F39">
      <w:pPr>
        <w:rPr>
          <w:rFonts w:eastAsiaTheme="minorHAnsi" w:cstheme="minorBidi"/>
          <w:szCs w:val="24"/>
          <w:lang w:val="fr-CA" w:eastAsia="en-US"/>
        </w:rPr>
      </w:pPr>
    </w:p>
    <w:p w:rsidR="00946F39" w:rsidRPr="00946F39" w:rsidRDefault="00946F39" w:rsidP="00946F39">
      <w:pPr>
        <w:rPr>
          <w:rFonts w:eastAsiaTheme="minorHAnsi" w:cstheme="minorBidi"/>
          <w:szCs w:val="24"/>
          <w:lang w:val="fr-CA"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946F39" w:rsidRPr="00946F39" w:rsidRDefault="00946F39" w:rsidP="00946F39">
      <w:pPr>
        <w:rPr>
          <w:rStyle w:val="SCCAppellantForRunningHeadChar"/>
          <w:lang w:val="fr-CA"/>
        </w:rPr>
      </w:pPr>
      <w:r w:rsidRPr="00946F39">
        <w:rPr>
          <w:rStyle w:val="SCCAppellantForRunningHeadChar"/>
          <w:lang w:val="fr-CA"/>
        </w:rPr>
        <w:br w:type="page"/>
      </w:r>
    </w:p>
    <w:p w:rsidR="008322BD" w:rsidRPr="00A71CC5" w:rsidRDefault="00A71CC5" w:rsidP="00EC554A">
      <w:pPr>
        <w:spacing w:line="480" w:lineRule="auto"/>
        <w:jc w:val="both"/>
        <w:rPr>
          <w:lang w:val="fr-CA"/>
        </w:rPr>
      </w:pPr>
      <w:proofErr w:type="spellStart"/>
      <w:r w:rsidRPr="00A71CC5">
        <w:rPr>
          <w:rStyle w:val="SCCAppellantForIndexChar"/>
          <w:b w:val="0"/>
          <w:lang w:val="fr-CA"/>
        </w:rPr>
        <w:lastRenderedPageBreak/>
        <w:t>Celgene</w:t>
      </w:r>
      <w:proofErr w:type="spellEnd"/>
      <w:r w:rsidRPr="00A71CC5">
        <w:rPr>
          <w:rStyle w:val="SCCAppellantForIndexChar"/>
          <w:b w:val="0"/>
          <w:lang w:val="fr-CA"/>
        </w:rPr>
        <w:t xml:space="preserve"> Corp.</w:t>
      </w:r>
      <w:r w:rsidRPr="00A71CC5">
        <w:rPr>
          <w:lang w:val="fr-CA"/>
        </w:rPr>
        <w:t xml:space="preserve"> </w:t>
      </w:r>
      <w:r w:rsidRPr="00A71CC5">
        <w:rPr>
          <w:i/>
          <w:lang w:val="fr-CA"/>
        </w:rPr>
        <w:t>c.</w:t>
      </w:r>
      <w:r w:rsidRPr="00A71CC5">
        <w:rPr>
          <w:lang w:val="fr-CA"/>
        </w:rPr>
        <w:t xml:space="preserve"> Canada (</w:t>
      </w:r>
      <w:r w:rsidRPr="00A71CC5">
        <w:rPr>
          <w:rStyle w:val="SCCRespondentForIndexChar"/>
          <w:b w:val="0"/>
          <w:lang w:val="fr-CA"/>
        </w:rPr>
        <w:t>Procureur général)</w:t>
      </w:r>
      <w:r w:rsidRPr="00A71CC5">
        <w:rPr>
          <w:rStyle w:val="SCCRespondentForRunningHeadChar"/>
          <w:lang w:val="fr-CA"/>
        </w:rPr>
        <w:t xml:space="preserve">, </w:t>
      </w:r>
      <w:r w:rsidRPr="00A71CC5">
        <w:rPr>
          <w:rStyle w:val="SCCRespondentForIndexChar"/>
          <w:b w:val="0"/>
          <w:lang w:val="fr-CA"/>
        </w:rPr>
        <w:t>2011 CSC 1, [2011] 1 R.C.S. 3</w:t>
      </w:r>
    </w:p>
    <w:p w:rsidR="00766D14" w:rsidRPr="00A71CC5" w:rsidRDefault="00766D14" w:rsidP="00EC554A">
      <w:pPr>
        <w:spacing w:line="480" w:lineRule="auto"/>
        <w:jc w:val="both"/>
        <w:rPr>
          <w:lang w:val="fr-CA"/>
        </w:rPr>
      </w:pPr>
    </w:p>
    <w:p w:rsidR="006A7FA3" w:rsidRPr="004828DB" w:rsidRDefault="008811FF" w:rsidP="000738B2">
      <w:pPr>
        <w:pStyle w:val="SCCLsocParty"/>
        <w:tabs>
          <w:tab w:val="right" w:pos="8280"/>
        </w:tabs>
        <w:rPr>
          <w:b/>
          <w:lang w:val="fr-CA"/>
        </w:rPr>
      </w:pPr>
      <w:proofErr w:type="spellStart"/>
      <w:r w:rsidRPr="004828DB">
        <w:rPr>
          <w:b/>
          <w:lang w:val="fr-CA"/>
        </w:rPr>
        <w:t>Celgene</w:t>
      </w:r>
      <w:proofErr w:type="spellEnd"/>
      <w:r w:rsidRPr="004828DB">
        <w:rPr>
          <w:b/>
          <w:lang w:val="fr-CA"/>
        </w:rPr>
        <w:t xml:space="preserve"> Corporation</w:t>
      </w:r>
      <w:r w:rsidR="00EC554A" w:rsidRPr="004828DB">
        <w:rPr>
          <w:lang w:val="fr-CA"/>
        </w:rPr>
        <w:tab/>
      </w:r>
      <w:r w:rsidRPr="004828DB">
        <w:rPr>
          <w:i/>
          <w:lang w:val="fr-CA"/>
        </w:rPr>
        <w:t>Appelante</w:t>
      </w:r>
      <w:r w:rsidRPr="004828DB">
        <w:rPr>
          <w:lang w:val="fr-CA"/>
        </w:rPr>
        <w:br/>
      </w:r>
    </w:p>
    <w:p w:rsidR="006A7FA3" w:rsidRPr="004828DB" w:rsidRDefault="008811FF" w:rsidP="000738B2">
      <w:pPr>
        <w:pStyle w:val="SCCLsocVersus"/>
        <w:rPr>
          <w:i/>
          <w:lang w:val="fr-CA"/>
        </w:rPr>
      </w:pPr>
      <w:proofErr w:type="gramStart"/>
      <w:r w:rsidRPr="004828DB">
        <w:rPr>
          <w:i/>
          <w:lang w:val="fr-CA"/>
        </w:rPr>
        <w:t>c</w:t>
      </w:r>
      <w:proofErr w:type="gramEnd"/>
      <w:r w:rsidRPr="004828DB">
        <w:rPr>
          <w:i/>
          <w:lang w:val="fr-CA"/>
        </w:rPr>
        <w:t>.</w:t>
      </w:r>
      <w:r w:rsidRPr="004828DB">
        <w:rPr>
          <w:i/>
          <w:lang w:val="fr-CA"/>
        </w:rPr>
        <w:br/>
      </w:r>
    </w:p>
    <w:p w:rsidR="006A7FA3" w:rsidRPr="004828DB" w:rsidRDefault="008811FF" w:rsidP="000738B2">
      <w:pPr>
        <w:pStyle w:val="SCCLsocParty"/>
        <w:tabs>
          <w:tab w:val="right" w:pos="8280"/>
        </w:tabs>
        <w:rPr>
          <w:b/>
          <w:lang w:val="fr-CA"/>
        </w:rPr>
      </w:pPr>
      <w:r w:rsidRPr="004828DB">
        <w:rPr>
          <w:b/>
          <w:lang w:val="fr-CA"/>
        </w:rPr>
        <w:t>Procureur général du Canada</w:t>
      </w:r>
      <w:r w:rsidR="00EC554A" w:rsidRPr="004828DB">
        <w:rPr>
          <w:lang w:val="fr-CA"/>
        </w:rPr>
        <w:tab/>
      </w:r>
      <w:r w:rsidRPr="004828DB">
        <w:rPr>
          <w:i/>
          <w:lang w:val="fr-CA"/>
        </w:rPr>
        <w:t>Intimé</w:t>
      </w:r>
    </w:p>
    <w:p w:rsidR="00766D14" w:rsidRPr="004828DB" w:rsidRDefault="00766D14" w:rsidP="00EC554A">
      <w:pPr>
        <w:spacing w:line="480" w:lineRule="auto"/>
        <w:jc w:val="both"/>
        <w:rPr>
          <w:lang w:val="fr-CA"/>
        </w:rPr>
      </w:pPr>
    </w:p>
    <w:p w:rsidR="00426659" w:rsidRPr="004828DB" w:rsidRDefault="0043088E" w:rsidP="00EC554A">
      <w:pPr>
        <w:spacing w:line="480" w:lineRule="auto"/>
        <w:jc w:val="both"/>
        <w:rPr>
          <w:lang w:val="fr-CA"/>
        </w:rPr>
      </w:pPr>
      <w:r w:rsidRPr="004828DB">
        <w:rPr>
          <w:b/>
          <w:lang w:val="fr-CA"/>
        </w:rPr>
        <w:t>Répertorié</w:t>
      </w:r>
      <w:r w:rsidR="00C67CA5" w:rsidRPr="004828DB">
        <w:rPr>
          <w:b/>
          <w:lang w:val="fr-CA"/>
        </w:rPr>
        <w:t> </w:t>
      </w:r>
      <w:r w:rsidR="00426659" w:rsidRPr="004828DB">
        <w:rPr>
          <w:b/>
          <w:lang w:val="fr-CA"/>
        </w:rPr>
        <w:t>:</w:t>
      </w:r>
      <w:r w:rsidR="00C67CA5" w:rsidRPr="004828DB">
        <w:rPr>
          <w:b/>
          <w:lang w:val="fr-CA"/>
        </w:rPr>
        <w:t> </w:t>
      </w:r>
      <w:proofErr w:type="spellStart"/>
      <w:r w:rsidRPr="004828DB">
        <w:rPr>
          <w:rStyle w:val="SCCAppellantForIndexChar"/>
          <w:lang w:val="fr-CA"/>
        </w:rPr>
        <w:t>Celgene</w:t>
      </w:r>
      <w:proofErr w:type="spellEnd"/>
      <w:r w:rsidRPr="004828DB">
        <w:rPr>
          <w:rStyle w:val="SCCAppellantForIndexChar"/>
          <w:lang w:val="fr-CA"/>
        </w:rPr>
        <w:t xml:space="preserve"> Corp</w:t>
      </w:r>
      <w:r w:rsidR="00EC554A" w:rsidRPr="004828DB">
        <w:rPr>
          <w:rStyle w:val="SCCAppellantForIndexChar"/>
          <w:lang w:val="fr-CA"/>
        </w:rPr>
        <w:t>.</w:t>
      </w:r>
      <w:r w:rsidR="00426659" w:rsidRPr="004828DB">
        <w:rPr>
          <w:b/>
          <w:lang w:val="fr-CA"/>
        </w:rPr>
        <w:t xml:space="preserve"> </w:t>
      </w:r>
      <w:r w:rsidR="00645057" w:rsidRPr="004828DB">
        <w:rPr>
          <w:b/>
          <w:i/>
          <w:lang w:val="fr-CA"/>
        </w:rPr>
        <w:t>c</w:t>
      </w:r>
      <w:r w:rsidR="00426659" w:rsidRPr="004828DB">
        <w:rPr>
          <w:b/>
          <w:i/>
          <w:lang w:val="fr-CA"/>
        </w:rPr>
        <w:t>.</w:t>
      </w:r>
      <w:r w:rsidR="00426659" w:rsidRPr="004828DB">
        <w:rPr>
          <w:b/>
          <w:lang w:val="fr-CA"/>
        </w:rPr>
        <w:t xml:space="preserve"> </w:t>
      </w:r>
      <w:r w:rsidR="00EC554A" w:rsidRPr="004828DB">
        <w:rPr>
          <w:b/>
          <w:lang w:val="fr-CA"/>
        </w:rPr>
        <w:t>Canada (</w:t>
      </w:r>
      <w:r w:rsidRPr="004828DB">
        <w:rPr>
          <w:rStyle w:val="SCCRespondentForIndexChar"/>
          <w:lang w:val="fr-CA"/>
        </w:rPr>
        <w:t>Procureur général</w:t>
      </w:r>
      <w:r w:rsidR="00EC554A" w:rsidRPr="004828DB">
        <w:rPr>
          <w:rStyle w:val="SCCRespondentForIndexChar"/>
          <w:lang w:val="fr-CA"/>
        </w:rPr>
        <w:t>)</w:t>
      </w:r>
    </w:p>
    <w:p w:rsidR="00426659" w:rsidRPr="004828DB" w:rsidRDefault="00426659" w:rsidP="00EC554A">
      <w:pPr>
        <w:spacing w:line="480" w:lineRule="auto"/>
        <w:jc w:val="both"/>
        <w:rPr>
          <w:lang w:val="fr-CA"/>
        </w:rPr>
      </w:pPr>
    </w:p>
    <w:p w:rsidR="00426659" w:rsidRPr="004828DB" w:rsidRDefault="00A60EEB" w:rsidP="00EC554A">
      <w:pPr>
        <w:pStyle w:val="SCCSystemYear"/>
        <w:spacing w:line="480" w:lineRule="auto"/>
        <w:jc w:val="both"/>
        <w:rPr>
          <w:lang w:val="fr-CA"/>
        </w:rPr>
      </w:pPr>
      <w:r w:rsidRPr="004828DB">
        <w:rPr>
          <w:lang w:val="fr-CA"/>
        </w:rPr>
        <w:t>2011</w:t>
      </w:r>
      <w:r w:rsidR="00F16548" w:rsidRPr="004828DB">
        <w:rPr>
          <w:lang w:val="fr-CA"/>
        </w:rPr>
        <w:t> </w:t>
      </w:r>
      <w:r w:rsidR="00C71F58" w:rsidRPr="004828DB">
        <w:rPr>
          <w:lang w:val="fr-CA"/>
        </w:rPr>
        <w:t>C</w:t>
      </w:r>
      <w:r w:rsidR="007444CF" w:rsidRPr="004828DB">
        <w:rPr>
          <w:lang w:val="fr-CA"/>
        </w:rPr>
        <w:t>SC 1</w:t>
      </w:r>
    </w:p>
    <w:p w:rsidR="00426659" w:rsidRPr="004828DB" w:rsidRDefault="00426659" w:rsidP="00EC554A">
      <w:pPr>
        <w:spacing w:line="480" w:lineRule="auto"/>
        <w:jc w:val="both"/>
        <w:rPr>
          <w:lang w:val="fr-CA"/>
        </w:rPr>
      </w:pPr>
    </w:p>
    <w:p w:rsidR="008322BD" w:rsidRPr="004828DB" w:rsidRDefault="009B57B3" w:rsidP="00EC554A">
      <w:pPr>
        <w:spacing w:line="480" w:lineRule="auto"/>
        <w:jc w:val="both"/>
        <w:rPr>
          <w:lang w:val="fr-CA"/>
        </w:rPr>
      </w:pPr>
      <w:r w:rsidRPr="004828DB">
        <w:rPr>
          <w:lang w:val="fr-CA"/>
        </w:rPr>
        <w:t>N</w:t>
      </w:r>
      <w:r w:rsidRPr="004828DB">
        <w:rPr>
          <w:vertAlign w:val="superscript"/>
          <w:lang w:val="fr-CA"/>
        </w:rPr>
        <w:t>o</w:t>
      </w:r>
      <w:r w:rsidR="0043088E" w:rsidRPr="004828DB">
        <w:rPr>
          <w:lang w:val="fr-CA"/>
        </w:rPr>
        <w:t xml:space="preserve"> du greffe</w:t>
      </w:r>
      <w:r w:rsidR="00C67CA5" w:rsidRPr="004828DB">
        <w:rPr>
          <w:lang w:val="fr-CA"/>
        </w:rPr>
        <w:t> </w:t>
      </w:r>
      <w:r w:rsidRPr="004828DB">
        <w:rPr>
          <w:lang w:val="fr-CA"/>
        </w:rPr>
        <w:t>:</w:t>
      </w:r>
      <w:r w:rsidR="00C67CA5" w:rsidRPr="004828DB">
        <w:rPr>
          <w:lang w:val="fr-CA"/>
        </w:rPr>
        <w:t> </w:t>
      </w:r>
      <w:r w:rsidRPr="004828DB">
        <w:rPr>
          <w:lang w:val="fr-CA"/>
        </w:rPr>
        <w:t>33579.</w:t>
      </w:r>
    </w:p>
    <w:p w:rsidR="00E97830" w:rsidRPr="004828DB" w:rsidRDefault="00E97830" w:rsidP="00EC554A">
      <w:pPr>
        <w:spacing w:line="480" w:lineRule="auto"/>
        <w:jc w:val="both"/>
        <w:rPr>
          <w:lang w:val="fr-CA"/>
        </w:rPr>
      </w:pPr>
    </w:p>
    <w:p w:rsidR="008322BD" w:rsidRPr="004828DB" w:rsidRDefault="00C0663B" w:rsidP="00EC554A">
      <w:pPr>
        <w:spacing w:line="480" w:lineRule="auto"/>
        <w:jc w:val="both"/>
        <w:rPr>
          <w:lang w:val="fr-CA"/>
        </w:rPr>
      </w:pPr>
      <w:r w:rsidRPr="004828DB">
        <w:rPr>
          <w:lang w:val="fr-CA"/>
        </w:rPr>
        <w:t>2010</w:t>
      </w:r>
      <w:r w:rsidR="003A67D4" w:rsidRPr="004828DB">
        <w:rPr>
          <w:lang w:val="fr-CA"/>
        </w:rPr>
        <w:t> </w:t>
      </w:r>
      <w:r w:rsidRPr="004828DB">
        <w:rPr>
          <w:lang w:val="fr-CA"/>
        </w:rPr>
        <w:t>:</w:t>
      </w:r>
      <w:r w:rsidR="003A67D4" w:rsidRPr="004828DB">
        <w:rPr>
          <w:lang w:val="fr-CA"/>
        </w:rPr>
        <w:t> </w:t>
      </w:r>
      <w:r w:rsidRPr="004828DB">
        <w:rPr>
          <w:lang w:val="fr-CA"/>
        </w:rPr>
        <w:t>10</w:t>
      </w:r>
      <w:r w:rsidR="003A67D4" w:rsidRPr="004828DB">
        <w:rPr>
          <w:lang w:val="fr-CA"/>
        </w:rPr>
        <w:t> </w:t>
      </w:r>
      <w:r w:rsidRPr="004828DB">
        <w:rPr>
          <w:lang w:val="fr-CA"/>
        </w:rPr>
        <w:t>novembre</w:t>
      </w:r>
      <w:r w:rsidR="009B57B3" w:rsidRPr="004828DB">
        <w:rPr>
          <w:lang w:val="fr-CA"/>
        </w:rPr>
        <w:t xml:space="preserve">; </w:t>
      </w:r>
      <w:r w:rsidR="00EC554A" w:rsidRPr="004828DB">
        <w:rPr>
          <w:lang w:val="fr-CA"/>
        </w:rPr>
        <w:t>2011 :</w:t>
      </w:r>
      <w:r w:rsidR="003A67D4" w:rsidRPr="004828DB">
        <w:rPr>
          <w:lang w:val="fr-CA"/>
        </w:rPr>
        <w:t> </w:t>
      </w:r>
      <w:r w:rsidR="00C917A1" w:rsidRPr="004828DB">
        <w:rPr>
          <w:lang w:val="fr-CA"/>
        </w:rPr>
        <w:t>20</w:t>
      </w:r>
      <w:r w:rsidR="003A67D4" w:rsidRPr="004828DB">
        <w:rPr>
          <w:lang w:val="fr-CA"/>
        </w:rPr>
        <w:t> </w:t>
      </w:r>
      <w:r w:rsidR="00C917A1" w:rsidRPr="004828DB">
        <w:rPr>
          <w:lang w:val="fr-CA"/>
        </w:rPr>
        <w:t>janvier</w:t>
      </w:r>
      <w:r w:rsidR="009B57B3" w:rsidRPr="004828DB">
        <w:rPr>
          <w:lang w:val="fr-CA"/>
        </w:rPr>
        <w:t>.</w:t>
      </w:r>
    </w:p>
    <w:p w:rsidR="00E97830" w:rsidRPr="004828DB" w:rsidRDefault="00E97830" w:rsidP="00EC554A">
      <w:pPr>
        <w:spacing w:line="480" w:lineRule="auto"/>
        <w:jc w:val="both"/>
        <w:rPr>
          <w:lang w:val="fr-CA"/>
        </w:rPr>
      </w:pPr>
    </w:p>
    <w:p w:rsidR="003A67D4" w:rsidRPr="004828DB" w:rsidRDefault="009B57B3" w:rsidP="00F16548">
      <w:pPr>
        <w:spacing w:after="720"/>
        <w:jc w:val="both"/>
        <w:rPr>
          <w:lang w:val="fr-CA"/>
        </w:rPr>
      </w:pPr>
      <w:r w:rsidRPr="004828DB">
        <w:rPr>
          <w:lang w:val="fr-CA"/>
        </w:rPr>
        <w:t>Pr</w:t>
      </w:r>
      <w:r w:rsidR="0043088E" w:rsidRPr="004828DB">
        <w:rPr>
          <w:lang w:val="fr-CA"/>
        </w:rPr>
        <w:t>é</w:t>
      </w:r>
      <w:r w:rsidRPr="004828DB">
        <w:rPr>
          <w:lang w:val="fr-CA"/>
        </w:rPr>
        <w:t>sent</w:t>
      </w:r>
      <w:r w:rsidR="008A6558" w:rsidRPr="004828DB">
        <w:rPr>
          <w:lang w:val="fr-CA"/>
        </w:rPr>
        <w:t>s</w:t>
      </w:r>
      <w:r w:rsidR="00C67CA5" w:rsidRPr="004828DB">
        <w:rPr>
          <w:lang w:val="fr-CA"/>
        </w:rPr>
        <w:t> </w:t>
      </w:r>
      <w:r w:rsidRPr="004828DB">
        <w:rPr>
          <w:lang w:val="fr-CA"/>
        </w:rPr>
        <w:t>:</w:t>
      </w:r>
      <w:r w:rsidR="00C67CA5" w:rsidRPr="004828DB">
        <w:rPr>
          <w:lang w:val="fr-CA"/>
        </w:rPr>
        <w:t> </w:t>
      </w:r>
      <w:r w:rsidRPr="004828DB">
        <w:rPr>
          <w:lang w:val="fr-CA"/>
        </w:rPr>
        <w:t xml:space="preserve">La juge en chef </w:t>
      </w:r>
      <w:proofErr w:type="spellStart"/>
      <w:r w:rsidRPr="004828DB">
        <w:rPr>
          <w:lang w:val="fr-CA"/>
        </w:rPr>
        <w:t>McLachlin</w:t>
      </w:r>
      <w:proofErr w:type="spellEnd"/>
      <w:r w:rsidRPr="004828DB">
        <w:rPr>
          <w:lang w:val="fr-CA"/>
        </w:rPr>
        <w:t xml:space="preserve"> et les juges </w:t>
      </w:r>
      <w:proofErr w:type="spellStart"/>
      <w:r w:rsidRPr="004828DB">
        <w:rPr>
          <w:lang w:val="fr-CA"/>
        </w:rPr>
        <w:t>Binnie</w:t>
      </w:r>
      <w:proofErr w:type="spellEnd"/>
      <w:r w:rsidRPr="004828DB">
        <w:rPr>
          <w:lang w:val="fr-CA"/>
        </w:rPr>
        <w:t xml:space="preserve">, </w:t>
      </w:r>
      <w:proofErr w:type="spellStart"/>
      <w:r w:rsidRPr="004828DB">
        <w:rPr>
          <w:lang w:val="fr-CA"/>
        </w:rPr>
        <w:t>LeBel</w:t>
      </w:r>
      <w:proofErr w:type="spellEnd"/>
      <w:r w:rsidRPr="004828DB">
        <w:rPr>
          <w:lang w:val="fr-CA"/>
        </w:rPr>
        <w:t xml:space="preserve">, Deschamps, Fish, Abella, Charron, </w:t>
      </w:r>
      <w:proofErr w:type="spellStart"/>
      <w:r w:rsidRPr="004828DB">
        <w:rPr>
          <w:lang w:val="fr-CA"/>
        </w:rPr>
        <w:t>Rothstein</w:t>
      </w:r>
      <w:proofErr w:type="spellEnd"/>
      <w:r w:rsidRPr="004828DB">
        <w:rPr>
          <w:lang w:val="fr-CA"/>
        </w:rPr>
        <w:t xml:space="preserve"> et Cromwell.</w:t>
      </w:r>
    </w:p>
    <w:p w:rsidR="008322BD" w:rsidRPr="004828DB" w:rsidRDefault="00AC7437" w:rsidP="005222CB">
      <w:pPr>
        <w:pStyle w:val="SCCLowerCourtNameLowercase"/>
        <w:spacing w:after="480"/>
        <w:rPr>
          <w:lang w:val="fr-CA"/>
        </w:rPr>
      </w:pPr>
      <w:r w:rsidRPr="004828DB">
        <w:rPr>
          <w:lang w:val="fr-CA"/>
        </w:rPr>
        <w:t>e</w:t>
      </w:r>
      <w:r w:rsidR="00855307" w:rsidRPr="004828DB">
        <w:rPr>
          <w:lang w:val="fr-CA"/>
        </w:rPr>
        <w:t>n</w:t>
      </w:r>
      <w:r w:rsidR="00224FC0" w:rsidRPr="004828DB">
        <w:rPr>
          <w:lang w:val="fr-CA"/>
        </w:rPr>
        <w:t xml:space="preserve"> </w:t>
      </w:r>
      <w:r w:rsidR="00855307" w:rsidRPr="004828DB">
        <w:rPr>
          <w:lang w:val="fr-CA"/>
        </w:rPr>
        <w:t>appel</w:t>
      </w:r>
      <w:r w:rsidR="00224FC0" w:rsidRPr="004828DB">
        <w:rPr>
          <w:lang w:val="fr-CA"/>
        </w:rPr>
        <w:t xml:space="preserve"> </w:t>
      </w:r>
      <w:r w:rsidR="00855307" w:rsidRPr="004828DB">
        <w:rPr>
          <w:lang w:val="fr-CA"/>
        </w:rPr>
        <w:t>de</w:t>
      </w:r>
      <w:r w:rsidR="0043088E" w:rsidRPr="004828DB">
        <w:rPr>
          <w:lang w:val="fr-CA"/>
        </w:rPr>
        <w:t xml:space="preserve"> </w:t>
      </w:r>
      <w:r w:rsidR="00855307" w:rsidRPr="004828DB">
        <w:rPr>
          <w:lang w:val="fr-CA"/>
        </w:rPr>
        <w:t>la</w:t>
      </w:r>
      <w:r w:rsidR="00224FC0" w:rsidRPr="004828DB">
        <w:rPr>
          <w:lang w:val="fr-CA"/>
        </w:rPr>
        <w:t xml:space="preserve"> </w:t>
      </w:r>
      <w:r w:rsidR="009B57B3" w:rsidRPr="004828DB">
        <w:rPr>
          <w:lang w:val="fr-CA"/>
        </w:rPr>
        <w:t>cour d</w:t>
      </w:r>
      <w:r w:rsidR="00C04A0C" w:rsidRPr="004828DB">
        <w:rPr>
          <w:lang w:val="fr-CA"/>
        </w:rPr>
        <w:t>’</w:t>
      </w:r>
      <w:r w:rsidR="009B57B3" w:rsidRPr="004828DB">
        <w:rPr>
          <w:lang w:val="fr-CA"/>
        </w:rPr>
        <w:t>appel fédérale</w:t>
      </w:r>
    </w:p>
    <w:p w:rsidR="000F2E3D" w:rsidRPr="004828DB" w:rsidRDefault="009B57B3" w:rsidP="005222CB">
      <w:pPr>
        <w:pStyle w:val="SCCNormalDoubleSpacing"/>
        <w:spacing w:after="480"/>
        <w:rPr>
          <w:i/>
          <w:lang w:val="fr-CA"/>
        </w:rPr>
      </w:pPr>
      <w:r w:rsidRPr="000F2E3D">
        <w:rPr>
          <w:lang w:val="fr-FR"/>
        </w:rPr>
        <w:tab/>
      </w:r>
      <w:r w:rsidR="000F2E3D" w:rsidRPr="004828DB">
        <w:rPr>
          <w:i/>
          <w:lang w:val="fr-CA"/>
        </w:rPr>
        <w:t>Législation ― Interprétation législative ― Portée des pouvoirs de réglementation des prix et de réparation du Conseil d</w:t>
      </w:r>
      <w:r w:rsidR="00C04A0C" w:rsidRPr="004828DB">
        <w:rPr>
          <w:i/>
          <w:lang w:val="fr-CA"/>
        </w:rPr>
        <w:t>’</w:t>
      </w:r>
      <w:r w:rsidR="000F2E3D" w:rsidRPr="004828DB">
        <w:rPr>
          <w:i/>
          <w:lang w:val="fr-CA"/>
        </w:rPr>
        <w:t xml:space="preserve">examen du prix des </w:t>
      </w:r>
      <w:r w:rsidR="000F2E3D" w:rsidRPr="004828DB">
        <w:rPr>
          <w:i/>
          <w:lang w:val="fr-CA"/>
        </w:rPr>
        <w:lastRenderedPageBreak/>
        <w:t>médicaments brevetés ― Signification de « vente [</w:t>
      </w:r>
      <w:r w:rsidR="0049106C" w:rsidRPr="004828DB">
        <w:rPr>
          <w:i/>
          <w:lang w:val="fr-CA"/>
        </w:rPr>
        <w:t>. </w:t>
      </w:r>
      <w:r w:rsidR="000F2E3D" w:rsidRPr="004828DB">
        <w:rPr>
          <w:i/>
          <w:lang w:val="fr-CA"/>
        </w:rPr>
        <w:t>.</w:t>
      </w:r>
      <w:r w:rsidR="0049106C" w:rsidRPr="004828DB">
        <w:rPr>
          <w:i/>
          <w:lang w:val="fr-CA"/>
        </w:rPr>
        <w:t> </w:t>
      </w:r>
      <w:r w:rsidR="000F2E3D" w:rsidRPr="004828DB">
        <w:rPr>
          <w:i/>
          <w:lang w:val="fr-CA"/>
        </w:rPr>
        <w:t>.] sur l</w:t>
      </w:r>
      <w:r w:rsidR="004828DB" w:rsidRPr="004828DB">
        <w:rPr>
          <w:i/>
          <w:lang w:val="fr-CA"/>
        </w:rPr>
        <w:t>[</w:t>
      </w:r>
      <w:r w:rsidR="000F2E3D" w:rsidRPr="004828DB">
        <w:rPr>
          <w:i/>
          <w:lang w:val="fr-CA"/>
        </w:rPr>
        <w:t>e</w:t>
      </w:r>
      <w:r w:rsidR="004828DB">
        <w:rPr>
          <w:i/>
          <w:lang w:val="fr-CA"/>
        </w:rPr>
        <w:t>]</w:t>
      </w:r>
      <w:r w:rsidR="000F2E3D" w:rsidRPr="004828DB">
        <w:rPr>
          <w:i/>
          <w:lang w:val="fr-CA"/>
        </w:rPr>
        <w:t xml:space="preserve"> </w:t>
      </w:r>
      <w:proofErr w:type="spellStart"/>
      <w:r w:rsidR="000F2E3D" w:rsidRPr="004828DB">
        <w:rPr>
          <w:i/>
          <w:lang w:val="fr-CA"/>
        </w:rPr>
        <w:t>march</w:t>
      </w:r>
      <w:proofErr w:type="spellEnd"/>
      <w:r w:rsidR="004828DB">
        <w:rPr>
          <w:i/>
          <w:lang w:val="fr-CA"/>
        </w:rPr>
        <w:t>[</w:t>
      </w:r>
      <w:r w:rsidR="000F2E3D" w:rsidRPr="004828DB">
        <w:rPr>
          <w:i/>
          <w:lang w:val="fr-CA"/>
        </w:rPr>
        <w:t>é</w:t>
      </w:r>
      <w:r w:rsidR="004828DB">
        <w:rPr>
          <w:i/>
          <w:lang w:val="fr-CA"/>
        </w:rPr>
        <w:t>]</w:t>
      </w:r>
      <w:r w:rsidR="000F2E3D" w:rsidRPr="004828DB">
        <w:rPr>
          <w:i/>
          <w:lang w:val="fr-CA"/>
        </w:rPr>
        <w:t xml:space="preserve"> canadien » ― Le concept doit</w:t>
      </w:r>
      <w:r w:rsidR="004828DB">
        <w:rPr>
          <w:i/>
          <w:lang w:val="fr-CA"/>
        </w:rPr>
        <w:t>-</w:t>
      </w:r>
      <w:r w:rsidR="000F2E3D" w:rsidRPr="004828DB">
        <w:rPr>
          <w:i/>
          <w:lang w:val="fr-CA"/>
        </w:rPr>
        <w:t>il être interprété en fonction des principes du droit commercial ou doit</w:t>
      </w:r>
      <w:r w:rsidR="004828DB">
        <w:rPr>
          <w:i/>
          <w:lang w:val="fr-CA"/>
        </w:rPr>
        <w:t>-</w:t>
      </w:r>
      <w:r w:rsidR="000F2E3D" w:rsidRPr="004828DB">
        <w:rPr>
          <w:i/>
          <w:lang w:val="fr-CA"/>
        </w:rPr>
        <w:t>il plutôt être défini d</w:t>
      </w:r>
      <w:r w:rsidR="00C04A0C" w:rsidRPr="004828DB">
        <w:rPr>
          <w:i/>
          <w:lang w:val="fr-CA"/>
        </w:rPr>
        <w:t>’</w:t>
      </w:r>
      <w:r w:rsidR="000F2E3D" w:rsidRPr="004828DB">
        <w:rPr>
          <w:i/>
          <w:lang w:val="fr-CA"/>
        </w:rPr>
        <w:t>une manière qui tienne compte du contexte et de l</w:t>
      </w:r>
      <w:r w:rsidR="00C04A0C" w:rsidRPr="004828DB">
        <w:rPr>
          <w:i/>
          <w:lang w:val="fr-CA"/>
        </w:rPr>
        <w:t>’</w:t>
      </w:r>
      <w:r w:rsidR="000F2E3D" w:rsidRPr="004828DB">
        <w:rPr>
          <w:i/>
          <w:lang w:val="fr-CA"/>
        </w:rPr>
        <w:t>objet de la législation pertinente? ― Loi s</w:t>
      </w:r>
      <w:r w:rsidR="0049106C" w:rsidRPr="004828DB">
        <w:rPr>
          <w:i/>
          <w:lang w:val="fr-CA"/>
        </w:rPr>
        <w:t>ur les brevets, L.R.C. 1985, ch</w:t>
      </w:r>
      <w:r w:rsidR="004828DB">
        <w:rPr>
          <w:i/>
          <w:lang w:val="fr-CA"/>
        </w:rPr>
        <w:t>.</w:t>
      </w:r>
      <w:r w:rsidR="00AF2A0B">
        <w:rPr>
          <w:i/>
          <w:lang w:val="fr-CA"/>
        </w:rPr>
        <w:t xml:space="preserve"> </w:t>
      </w:r>
      <w:r w:rsidR="000F2E3D" w:rsidRPr="004828DB">
        <w:rPr>
          <w:i/>
          <w:lang w:val="fr-CA"/>
        </w:rPr>
        <w:t>P</w:t>
      </w:r>
      <w:r w:rsidR="004828DB">
        <w:rPr>
          <w:i/>
          <w:lang w:val="fr-CA"/>
        </w:rPr>
        <w:t>-</w:t>
      </w:r>
      <w:r w:rsidR="0049106C" w:rsidRPr="004828DB">
        <w:rPr>
          <w:i/>
          <w:lang w:val="fr-CA"/>
        </w:rPr>
        <w:t>4, a</w:t>
      </w:r>
      <w:r w:rsidR="00691971" w:rsidRPr="004828DB">
        <w:rPr>
          <w:i/>
          <w:lang w:val="fr-CA"/>
        </w:rPr>
        <w:t>rt</w:t>
      </w:r>
      <w:r w:rsidR="0049106C" w:rsidRPr="004828DB">
        <w:rPr>
          <w:i/>
          <w:lang w:val="fr-CA"/>
        </w:rPr>
        <w:t>.</w:t>
      </w:r>
      <w:r w:rsidR="00AF2A0B">
        <w:rPr>
          <w:i/>
          <w:lang w:val="fr-CA"/>
        </w:rPr>
        <w:t xml:space="preserve"> </w:t>
      </w:r>
      <w:r w:rsidR="0049106C" w:rsidRPr="004828DB">
        <w:rPr>
          <w:i/>
          <w:lang w:val="fr-CA"/>
        </w:rPr>
        <w:t>80(1)b), 83(1)</w:t>
      </w:r>
      <w:r w:rsidR="004828DB">
        <w:rPr>
          <w:i/>
          <w:lang w:val="fr-CA"/>
        </w:rPr>
        <w:t>,</w:t>
      </w:r>
      <w:r w:rsidR="0049106C" w:rsidRPr="004828DB">
        <w:rPr>
          <w:i/>
          <w:lang w:val="fr-CA"/>
        </w:rPr>
        <w:t xml:space="preserve"> </w:t>
      </w:r>
      <w:r w:rsidR="000F2E3D" w:rsidRPr="004828DB">
        <w:rPr>
          <w:i/>
          <w:lang w:val="fr-CA"/>
        </w:rPr>
        <w:t>85.</w:t>
      </w:r>
    </w:p>
    <w:p w:rsidR="000F2E3D" w:rsidRPr="004828DB" w:rsidRDefault="000F2E3D" w:rsidP="005222CB">
      <w:pPr>
        <w:pStyle w:val="SCCNormalDoubleSpacing"/>
        <w:spacing w:after="480"/>
        <w:rPr>
          <w:i/>
          <w:lang w:val="fr-CA"/>
        </w:rPr>
      </w:pPr>
      <w:r w:rsidRPr="004828DB">
        <w:rPr>
          <w:lang w:val="fr-CA"/>
        </w:rPr>
        <w:tab/>
      </w:r>
      <w:r w:rsidRPr="004828DB">
        <w:rPr>
          <w:i/>
          <w:lang w:val="fr-CA"/>
        </w:rPr>
        <w:t>Droit administratif ― Contrôle judiciaire ― Norme de contrôle ― Caractère raisonnable de l</w:t>
      </w:r>
      <w:r w:rsidR="00C04A0C" w:rsidRPr="004828DB">
        <w:rPr>
          <w:i/>
          <w:lang w:val="fr-CA"/>
        </w:rPr>
        <w:t>’</w:t>
      </w:r>
      <w:r w:rsidRPr="004828DB">
        <w:rPr>
          <w:i/>
          <w:lang w:val="fr-CA"/>
        </w:rPr>
        <w:t xml:space="preserve">interprétation par le Conseil </w:t>
      </w:r>
      <w:r w:rsidR="00E62746" w:rsidRPr="004828DB">
        <w:rPr>
          <w:i/>
          <w:lang w:val="fr-CA"/>
        </w:rPr>
        <w:t xml:space="preserve">d’examen du prix des médicaments brevetés </w:t>
      </w:r>
      <w:r w:rsidRPr="004828DB">
        <w:rPr>
          <w:i/>
          <w:lang w:val="fr-CA"/>
        </w:rPr>
        <w:t>de sa loi habilitante ― Loi su</w:t>
      </w:r>
      <w:r w:rsidR="0049106C" w:rsidRPr="004828DB">
        <w:rPr>
          <w:i/>
          <w:lang w:val="fr-CA"/>
        </w:rPr>
        <w:t>r les brevets, L.R.C. 1985, ch.</w:t>
      </w:r>
      <w:r w:rsidR="00AF2A0B">
        <w:rPr>
          <w:i/>
          <w:lang w:val="fr-CA"/>
        </w:rPr>
        <w:t xml:space="preserve"> </w:t>
      </w:r>
      <w:r w:rsidRPr="004828DB">
        <w:rPr>
          <w:i/>
          <w:lang w:val="fr-CA"/>
        </w:rPr>
        <w:t>P</w:t>
      </w:r>
      <w:r w:rsidR="004828DB">
        <w:rPr>
          <w:i/>
          <w:lang w:val="fr-CA"/>
        </w:rPr>
        <w:t>-</w:t>
      </w:r>
      <w:r w:rsidRPr="004828DB">
        <w:rPr>
          <w:i/>
          <w:lang w:val="fr-CA"/>
        </w:rPr>
        <w:t>4, a</w:t>
      </w:r>
      <w:r w:rsidR="00691971" w:rsidRPr="004828DB">
        <w:rPr>
          <w:i/>
          <w:lang w:val="fr-CA"/>
        </w:rPr>
        <w:t>rt</w:t>
      </w:r>
      <w:r w:rsidRPr="004828DB">
        <w:rPr>
          <w:i/>
          <w:lang w:val="fr-CA"/>
        </w:rPr>
        <w:t>.</w:t>
      </w:r>
      <w:r w:rsidR="00AF2A0B">
        <w:rPr>
          <w:i/>
          <w:lang w:val="fr-CA"/>
        </w:rPr>
        <w:t xml:space="preserve"> </w:t>
      </w:r>
      <w:r w:rsidRPr="004828DB">
        <w:rPr>
          <w:i/>
          <w:lang w:val="fr-CA"/>
        </w:rPr>
        <w:t xml:space="preserve">80(1)b), </w:t>
      </w:r>
      <w:r w:rsidR="00691971" w:rsidRPr="004828DB">
        <w:rPr>
          <w:i/>
          <w:lang w:val="fr-CA"/>
        </w:rPr>
        <w:t>81(1),</w:t>
      </w:r>
      <w:r w:rsidR="0049106C" w:rsidRPr="004828DB">
        <w:rPr>
          <w:i/>
          <w:lang w:val="fr-CA"/>
        </w:rPr>
        <w:t xml:space="preserve"> 83(1)</w:t>
      </w:r>
      <w:r w:rsidR="004828DB">
        <w:rPr>
          <w:i/>
          <w:lang w:val="fr-CA"/>
        </w:rPr>
        <w:t>,</w:t>
      </w:r>
      <w:r w:rsidR="0049106C" w:rsidRPr="004828DB">
        <w:rPr>
          <w:i/>
          <w:lang w:val="fr-CA"/>
        </w:rPr>
        <w:t xml:space="preserve"> </w:t>
      </w:r>
      <w:r w:rsidRPr="004828DB">
        <w:rPr>
          <w:i/>
          <w:lang w:val="fr-CA"/>
        </w:rPr>
        <w:t>85.</w:t>
      </w:r>
    </w:p>
    <w:p w:rsidR="000F2E3D" w:rsidRPr="004828DB" w:rsidRDefault="000F2E3D" w:rsidP="005222CB">
      <w:pPr>
        <w:pStyle w:val="SCCNormalDoubleSpacing"/>
        <w:spacing w:after="480"/>
        <w:rPr>
          <w:lang w:val="fr-CA"/>
        </w:rPr>
      </w:pPr>
      <w:r w:rsidRPr="004828DB">
        <w:rPr>
          <w:lang w:val="fr-CA"/>
        </w:rPr>
        <w:tab/>
      </w:r>
      <w:r w:rsidRPr="004828DB">
        <w:rPr>
          <w:szCs w:val="24"/>
          <w:lang w:val="fr-CA"/>
        </w:rPr>
        <w:t xml:space="preserve">C, une société </w:t>
      </w:r>
      <w:r w:rsidRPr="004828DB">
        <w:rPr>
          <w:lang w:val="fr-CA"/>
        </w:rPr>
        <w:t>établie au New Jersey, est le distributeur d</w:t>
      </w:r>
      <w:r w:rsidR="00C04A0C" w:rsidRPr="004828DB">
        <w:rPr>
          <w:lang w:val="fr-CA"/>
        </w:rPr>
        <w:t>’</w:t>
      </w:r>
      <w:r w:rsidRPr="004828DB">
        <w:rPr>
          <w:lang w:val="fr-CA"/>
        </w:rPr>
        <w:t xml:space="preserve">un médicament vendu sous la marque nominative </w:t>
      </w:r>
      <w:proofErr w:type="spellStart"/>
      <w:r w:rsidRPr="004828DB">
        <w:rPr>
          <w:lang w:val="fr-CA"/>
        </w:rPr>
        <w:t>Thalomid</w:t>
      </w:r>
      <w:proofErr w:type="spellEnd"/>
      <w:r w:rsidRPr="004828DB">
        <w:rPr>
          <w:lang w:val="fr-CA"/>
        </w:rPr>
        <w:t>.</w:t>
      </w:r>
      <w:r w:rsidRPr="004828DB">
        <w:rPr>
          <w:szCs w:val="24"/>
          <w:lang w:val="fr-CA"/>
        </w:rPr>
        <w:t xml:space="preserve">  </w:t>
      </w:r>
      <w:r w:rsidRPr="004828DB">
        <w:rPr>
          <w:lang w:val="fr-CA"/>
        </w:rPr>
        <w:t>Depuis 1995, les ventes par C de ce médicament à des Canadiens ont été effectuées par le Programme d</w:t>
      </w:r>
      <w:r w:rsidR="00C04A0C" w:rsidRPr="004828DB">
        <w:rPr>
          <w:lang w:val="fr-CA"/>
        </w:rPr>
        <w:t>’</w:t>
      </w:r>
      <w:r w:rsidRPr="004828DB">
        <w:rPr>
          <w:lang w:val="fr-CA"/>
        </w:rPr>
        <w:t>accès spécial (« PAS »), comme C n</w:t>
      </w:r>
      <w:r w:rsidR="00C04A0C" w:rsidRPr="004828DB">
        <w:rPr>
          <w:lang w:val="fr-CA"/>
        </w:rPr>
        <w:t>’</w:t>
      </w:r>
      <w:r w:rsidRPr="004828DB">
        <w:rPr>
          <w:lang w:val="fr-CA"/>
        </w:rPr>
        <w:t>avait pas obtenu d</w:t>
      </w:r>
      <w:r w:rsidR="00C04A0C" w:rsidRPr="004828DB">
        <w:rPr>
          <w:lang w:val="fr-CA"/>
        </w:rPr>
        <w:t>’</w:t>
      </w:r>
      <w:r w:rsidRPr="004828DB">
        <w:rPr>
          <w:lang w:val="fr-CA"/>
        </w:rPr>
        <w:t xml:space="preserve">avis de conformité de Santé Canada lui permettant de vendre ce médicament au Canada.  Quand un médecin canadien commande du </w:t>
      </w:r>
      <w:proofErr w:type="spellStart"/>
      <w:r w:rsidRPr="004828DB">
        <w:rPr>
          <w:lang w:val="fr-CA"/>
        </w:rPr>
        <w:t>Thalomid</w:t>
      </w:r>
      <w:proofErr w:type="spellEnd"/>
      <w:r w:rsidRPr="004828DB">
        <w:rPr>
          <w:lang w:val="fr-CA"/>
        </w:rPr>
        <w:t xml:space="preserve"> au moyen du PAS, le médicament est empaqueté dans les bureaux de C aux États</w:t>
      </w:r>
      <w:r w:rsidR="00107BB9">
        <w:rPr>
          <w:lang w:val="fr-CA"/>
        </w:rPr>
        <w:t>-</w:t>
      </w:r>
      <w:r w:rsidRPr="004828DB">
        <w:rPr>
          <w:lang w:val="fr-CA"/>
        </w:rPr>
        <w:t xml:space="preserve">Unis et acheminé, franco à bord, au médecin au Canada.  C prépare sa facture au </w:t>
      </w:r>
      <w:r w:rsidR="00AF2A0B">
        <w:rPr>
          <w:lang w:val="fr-CA"/>
        </w:rPr>
        <w:t xml:space="preserve">New </w:t>
      </w:r>
      <w:r w:rsidRPr="004828DB">
        <w:rPr>
          <w:lang w:val="fr-CA"/>
        </w:rPr>
        <w:t>Jersey, l</w:t>
      </w:r>
      <w:r w:rsidR="00C04A0C" w:rsidRPr="004828DB">
        <w:rPr>
          <w:lang w:val="fr-CA"/>
        </w:rPr>
        <w:t>’</w:t>
      </w:r>
      <w:r w:rsidRPr="004828DB">
        <w:rPr>
          <w:lang w:val="fr-CA"/>
        </w:rPr>
        <w:t>envoie par la poste au Canada et ordonne que le paiement soit effectué en dollars américains et envoyé par messagerie ou pa</w:t>
      </w:r>
      <w:r w:rsidR="00AF2A0B">
        <w:rPr>
          <w:lang w:val="fr-CA"/>
        </w:rPr>
        <w:t xml:space="preserve">r la poste à ses bureaux du New </w:t>
      </w:r>
      <w:r w:rsidRPr="004828DB">
        <w:rPr>
          <w:lang w:val="fr-CA"/>
        </w:rPr>
        <w:t>Jersey.  Aucune taxe canadienne n</w:t>
      </w:r>
      <w:r w:rsidR="00C04A0C" w:rsidRPr="004828DB">
        <w:rPr>
          <w:lang w:val="fr-CA"/>
        </w:rPr>
        <w:t>’</w:t>
      </w:r>
      <w:r w:rsidRPr="004828DB">
        <w:rPr>
          <w:lang w:val="fr-CA"/>
        </w:rPr>
        <w:t xml:space="preserve">est perçue sur ces transactions. </w:t>
      </w:r>
      <w:r w:rsidR="0049106C" w:rsidRPr="004828DB">
        <w:rPr>
          <w:lang w:val="fr-CA"/>
        </w:rPr>
        <w:t xml:space="preserve"> </w:t>
      </w:r>
      <w:r w:rsidRPr="004828DB">
        <w:rPr>
          <w:lang w:val="fr-CA"/>
        </w:rPr>
        <w:t>Le médicament n</w:t>
      </w:r>
      <w:r w:rsidR="00C04A0C" w:rsidRPr="004828DB">
        <w:rPr>
          <w:lang w:val="fr-CA"/>
        </w:rPr>
        <w:t>’</w:t>
      </w:r>
      <w:r w:rsidRPr="004828DB">
        <w:rPr>
          <w:lang w:val="fr-CA"/>
        </w:rPr>
        <w:t>est jamais redistribué au Canada et toutes les doses inutilisées doivent être renvoyées à l</w:t>
      </w:r>
      <w:r w:rsidR="00C04A0C" w:rsidRPr="004828DB">
        <w:rPr>
          <w:lang w:val="fr-CA"/>
        </w:rPr>
        <w:t>’</w:t>
      </w:r>
      <w:r w:rsidRPr="004828DB">
        <w:rPr>
          <w:lang w:val="fr-CA"/>
        </w:rPr>
        <w:t>établissement de C en Pennsylvanie.</w:t>
      </w:r>
    </w:p>
    <w:p w:rsidR="000F2E3D" w:rsidRPr="00A40DAF" w:rsidRDefault="003A67D4" w:rsidP="005222CB">
      <w:pPr>
        <w:pStyle w:val="SCCNormalDoubleSpacing"/>
        <w:spacing w:after="480"/>
        <w:rPr>
          <w:lang w:val="fr-FR"/>
        </w:rPr>
      </w:pPr>
      <w:r w:rsidRPr="004828DB">
        <w:rPr>
          <w:lang w:val="fr-CA"/>
        </w:rPr>
        <w:lastRenderedPageBreak/>
        <w:tab/>
      </w:r>
      <w:r w:rsidR="000F2E3D" w:rsidRPr="004828DB">
        <w:rPr>
          <w:lang w:val="fr-CA"/>
        </w:rPr>
        <w:t>Quand C a obtenu un brevet canadien à l</w:t>
      </w:r>
      <w:r w:rsidR="00C04A0C" w:rsidRPr="004828DB">
        <w:rPr>
          <w:lang w:val="fr-CA"/>
        </w:rPr>
        <w:t>’</w:t>
      </w:r>
      <w:r w:rsidR="000F2E3D" w:rsidRPr="004828DB">
        <w:rPr>
          <w:lang w:val="fr-CA"/>
        </w:rPr>
        <w:t xml:space="preserve">égard du </w:t>
      </w:r>
      <w:proofErr w:type="spellStart"/>
      <w:r w:rsidR="000F2E3D" w:rsidRPr="004828DB">
        <w:rPr>
          <w:lang w:val="fr-CA"/>
        </w:rPr>
        <w:t>Thalomid</w:t>
      </w:r>
      <w:proofErr w:type="spellEnd"/>
      <w:r w:rsidR="000F2E3D" w:rsidRPr="004828DB">
        <w:rPr>
          <w:lang w:val="fr-CA"/>
        </w:rPr>
        <w:t xml:space="preserve"> en 2006, le Conseil d</w:t>
      </w:r>
      <w:r w:rsidR="00C04A0C" w:rsidRPr="004828DB">
        <w:rPr>
          <w:lang w:val="fr-CA"/>
        </w:rPr>
        <w:t>’</w:t>
      </w:r>
      <w:r w:rsidR="000F2E3D" w:rsidRPr="004828DB">
        <w:rPr>
          <w:lang w:val="fr-CA"/>
        </w:rPr>
        <w:t>examen du prix des médicaments brevetés (« Conseil ») a avisé C qu</w:t>
      </w:r>
      <w:r w:rsidR="00C04A0C" w:rsidRPr="004828DB">
        <w:rPr>
          <w:lang w:val="fr-CA"/>
        </w:rPr>
        <w:t>’</w:t>
      </w:r>
      <w:r w:rsidR="000F2E3D" w:rsidRPr="004828DB">
        <w:rPr>
          <w:lang w:val="fr-CA"/>
        </w:rPr>
        <w:t>il pouvait maintenant exiger d</w:t>
      </w:r>
      <w:r w:rsidR="00C04A0C" w:rsidRPr="004828DB">
        <w:rPr>
          <w:lang w:val="fr-CA"/>
        </w:rPr>
        <w:t>’</w:t>
      </w:r>
      <w:r w:rsidR="000F2E3D" w:rsidRPr="004828DB">
        <w:rPr>
          <w:lang w:val="fr-CA"/>
        </w:rPr>
        <w:t xml:space="preserve">elle les renseignements sur le prix à compter de la date de la première vente de </w:t>
      </w:r>
      <w:proofErr w:type="spellStart"/>
      <w:r w:rsidR="000F2E3D" w:rsidRPr="004828DB">
        <w:rPr>
          <w:lang w:val="fr-CA"/>
        </w:rPr>
        <w:t>Thalomid</w:t>
      </w:r>
      <w:proofErr w:type="spellEnd"/>
      <w:r w:rsidR="000F2E3D" w:rsidRPr="004828DB">
        <w:rPr>
          <w:lang w:val="fr-CA"/>
        </w:rPr>
        <w:t xml:space="preserve"> dans le cadre du PAS, soit en 1995. </w:t>
      </w:r>
      <w:r w:rsidR="0049106C" w:rsidRPr="004828DB">
        <w:rPr>
          <w:lang w:val="fr-CA"/>
        </w:rPr>
        <w:t xml:space="preserve"> </w:t>
      </w:r>
      <w:r w:rsidR="000F2E3D" w:rsidRPr="004828DB">
        <w:rPr>
          <w:lang w:val="fr-CA"/>
        </w:rPr>
        <w:t>C a d</w:t>
      </w:r>
      <w:r w:rsidR="00C04A0C" w:rsidRPr="004828DB">
        <w:rPr>
          <w:lang w:val="fr-CA"/>
        </w:rPr>
        <w:t>’</w:t>
      </w:r>
      <w:r w:rsidR="000F2E3D" w:rsidRPr="004828DB">
        <w:rPr>
          <w:lang w:val="fr-CA"/>
        </w:rPr>
        <w:t>abord fourni quelques renseignements sur le prix; cependant, elle a refusé de fournir d</w:t>
      </w:r>
      <w:r w:rsidR="00C04A0C" w:rsidRPr="004828DB">
        <w:rPr>
          <w:lang w:val="fr-CA"/>
        </w:rPr>
        <w:t>’</w:t>
      </w:r>
      <w:r w:rsidR="000F2E3D" w:rsidRPr="004828DB">
        <w:rPr>
          <w:lang w:val="fr-CA"/>
        </w:rPr>
        <w:t>autres renseignements au motif que, en vertu des principes du droit commercial, la « vente » du médicament était effectuée au New</w:t>
      </w:r>
      <w:r w:rsidR="00107BB9">
        <w:rPr>
          <w:lang w:val="fr-CA"/>
        </w:rPr>
        <w:t xml:space="preserve"> </w:t>
      </w:r>
      <w:r w:rsidR="000F2E3D" w:rsidRPr="004828DB">
        <w:rPr>
          <w:lang w:val="fr-CA"/>
        </w:rPr>
        <w:t>Jersey et que le Conseil n</w:t>
      </w:r>
      <w:r w:rsidR="00C04A0C" w:rsidRPr="004828DB">
        <w:rPr>
          <w:lang w:val="fr-CA"/>
        </w:rPr>
        <w:t>’</w:t>
      </w:r>
      <w:r w:rsidR="000F2E3D" w:rsidRPr="004828DB">
        <w:rPr>
          <w:lang w:val="fr-CA"/>
        </w:rPr>
        <w:t>avait pas le pouvoir d</w:t>
      </w:r>
      <w:r w:rsidR="00C04A0C" w:rsidRPr="004828DB">
        <w:rPr>
          <w:lang w:val="fr-CA"/>
        </w:rPr>
        <w:t>’</w:t>
      </w:r>
      <w:r w:rsidR="000F2E3D" w:rsidRPr="004828DB">
        <w:rPr>
          <w:lang w:val="fr-CA"/>
        </w:rPr>
        <w:t>exiger les renseignements visés à l</w:t>
      </w:r>
      <w:r w:rsidR="00C04A0C" w:rsidRPr="004828DB">
        <w:rPr>
          <w:lang w:val="fr-CA"/>
        </w:rPr>
        <w:t>’</w:t>
      </w:r>
      <w:r w:rsidR="000F2E3D" w:rsidRPr="004828DB">
        <w:rPr>
          <w:lang w:val="fr-CA"/>
        </w:rPr>
        <w:t>al.</w:t>
      </w:r>
      <w:r w:rsidR="00107BB9">
        <w:rPr>
          <w:lang w:val="fr-CA"/>
        </w:rPr>
        <w:t xml:space="preserve"> </w:t>
      </w:r>
      <w:r w:rsidR="000F2E3D" w:rsidRPr="004828DB">
        <w:rPr>
          <w:lang w:val="fr-CA"/>
        </w:rPr>
        <w:t>80(1)</w:t>
      </w:r>
      <w:r w:rsidR="000F2E3D" w:rsidRPr="004828DB">
        <w:rPr>
          <w:i/>
          <w:lang w:val="fr-CA"/>
        </w:rPr>
        <w:t>b</w:t>
      </w:r>
      <w:r w:rsidR="000F2E3D" w:rsidRPr="004828DB">
        <w:rPr>
          <w:lang w:val="fr-CA"/>
        </w:rPr>
        <w:t xml:space="preserve">) de la </w:t>
      </w:r>
      <w:r w:rsidR="000F2E3D" w:rsidRPr="004828DB">
        <w:rPr>
          <w:i/>
          <w:lang w:val="fr-CA"/>
        </w:rPr>
        <w:t>Loi sur les brevets</w:t>
      </w:r>
      <w:r w:rsidR="000F2E3D" w:rsidRPr="004828DB">
        <w:rPr>
          <w:lang w:val="fr-CA"/>
        </w:rPr>
        <w:t>.  Le Conseil</w:t>
      </w:r>
      <w:r w:rsidR="000F2E3D" w:rsidRPr="004828DB">
        <w:rPr>
          <w:color w:val="000000"/>
          <w:lang w:val="fr-CA"/>
        </w:rPr>
        <w:t xml:space="preserve"> </w:t>
      </w:r>
      <w:r w:rsidR="000F2E3D" w:rsidRPr="004828DB">
        <w:rPr>
          <w:lang w:val="fr-CA"/>
        </w:rPr>
        <w:t xml:space="preserve"> a conclu que les ventes de </w:t>
      </w:r>
      <w:proofErr w:type="spellStart"/>
      <w:r w:rsidR="000F2E3D" w:rsidRPr="004828DB">
        <w:rPr>
          <w:lang w:val="fr-CA"/>
        </w:rPr>
        <w:t>Thalomid</w:t>
      </w:r>
      <w:proofErr w:type="spellEnd"/>
      <w:r w:rsidR="000F2E3D" w:rsidRPr="004828DB">
        <w:rPr>
          <w:lang w:val="fr-CA"/>
        </w:rPr>
        <w:t xml:space="preserve"> à des Canadiens réalisées par C dans le cadre du PAS constituaient des ventes « sur l</w:t>
      </w:r>
      <w:r w:rsidR="004828DB">
        <w:rPr>
          <w:lang w:val="fr-CA"/>
        </w:rPr>
        <w:t>[</w:t>
      </w:r>
      <w:r w:rsidR="000F2E3D" w:rsidRPr="004828DB">
        <w:rPr>
          <w:lang w:val="fr-CA"/>
        </w:rPr>
        <w:t>e</w:t>
      </w:r>
      <w:r w:rsidR="004828DB">
        <w:rPr>
          <w:lang w:val="fr-CA"/>
        </w:rPr>
        <w:t>]</w:t>
      </w:r>
      <w:r w:rsidR="00595B2F" w:rsidRPr="004828DB">
        <w:rPr>
          <w:lang w:val="fr-CA"/>
        </w:rPr>
        <w:t xml:space="preserve"> </w:t>
      </w:r>
      <w:proofErr w:type="spellStart"/>
      <w:r w:rsidR="000F2E3D" w:rsidRPr="004828DB">
        <w:rPr>
          <w:lang w:val="fr-CA"/>
        </w:rPr>
        <w:t>march</w:t>
      </w:r>
      <w:proofErr w:type="spellEnd"/>
      <w:r w:rsidR="004828DB">
        <w:rPr>
          <w:lang w:val="fr-CA"/>
        </w:rPr>
        <w:t>[</w:t>
      </w:r>
      <w:r w:rsidR="000F2E3D" w:rsidRPr="004828DB">
        <w:rPr>
          <w:lang w:val="fr-CA"/>
        </w:rPr>
        <w:t>é</w:t>
      </w:r>
      <w:r w:rsidR="004828DB">
        <w:rPr>
          <w:lang w:val="fr-CA"/>
        </w:rPr>
        <w:t>]</w:t>
      </w:r>
      <w:r w:rsidR="00595B2F" w:rsidRPr="004828DB">
        <w:rPr>
          <w:lang w:val="fr-CA"/>
        </w:rPr>
        <w:t xml:space="preserve"> </w:t>
      </w:r>
      <w:r w:rsidR="000F2E3D" w:rsidRPr="004828DB">
        <w:rPr>
          <w:lang w:val="fr-CA"/>
        </w:rPr>
        <w:t>canadien » et relevaient de sa compétence en matière d</w:t>
      </w:r>
      <w:r w:rsidR="00C04A0C" w:rsidRPr="004828DB">
        <w:rPr>
          <w:lang w:val="fr-CA"/>
        </w:rPr>
        <w:t>’</w:t>
      </w:r>
      <w:r w:rsidR="000F2E3D" w:rsidRPr="004828DB">
        <w:rPr>
          <w:lang w:val="fr-CA"/>
        </w:rPr>
        <w:t xml:space="preserve">enquête sur les prix et de ses pouvoirs de réparation connexes. </w:t>
      </w:r>
      <w:r w:rsidR="0049106C" w:rsidRPr="004828DB">
        <w:rPr>
          <w:lang w:val="fr-CA"/>
        </w:rPr>
        <w:t xml:space="preserve"> </w:t>
      </w:r>
      <w:r w:rsidR="000F2E3D" w:rsidRPr="00A40DAF">
        <w:rPr>
          <w:lang w:val="fr-FR"/>
        </w:rPr>
        <w:t>La décision du Conseil a d</w:t>
      </w:r>
      <w:r w:rsidR="00C04A0C">
        <w:rPr>
          <w:lang w:val="fr-FR"/>
        </w:rPr>
        <w:t>’</w:t>
      </w:r>
      <w:r w:rsidR="000F2E3D" w:rsidRPr="00A40DAF">
        <w:rPr>
          <w:lang w:val="fr-FR"/>
        </w:rPr>
        <w:t>abord été infirmée lors du contrôle judiciaire, mais la Cour d</w:t>
      </w:r>
      <w:r w:rsidR="00C04A0C">
        <w:rPr>
          <w:lang w:val="fr-FR"/>
        </w:rPr>
        <w:t>’</w:t>
      </w:r>
      <w:r w:rsidR="000F2E3D" w:rsidRPr="00A40DAF">
        <w:rPr>
          <w:lang w:val="fr-FR"/>
        </w:rPr>
        <w:t>appel fédérale a souscrit à l</w:t>
      </w:r>
      <w:r w:rsidR="00C04A0C">
        <w:rPr>
          <w:lang w:val="fr-FR"/>
        </w:rPr>
        <w:t>’</w:t>
      </w:r>
      <w:r w:rsidR="000F2E3D" w:rsidRPr="00A40DAF">
        <w:rPr>
          <w:lang w:val="fr-FR"/>
        </w:rPr>
        <w:t xml:space="preserve">interprétation faite par le Conseil de son mandat. </w:t>
      </w:r>
    </w:p>
    <w:p w:rsidR="000F2E3D" w:rsidRPr="00A40DAF" w:rsidRDefault="000F2E3D" w:rsidP="005222CB">
      <w:pPr>
        <w:pStyle w:val="SCCNormalDoubleSpacing"/>
        <w:spacing w:after="480"/>
        <w:rPr>
          <w:lang w:val="fr-FR"/>
        </w:rPr>
      </w:pPr>
      <w:r w:rsidRPr="00A40DAF">
        <w:rPr>
          <w:lang w:val="fr-FR"/>
        </w:rPr>
        <w:tab/>
      </w:r>
      <w:r w:rsidRPr="00A40DAF">
        <w:rPr>
          <w:i/>
          <w:lang w:val="fr-FR"/>
        </w:rPr>
        <w:t>Arrêt</w:t>
      </w:r>
      <w:r w:rsidRPr="00A40DAF">
        <w:rPr>
          <w:rStyle w:val="QuoteChar"/>
          <w:lang w:val="fr-FR"/>
        </w:rPr>
        <w:t> </w:t>
      </w:r>
      <w:r w:rsidRPr="00A40DAF">
        <w:rPr>
          <w:rStyle w:val="QuoteChar"/>
          <w:i w:val="0"/>
          <w:lang w:val="fr-FR"/>
        </w:rPr>
        <w:t>:</w:t>
      </w:r>
      <w:r w:rsidR="00595B2F">
        <w:rPr>
          <w:lang w:val="fr-FR"/>
        </w:rPr>
        <w:t xml:space="preserve"> </w:t>
      </w:r>
      <w:r w:rsidRPr="00A40DAF">
        <w:rPr>
          <w:lang w:val="fr-FR"/>
        </w:rPr>
        <w:t>Le pourvoi est rejeté.</w:t>
      </w:r>
    </w:p>
    <w:p w:rsidR="000F2E3D" w:rsidRPr="006535F5" w:rsidRDefault="003A67D4" w:rsidP="005222CB">
      <w:pPr>
        <w:pStyle w:val="SCCNormalDoubleSpacing"/>
        <w:spacing w:after="480"/>
        <w:rPr>
          <w:b/>
          <w:lang w:val="fr-FR"/>
        </w:rPr>
      </w:pPr>
      <w:r w:rsidRPr="004828DB">
        <w:rPr>
          <w:lang w:val="fr-CA"/>
        </w:rPr>
        <w:tab/>
      </w:r>
      <w:r w:rsidR="000F2E3D" w:rsidRPr="004828DB">
        <w:rPr>
          <w:lang w:val="fr-CA"/>
        </w:rPr>
        <w:t>Le contexte législatif, ainsi que l</w:t>
      </w:r>
      <w:r w:rsidR="00C04A0C" w:rsidRPr="004828DB">
        <w:rPr>
          <w:lang w:val="fr-CA"/>
        </w:rPr>
        <w:t>’</w:t>
      </w:r>
      <w:r w:rsidR="000F2E3D" w:rsidRPr="004828DB">
        <w:rPr>
          <w:lang w:val="fr-CA"/>
        </w:rPr>
        <w:t>objectif de protection du consommateur de l</w:t>
      </w:r>
      <w:r w:rsidR="00C04A0C" w:rsidRPr="004828DB">
        <w:rPr>
          <w:lang w:val="fr-CA"/>
        </w:rPr>
        <w:t>’</w:t>
      </w:r>
      <w:r w:rsidR="00AF2A0B">
        <w:rPr>
          <w:lang w:val="fr-CA"/>
        </w:rPr>
        <w:t xml:space="preserve">al. </w:t>
      </w:r>
      <w:r w:rsidR="000F2E3D" w:rsidRPr="004828DB">
        <w:rPr>
          <w:lang w:val="fr-CA"/>
        </w:rPr>
        <w:t>80(1)</w:t>
      </w:r>
      <w:r w:rsidR="000F2E3D" w:rsidRPr="004828DB">
        <w:rPr>
          <w:i/>
          <w:lang w:val="fr-CA"/>
        </w:rPr>
        <w:t>b</w:t>
      </w:r>
      <w:r w:rsidR="000F2E3D" w:rsidRPr="004828DB">
        <w:rPr>
          <w:lang w:val="fr-CA"/>
        </w:rPr>
        <w:t>),</w:t>
      </w:r>
      <w:r w:rsidR="00AF2A0B">
        <w:rPr>
          <w:lang w:val="fr-CA"/>
        </w:rPr>
        <w:t xml:space="preserve"> du par. </w:t>
      </w:r>
      <w:r w:rsidR="000F2E3D" w:rsidRPr="004828DB">
        <w:rPr>
          <w:lang w:val="fr-CA"/>
        </w:rPr>
        <w:t>83(1) et de l</w:t>
      </w:r>
      <w:r w:rsidR="00C04A0C" w:rsidRPr="004828DB">
        <w:rPr>
          <w:lang w:val="fr-CA"/>
        </w:rPr>
        <w:t>’</w:t>
      </w:r>
      <w:r w:rsidR="00AF2A0B">
        <w:rPr>
          <w:lang w:val="fr-CA"/>
        </w:rPr>
        <w:t xml:space="preserve">art. </w:t>
      </w:r>
      <w:r w:rsidR="000F2E3D" w:rsidRPr="004828DB">
        <w:rPr>
          <w:lang w:val="fr-CA"/>
        </w:rPr>
        <w:t xml:space="preserve">85 de la </w:t>
      </w:r>
      <w:r w:rsidR="000F2E3D" w:rsidRPr="004828DB">
        <w:rPr>
          <w:i/>
          <w:lang w:val="fr-CA"/>
        </w:rPr>
        <w:t>Loi sur les brevets</w:t>
      </w:r>
      <w:r w:rsidR="000F2E3D" w:rsidRPr="004828DB">
        <w:rPr>
          <w:lang w:val="fr-CA"/>
        </w:rPr>
        <w:t xml:space="preserve"> étayent la conclusion du Conseil selon laquelle, d</w:t>
      </w:r>
      <w:r w:rsidR="00C04A0C" w:rsidRPr="004828DB">
        <w:rPr>
          <w:lang w:val="fr-CA"/>
        </w:rPr>
        <w:t>’</w:t>
      </w:r>
      <w:r w:rsidR="000F2E3D" w:rsidRPr="004828DB">
        <w:rPr>
          <w:lang w:val="fr-CA"/>
        </w:rPr>
        <w:t>après le libellé de ces dispositions, il a compétence sur le</w:t>
      </w:r>
      <w:r w:rsidR="004828DB">
        <w:rPr>
          <w:lang w:val="fr-CA"/>
        </w:rPr>
        <w:t xml:space="preserve">s ventes de </w:t>
      </w:r>
      <w:proofErr w:type="spellStart"/>
      <w:r w:rsidR="004828DB">
        <w:rPr>
          <w:lang w:val="fr-CA"/>
        </w:rPr>
        <w:t>Thalomid</w:t>
      </w:r>
      <w:proofErr w:type="spellEnd"/>
      <w:r w:rsidR="004828DB">
        <w:rPr>
          <w:lang w:val="fr-CA"/>
        </w:rPr>
        <w:t xml:space="preserve"> par C</w:t>
      </w:r>
      <w:r w:rsidR="000F2E3D" w:rsidRPr="004828DB">
        <w:rPr>
          <w:lang w:val="fr-CA"/>
        </w:rPr>
        <w:t xml:space="preserve"> à des Canadiens dans le cadre du PAS. </w:t>
      </w:r>
      <w:r w:rsidRPr="004828DB">
        <w:rPr>
          <w:lang w:val="fr-CA"/>
        </w:rPr>
        <w:t xml:space="preserve"> </w:t>
      </w:r>
      <w:r w:rsidR="000F2E3D" w:rsidRPr="004828DB">
        <w:rPr>
          <w:lang w:val="fr-CA"/>
        </w:rPr>
        <w:t>Le Conseil pouvait à bon droit conclure que pour respecter son mandat, il fallait, pour l</w:t>
      </w:r>
      <w:r w:rsidR="00C04A0C" w:rsidRPr="004828DB">
        <w:rPr>
          <w:lang w:val="fr-CA"/>
        </w:rPr>
        <w:t>’</w:t>
      </w:r>
      <w:r w:rsidR="000F2E3D" w:rsidRPr="004828DB">
        <w:rPr>
          <w:lang w:val="fr-CA"/>
        </w:rPr>
        <w:t>application des dispositions pertinentes, considérer que les ventes « sur l</w:t>
      </w:r>
      <w:r w:rsidR="00E62746">
        <w:rPr>
          <w:lang w:val="fr-CA"/>
        </w:rPr>
        <w:t>[</w:t>
      </w:r>
      <w:r w:rsidR="000F2E3D" w:rsidRPr="004828DB">
        <w:rPr>
          <w:lang w:val="fr-CA"/>
        </w:rPr>
        <w:t>e</w:t>
      </w:r>
      <w:r w:rsidR="00E62746">
        <w:rPr>
          <w:lang w:val="fr-CA"/>
        </w:rPr>
        <w:t>]</w:t>
      </w:r>
      <w:r w:rsidR="00595B2F" w:rsidRPr="004828DB">
        <w:rPr>
          <w:lang w:val="fr-CA"/>
        </w:rPr>
        <w:t xml:space="preserve"> </w:t>
      </w:r>
      <w:proofErr w:type="spellStart"/>
      <w:r w:rsidR="000F2E3D" w:rsidRPr="004828DB">
        <w:rPr>
          <w:lang w:val="fr-CA"/>
        </w:rPr>
        <w:lastRenderedPageBreak/>
        <w:t>march</w:t>
      </w:r>
      <w:proofErr w:type="spellEnd"/>
      <w:r w:rsidR="00E62746">
        <w:rPr>
          <w:lang w:val="fr-CA"/>
        </w:rPr>
        <w:t>[</w:t>
      </w:r>
      <w:r w:rsidR="000F2E3D" w:rsidRPr="004828DB">
        <w:rPr>
          <w:lang w:val="fr-CA"/>
        </w:rPr>
        <w:t>é</w:t>
      </w:r>
      <w:r w:rsidR="00E62746">
        <w:rPr>
          <w:lang w:val="fr-CA"/>
        </w:rPr>
        <w:t>]</w:t>
      </w:r>
      <w:r w:rsidR="00595B2F" w:rsidRPr="004828DB">
        <w:rPr>
          <w:lang w:val="fr-CA"/>
        </w:rPr>
        <w:t xml:space="preserve"> </w:t>
      </w:r>
      <w:r w:rsidR="000F2E3D" w:rsidRPr="004828DB">
        <w:rPr>
          <w:lang w:val="fr-CA"/>
        </w:rPr>
        <w:t>canadien » ou « sur un marché canadien » couvrent</w:t>
      </w:r>
      <w:r w:rsidR="000F2E3D" w:rsidRPr="004828DB">
        <w:rPr>
          <w:b/>
          <w:lang w:val="fr-CA"/>
        </w:rPr>
        <w:t xml:space="preserve"> </w:t>
      </w:r>
      <w:r w:rsidR="000F2E3D" w:rsidRPr="004828DB">
        <w:rPr>
          <w:lang w:val="fr-CA"/>
        </w:rPr>
        <w:t xml:space="preserve">les ventes des médicaments régis par le droit public au Canada, qui sont livrés et administrés au Canada ainsi que les prix lorsque le coût du médicament est à la charge des Canadiens. </w:t>
      </w:r>
      <w:r w:rsidRPr="004828DB">
        <w:rPr>
          <w:lang w:val="fr-CA"/>
        </w:rPr>
        <w:t xml:space="preserve"> </w:t>
      </w:r>
      <w:r w:rsidR="000F2E3D" w:rsidRPr="004828DB">
        <w:rPr>
          <w:lang w:val="fr-CA"/>
        </w:rPr>
        <w:t xml:space="preserve">Les ventes de </w:t>
      </w:r>
      <w:proofErr w:type="spellStart"/>
      <w:r w:rsidR="000F2E3D" w:rsidRPr="004828DB">
        <w:rPr>
          <w:lang w:val="fr-CA"/>
        </w:rPr>
        <w:t>Thalomid</w:t>
      </w:r>
      <w:proofErr w:type="spellEnd"/>
      <w:r w:rsidR="000F2E3D" w:rsidRPr="004828DB">
        <w:rPr>
          <w:lang w:val="fr-CA"/>
        </w:rPr>
        <w:t xml:space="preserve"> aux Canadiens effectuées par C dans le cadre du PAS remplissent toutes ces conditions.</w:t>
      </w:r>
    </w:p>
    <w:p w:rsidR="000F2E3D" w:rsidRPr="004828DB" w:rsidRDefault="00E62746" w:rsidP="005222CB">
      <w:pPr>
        <w:pStyle w:val="SCCNormalDoubleSpacing"/>
        <w:spacing w:after="480"/>
        <w:rPr>
          <w:szCs w:val="24"/>
          <w:lang w:val="fr-CA"/>
        </w:rPr>
      </w:pPr>
      <w:r>
        <w:rPr>
          <w:szCs w:val="24"/>
          <w:lang w:val="fr-CA"/>
        </w:rPr>
        <w:tab/>
      </w:r>
      <w:r w:rsidR="000F2E3D" w:rsidRPr="004828DB">
        <w:rPr>
          <w:szCs w:val="24"/>
          <w:lang w:val="fr-CA"/>
        </w:rPr>
        <w:t>L</w:t>
      </w:r>
      <w:r w:rsidR="00C04A0C" w:rsidRPr="004828DB">
        <w:rPr>
          <w:szCs w:val="24"/>
          <w:lang w:val="fr-CA"/>
        </w:rPr>
        <w:t>’</w:t>
      </w:r>
      <w:r w:rsidR="000F2E3D" w:rsidRPr="004828DB">
        <w:rPr>
          <w:szCs w:val="24"/>
          <w:lang w:val="fr-CA"/>
        </w:rPr>
        <w:t xml:space="preserve">interprétation par le Conseil de son mandat au titre des dispositions en litige  respectait son objectif en matière de protection des consommateurs et ne devrait pas être modifiée. </w:t>
      </w:r>
      <w:r w:rsidR="003A67D4" w:rsidRPr="004828DB">
        <w:rPr>
          <w:szCs w:val="24"/>
          <w:lang w:val="fr-CA"/>
        </w:rPr>
        <w:t xml:space="preserve"> </w:t>
      </w:r>
      <w:r w:rsidR="000F2E3D" w:rsidRPr="004828DB">
        <w:rPr>
          <w:szCs w:val="24"/>
          <w:lang w:val="fr-CA"/>
        </w:rPr>
        <w:t xml:space="preserve">Le Conseil est chargé de </w:t>
      </w:r>
      <w:r w:rsidR="000F2E3D" w:rsidRPr="004828DB">
        <w:rPr>
          <w:lang w:val="fr-CA" w:bidi="en-US"/>
        </w:rPr>
        <w:t>veiller à ce que le breveté n</w:t>
      </w:r>
      <w:r w:rsidR="00C04A0C" w:rsidRPr="004828DB">
        <w:rPr>
          <w:lang w:val="fr-CA" w:bidi="en-US"/>
        </w:rPr>
        <w:t>’</w:t>
      </w:r>
      <w:r w:rsidR="000F2E3D" w:rsidRPr="004828DB">
        <w:rPr>
          <w:lang w:val="fr-CA" w:bidi="en-US"/>
        </w:rPr>
        <w:t>abuse pas financièrement du monopole découlant de la délivrance d</w:t>
      </w:r>
      <w:r w:rsidR="00C04A0C" w:rsidRPr="004828DB">
        <w:rPr>
          <w:lang w:val="fr-CA" w:bidi="en-US"/>
        </w:rPr>
        <w:t>’</w:t>
      </w:r>
      <w:r w:rsidR="000F2E3D" w:rsidRPr="004828DB">
        <w:rPr>
          <w:lang w:val="fr-CA" w:bidi="en-US"/>
        </w:rPr>
        <w:t>un brevet, au détriment des consommateurs canadiens</w:t>
      </w:r>
      <w:r w:rsidR="000F2E3D" w:rsidRPr="004828DB">
        <w:rPr>
          <w:szCs w:val="24"/>
          <w:lang w:val="fr-CA"/>
        </w:rPr>
        <w:t xml:space="preserve">.  Bien que </w:t>
      </w:r>
      <w:r w:rsidR="000F2E3D" w:rsidRPr="004828DB">
        <w:rPr>
          <w:lang w:val="fr-CA"/>
        </w:rPr>
        <w:t>les mots tels que « vente » puissent fort bien avoir le sens qui leur est attribué en droit commercial dans certains contextes législatifs, accepter la définition technique de droit commercial</w:t>
      </w:r>
      <w:r w:rsidR="000F2E3D" w:rsidRPr="004828DB">
        <w:rPr>
          <w:szCs w:val="24"/>
          <w:lang w:val="fr-CA"/>
        </w:rPr>
        <w:t xml:space="preserve"> dans ce cas irait à l</w:t>
      </w:r>
      <w:r w:rsidR="00C04A0C" w:rsidRPr="004828DB">
        <w:rPr>
          <w:szCs w:val="24"/>
          <w:lang w:val="fr-CA"/>
        </w:rPr>
        <w:t>’</w:t>
      </w:r>
      <w:r w:rsidR="000F2E3D" w:rsidRPr="004828DB">
        <w:rPr>
          <w:szCs w:val="24"/>
          <w:lang w:val="fr-CA"/>
        </w:rPr>
        <w:t xml:space="preserve">encontre des </w:t>
      </w:r>
      <w:r w:rsidR="000F2E3D" w:rsidRPr="004828DB">
        <w:rPr>
          <w:lang w:val="fr-CA"/>
        </w:rPr>
        <w:t>objectifs de protection du consommateur du Conseil</w:t>
      </w:r>
      <w:r w:rsidR="000F2E3D" w:rsidRPr="004828DB">
        <w:rPr>
          <w:szCs w:val="24"/>
          <w:lang w:val="fr-CA"/>
        </w:rPr>
        <w:t xml:space="preserve"> en l</w:t>
      </w:r>
      <w:r w:rsidR="00C04A0C" w:rsidRPr="004828DB">
        <w:rPr>
          <w:szCs w:val="24"/>
          <w:lang w:val="fr-CA"/>
        </w:rPr>
        <w:t>’</w:t>
      </w:r>
      <w:r w:rsidR="000F2E3D" w:rsidRPr="004828DB">
        <w:rPr>
          <w:szCs w:val="24"/>
          <w:lang w:val="fr-CA"/>
        </w:rPr>
        <w:t xml:space="preserve">empêchant de </w:t>
      </w:r>
      <w:r w:rsidR="000F2E3D" w:rsidRPr="004828DB">
        <w:rPr>
          <w:lang w:val="fr-CA"/>
        </w:rPr>
        <w:t xml:space="preserve">protéger les acheteurs canadiens de médicaments entrant </w:t>
      </w:r>
      <w:r w:rsidR="00401037" w:rsidRPr="004828DB">
        <w:rPr>
          <w:lang w:val="fr-CA"/>
        </w:rPr>
        <w:t>au Canada dans le cadre du PAS.</w:t>
      </w:r>
    </w:p>
    <w:p w:rsidR="000F2E3D" w:rsidRPr="004828DB" w:rsidRDefault="00E62746" w:rsidP="005222CB">
      <w:pPr>
        <w:pStyle w:val="SCCNormalDoubleSpacing"/>
        <w:spacing w:after="480"/>
        <w:rPr>
          <w:szCs w:val="24"/>
          <w:lang w:val="fr-CA"/>
        </w:rPr>
      </w:pPr>
      <w:r>
        <w:rPr>
          <w:szCs w:val="24"/>
          <w:lang w:val="fr-CA"/>
        </w:rPr>
        <w:tab/>
      </w:r>
      <w:r w:rsidR="000F2E3D" w:rsidRPr="004828DB">
        <w:rPr>
          <w:szCs w:val="24"/>
          <w:lang w:val="fr-CA"/>
        </w:rPr>
        <w:t>Même si l</w:t>
      </w:r>
      <w:r w:rsidR="000F2E3D" w:rsidRPr="004828DB">
        <w:rPr>
          <w:lang w:val="fr-CA"/>
        </w:rPr>
        <w:t xml:space="preserve">a décision du Conseil est inattaquable, quelle que soit la norme de contrôle appliquée, la norme de la décision </w:t>
      </w:r>
      <w:r w:rsidR="00C23E98" w:rsidRPr="004828DB">
        <w:rPr>
          <w:lang w:val="fr-CA"/>
        </w:rPr>
        <w:t>raisonnable</w:t>
      </w:r>
      <w:r w:rsidR="000F2E3D" w:rsidRPr="004828DB">
        <w:rPr>
          <w:lang w:val="fr-CA"/>
        </w:rPr>
        <w:t xml:space="preserve"> est la norme applicable.</w:t>
      </w:r>
    </w:p>
    <w:p w:rsidR="007E1C47" w:rsidRPr="004828DB" w:rsidRDefault="0043088E" w:rsidP="008510F3">
      <w:pPr>
        <w:pStyle w:val="SCCNormalDoubleSpacing"/>
        <w:keepNext/>
        <w:spacing w:after="480"/>
        <w:rPr>
          <w:b/>
          <w:lang w:val="fr-CA"/>
        </w:rPr>
      </w:pPr>
      <w:r w:rsidRPr="004828DB">
        <w:rPr>
          <w:b/>
          <w:lang w:val="fr-CA"/>
        </w:rPr>
        <w:lastRenderedPageBreak/>
        <w:t>Jurisprudence</w:t>
      </w:r>
    </w:p>
    <w:p w:rsidR="002E6705" w:rsidRPr="004828DB" w:rsidRDefault="002E6705" w:rsidP="005222CB">
      <w:pPr>
        <w:pStyle w:val="SCCNormalDoubleSpacing"/>
        <w:spacing w:after="480"/>
        <w:rPr>
          <w:b/>
          <w:lang w:val="fr-CA"/>
        </w:rPr>
      </w:pPr>
      <w:r w:rsidRPr="004828DB">
        <w:rPr>
          <w:lang w:val="fr-CA"/>
        </w:rPr>
        <w:tab/>
      </w:r>
      <w:r w:rsidR="006F75AC" w:rsidRPr="00AF4D8A">
        <w:rPr>
          <w:b/>
          <w:szCs w:val="24"/>
        </w:rPr>
        <w:fldChar w:fldCharType="begin"/>
      </w:r>
      <w:r w:rsidR="00AF4D8A" w:rsidRPr="004828DB">
        <w:rPr>
          <w:b/>
          <w:szCs w:val="24"/>
          <w:lang w:val="fr-CA"/>
        </w:rPr>
        <w:instrText xml:space="preserve"> SEQ CHAPTER \h \r 1</w:instrText>
      </w:r>
      <w:r w:rsidR="006F75AC" w:rsidRPr="00AF4D8A">
        <w:rPr>
          <w:b/>
          <w:szCs w:val="24"/>
        </w:rPr>
        <w:fldChar w:fldCharType="end"/>
      </w:r>
      <w:r w:rsidR="00AF4D8A" w:rsidRPr="004828DB">
        <w:rPr>
          <w:b/>
          <w:szCs w:val="24"/>
          <w:lang w:val="fr-CA"/>
        </w:rPr>
        <w:t>Distinction d</w:t>
      </w:r>
      <w:r w:rsidR="00C04A0C" w:rsidRPr="004828DB">
        <w:rPr>
          <w:b/>
          <w:szCs w:val="24"/>
          <w:lang w:val="fr-CA"/>
        </w:rPr>
        <w:t>’</w:t>
      </w:r>
      <w:r w:rsidR="005222CB" w:rsidRPr="004828DB">
        <w:rPr>
          <w:b/>
          <w:szCs w:val="24"/>
          <w:lang w:val="fr-CA"/>
        </w:rPr>
        <w:t xml:space="preserve">avec </w:t>
      </w:r>
      <w:r w:rsidR="00AF4D8A" w:rsidRPr="004828DB">
        <w:rPr>
          <w:b/>
          <w:szCs w:val="24"/>
          <w:lang w:val="fr-CA"/>
        </w:rPr>
        <w:t>l</w:t>
      </w:r>
      <w:r w:rsidR="00C04A0C" w:rsidRPr="004828DB">
        <w:rPr>
          <w:b/>
          <w:szCs w:val="24"/>
          <w:lang w:val="fr-CA"/>
        </w:rPr>
        <w:t>’</w:t>
      </w:r>
      <w:r w:rsidR="00AF4D8A" w:rsidRPr="004828DB">
        <w:rPr>
          <w:b/>
          <w:szCs w:val="24"/>
          <w:lang w:val="fr-CA"/>
        </w:rPr>
        <w:t>arrêt :</w:t>
      </w:r>
      <w:r w:rsidR="00AF4D8A" w:rsidRPr="004828DB">
        <w:rPr>
          <w:szCs w:val="24"/>
          <w:lang w:val="fr-CA"/>
        </w:rPr>
        <w:t xml:space="preserve"> </w:t>
      </w:r>
      <w:r w:rsidR="00AF4D8A" w:rsidRPr="004828DB">
        <w:rPr>
          <w:i/>
          <w:lang w:val="fr-CA"/>
        </w:rPr>
        <w:t>Canada (Sous</w:t>
      </w:r>
      <w:r w:rsidR="00107BB9">
        <w:rPr>
          <w:i/>
          <w:lang w:val="fr-CA"/>
        </w:rPr>
        <w:t>-</w:t>
      </w:r>
      <w:r w:rsidR="00AF4D8A" w:rsidRPr="004828DB">
        <w:rPr>
          <w:i/>
          <w:lang w:val="fr-CA"/>
        </w:rPr>
        <w:t>ministre du Revenu national) c. Mattel Canada Inc.</w:t>
      </w:r>
      <w:r w:rsidR="00AF4D8A" w:rsidRPr="004828DB">
        <w:rPr>
          <w:lang w:val="fr-CA"/>
        </w:rPr>
        <w:t>, 2001 CSC 36, [2001] 2 R.C.S. 100;</w:t>
      </w:r>
      <w:r w:rsidR="00AF4D8A" w:rsidRPr="004828DB">
        <w:rPr>
          <w:szCs w:val="24"/>
          <w:lang w:val="fr-CA"/>
        </w:rPr>
        <w:t xml:space="preserve"> </w:t>
      </w:r>
      <w:r w:rsidR="00AF4D8A" w:rsidRPr="004828DB">
        <w:rPr>
          <w:b/>
          <w:lang w:val="fr-CA"/>
        </w:rPr>
        <w:t>a</w:t>
      </w:r>
      <w:r w:rsidR="0043088E" w:rsidRPr="004828DB">
        <w:rPr>
          <w:b/>
          <w:lang w:val="fr-CA"/>
        </w:rPr>
        <w:t>rrêts mentionnés</w:t>
      </w:r>
      <w:r w:rsidR="00F33658" w:rsidRPr="004828DB">
        <w:rPr>
          <w:b/>
          <w:lang w:val="fr-CA"/>
        </w:rPr>
        <w:t> </w:t>
      </w:r>
      <w:r w:rsidRPr="004828DB">
        <w:rPr>
          <w:b/>
          <w:lang w:val="fr-CA"/>
        </w:rPr>
        <w:t>:</w:t>
      </w:r>
      <w:r w:rsidR="00172A04" w:rsidRPr="004828DB">
        <w:rPr>
          <w:lang w:val="fr-CA"/>
        </w:rPr>
        <w:t xml:space="preserve"> </w:t>
      </w:r>
      <w:proofErr w:type="spellStart"/>
      <w:r w:rsidR="000B6D11" w:rsidRPr="004828DB">
        <w:rPr>
          <w:i/>
          <w:lang w:val="fr-CA"/>
        </w:rPr>
        <w:t>Dunsmuir</w:t>
      </w:r>
      <w:proofErr w:type="spellEnd"/>
      <w:r w:rsidR="000B6D11" w:rsidRPr="004828DB">
        <w:rPr>
          <w:i/>
          <w:lang w:val="fr-CA"/>
        </w:rPr>
        <w:t xml:space="preserve"> c. Nouveau</w:t>
      </w:r>
      <w:r w:rsidR="00107BB9">
        <w:rPr>
          <w:i/>
          <w:lang w:val="fr-CA"/>
        </w:rPr>
        <w:t>-</w:t>
      </w:r>
      <w:r w:rsidR="000B6D11" w:rsidRPr="004828DB">
        <w:rPr>
          <w:i/>
          <w:lang w:val="fr-CA"/>
        </w:rPr>
        <w:t>Brunswick</w:t>
      </w:r>
      <w:r w:rsidR="000B6D11" w:rsidRPr="004828DB">
        <w:rPr>
          <w:lang w:val="fr-CA"/>
        </w:rPr>
        <w:t>, 2008 CSC 9, [2008] 1 R.C.S. 190;</w:t>
      </w:r>
      <w:r w:rsidR="000B6D11" w:rsidRPr="004828DB">
        <w:rPr>
          <w:color w:val="000000"/>
          <w:lang w:val="fr-CA"/>
        </w:rPr>
        <w:t xml:space="preserve"> </w:t>
      </w:r>
      <w:r w:rsidR="006F75AC" w:rsidRPr="000B6D11">
        <w:rPr>
          <w:i/>
          <w:szCs w:val="24"/>
        </w:rPr>
        <w:fldChar w:fldCharType="begin"/>
      </w:r>
      <w:r w:rsidR="000B6D11" w:rsidRPr="004828DB">
        <w:rPr>
          <w:i/>
          <w:szCs w:val="24"/>
          <w:lang w:val="fr-CA"/>
        </w:rPr>
        <w:instrText xml:space="preserve"> SEQ CHAPTER \h \r 1</w:instrText>
      </w:r>
      <w:r w:rsidR="006F75AC" w:rsidRPr="000B6D11">
        <w:rPr>
          <w:i/>
          <w:szCs w:val="24"/>
        </w:rPr>
        <w:fldChar w:fldCharType="end"/>
      </w:r>
      <w:r w:rsidR="000B6D11" w:rsidRPr="004828DB">
        <w:rPr>
          <w:i/>
          <w:szCs w:val="24"/>
          <w:lang w:val="fr-CA"/>
        </w:rPr>
        <w:t xml:space="preserve">Alliance de la Fonction publique du Canada c. </w:t>
      </w:r>
      <w:proofErr w:type="spellStart"/>
      <w:r w:rsidR="000B6D11" w:rsidRPr="004828DB">
        <w:rPr>
          <w:i/>
          <w:szCs w:val="24"/>
          <w:lang w:val="fr-CA"/>
        </w:rPr>
        <w:t>Assoc</w:t>
      </w:r>
      <w:proofErr w:type="spellEnd"/>
      <w:r w:rsidR="000B6D11" w:rsidRPr="004828DB">
        <w:rPr>
          <w:i/>
          <w:szCs w:val="24"/>
          <w:lang w:val="fr-CA"/>
        </w:rPr>
        <w:t>. des pilotes fédéraux du Canada</w:t>
      </w:r>
      <w:r w:rsidR="000B6D11" w:rsidRPr="004828DB">
        <w:rPr>
          <w:color w:val="000000"/>
          <w:lang w:val="fr-CA"/>
        </w:rPr>
        <w:t xml:space="preserve">, 2009 CAF 223, [2010] 3 R.C.F. 219; </w:t>
      </w:r>
      <w:r w:rsidR="003A539C" w:rsidRPr="004828DB">
        <w:rPr>
          <w:i/>
          <w:lang w:val="fr-CA" w:bidi="en-US"/>
        </w:rPr>
        <w:t xml:space="preserve">Hypothèques </w:t>
      </w:r>
      <w:proofErr w:type="spellStart"/>
      <w:r w:rsidR="003A539C" w:rsidRPr="004828DB">
        <w:rPr>
          <w:i/>
          <w:lang w:val="fr-CA" w:bidi="en-US"/>
        </w:rPr>
        <w:t>Trustco</w:t>
      </w:r>
      <w:proofErr w:type="spellEnd"/>
      <w:r w:rsidR="003A539C" w:rsidRPr="004828DB">
        <w:rPr>
          <w:i/>
          <w:lang w:val="fr-CA" w:bidi="en-US"/>
        </w:rPr>
        <w:t xml:space="preserve"> Canada c. Canada</w:t>
      </w:r>
      <w:r w:rsidR="003A539C" w:rsidRPr="004828DB">
        <w:rPr>
          <w:lang w:val="fr-CA" w:bidi="en-US"/>
        </w:rPr>
        <w:t>, 2005 CSC 54,</w:t>
      </w:r>
      <w:r w:rsidR="003A539C" w:rsidRPr="004828DB">
        <w:rPr>
          <w:lang w:val="fr-CA"/>
        </w:rPr>
        <w:t xml:space="preserve"> </w:t>
      </w:r>
      <w:r w:rsidR="003A539C" w:rsidRPr="004828DB">
        <w:rPr>
          <w:lang w:val="fr-CA" w:bidi="en-US"/>
        </w:rPr>
        <w:t>[2005] 2 R.C.S. 601</w:t>
      </w:r>
      <w:r w:rsidR="00E12B10" w:rsidRPr="004828DB">
        <w:rPr>
          <w:lang w:val="fr-CA" w:bidi="en-US"/>
        </w:rPr>
        <w:t xml:space="preserve">; </w:t>
      </w:r>
      <w:r w:rsidR="005D332E" w:rsidRPr="004828DB">
        <w:rPr>
          <w:i/>
          <w:lang w:val="fr-CA"/>
        </w:rPr>
        <w:t xml:space="preserve">Dole </w:t>
      </w:r>
      <w:proofErr w:type="spellStart"/>
      <w:r w:rsidR="005D332E" w:rsidRPr="004828DB">
        <w:rPr>
          <w:i/>
          <w:lang w:val="fr-CA"/>
        </w:rPr>
        <w:t>Refrigerating</w:t>
      </w:r>
      <w:proofErr w:type="spellEnd"/>
      <w:r w:rsidR="005D332E" w:rsidRPr="004828DB">
        <w:rPr>
          <w:i/>
          <w:lang w:val="fr-CA"/>
        </w:rPr>
        <w:t xml:space="preserve"> </w:t>
      </w:r>
      <w:proofErr w:type="spellStart"/>
      <w:r w:rsidR="005D332E" w:rsidRPr="004828DB">
        <w:rPr>
          <w:i/>
          <w:lang w:val="fr-CA"/>
        </w:rPr>
        <w:t>Products</w:t>
      </w:r>
      <w:proofErr w:type="spellEnd"/>
      <w:r w:rsidR="005D332E" w:rsidRPr="004828DB">
        <w:rPr>
          <w:i/>
          <w:lang w:val="fr-CA"/>
        </w:rPr>
        <w:t xml:space="preserve"> Ltd. c. Canadian </w:t>
      </w:r>
      <w:proofErr w:type="spellStart"/>
      <w:r w:rsidR="005D332E" w:rsidRPr="004828DB">
        <w:rPr>
          <w:i/>
          <w:lang w:val="fr-CA"/>
        </w:rPr>
        <w:t>Ice</w:t>
      </w:r>
      <w:proofErr w:type="spellEnd"/>
      <w:r w:rsidR="005D332E" w:rsidRPr="004828DB">
        <w:rPr>
          <w:i/>
          <w:lang w:val="fr-CA"/>
        </w:rPr>
        <w:t xml:space="preserve"> Machine Co. </w:t>
      </w:r>
      <w:r w:rsidR="005D332E" w:rsidRPr="005D332E">
        <w:rPr>
          <w:lang w:val="en-US"/>
        </w:rPr>
        <w:t>(1957), 2</w:t>
      </w:r>
      <w:r w:rsidR="00DE5789">
        <w:rPr>
          <w:lang w:val="en-US"/>
        </w:rPr>
        <w:t>8(2)</w:t>
      </w:r>
      <w:r w:rsidR="005D332E" w:rsidRPr="005D332E">
        <w:rPr>
          <w:lang w:val="en-US"/>
        </w:rPr>
        <w:t xml:space="preserve"> C.P.R. </w:t>
      </w:r>
      <w:r w:rsidR="00DE5789">
        <w:rPr>
          <w:lang w:val="en-US"/>
        </w:rPr>
        <w:t>32</w:t>
      </w:r>
      <w:r w:rsidR="005D332E" w:rsidRPr="005D332E">
        <w:rPr>
          <w:lang w:val="en-US"/>
        </w:rPr>
        <w:t xml:space="preserve">; </w:t>
      </w:r>
      <w:proofErr w:type="spellStart"/>
      <w:r w:rsidR="005D332E">
        <w:rPr>
          <w:i/>
          <w:lang w:val="en-US"/>
        </w:rPr>
        <w:t>Domco</w:t>
      </w:r>
      <w:proofErr w:type="spellEnd"/>
      <w:r w:rsidR="005D332E">
        <w:rPr>
          <w:i/>
          <w:lang w:val="en-US"/>
        </w:rPr>
        <w:t xml:space="preserve"> Industries Ltd. c</w:t>
      </w:r>
      <w:r w:rsidR="005D332E" w:rsidRPr="005D332E">
        <w:rPr>
          <w:i/>
          <w:lang w:val="en-US"/>
        </w:rPr>
        <w:t>. Mannington Mills</w:t>
      </w:r>
      <w:r w:rsidR="004828DB">
        <w:rPr>
          <w:i/>
          <w:lang w:val="en-US"/>
        </w:rPr>
        <w:t>,</w:t>
      </w:r>
      <w:r w:rsidR="005D332E" w:rsidRPr="005D332E">
        <w:rPr>
          <w:i/>
          <w:lang w:val="en-US"/>
        </w:rPr>
        <w:t xml:space="preserve"> Inc.</w:t>
      </w:r>
      <w:r w:rsidR="005D332E" w:rsidRPr="005D332E">
        <w:rPr>
          <w:lang w:val="en-US"/>
        </w:rPr>
        <w:t xml:space="preserve"> </w:t>
      </w:r>
      <w:r w:rsidR="005D332E" w:rsidRPr="004828DB">
        <w:rPr>
          <w:lang w:val="fr-CA"/>
        </w:rPr>
        <w:t xml:space="preserve">(1990), 29 C.P.R. (3d) 481, </w:t>
      </w:r>
      <w:r w:rsidR="006F75AC">
        <w:rPr>
          <w:szCs w:val="24"/>
        </w:rPr>
        <w:fldChar w:fldCharType="begin"/>
      </w:r>
      <w:r w:rsidR="005D332E" w:rsidRPr="004828DB">
        <w:rPr>
          <w:szCs w:val="24"/>
          <w:lang w:val="fr-CA"/>
        </w:rPr>
        <w:instrText xml:space="preserve"> SEQ CHAPTER \h \r 1</w:instrText>
      </w:r>
      <w:r w:rsidR="006F75AC">
        <w:rPr>
          <w:szCs w:val="24"/>
        </w:rPr>
        <w:fldChar w:fldCharType="end"/>
      </w:r>
      <w:r w:rsidR="005D332E" w:rsidRPr="004828DB">
        <w:rPr>
          <w:szCs w:val="24"/>
          <w:lang w:val="fr-CA"/>
        </w:rPr>
        <w:t>autorisation d</w:t>
      </w:r>
      <w:r w:rsidR="00E62746">
        <w:rPr>
          <w:szCs w:val="24"/>
          <w:lang w:val="fr-CA"/>
        </w:rPr>
        <w:t>’appel</w:t>
      </w:r>
      <w:r w:rsidR="005D332E" w:rsidRPr="004828DB">
        <w:rPr>
          <w:szCs w:val="24"/>
          <w:lang w:val="fr-CA"/>
        </w:rPr>
        <w:t xml:space="preserve"> refusée, </w:t>
      </w:r>
      <w:r w:rsidR="005D332E" w:rsidRPr="004828DB">
        <w:rPr>
          <w:lang w:val="fr-CA"/>
        </w:rPr>
        <w:t>[1990] 2 R.C.S. vi</w:t>
      </w:r>
      <w:r w:rsidR="009A4808" w:rsidRPr="004828DB">
        <w:rPr>
          <w:lang w:val="fr-CA"/>
        </w:rPr>
        <w:t xml:space="preserve">; </w:t>
      </w:r>
      <w:r w:rsidR="009A4808" w:rsidRPr="004828DB">
        <w:rPr>
          <w:i/>
          <w:iCs/>
          <w:lang w:val="fr-CA"/>
        </w:rPr>
        <w:t>ICN Pharmaceuticals</w:t>
      </w:r>
      <w:r w:rsidR="00F24B0A">
        <w:rPr>
          <w:i/>
          <w:iCs/>
          <w:lang w:val="fr-CA"/>
        </w:rPr>
        <w:t>,</w:t>
      </w:r>
      <w:r w:rsidR="009A4808" w:rsidRPr="004828DB">
        <w:rPr>
          <w:i/>
          <w:iCs/>
          <w:lang w:val="fr-CA"/>
        </w:rPr>
        <w:t xml:space="preserve"> Inc. c. </w:t>
      </w:r>
      <w:r w:rsidR="004828DB" w:rsidRPr="004828DB">
        <w:rPr>
          <w:i/>
          <w:iCs/>
          <w:lang w:val="fr-CA"/>
        </w:rPr>
        <w:t>Canada (Personnel du Conseil d’examen du prix des m</w:t>
      </w:r>
      <w:r w:rsidR="004828DB">
        <w:rPr>
          <w:i/>
          <w:iCs/>
          <w:lang w:val="fr-CA"/>
        </w:rPr>
        <w:t>édicaments brevetés)</w:t>
      </w:r>
      <w:r w:rsidR="009A4808" w:rsidRPr="004828DB">
        <w:rPr>
          <w:lang w:val="fr-CA"/>
        </w:rPr>
        <w:t>, [1996] A.C.F. n</w:t>
      </w:r>
      <w:r w:rsidR="009A4808" w:rsidRPr="004828DB">
        <w:rPr>
          <w:vertAlign w:val="superscript"/>
          <w:lang w:val="fr-CA"/>
        </w:rPr>
        <w:t>o</w:t>
      </w:r>
      <w:r w:rsidR="00AF2A0B">
        <w:rPr>
          <w:lang w:val="fr-CA"/>
        </w:rPr>
        <w:t xml:space="preserve"> </w:t>
      </w:r>
      <w:r w:rsidR="009A4808" w:rsidRPr="004828DB">
        <w:rPr>
          <w:lang w:val="fr-CA"/>
        </w:rPr>
        <w:t xml:space="preserve">206 (QL), </w:t>
      </w:r>
      <w:proofErr w:type="spellStart"/>
      <w:r w:rsidR="009A4808" w:rsidRPr="004828DB">
        <w:rPr>
          <w:lang w:val="fr-CA"/>
        </w:rPr>
        <w:t>conf</w:t>
      </w:r>
      <w:proofErr w:type="spellEnd"/>
      <w:r w:rsidR="009A4808" w:rsidRPr="004828DB">
        <w:rPr>
          <w:lang w:val="fr-CA"/>
        </w:rPr>
        <w:t>. par [1997] 1 C.F. 32</w:t>
      </w:r>
      <w:r w:rsidR="00962949" w:rsidRPr="004828DB">
        <w:rPr>
          <w:lang w:val="fr-CA"/>
        </w:rPr>
        <w:t>;</w:t>
      </w:r>
      <w:r w:rsidR="00A74E91" w:rsidRPr="004828DB">
        <w:rPr>
          <w:i/>
          <w:lang w:val="fr-CA"/>
        </w:rPr>
        <w:t xml:space="preserve"> </w:t>
      </w:r>
      <w:r w:rsidR="00962949" w:rsidRPr="004828DB">
        <w:rPr>
          <w:i/>
          <w:lang w:val="fr-CA"/>
        </w:rPr>
        <w:t xml:space="preserve">Canada (Citoyenneté et Immigration) c. </w:t>
      </w:r>
      <w:proofErr w:type="spellStart"/>
      <w:r w:rsidR="00962949" w:rsidRPr="004828DB">
        <w:rPr>
          <w:i/>
          <w:lang w:val="fr-CA"/>
        </w:rPr>
        <w:t>Khosa</w:t>
      </w:r>
      <w:proofErr w:type="spellEnd"/>
      <w:r w:rsidR="00962949" w:rsidRPr="004828DB">
        <w:rPr>
          <w:lang w:val="fr-CA"/>
        </w:rPr>
        <w:t>, 2009 CSC 12, [2009] 1 R.C.S. 339;</w:t>
      </w:r>
      <w:r w:rsidR="00962949" w:rsidRPr="004828DB">
        <w:rPr>
          <w:b/>
          <w:lang w:val="fr-CA"/>
        </w:rPr>
        <w:t xml:space="preserve"> </w:t>
      </w:r>
      <w:r w:rsidR="00962949" w:rsidRPr="004828DB">
        <w:rPr>
          <w:i/>
          <w:lang w:val="fr-CA"/>
        </w:rPr>
        <w:t>Nolan c. Kerry (Canada) Inc.</w:t>
      </w:r>
      <w:r w:rsidR="00962949" w:rsidRPr="004828DB">
        <w:rPr>
          <w:lang w:val="fr-CA"/>
        </w:rPr>
        <w:t>, 2009 CSC 39, [2009] 2 R.C.S. 678</w:t>
      </w:r>
      <w:r w:rsidR="00CF4A2E" w:rsidRPr="004828DB">
        <w:rPr>
          <w:lang w:val="fr-CA"/>
        </w:rPr>
        <w:t>.</w:t>
      </w:r>
    </w:p>
    <w:p w:rsidR="00231F3A" w:rsidRPr="004828DB" w:rsidRDefault="0043088E" w:rsidP="005222CB">
      <w:pPr>
        <w:pStyle w:val="SCCNormalDoubleSpacing"/>
        <w:keepNext/>
        <w:spacing w:after="480"/>
        <w:rPr>
          <w:b/>
          <w:lang w:val="fr-CA"/>
        </w:rPr>
      </w:pPr>
      <w:r w:rsidRPr="004828DB">
        <w:rPr>
          <w:b/>
          <w:lang w:val="fr-CA"/>
        </w:rPr>
        <w:t>Lois</w:t>
      </w:r>
      <w:r w:rsidR="002E6705" w:rsidRPr="004828DB">
        <w:rPr>
          <w:b/>
          <w:lang w:val="fr-CA"/>
        </w:rPr>
        <w:t xml:space="preserve"> </w:t>
      </w:r>
      <w:r w:rsidR="008A6558" w:rsidRPr="004828DB">
        <w:rPr>
          <w:b/>
          <w:lang w:val="fr-CA"/>
        </w:rPr>
        <w:t>et</w:t>
      </w:r>
      <w:r w:rsidR="002E6705" w:rsidRPr="004828DB">
        <w:rPr>
          <w:b/>
          <w:lang w:val="fr-CA"/>
        </w:rPr>
        <w:t xml:space="preserve"> </w:t>
      </w:r>
      <w:r w:rsidRPr="004828DB">
        <w:rPr>
          <w:b/>
          <w:lang w:val="fr-CA"/>
        </w:rPr>
        <w:t>rè</w:t>
      </w:r>
      <w:r w:rsidR="002E6705" w:rsidRPr="004828DB">
        <w:rPr>
          <w:b/>
          <w:lang w:val="fr-CA"/>
        </w:rPr>
        <w:t>gl</w:t>
      </w:r>
      <w:r w:rsidRPr="004828DB">
        <w:rPr>
          <w:b/>
          <w:lang w:val="fr-CA"/>
        </w:rPr>
        <w:t>ements</w:t>
      </w:r>
      <w:r w:rsidR="002E6705" w:rsidRPr="004828DB">
        <w:rPr>
          <w:b/>
          <w:lang w:val="fr-CA"/>
        </w:rPr>
        <w:t xml:space="preserve"> </w:t>
      </w:r>
      <w:r w:rsidRPr="004828DB">
        <w:rPr>
          <w:b/>
          <w:lang w:val="fr-CA"/>
        </w:rPr>
        <w:t>c</w:t>
      </w:r>
      <w:r w:rsidR="002E6705" w:rsidRPr="004828DB">
        <w:rPr>
          <w:b/>
          <w:lang w:val="fr-CA"/>
        </w:rPr>
        <w:t>it</w:t>
      </w:r>
      <w:r w:rsidRPr="004828DB">
        <w:rPr>
          <w:b/>
          <w:lang w:val="fr-CA"/>
        </w:rPr>
        <w:t>és</w:t>
      </w:r>
    </w:p>
    <w:p w:rsidR="00CC7013" w:rsidRPr="004828DB" w:rsidRDefault="00CC7013" w:rsidP="005222CB">
      <w:pPr>
        <w:pStyle w:val="SCCNormalDoubleSpacing"/>
        <w:spacing w:line="240" w:lineRule="auto"/>
        <w:rPr>
          <w:color w:val="000000"/>
          <w:lang w:val="fr-CA"/>
        </w:rPr>
      </w:pPr>
      <w:r w:rsidRPr="004828DB">
        <w:rPr>
          <w:i/>
          <w:color w:val="000000"/>
          <w:lang w:val="fr-CA"/>
        </w:rPr>
        <w:t>Loi de 1992 modifiant la Loi sur les brevets</w:t>
      </w:r>
      <w:r w:rsidRPr="004828DB">
        <w:rPr>
          <w:color w:val="000000"/>
          <w:lang w:val="fr-CA"/>
        </w:rPr>
        <w:t>, L.C. 1993, ch</w:t>
      </w:r>
      <w:r w:rsidR="003A67D4" w:rsidRPr="004828DB">
        <w:rPr>
          <w:color w:val="000000"/>
          <w:lang w:val="fr-CA"/>
        </w:rPr>
        <w:t>.</w:t>
      </w:r>
      <w:r w:rsidR="00AF2A0B">
        <w:rPr>
          <w:color w:val="000000"/>
          <w:lang w:val="fr-CA"/>
        </w:rPr>
        <w:t xml:space="preserve"> </w:t>
      </w:r>
      <w:r w:rsidRPr="004828DB">
        <w:rPr>
          <w:color w:val="000000"/>
          <w:lang w:val="fr-CA"/>
        </w:rPr>
        <w:t>2.</w:t>
      </w:r>
    </w:p>
    <w:p w:rsidR="005222CB" w:rsidRPr="004828DB" w:rsidRDefault="005222CB" w:rsidP="005222CB">
      <w:pPr>
        <w:pStyle w:val="SCCNormalDoubleSpacing"/>
        <w:spacing w:line="240" w:lineRule="auto"/>
        <w:rPr>
          <w:lang w:val="fr-CA"/>
        </w:rPr>
      </w:pPr>
    </w:p>
    <w:p w:rsidR="007919F7" w:rsidRPr="004828DB" w:rsidRDefault="007919F7" w:rsidP="005222CB">
      <w:pPr>
        <w:pStyle w:val="SCCNormalDoubleSpacing"/>
        <w:spacing w:line="240" w:lineRule="auto"/>
        <w:rPr>
          <w:lang w:val="fr-CA"/>
        </w:rPr>
      </w:pPr>
      <w:r w:rsidRPr="004828DB">
        <w:rPr>
          <w:i/>
          <w:lang w:val="fr-CA"/>
        </w:rPr>
        <w:t>Loi modifiant la Loi sur les brevets et prévoyant certaines dispositions connexes</w:t>
      </w:r>
      <w:r w:rsidRPr="004828DB">
        <w:rPr>
          <w:lang w:val="fr-CA"/>
        </w:rPr>
        <w:t>, L.C. 1987, ch</w:t>
      </w:r>
      <w:r w:rsidR="003A67D4" w:rsidRPr="004828DB">
        <w:rPr>
          <w:lang w:val="fr-CA"/>
        </w:rPr>
        <w:t>.</w:t>
      </w:r>
      <w:r w:rsidR="00AF2A0B">
        <w:rPr>
          <w:lang w:val="fr-CA"/>
        </w:rPr>
        <w:t xml:space="preserve"> </w:t>
      </w:r>
      <w:r w:rsidRPr="004828DB">
        <w:rPr>
          <w:lang w:val="fr-CA"/>
        </w:rPr>
        <w:t xml:space="preserve">41. </w:t>
      </w:r>
    </w:p>
    <w:p w:rsidR="005222CB" w:rsidRPr="004828DB" w:rsidRDefault="005222CB" w:rsidP="005222CB">
      <w:pPr>
        <w:pStyle w:val="SCCNormalDoubleSpacing"/>
        <w:spacing w:line="240" w:lineRule="auto"/>
        <w:rPr>
          <w:lang w:val="fr-CA"/>
        </w:rPr>
      </w:pPr>
    </w:p>
    <w:p w:rsidR="00D8605D" w:rsidRPr="004828DB" w:rsidRDefault="00782B9B" w:rsidP="005222CB">
      <w:pPr>
        <w:pStyle w:val="SCCNormalDoubleSpacing"/>
        <w:spacing w:line="240" w:lineRule="auto"/>
        <w:rPr>
          <w:lang w:val="fr-CA"/>
        </w:rPr>
      </w:pPr>
      <w:r w:rsidRPr="004828DB">
        <w:rPr>
          <w:i/>
          <w:lang w:val="fr-CA"/>
        </w:rPr>
        <w:t>Loi sur les brevets</w:t>
      </w:r>
      <w:r w:rsidRPr="004828DB">
        <w:rPr>
          <w:lang w:val="fr-CA"/>
        </w:rPr>
        <w:t>, L.R.C. 1985, ch</w:t>
      </w:r>
      <w:r w:rsidR="003A67D4" w:rsidRPr="004828DB">
        <w:rPr>
          <w:lang w:val="fr-CA"/>
        </w:rPr>
        <w:t>.</w:t>
      </w:r>
      <w:r w:rsidR="00AF2A0B">
        <w:rPr>
          <w:lang w:val="fr-CA"/>
        </w:rPr>
        <w:t xml:space="preserve"> </w:t>
      </w:r>
      <w:r w:rsidRPr="004828DB">
        <w:rPr>
          <w:lang w:val="fr-CA"/>
        </w:rPr>
        <w:t>P</w:t>
      </w:r>
      <w:r w:rsidR="00107BB9">
        <w:rPr>
          <w:lang w:val="fr-CA"/>
        </w:rPr>
        <w:t>-</w:t>
      </w:r>
      <w:r w:rsidRPr="004828DB">
        <w:rPr>
          <w:lang w:val="fr-CA"/>
        </w:rPr>
        <w:t>4, art</w:t>
      </w:r>
      <w:r w:rsidR="00595B2F" w:rsidRPr="004828DB">
        <w:rPr>
          <w:lang w:val="fr-CA"/>
        </w:rPr>
        <w:t>.</w:t>
      </w:r>
      <w:r w:rsidR="00AF2A0B">
        <w:rPr>
          <w:lang w:val="fr-CA"/>
        </w:rPr>
        <w:t xml:space="preserve"> </w:t>
      </w:r>
      <w:r w:rsidR="00A65710" w:rsidRPr="004828DB">
        <w:rPr>
          <w:lang w:val="fr-CA"/>
        </w:rPr>
        <w:t>80(1)</w:t>
      </w:r>
      <w:r w:rsidR="00AF4D8A" w:rsidRPr="004828DB">
        <w:rPr>
          <w:i/>
          <w:lang w:val="fr-CA"/>
        </w:rPr>
        <w:t>b</w:t>
      </w:r>
      <w:r w:rsidR="00AF4D8A" w:rsidRPr="004828DB">
        <w:rPr>
          <w:lang w:val="fr-CA"/>
        </w:rPr>
        <w:t>)</w:t>
      </w:r>
      <w:r w:rsidRPr="004828DB">
        <w:rPr>
          <w:lang w:val="fr-CA"/>
        </w:rPr>
        <w:t>, 81(1), 83(1)</w:t>
      </w:r>
      <w:r w:rsidR="007F7E86" w:rsidRPr="004828DB">
        <w:rPr>
          <w:lang w:val="fr-CA"/>
        </w:rPr>
        <w:t>, 85</w:t>
      </w:r>
      <w:r w:rsidRPr="004828DB">
        <w:rPr>
          <w:lang w:val="fr-CA"/>
        </w:rPr>
        <w:t>.</w:t>
      </w:r>
    </w:p>
    <w:p w:rsidR="005222CB" w:rsidRPr="004828DB" w:rsidRDefault="005222CB" w:rsidP="005222CB">
      <w:pPr>
        <w:pStyle w:val="SCCNormalDoubleSpacing"/>
        <w:spacing w:line="240" w:lineRule="auto"/>
        <w:rPr>
          <w:lang w:val="fr-CA"/>
        </w:rPr>
      </w:pPr>
    </w:p>
    <w:p w:rsidR="000A5321" w:rsidRPr="004828DB" w:rsidRDefault="00FF70D1" w:rsidP="005222CB">
      <w:pPr>
        <w:pStyle w:val="SCCNormalDoubleSpacing"/>
        <w:spacing w:after="480" w:line="240" w:lineRule="auto"/>
        <w:rPr>
          <w:lang w:val="fr-CA"/>
        </w:rPr>
      </w:pPr>
      <w:r w:rsidRPr="004828DB">
        <w:rPr>
          <w:i/>
          <w:lang w:val="fr-CA"/>
        </w:rPr>
        <w:t>Règlement sur les aliments et drogues</w:t>
      </w:r>
      <w:r w:rsidR="00AF2A0B">
        <w:rPr>
          <w:lang w:val="fr-CA"/>
        </w:rPr>
        <w:t>, C.R.C.</w:t>
      </w:r>
      <w:r w:rsidR="00E62746">
        <w:rPr>
          <w:lang w:val="fr-CA"/>
        </w:rPr>
        <w:t xml:space="preserve"> 1978</w:t>
      </w:r>
      <w:r w:rsidR="00AF2A0B">
        <w:rPr>
          <w:lang w:val="fr-CA"/>
        </w:rPr>
        <w:t xml:space="preserve">, ch. </w:t>
      </w:r>
      <w:r w:rsidR="003A67D4" w:rsidRPr="004828DB">
        <w:rPr>
          <w:lang w:val="fr-CA"/>
        </w:rPr>
        <w:t>870</w:t>
      </w:r>
      <w:r w:rsidRPr="004828DB">
        <w:rPr>
          <w:lang w:val="fr-CA"/>
        </w:rPr>
        <w:t>, art</w:t>
      </w:r>
      <w:r w:rsidR="003A67D4" w:rsidRPr="004828DB">
        <w:rPr>
          <w:lang w:val="fr-CA"/>
        </w:rPr>
        <w:t>. </w:t>
      </w:r>
      <w:r w:rsidRPr="004828DB">
        <w:rPr>
          <w:lang w:val="fr-CA"/>
        </w:rPr>
        <w:t>C.08.002,</w:t>
      </w:r>
      <w:r w:rsidRPr="004828DB">
        <w:rPr>
          <w:color w:val="000000"/>
          <w:lang w:val="fr-CA"/>
        </w:rPr>
        <w:t xml:space="preserve"> C.08.004, </w:t>
      </w:r>
      <w:r w:rsidRPr="004828DB">
        <w:rPr>
          <w:lang w:val="fr-CA"/>
        </w:rPr>
        <w:t>C.08.010, C.08.011.</w:t>
      </w:r>
    </w:p>
    <w:p w:rsidR="002E6705" w:rsidRPr="004828DB" w:rsidRDefault="0043088E" w:rsidP="005222CB">
      <w:pPr>
        <w:pStyle w:val="SCCNormalDoubleSpacing"/>
        <w:keepNext/>
        <w:spacing w:after="480"/>
        <w:rPr>
          <w:b/>
          <w:lang w:val="fr-CA"/>
        </w:rPr>
      </w:pPr>
      <w:r w:rsidRPr="004828DB">
        <w:rPr>
          <w:b/>
          <w:lang w:val="fr-CA"/>
        </w:rPr>
        <w:lastRenderedPageBreak/>
        <w:t>Doctrine</w:t>
      </w:r>
      <w:r w:rsidR="002E6705" w:rsidRPr="004828DB">
        <w:rPr>
          <w:b/>
          <w:lang w:val="fr-CA"/>
        </w:rPr>
        <w:t xml:space="preserve"> </w:t>
      </w:r>
      <w:r w:rsidRPr="004828DB">
        <w:rPr>
          <w:b/>
          <w:lang w:val="fr-CA"/>
        </w:rPr>
        <w:t>c</w:t>
      </w:r>
      <w:r w:rsidR="002E6705" w:rsidRPr="004828DB">
        <w:rPr>
          <w:b/>
          <w:lang w:val="fr-CA"/>
        </w:rPr>
        <w:t>it</w:t>
      </w:r>
      <w:r w:rsidRPr="004828DB">
        <w:rPr>
          <w:b/>
          <w:lang w:val="fr-CA"/>
        </w:rPr>
        <w:t>é</w:t>
      </w:r>
      <w:r w:rsidR="002E6705" w:rsidRPr="004828DB">
        <w:rPr>
          <w:b/>
          <w:lang w:val="fr-CA"/>
        </w:rPr>
        <w:t>e</w:t>
      </w:r>
    </w:p>
    <w:p w:rsidR="00FE53E3" w:rsidRPr="004828DB" w:rsidRDefault="00FE53E3" w:rsidP="00A26C69">
      <w:pPr>
        <w:pStyle w:val="SCCNormalDoubleSpacing"/>
        <w:spacing w:line="240" w:lineRule="auto"/>
        <w:rPr>
          <w:lang w:val="fr-CA"/>
        </w:rPr>
      </w:pPr>
      <w:r w:rsidRPr="004828DB">
        <w:rPr>
          <w:lang w:val="fr-CA" w:bidi="en-US"/>
        </w:rPr>
        <w:t xml:space="preserve">Canada.  Chambre des communes.  </w:t>
      </w:r>
      <w:r w:rsidRPr="004828DB">
        <w:rPr>
          <w:i/>
          <w:lang w:val="fr-CA"/>
        </w:rPr>
        <w:t>Débats de la Chambre des communes</w:t>
      </w:r>
      <w:r w:rsidR="003A67D4" w:rsidRPr="004828DB">
        <w:rPr>
          <w:lang w:val="fr-CA"/>
        </w:rPr>
        <w:t>, vol. </w:t>
      </w:r>
      <w:r w:rsidRPr="004828DB">
        <w:rPr>
          <w:lang w:val="fr-CA"/>
        </w:rPr>
        <w:t>I, 2</w:t>
      </w:r>
      <w:r w:rsidRPr="004828DB">
        <w:rPr>
          <w:vertAlign w:val="superscript"/>
          <w:lang w:val="fr-CA"/>
        </w:rPr>
        <w:t>e</w:t>
      </w:r>
      <w:r w:rsidRPr="004828DB">
        <w:rPr>
          <w:lang w:val="fr-CA"/>
        </w:rPr>
        <w:t xml:space="preserve"> </w:t>
      </w:r>
      <w:proofErr w:type="spellStart"/>
      <w:proofErr w:type="gramStart"/>
      <w:r w:rsidRPr="004828DB">
        <w:rPr>
          <w:lang w:val="fr-CA"/>
        </w:rPr>
        <w:t>sess</w:t>
      </w:r>
      <w:proofErr w:type="spellEnd"/>
      <w:r w:rsidRPr="004828DB">
        <w:rPr>
          <w:lang w:val="fr-CA"/>
        </w:rPr>
        <w:t>.,</w:t>
      </w:r>
      <w:proofErr w:type="gramEnd"/>
      <w:r w:rsidRPr="004828DB">
        <w:rPr>
          <w:lang w:val="fr-CA"/>
        </w:rPr>
        <w:t xml:space="preserve"> 33</w:t>
      </w:r>
      <w:r w:rsidRPr="004828DB">
        <w:rPr>
          <w:vertAlign w:val="superscript"/>
          <w:lang w:val="fr-CA"/>
        </w:rPr>
        <w:t>e</w:t>
      </w:r>
      <w:r w:rsidR="003A67D4" w:rsidRPr="004828DB">
        <w:rPr>
          <w:lang w:val="fr-CA"/>
        </w:rPr>
        <w:t xml:space="preserve"> </w:t>
      </w:r>
      <w:proofErr w:type="spellStart"/>
      <w:r w:rsidR="003A67D4" w:rsidRPr="004828DB">
        <w:rPr>
          <w:lang w:val="fr-CA"/>
        </w:rPr>
        <w:t>lég</w:t>
      </w:r>
      <w:proofErr w:type="spellEnd"/>
      <w:r w:rsidR="003A67D4" w:rsidRPr="004828DB">
        <w:rPr>
          <w:lang w:val="fr-CA"/>
        </w:rPr>
        <w:t>., 20 novembre 1986, p. </w:t>
      </w:r>
      <w:r w:rsidRPr="004828DB">
        <w:rPr>
          <w:lang w:val="fr-CA"/>
        </w:rPr>
        <w:t>1369</w:t>
      </w:r>
      <w:r w:rsidR="004828DB">
        <w:rPr>
          <w:lang w:val="fr-CA"/>
        </w:rPr>
        <w:t xml:space="preserve">, </w:t>
      </w:r>
      <w:r w:rsidRPr="004828DB">
        <w:rPr>
          <w:lang w:val="fr-CA"/>
        </w:rPr>
        <w:t>1373</w:t>
      </w:r>
      <w:r w:rsidR="004828DB">
        <w:rPr>
          <w:lang w:val="fr-CA"/>
        </w:rPr>
        <w:t>-1374</w:t>
      </w:r>
      <w:r w:rsidRPr="004828DB">
        <w:rPr>
          <w:lang w:val="fr-CA"/>
        </w:rPr>
        <w:t>.</w:t>
      </w:r>
    </w:p>
    <w:p w:rsidR="00A26C69" w:rsidRPr="004828DB" w:rsidRDefault="00A26C69" w:rsidP="00A26C69">
      <w:pPr>
        <w:pStyle w:val="SCCNormalDoubleSpacing"/>
        <w:spacing w:line="240" w:lineRule="auto"/>
        <w:rPr>
          <w:lang w:val="fr-CA"/>
        </w:rPr>
      </w:pPr>
    </w:p>
    <w:p w:rsidR="005B6C54" w:rsidRPr="004828DB" w:rsidRDefault="005B6C54" w:rsidP="00A26C69">
      <w:pPr>
        <w:pStyle w:val="SCCNormalDoubleSpacing"/>
        <w:spacing w:line="240" w:lineRule="auto"/>
        <w:rPr>
          <w:lang w:val="fr-CA"/>
        </w:rPr>
      </w:pPr>
      <w:r w:rsidRPr="004828DB">
        <w:rPr>
          <w:lang w:val="fr-CA" w:bidi="en-US"/>
        </w:rPr>
        <w:t xml:space="preserve">Canada.  Chambre des communes.  </w:t>
      </w:r>
      <w:r w:rsidRPr="004828DB">
        <w:rPr>
          <w:i/>
          <w:lang w:val="fr-CA"/>
        </w:rPr>
        <w:t>Débats de la Chambre des communes</w:t>
      </w:r>
      <w:r w:rsidR="00FE3740" w:rsidRPr="004828DB">
        <w:rPr>
          <w:lang w:val="fr-CA"/>
        </w:rPr>
        <w:t>, vol. </w:t>
      </w:r>
      <w:r w:rsidRPr="004828DB">
        <w:rPr>
          <w:lang w:val="fr-CA"/>
        </w:rPr>
        <w:t>XII, 3</w:t>
      </w:r>
      <w:r w:rsidRPr="004828DB">
        <w:rPr>
          <w:vertAlign w:val="superscript"/>
          <w:lang w:val="fr-CA"/>
        </w:rPr>
        <w:t>e</w:t>
      </w:r>
      <w:r w:rsidRPr="004828DB">
        <w:rPr>
          <w:lang w:val="fr-CA"/>
        </w:rPr>
        <w:t xml:space="preserve"> </w:t>
      </w:r>
      <w:proofErr w:type="spellStart"/>
      <w:proofErr w:type="gramStart"/>
      <w:r w:rsidRPr="004828DB">
        <w:rPr>
          <w:lang w:val="fr-CA"/>
        </w:rPr>
        <w:t>sess</w:t>
      </w:r>
      <w:proofErr w:type="spellEnd"/>
      <w:r w:rsidRPr="004828DB">
        <w:rPr>
          <w:lang w:val="fr-CA"/>
        </w:rPr>
        <w:t>.,</w:t>
      </w:r>
      <w:proofErr w:type="gramEnd"/>
      <w:r w:rsidRPr="004828DB">
        <w:rPr>
          <w:lang w:val="fr-CA"/>
        </w:rPr>
        <w:t xml:space="preserve"> 34</w:t>
      </w:r>
      <w:r w:rsidRPr="004828DB">
        <w:rPr>
          <w:vertAlign w:val="superscript"/>
          <w:lang w:val="fr-CA"/>
        </w:rPr>
        <w:t>e</w:t>
      </w:r>
      <w:r w:rsidR="00FE3740" w:rsidRPr="004828DB">
        <w:rPr>
          <w:lang w:val="fr-CA"/>
        </w:rPr>
        <w:t xml:space="preserve"> </w:t>
      </w:r>
      <w:proofErr w:type="spellStart"/>
      <w:r w:rsidR="00FE3740" w:rsidRPr="004828DB">
        <w:rPr>
          <w:lang w:val="fr-CA"/>
        </w:rPr>
        <w:t>lég</w:t>
      </w:r>
      <w:proofErr w:type="spellEnd"/>
      <w:r w:rsidR="00FE3740" w:rsidRPr="004828DB">
        <w:rPr>
          <w:lang w:val="fr-CA"/>
        </w:rPr>
        <w:t>., 10 décembre 1992, p. </w:t>
      </w:r>
      <w:r w:rsidR="00113167" w:rsidRPr="004828DB">
        <w:rPr>
          <w:lang w:val="fr-CA"/>
        </w:rPr>
        <w:t>1</w:t>
      </w:r>
      <w:r w:rsidRPr="004828DB">
        <w:rPr>
          <w:lang w:val="fr-CA"/>
        </w:rPr>
        <w:t>4998, 15001.</w:t>
      </w:r>
    </w:p>
    <w:p w:rsidR="00A26C69" w:rsidRPr="004828DB" w:rsidRDefault="00A26C69" w:rsidP="00A26C69">
      <w:pPr>
        <w:pStyle w:val="SCCNormalDoubleSpacing"/>
        <w:spacing w:line="240" w:lineRule="auto"/>
        <w:rPr>
          <w:lang w:val="fr-CA"/>
        </w:rPr>
      </w:pPr>
    </w:p>
    <w:p w:rsidR="000A5321" w:rsidRPr="004828DB" w:rsidRDefault="00C07A93" w:rsidP="00A26C69">
      <w:pPr>
        <w:pStyle w:val="SCCNormalDoubleSpacing"/>
        <w:spacing w:after="720" w:line="240" w:lineRule="auto"/>
        <w:rPr>
          <w:lang w:val="fr-CA" w:bidi="en-US"/>
        </w:rPr>
      </w:pPr>
      <w:r w:rsidRPr="004828DB">
        <w:rPr>
          <w:lang w:val="fr-CA" w:bidi="en-US"/>
        </w:rPr>
        <w:t xml:space="preserve">Canada.  Santé Canada.  </w:t>
      </w:r>
      <w:r w:rsidRPr="004828DB">
        <w:rPr>
          <w:i/>
          <w:lang w:val="fr-CA" w:bidi="en-US"/>
        </w:rPr>
        <w:t>Ligne directrice à l</w:t>
      </w:r>
      <w:r w:rsidR="00C04A0C" w:rsidRPr="004828DB">
        <w:rPr>
          <w:i/>
          <w:lang w:val="fr-CA" w:bidi="en-US"/>
        </w:rPr>
        <w:t>’</w:t>
      </w:r>
      <w:r w:rsidRPr="004828DB">
        <w:rPr>
          <w:i/>
          <w:lang w:val="fr-CA" w:bidi="en-US"/>
        </w:rPr>
        <w:t>intention de l</w:t>
      </w:r>
      <w:r w:rsidR="00C04A0C" w:rsidRPr="004828DB">
        <w:rPr>
          <w:i/>
          <w:lang w:val="fr-CA" w:bidi="en-US"/>
        </w:rPr>
        <w:t>’</w:t>
      </w:r>
      <w:r w:rsidRPr="004828DB">
        <w:rPr>
          <w:i/>
          <w:lang w:val="fr-CA" w:bidi="en-US"/>
        </w:rPr>
        <w:t>industrie et des praticiens : Programme d</w:t>
      </w:r>
      <w:r w:rsidR="00C04A0C" w:rsidRPr="004828DB">
        <w:rPr>
          <w:i/>
          <w:lang w:val="fr-CA" w:bidi="en-US"/>
        </w:rPr>
        <w:t>’</w:t>
      </w:r>
      <w:r w:rsidRPr="004828DB">
        <w:rPr>
          <w:i/>
          <w:lang w:val="fr-CA" w:bidi="en-US"/>
        </w:rPr>
        <w:t xml:space="preserve">accès spécial </w:t>
      </w:r>
      <w:r w:rsidR="006F75AC">
        <w:rPr>
          <w:szCs w:val="24"/>
        </w:rPr>
        <w:fldChar w:fldCharType="begin"/>
      </w:r>
      <w:r w:rsidRPr="004828DB">
        <w:rPr>
          <w:szCs w:val="24"/>
          <w:lang w:val="fr-CA"/>
        </w:rPr>
        <w:instrText xml:space="preserve"> SEQ CHAPTER \h \r 1</w:instrText>
      </w:r>
      <w:r w:rsidR="006F75AC">
        <w:rPr>
          <w:szCs w:val="24"/>
        </w:rPr>
        <w:fldChar w:fldCharType="end"/>
      </w:r>
      <w:r w:rsidRPr="004828DB">
        <w:rPr>
          <w:szCs w:val="24"/>
          <w:lang w:val="fr-CA"/>
        </w:rPr>
        <w:t>—</w:t>
      </w:r>
      <w:r w:rsidRPr="004828DB">
        <w:rPr>
          <w:i/>
          <w:lang w:val="fr-CA" w:bidi="en-US"/>
        </w:rPr>
        <w:t xml:space="preserve"> médicaments</w:t>
      </w:r>
      <w:r w:rsidRPr="004828DB">
        <w:rPr>
          <w:lang w:val="fr-CA" w:bidi="en-US"/>
        </w:rPr>
        <w:t>.  Ottawa : Santé Canada, 2008.</w:t>
      </w:r>
    </w:p>
    <w:p w:rsidR="00D5435D" w:rsidRPr="004828DB" w:rsidRDefault="009B57B3" w:rsidP="005222CB">
      <w:pPr>
        <w:pStyle w:val="SCCNormalDoubleSpacing"/>
        <w:spacing w:after="480"/>
        <w:rPr>
          <w:lang w:val="fr-CA"/>
        </w:rPr>
      </w:pPr>
      <w:r w:rsidRPr="004828DB">
        <w:rPr>
          <w:lang w:val="fr-CA"/>
        </w:rPr>
        <w:tab/>
        <w:t>P</w:t>
      </w:r>
      <w:r w:rsidR="0043088E" w:rsidRPr="004828DB">
        <w:rPr>
          <w:lang w:val="fr-CA"/>
        </w:rPr>
        <w:t>OURVOI contre un arrêt de la</w:t>
      </w:r>
      <w:r w:rsidRPr="004828DB">
        <w:rPr>
          <w:lang w:val="fr-CA"/>
        </w:rPr>
        <w:t xml:space="preserve"> Cour d</w:t>
      </w:r>
      <w:r w:rsidR="00C04A0C" w:rsidRPr="004828DB">
        <w:rPr>
          <w:lang w:val="fr-CA"/>
        </w:rPr>
        <w:t>’</w:t>
      </w:r>
      <w:r w:rsidRPr="004828DB">
        <w:rPr>
          <w:lang w:val="fr-CA"/>
        </w:rPr>
        <w:t>appel fédérale</w:t>
      </w:r>
      <w:r w:rsidR="006D6701" w:rsidRPr="004828DB">
        <w:rPr>
          <w:lang w:val="fr-CA"/>
        </w:rPr>
        <w:t xml:space="preserve"> (les juges </w:t>
      </w:r>
      <w:r w:rsidR="006F75AC">
        <w:rPr>
          <w:szCs w:val="24"/>
        </w:rPr>
        <w:fldChar w:fldCharType="begin"/>
      </w:r>
      <w:r w:rsidR="006D6701" w:rsidRPr="004828DB">
        <w:rPr>
          <w:szCs w:val="24"/>
          <w:lang w:val="fr-CA"/>
        </w:rPr>
        <w:instrText xml:space="preserve"> SEQ CHAPTER \h \r 1</w:instrText>
      </w:r>
      <w:r w:rsidR="006F75AC">
        <w:rPr>
          <w:szCs w:val="24"/>
        </w:rPr>
        <w:fldChar w:fldCharType="end"/>
      </w:r>
      <w:r w:rsidR="006D6701" w:rsidRPr="004828DB">
        <w:rPr>
          <w:szCs w:val="24"/>
          <w:lang w:val="fr-CA"/>
        </w:rPr>
        <w:t xml:space="preserve">Evans, </w:t>
      </w:r>
      <w:proofErr w:type="spellStart"/>
      <w:r w:rsidR="006D6701" w:rsidRPr="004828DB">
        <w:rPr>
          <w:szCs w:val="24"/>
          <w:lang w:val="fr-CA"/>
        </w:rPr>
        <w:t>Sharlow</w:t>
      </w:r>
      <w:proofErr w:type="spellEnd"/>
      <w:r w:rsidR="006D6701" w:rsidRPr="004828DB">
        <w:rPr>
          <w:szCs w:val="24"/>
          <w:lang w:val="fr-CA"/>
        </w:rPr>
        <w:t xml:space="preserve"> et </w:t>
      </w:r>
      <w:proofErr w:type="spellStart"/>
      <w:r w:rsidR="006D6701" w:rsidRPr="004828DB">
        <w:rPr>
          <w:szCs w:val="24"/>
          <w:lang w:val="fr-CA"/>
        </w:rPr>
        <w:t>Ryer</w:t>
      </w:r>
      <w:proofErr w:type="spellEnd"/>
      <w:r w:rsidR="006D6701" w:rsidRPr="004828DB">
        <w:rPr>
          <w:szCs w:val="24"/>
          <w:lang w:val="fr-CA"/>
        </w:rPr>
        <w:t xml:space="preserve">), </w:t>
      </w:r>
      <w:r w:rsidR="006F75AC">
        <w:rPr>
          <w:szCs w:val="24"/>
        </w:rPr>
        <w:fldChar w:fldCharType="begin"/>
      </w:r>
      <w:r w:rsidR="006D6701" w:rsidRPr="004828DB">
        <w:rPr>
          <w:szCs w:val="24"/>
          <w:lang w:val="fr-CA"/>
        </w:rPr>
        <w:instrText xml:space="preserve"> SEQ CHAPTER \h \r 1</w:instrText>
      </w:r>
      <w:r w:rsidR="006F75AC">
        <w:rPr>
          <w:szCs w:val="24"/>
        </w:rPr>
        <w:fldChar w:fldCharType="end"/>
      </w:r>
      <w:r w:rsidR="006D6701" w:rsidRPr="004828DB">
        <w:rPr>
          <w:szCs w:val="24"/>
          <w:lang w:val="fr-CA"/>
        </w:rPr>
        <w:t xml:space="preserve">2009 CAF 378, 315 D.L.R. (4th) 270, 398 N.R. 233, 100 </w:t>
      </w:r>
      <w:proofErr w:type="spellStart"/>
      <w:r w:rsidR="006D6701" w:rsidRPr="004828DB">
        <w:rPr>
          <w:szCs w:val="24"/>
          <w:lang w:val="fr-CA"/>
        </w:rPr>
        <w:t>Admin</w:t>
      </w:r>
      <w:proofErr w:type="spellEnd"/>
      <w:r w:rsidR="006D6701" w:rsidRPr="004828DB">
        <w:rPr>
          <w:szCs w:val="24"/>
          <w:lang w:val="fr-CA"/>
        </w:rPr>
        <w:t>. L.R. (4th) 244, 81 C.P.R. (4th) 93, [2009] A.C.F. n</w:t>
      </w:r>
      <w:r w:rsidR="006D6701" w:rsidRPr="004828DB">
        <w:rPr>
          <w:szCs w:val="24"/>
          <w:vertAlign w:val="superscript"/>
          <w:lang w:val="fr-CA"/>
        </w:rPr>
        <w:t>o</w:t>
      </w:r>
      <w:r w:rsidR="00CA0201">
        <w:rPr>
          <w:szCs w:val="24"/>
          <w:vertAlign w:val="superscript"/>
          <w:lang w:val="fr-CA"/>
        </w:rPr>
        <w:t xml:space="preserve"> </w:t>
      </w:r>
      <w:r w:rsidR="006D6701" w:rsidRPr="004828DB">
        <w:rPr>
          <w:szCs w:val="24"/>
          <w:lang w:val="fr-CA"/>
        </w:rPr>
        <w:t xml:space="preserve">1666 (QL), </w:t>
      </w:r>
      <w:r w:rsidR="006F75AC">
        <w:rPr>
          <w:szCs w:val="24"/>
        </w:rPr>
        <w:fldChar w:fldCharType="begin"/>
      </w:r>
      <w:r w:rsidR="006D6701" w:rsidRPr="004828DB">
        <w:rPr>
          <w:szCs w:val="24"/>
          <w:lang w:val="fr-CA"/>
        </w:rPr>
        <w:instrText xml:space="preserve"> SEQ CHAPTER \h \r 1</w:instrText>
      </w:r>
      <w:r w:rsidR="006F75AC">
        <w:rPr>
          <w:szCs w:val="24"/>
        </w:rPr>
        <w:fldChar w:fldCharType="end"/>
      </w:r>
      <w:r w:rsidR="004649DE" w:rsidRPr="004828DB">
        <w:rPr>
          <w:szCs w:val="24"/>
          <w:lang w:val="fr-CA"/>
        </w:rPr>
        <w:t xml:space="preserve">2009 </w:t>
      </w:r>
      <w:proofErr w:type="spellStart"/>
      <w:r w:rsidR="004649DE" w:rsidRPr="004828DB">
        <w:rPr>
          <w:szCs w:val="24"/>
          <w:lang w:val="fr-CA"/>
        </w:rPr>
        <w:t>CarswellNat</w:t>
      </w:r>
      <w:proofErr w:type="spellEnd"/>
      <w:r w:rsidR="004649DE" w:rsidRPr="004828DB">
        <w:rPr>
          <w:szCs w:val="24"/>
          <w:lang w:val="fr-CA"/>
        </w:rPr>
        <w:t xml:space="preserve"> 5494, qui a annul</w:t>
      </w:r>
      <w:r w:rsidR="006D6701" w:rsidRPr="004828DB">
        <w:rPr>
          <w:szCs w:val="24"/>
          <w:lang w:val="fr-CA"/>
        </w:rPr>
        <w:t xml:space="preserve">é une décision du juge Campbell, </w:t>
      </w:r>
      <w:r w:rsidR="006F75AC">
        <w:rPr>
          <w:szCs w:val="24"/>
        </w:rPr>
        <w:fldChar w:fldCharType="begin"/>
      </w:r>
      <w:r w:rsidR="006D6701" w:rsidRPr="004828DB">
        <w:rPr>
          <w:szCs w:val="24"/>
          <w:lang w:val="fr-CA"/>
        </w:rPr>
        <w:instrText xml:space="preserve"> SEQ CHAPTER \h \r 1</w:instrText>
      </w:r>
      <w:r w:rsidR="006F75AC">
        <w:rPr>
          <w:szCs w:val="24"/>
        </w:rPr>
        <w:fldChar w:fldCharType="end"/>
      </w:r>
      <w:r w:rsidR="006D6701" w:rsidRPr="004828DB">
        <w:rPr>
          <w:szCs w:val="24"/>
          <w:lang w:val="fr-CA"/>
        </w:rPr>
        <w:t>2009 CF 271, 344 F.T.R. 45, 81 C.P.R. (4th) 79, [2009] F.</w:t>
      </w:r>
      <w:r w:rsidR="00E62746">
        <w:rPr>
          <w:szCs w:val="24"/>
          <w:lang w:val="fr-CA"/>
        </w:rPr>
        <w:t xml:space="preserve">C.J. No. </w:t>
      </w:r>
      <w:r w:rsidR="006D6701" w:rsidRPr="004828DB">
        <w:rPr>
          <w:szCs w:val="24"/>
          <w:lang w:val="fr-CA"/>
        </w:rPr>
        <w:t xml:space="preserve">668 (QL), 2009 </w:t>
      </w:r>
      <w:proofErr w:type="spellStart"/>
      <w:r w:rsidR="006D6701" w:rsidRPr="004828DB">
        <w:rPr>
          <w:szCs w:val="24"/>
          <w:lang w:val="fr-CA"/>
        </w:rPr>
        <w:t>CarswellNat</w:t>
      </w:r>
      <w:proofErr w:type="spellEnd"/>
      <w:r w:rsidR="006D6701" w:rsidRPr="004828DB">
        <w:rPr>
          <w:szCs w:val="24"/>
          <w:lang w:val="fr-CA"/>
        </w:rPr>
        <w:t xml:space="preserve"> 1499.  Pourvoi rejeté.</w:t>
      </w:r>
    </w:p>
    <w:p w:rsidR="006A7FA3" w:rsidRPr="004828DB" w:rsidRDefault="008811FF" w:rsidP="005222CB">
      <w:pPr>
        <w:pStyle w:val="SCCNormalDoubleSpacing"/>
        <w:spacing w:after="480"/>
        <w:rPr>
          <w:lang w:val="fr-CA"/>
        </w:rPr>
      </w:pPr>
      <w:r w:rsidRPr="005A3061">
        <w:rPr>
          <w:rStyle w:val="SCCCounselNameChar"/>
        </w:rPr>
        <w:tab/>
      </w:r>
      <w:r w:rsidR="00705F0C">
        <w:rPr>
          <w:rStyle w:val="SCCCounselNameChar"/>
        </w:rPr>
        <w:t xml:space="preserve">William </w:t>
      </w:r>
      <w:proofErr w:type="spellStart"/>
      <w:r w:rsidR="005A3061">
        <w:rPr>
          <w:rStyle w:val="SCCCounselNameChar"/>
        </w:rPr>
        <w:t>Vanveen</w:t>
      </w:r>
      <w:proofErr w:type="spellEnd"/>
      <w:r w:rsidR="005A3061" w:rsidRPr="005A3061">
        <w:rPr>
          <w:rStyle w:val="SCCCounselNameChar"/>
          <w:i w:val="0"/>
        </w:rPr>
        <w:t xml:space="preserve"> </w:t>
      </w:r>
      <w:r w:rsidR="005A3061">
        <w:rPr>
          <w:rStyle w:val="SCCCounselNameChar"/>
          <w:i w:val="0"/>
        </w:rPr>
        <w:t>e</w:t>
      </w:r>
      <w:r w:rsidR="005A3061" w:rsidRPr="005A3061">
        <w:rPr>
          <w:rStyle w:val="SCCCounselNameChar"/>
          <w:i w:val="0"/>
        </w:rPr>
        <w:t>t</w:t>
      </w:r>
      <w:r w:rsidR="005A3061" w:rsidRPr="00E62746">
        <w:rPr>
          <w:rStyle w:val="SCCCounselNameChar"/>
          <w:i w:val="0"/>
        </w:rPr>
        <w:t xml:space="preserve"> </w:t>
      </w:r>
      <w:r w:rsidR="00FE3740">
        <w:rPr>
          <w:rStyle w:val="SCCCounselNameChar"/>
        </w:rPr>
        <w:t>Henry </w:t>
      </w:r>
      <w:r>
        <w:rPr>
          <w:rStyle w:val="SCCCounselNameChar"/>
        </w:rPr>
        <w:t>S. Brown</w:t>
      </w:r>
      <w:r w:rsidRPr="005A3061">
        <w:rPr>
          <w:rStyle w:val="SCCCounselNameChar"/>
          <w:i w:val="0"/>
        </w:rPr>
        <w:t xml:space="preserve">, </w:t>
      </w:r>
      <w:proofErr w:type="gramStart"/>
      <w:r w:rsidR="005A3061">
        <w:rPr>
          <w:rStyle w:val="SCCCounselNameChar"/>
          <w:i w:val="0"/>
        </w:rPr>
        <w:t>c</w:t>
      </w:r>
      <w:r w:rsidRPr="005A3061">
        <w:rPr>
          <w:rStyle w:val="SCCCounselNameChar"/>
          <w:i w:val="0"/>
        </w:rPr>
        <w:t>.</w:t>
      </w:r>
      <w:r w:rsidR="005A3061">
        <w:rPr>
          <w:rStyle w:val="SCCCounselNameChar"/>
          <w:i w:val="0"/>
        </w:rPr>
        <w:t>r</w:t>
      </w:r>
      <w:r w:rsidRPr="005A3061">
        <w:rPr>
          <w:rStyle w:val="SCCCounselNameChar"/>
        </w:rPr>
        <w:t>.</w:t>
      </w:r>
      <w:r w:rsidRPr="005A3061">
        <w:rPr>
          <w:rStyle w:val="SCCCounselPartyRoleChar"/>
        </w:rPr>
        <w:t>,</w:t>
      </w:r>
      <w:proofErr w:type="gramEnd"/>
      <w:r w:rsidRPr="005A3061">
        <w:rPr>
          <w:rStyle w:val="SCCCounselPartyRoleChar"/>
        </w:rPr>
        <w:t xml:space="preserve"> p</w:t>
      </w:r>
      <w:r>
        <w:rPr>
          <w:rStyle w:val="SCCCounselPartyRoleChar"/>
        </w:rPr>
        <w:t>our l</w:t>
      </w:r>
      <w:r w:rsidR="00C04A0C">
        <w:rPr>
          <w:rStyle w:val="SCCCounselPartyRoleChar"/>
        </w:rPr>
        <w:t>’</w:t>
      </w:r>
      <w:r>
        <w:rPr>
          <w:rStyle w:val="SCCCounselPartyRoleChar"/>
        </w:rPr>
        <w:t>appelante.</w:t>
      </w:r>
    </w:p>
    <w:p w:rsidR="006A7FA3" w:rsidRDefault="00705F0C" w:rsidP="005222CB">
      <w:pPr>
        <w:pStyle w:val="SCCNormalDoubleSpacing"/>
        <w:spacing w:after="480"/>
        <w:rPr>
          <w:rStyle w:val="SCCCounselPartyRoleChar"/>
        </w:rPr>
      </w:pPr>
      <w:r>
        <w:rPr>
          <w:rStyle w:val="SCCCounselNameChar"/>
        </w:rPr>
        <w:tab/>
        <w:t xml:space="preserve">Christopher </w:t>
      </w:r>
      <w:proofErr w:type="spellStart"/>
      <w:r w:rsidR="008811FF">
        <w:rPr>
          <w:rStyle w:val="SCCCounselNameChar"/>
        </w:rPr>
        <w:t>Rupar</w:t>
      </w:r>
      <w:proofErr w:type="spellEnd"/>
      <w:r w:rsidR="005C5157" w:rsidRPr="00E62746">
        <w:rPr>
          <w:rStyle w:val="SCCCounselNameChar"/>
          <w:i w:val="0"/>
        </w:rPr>
        <w:t xml:space="preserve"> </w:t>
      </w:r>
      <w:r w:rsidR="008811FF">
        <w:rPr>
          <w:rStyle w:val="SCCCounselSeparatorChar"/>
        </w:rPr>
        <w:t xml:space="preserve">et </w:t>
      </w:r>
      <w:r w:rsidR="008811FF">
        <w:rPr>
          <w:rStyle w:val="SCCCounselNameChar"/>
        </w:rPr>
        <w:t xml:space="preserve">Jan </w:t>
      </w:r>
      <w:proofErr w:type="spellStart"/>
      <w:r w:rsidR="008811FF">
        <w:rPr>
          <w:rStyle w:val="SCCCounselNameChar"/>
        </w:rPr>
        <w:t>Brongers</w:t>
      </w:r>
      <w:proofErr w:type="spellEnd"/>
      <w:r w:rsidR="005C5157">
        <w:rPr>
          <w:rStyle w:val="SCCCounselPartyRoleChar"/>
        </w:rPr>
        <w:t>, pour l</w:t>
      </w:r>
      <w:r w:rsidR="00C04A0C">
        <w:rPr>
          <w:rStyle w:val="SCCCounselPartyRoleChar"/>
        </w:rPr>
        <w:t>’</w:t>
      </w:r>
      <w:r w:rsidR="008811FF">
        <w:rPr>
          <w:rStyle w:val="SCCCounselPartyRoleChar"/>
        </w:rPr>
        <w:t>intimé.</w:t>
      </w:r>
    </w:p>
    <w:p w:rsidR="004828DB" w:rsidRPr="004828DB" w:rsidRDefault="004828DB" w:rsidP="005222CB">
      <w:pPr>
        <w:pStyle w:val="SCCNormalDoubleSpacing"/>
        <w:spacing w:after="480"/>
        <w:rPr>
          <w:lang w:val="fr-CA"/>
        </w:rPr>
      </w:pPr>
      <w:r>
        <w:rPr>
          <w:rStyle w:val="SCCCounselPartyRoleChar"/>
        </w:rPr>
        <w:tab/>
        <w:t>Version française du jugement de la Cour rendu par</w:t>
      </w:r>
    </w:p>
    <w:p w:rsidR="003514BF" w:rsidRPr="004828DB" w:rsidRDefault="004828DB" w:rsidP="004828DB">
      <w:pPr>
        <w:pStyle w:val="ReasonsNumbering-AltN"/>
        <w:rPr>
          <w:lang w:val="fr-CA"/>
        </w:rPr>
      </w:pPr>
      <w:r w:rsidRPr="004828DB">
        <w:rPr>
          <w:smallCaps/>
          <w:lang w:val="fr-CA"/>
        </w:rPr>
        <w:t>La juge Abella</w:t>
      </w:r>
      <w:r w:rsidRPr="004828DB">
        <w:rPr>
          <w:lang w:val="fr-CA"/>
        </w:rPr>
        <w:t xml:space="preserve"> — Le</w:t>
      </w:r>
      <w:r w:rsidRPr="004828DB">
        <w:rPr>
          <w:smallCaps/>
          <w:lang w:val="fr-CA"/>
        </w:rPr>
        <w:t xml:space="preserve"> </w:t>
      </w:r>
      <w:r w:rsidR="003514BF" w:rsidRPr="004828DB">
        <w:rPr>
          <w:lang w:val="fr-CA"/>
        </w:rPr>
        <w:t>Conseil d’examen du pr</w:t>
      </w:r>
      <w:r>
        <w:rPr>
          <w:lang w:val="fr-CA"/>
        </w:rPr>
        <w:t>ix des médicaments brevetés (</w:t>
      </w:r>
      <w:r w:rsidR="003514BF" w:rsidRPr="004828DB">
        <w:rPr>
          <w:lang w:val="fr-CA"/>
        </w:rPr>
        <w:t xml:space="preserve">« Conseil ») est </w:t>
      </w:r>
      <w:proofErr w:type="gramStart"/>
      <w:r w:rsidR="003514BF" w:rsidRPr="004828DB">
        <w:rPr>
          <w:lang w:val="fr-CA"/>
        </w:rPr>
        <w:t>habilité</w:t>
      </w:r>
      <w:proofErr w:type="gramEnd"/>
      <w:r w:rsidR="003514BF" w:rsidRPr="004828DB">
        <w:rPr>
          <w:lang w:val="fr-CA"/>
        </w:rPr>
        <w:t xml:space="preserve"> par l’al.</w:t>
      </w:r>
      <w:r w:rsidR="00107BB9">
        <w:rPr>
          <w:lang w:val="fr-CA"/>
        </w:rPr>
        <w:t xml:space="preserve"> </w:t>
      </w:r>
      <w:r w:rsidR="003514BF" w:rsidRPr="004828DB">
        <w:rPr>
          <w:lang w:val="fr-CA"/>
        </w:rPr>
        <w:t>80(1)</w:t>
      </w:r>
      <w:r w:rsidR="003514BF" w:rsidRPr="004828DB">
        <w:rPr>
          <w:i/>
          <w:lang w:val="fr-CA"/>
        </w:rPr>
        <w:t>b</w:t>
      </w:r>
      <w:r w:rsidR="003514BF" w:rsidRPr="004828DB">
        <w:rPr>
          <w:lang w:val="fr-CA"/>
        </w:rPr>
        <w:t>) et le par.</w:t>
      </w:r>
      <w:r w:rsidR="00107BB9">
        <w:rPr>
          <w:lang w:val="fr-CA"/>
        </w:rPr>
        <w:t xml:space="preserve"> </w:t>
      </w:r>
      <w:r w:rsidR="003514BF" w:rsidRPr="004828DB">
        <w:rPr>
          <w:lang w:val="fr-CA"/>
        </w:rPr>
        <w:t xml:space="preserve">81(1) de la </w:t>
      </w:r>
      <w:r w:rsidR="003514BF" w:rsidRPr="004828DB">
        <w:rPr>
          <w:i/>
          <w:lang w:val="fr-CA"/>
        </w:rPr>
        <w:t>Loi sur les brevets</w:t>
      </w:r>
      <w:r w:rsidR="003514BF" w:rsidRPr="004828DB">
        <w:rPr>
          <w:lang w:val="fr-CA"/>
        </w:rPr>
        <w:t>, L.R.C. 1985, ch.</w:t>
      </w:r>
      <w:r w:rsidR="00107BB9">
        <w:rPr>
          <w:lang w:val="fr-CA"/>
        </w:rPr>
        <w:t xml:space="preserve"> </w:t>
      </w:r>
      <w:r w:rsidR="003514BF" w:rsidRPr="004828DB">
        <w:rPr>
          <w:lang w:val="fr-CA"/>
        </w:rPr>
        <w:t>P</w:t>
      </w:r>
      <w:r w:rsidR="00107BB9">
        <w:rPr>
          <w:lang w:val="fr-CA"/>
        </w:rPr>
        <w:t>-</w:t>
      </w:r>
      <w:r w:rsidR="003514BF" w:rsidRPr="004828DB">
        <w:rPr>
          <w:lang w:val="fr-CA"/>
        </w:rPr>
        <w:t xml:space="preserve">4, à enjoindre le breveté de lui fournir des renseignements </w:t>
      </w:r>
      <w:r w:rsidR="003514BF" w:rsidRPr="004828DB">
        <w:rPr>
          <w:lang w:val="fr-CA"/>
        </w:rPr>
        <w:lastRenderedPageBreak/>
        <w:t>pour qu’il puisse faire enquête sur « le prix de vente — antérieur ou actuel — du médicament sur l</w:t>
      </w:r>
      <w:r>
        <w:rPr>
          <w:lang w:val="fr-CA"/>
        </w:rPr>
        <w:t>[</w:t>
      </w:r>
      <w:r w:rsidR="003514BF" w:rsidRPr="004828DB">
        <w:rPr>
          <w:lang w:val="fr-CA"/>
        </w:rPr>
        <w:t>e</w:t>
      </w:r>
      <w:r>
        <w:rPr>
          <w:lang w:val="fr-CA"/>
        </w:rPr>
        <w:t>]</w:t>
      </w:r>
      <w:r w:rsidR="003514BF" w:rsidRPr="004828DB">
        <w:rPr>
          <w:lang w:val="fr-CA"/>
        </w:rPr>
        <w:t xml:space="preserve"> </w:t>
      </w:r>
      <w:proofErr w:type="spellStart"/>
      <w:r w:rsidR="003514BF" w:rsidRPr="004828DB">
        <w:rPr>
          <w:lang w:val="fr-CA"/>
        </w:rPr>
        <w:t>march</w:t>
      </w:r>
      <w:proofErr w:type="spellEnd"/>
      <w:r>
        <w:rPr>
          <w:lang w:val="fr-CA"/>
        </w:rPr>
        <w:t>[</w:t>
      </w:r>
      <w:r w:rsidR="003514BF" w:rsidRPr="004828DB">
        <w:rPr>
          <w:lang w:val="fr-CA"/>
        </w:rPr>
        <w:t>é</w:t>
      </w:r>
      <w:r>
        <w:rPr>
          <w:lang w:val="fr-CA"/>
        </w:rPr>
        <w:t>]</w:t>
      </w:r>
      <w:r w:rsidR="003514BF" w:rsidRPr="004828DB">
        <w:rPr>
          <w:lang w:val="fr-CA"/>
        </w:rPr>
        <w:t xml:space="preserve"> canadien ».  Si le Conseil estime que le prix pratiqué est excessif, il peut, en vertu du par.</w:t>
      </w:r>
      <w:r w:rsidR="00107BB9">
        <w:rPr>
          <w:lang w:val="fr-CA"/>
        </w:rPr>
        <w:t xml:space="preserve"> </w:t>
      </w:r>
      <w:r w:rsidR="003514BF" w:rsidRPr="004828DB">
        <w:rPr>
          <w:lang w:val="fr-CA"/>
        </w:rPr>
        <w:t>83(1), en ordonner la réduction.  Le présent pourvoi soulève une seule question : Le concept de « vente [. . .] sur l</w:t>
      </w:r>
      <w:r>
        <w:rPr>
          <w:lang w:val="fr-CA"/>
        </w:rPr>
        <w:t>[</w:t>
      </w:r>
      <w:r w:rsidR="003514BF" w:rsidRPr="004828DB">
        <w:rPr>
          <w:lang w:val="fr-CA"/>
        </w:rPr>
        <w:t>e</w:t>
      </w:r>
      <w:r>
        <w:rPr>
          <w:lang w:val="fr-CA"/>
        </w:rPr>
        <w:t>]</w:t>
      </w:r>
      <w:r w:rsidR="003514BF" w:rsidRPr="004828DB">
        <w:rPr>
          <w:lang w:val="fr-CA"/>
        </w:rPr>
        <w:t xml:space="preserve"> </w:t>
      </w:r>
      <w:proofErr w:type="spellStart"/>
      <w:r w:rsidR="003514BF" w:rsidRPr="004828DB">
        <w:rPr>
          <w:lang w:val="fr-CA"/>
        </w:rPr>
        <w:t>march</w:t>
      </w:r>
      <w:proofErr w:type="spellEnd"/>
      <w:r>
        <w:rPr>
          <w:lang w:val="fr-CA"/>
        </w:rPr>
        <w:t>[</w:t>
      </w:r>
      <w:r w:rsidR="003514BF" w:rsidRPr="004828DB">
        <w:rPr>
          <w:lang w:val="fr-CA"/>
        </w:rPr>
        <w:t>é</w:t>
      </w:r>
      <w:r>
        <w:rPr>
          <w:lang w:val="fr-CA"/>
        </w:rPr>
        <w:t>]</w:t>
      </w:r>
      <w:r w:rsidR="003514BF" w:rsidRPr="004828DB">
        <w:rPr>
          <w:lang w:val="fr-CA"/>
        </w:rPr>
        <w:t xml:space="preserve"> canadien » dans les dispositions pertinentes doit</w:t>
      </w:r>
      <w:r w:rsidR="00107BB9">
        <w:rPr>
          <w:lang w:val="fr-CA"/>
        </w:rPr>
        <w:t>-</w:t>
      </w:r>
      <w:r w:rsidR="003514BF" w:rsidRPr="004828DB">
        <w:rPr>
          <w:lang w:val="fr-CA"/>
        </w:rPr>
        <w:t>il être interprété strictement en fonction des princi</w:t>
      </w:r>
      <w:r w:rsidR="00107BB9">
        <w:rPr>
          <w:lang w:val="fr-CA"/>
        </w:rPr>
        <w:t>pes du droit commercial ou doit-</w:t>
      </w:r>
      <w:r w:rsidR="003514BF" w:rsidRPr="004828DB">
        <w:rPr>
          <w:lang w:val="fr-CA"/>
        </w:rPr>
        <w:t>il plutôt être défini d’une manière qui tienne compte du contexte et de l’objet de la législation pertinente?</w:t>
      </w:r>
    </w:p>
    <w:p w:rsidR="003514BF" w:rsidRPr="00F469CF" w:rsidRDefault="003514BF" w:rsidP="00F469CF">
      <w:pPr>
        <w:pStyle w:val="SCCNormalDoubleSpacing"/>
        <w:keepNext/>
        <w:spacing w:after="480"/>
        <w:rPr>
          <w:u w:val="single"/>
        </w:rPr>
      </w:pPr>
      <w:proofErr w:type="spellStart"/>
      <w:r w:rsidRPr="00F469CF">
        <w:rPr>
          <w:u w:val="single"/>
        </w:rPr>
        <w:t>Contexte</w:t>
      </w:r>
      <w:proofErr w:type="spellEnd"/>
    </w:p>
    <w:p w:rsidR="003514BF" w:rsidRPr="001102C1" w:rsidRDefault="003514BF" w:rsidP="000738B2">
      <w:pPr>
        <w:pStyle w:val="ReasonsNumbering-AltN"/>
        <w:rPr>
          <w:lang w:val="fr-CA"/>
        </w:rPr>
      </w:pPr>
      <w:r w:rsidRPr="001102C1">
        <w:rPr>
          <w:lang w:val="fr-CA"/>
        </w:rPr>
        <w:t xml:space="preserve">La société </w:t>
      </w:r>
      <w:proofErr w:type="spellStart"/>
      <w:r w:rsidRPr="001102C1">
        <w:rPr>
          <w:lang w:val="fr-CA"/>
        </w:rPr>
        <w:t>Celgene</w:t>
      </w:r>
      <w:proofErr w:type="spellEnd"/>
      <w:r w:rsidRPr="001102C1">
        <w:rPr>
          <w:lang w:val="fr-CA"/>
        </w:rPr>
        <w:t xml:space="preserve"> Corporation, qui est établie au New Jersey, est le distributeur d</w:t>
      </w:r>
      <w:r>
        <w:rPr>
          <w:lang w:val="fr-CA"/>
        </w:rPr>
        <w:t>’</w:t>
      </w:r>
      <w:r w:rsidRPr="001102C1">
        <w:rPr>
          <w:lang w:val="fr-CA"/>
        </w:rPr>
        <w:t xml:space="preserve">un médicament vendu sous la marque nominative </w:t>
      </w:r>
      <w:proofErr w:type="spellStart"/>
      <w:r w:rsidRPr="001102C1">
        <w:rPr>
          <w:lang w:val="fr-CA"/>
        </w:rPr>
        <w:t>Thalomid</w:t>
      </w:r>
      <w:proofErr w:type="spellEnd"/>
      <w:r w:rsidRPr="001102C1">
        <w:rPr>
          <w:lang w:val="fr-CA"/>
        </w:rPr>
        <w:t xml:space="preserve">. </w:t>
      </w:r>
      <w:r>
        <w:rPr>
          <w:lang w:val="fr-CA"/>
        </w:rPr>
        <w:t xml:space="preserve"> </w:t>
      </w:r>
      <w:r w:rsidRPr="001102C1">
        <w:rPr>
          <w:lang w:val="fr-CA"/>
        </w:rPr>
        <w:t>Ce médicament contient de la thalidomide, qui en est l</w:t>
      </w:r>
      <w:r>
        <w:rPr>
          <w:lang w:val="fr-CA"/>
        </w:rPr>
        <w:t>’</w:t>
      </w:r>
      <w:r w:rsidRPr="001102C1">
        <w:rPr>
          <w:lang w:val="fr-CA"/>
        </w:rPr>
        <w:t xml:space="preserve">ingrédient actif.  Le </w:t>
      </w:r>
      <w:proofErr w:type="spellStart"/>
      <w:r w:rsidRPr="001102C1">
        <w:rPr>
          <w:lang w:val="fr-CA"/>
        </w:rPr>
        <w:t>Thalomid</w:t>
      </w:r>
      <w:proofErr w:type="spellEnd"/>
      <w:r w:rsidRPr="001102C1">
        <w:rPr>
          <w:lang w:val="fr-CA"/>
        </w:rPr>
        <w:t xml:space="preserve"> s</w:t>
      </w:r>
      <w:r>
        <w:rPr>
          <w:lang w:val="fr-CA"/>
        </w:rPr>
        <w:t>’</w:t>
      </w:r>
      <w:r w:rsidRPr="001102C1">
        <w:rPr>
          <w:lang w:val="fr-CA"/>
        </w:rPr>
        <w:t xml:space="preserve">est révélé efficace pour traiter certaines pathologies telles que la lèpre et le </w:t>
      </w:r>
      <w:r w:rsidRPr="001102C1">
        <w:rPr>
          <w:color w:val="000000" w:themeColor="text1"/>
          <w:lang w:val="fr-CA"/>
        </w:rPr>
        <w:t>myélome multiple</w:t>
      </w:r>
      <w:r w:rsidRPr="001102C1">
        <w:rPr>
          <w:lang w:val="fr-CA"/>
        </w:rPr>
        <w:t xml:space="preserve"> et il a été approuvé </w:t>
      </w:r>
      <w:r>
        <w:rPr>
          <w:lang w:val="fr-CA"/>
        </w:rPr>
        <w:t>pour ces utilisations aux États</w:t>
      </w:r>
      <w:r w:rsidR="00107BB9">
        <w:rPr>
          <w:lang w:val="fr-CA"/>
        </w:rPr>
        <w:t>-</w:t>
      </w:r>
      <w:r w:rsidRPr="001102C1">
        <w:rPr>
          <w:lang w:val="fr-CA"/>
        </w:rPr>
        <w:t>Unis.</w:t>
      </w:r>
    </w:p>
    <w:p w:rsidR="003514BF" w:rsidRPr="001102C1" w:rsidRDefault="003514BF" w:rsidP="000738B2">
      <w:pPr>
        <w:pStyle w:val="ReasonsNumbering-AltN"/>
        <w:rPr>
          <w:lang w:val="fr-CA"/>
        </w:rPr>
      </w:pPr>
      <w:r w:rsidRPr="001102C1">
        <w:rPr>
          <w:lang w:val="fr-CA"/>
        </w:rPr>
        <w:t>Dans la plupart des cas, les médicaments vendus au Canada le sont une fois que Santé Canada est persuadé de l</w:t>
      </w:r>
      <w:r>
        <w:rPr>
          <w:lang w:val="fr-CA"/>
        </w:rPr>
        <w:t>’</w:t>
      </w:r>
      <w:r w:rsidRPr="001102C1">
        <w:rPr>
          <w:lang w:val="fr-CA"/>
        </w:rPr>
        <w:t>innocuité et de l</w:t>
      </w:r>
      <w:r>
        <w:rPr>
          <w:lang w:val="fr-CA"/>
        </w:rPr>
        <w:t>’</w:t>
      </w:r>
      <w:r w:rsidRPr="001102C1">
        <w:rPr>
          <w:lang w:val="fr-CA"/>
        </w:rPr>
        <w:t xml:space="preserve">efficacité du médicament concerné et a délivré un avis de conformité conformément </w:t>
      </w:r>
      <w:proofErr w:type="gramStart"/>
      <w:r w:rsidRPr="001102C1">
        <w:rPr>
          <w:lang w:val="fr-CA"/>
        </w:rPr>
        <w:t xml:space="preserve">aux </w:t>
      </w:r>
      <w:r w:rsidR="00107BB9">
        <w:rPr>
          <w:lang w:val="fr-CA"/>
        </w:rPr>
        <w:t>art</w:t>
      </w:r>
      <w:proofErr w:type="gramEnd"/>
      <w:r w:rsidR="00107BB9">
        <w:rPr>
          <w:lang w:val="fr-CA"/>
        </w:rPr>
        <w:t xml:space="preserve">. </w:t>
      </w:r>
      <w:r w:rsidRPr="001102C1">
        <w:rPr>
          <w:lang w:val="fr-CA"/>
        </w:rPr>
        <w:t xml:space="preserve">C.08.002 et C.08.004 du </w:t>
      </w:r>
      <w:r w:rsidRPr="001102C1">
        <w:rPr>
          <w:i/>
          <w:lang w:val="fr-CA"/>
        </w:rPr>
        <w:t>Règlement sur les aliments et drogues</w:t>
      </w:r>
      <w:r w:rsidRPr="001102C1">
        <w:rPr>
          <w:lang w:val="fr-CA"/>
        </w:rPr>
        <w:t>, C.R.C.</w:t>
      </w:r>
      <w:r w:rsidR="00E62746">
        <w:rPr>
          <w:lang w:val="fr-CA"/>
        </w:rPr>
        <w:t xml:space="preserve"> 1978</w:t>
      </w:r>
      <w:r w:rsidRPr="001102C1">
        <w:rPr>
          <w:lang w:val="fr-CA"/>
        </w:rPr>
        <w:t xml:space="preserve">, </w:t>
      </w:r>
      <w:r w:rsidR="00107BB9">
        <w:rPr>
          <w:lang w:val="fr-CA"/>
        </w:rPr>
        <w:t xml:space="preserve">ch. </w:t>
      </w:r>
      <w:r w:rsidRPr="001102C1">
        <w:rPr>
          <w:lang w:val="fr-CA"/>
        </w:rPr>
        <w:t>870.  Quand le fabricant ne présente pas de demande d</w:t>
      </w:r>
      <w:r>
        <w:rPr>
          <w:lang w:val="fr-CA"/>
        </w:rPr>
        <w:t>’</w:t>
      </w:r>
      <w:r w:rsidRPr="001102C1">
        <w:rPr>
          <w:lang w:val="fr-CA"/>
        </w:rPr>
        <w:t>avis de conformité, ou que Santé Canada n</w:t>
      </w:r>
      <w:r>
        <w:rPr>
          <w:lang w:val="fr-CA"/>
        </w:rPr>
        <w:t>’</w:t>
      </w:r>
      <w:r w:rsidRPr="001102C1">
        <w:rPr>
          <w:lang w:val="fr-CA"/>
        </w:rPr>
        <w:t>a pas encore délivré un tel avis, un médicament peut néanmoins dans certains cas être vendu aux praticiens, par le truchement d</w:t>
      </w:r>
      <w:r>
        <w:rPr>
          <w:lang w:val="fr-CA"/>
        </w:rPr>
        <w:t>’</w:t>
      </w:r>
      <w:r w:rsidRPr="001102C1">
        <w:rPr>
          <w:lang w:val="fr-CA"/>
        </w:rPr>
        <w:t>une autre voie — le Programme d</w:t>
      </w:r>
      <w:r>
        <w:rPr>
          <w:lang w:val="fr-CA"/>
        </w:rPr>
        <w:t>’</w:t>
      </w:r>
      <w:r w:rsidRPr="001102C1">
        <w:rPr>
          <w:lang w:val="fr-CA"/>
        </w:rPr>
        <w:t xml:space="preserve">accès </w:t>
      </w:r>
      <w:r w:rsidRPr="001102C1">
        <w:rPr>
          <w:lang w:val="fr-CA"/>
        </w:rPr>
        <w:lastRenderedPageBreak/>
        <w:t>spécial (</w:t>
      </w:r>
      <w:r>
        <w:rPr>
          <w:lang w:val="fr-CA"/>
        </w:rPr>
        <w:t>« </w:t>
      </w:r>
      <w:r w:rsidRPr="001102C1">
        <w:rPr>
          <w:lang w:val="fr-CA"/>
        </w:rPr>
        <w:t>PAS</w:t>
      </w:r>
      <w:r>
        <w:rPr>
          <w:lang w:val="fr-CA"/>
        </w:rPr>
        <w:t> »</w:t>
      </w:r>
      <w:r w:rsidRPr="001102C1">
        <w:rPr>
          <w:lang w:val="fr-CA"/>
        </w:rPr>
        <w:t>)</w:t>
      </w:r>
      <w:r>
        <w:rPr>
          <w:lang w:val="fr-CA"/>
        </w:rPr>
        <w:t> :</w:t>
      </w:r>
      <w:r w:rsidRPr="001102C1">
        <w:rPr>
          <w:lang w:val="fr-CA"/>
        </w:rPr>
        <w:t xml:space="preserve"> voir le</w:t>
      </w:r>
      <w:r w:rsidRPr="001102C1">
        <w:rPr>
          <w:i/>
          <w:lang w:val="fr-CA"/>
        </w:rPr>
        <w:t xml:space="preserve"> Règlement sur les aliments et drogues</w:t>
      </w:r>
      <w:r w:rsidRPr="001102C1">
        <w:rPr>
          <w:lang w:val="fr-CA"/>
        </w:rPr>
        <w:t>,</w:t>
      </w:r>
      <w:r w:rsidRPr="001102C1">
        <w:rPr>
          <w:i/>
          <w:lang w:val="fr-CA"/>
        </w:rPr>
        <w:t xml:space="preserve"> </w:t>
      </w:r>
      <w:r>
        <w:rPr>
          <w:lang w:val="fr-CA"/>
        </w:rPr>
        <w:t>art.</w:t>
      </w:r>
      <w:r w:rsidR="00107BB9">
        <w:rPr>
          <w:lang w:val="fr-CA"/>
        </w:rPr>
        <w:t xml:space="preserve"> </w:t>
      </w:r>
      <w:r w:rsidRPr="001102C1">
        <w:rPr>
          <w:lang w:val="fr-CA"/>
        </w:rPr>
        <w:t xml:space="preserve">C.08.010 et C.08.011.  Le PAS a été décrit comme un mécanisme permettant de donner accès à des médicaments qui, autrement, ne sont pas disponibles sur un marché particulier pour le traitement de </w:t>
      </w:r>
      <w:r>
        <w:rPr>
          <w:lang w:val="fr-CA"/>
        </w:rPr>
        <w:t>« </w:t>
      </w:r>
      <w:r w:rsidRPr="001102C1">
        <w:rPr>
          <w:lang w:val="fr-CA"/>
        </w:rPr>
        <w:t>maladies graves ou mortelles, lorsque les traitements classiques se sont révélés inefficaces, ne conviennent pas ou ne sont pas disponibles, sous la forme de produits commercialisés ou dans le cadre d</w:t>
      </w:r>
      <w:r>
        <w:rPr>
          <w:lang w:val="fr-CA"/>
        </w:rPr>
        <w:t>’</w:t>
      </w:r>
      <w:r w:rsidRPr="001102C1">
        <w:rPr>
          <w:lang w:val="fr-CA"/>
        </w:rPr>
        <w:t>essais cliniques</w:t>
      </w:r>
      <w:r>
        <w:rPr>
          <w:lang w:val="fr-CA"/>
        </w:rPr>
        <w:t> » :</w:t>
      </w:r>
      <w:r w:rsidRPr="001102C1">
        <w:rPr>
          <w:lang w:val="fr-CA"/>
        </w:rPr>
        <w:t xml:space="preserve"> </w:t>
      </w:r>
      <w:r w:rsidRPr="001102C1">
        <w:rPr>
          <w:lang w:val="fr-CA" w:bidi="en-US"/>
        </w:rPr>
        <w:t xml:space="preserve">Santé Canada, </w:t>
      </w:r>
      <w:r w:rsidRPr="001102C1">
        <w:rPr>
          <w:i/>
          <w:lang w:val="fr-CA" w:bidi="en-US"/>
        </w:rPr>
        <w:t>Ligne directrice à l</w:t>
      </w:r>
      <w:r>
        <w:rPr>
          <w:i/>
          <w:lang w:val="fr-CA" w:bidi="en-US"/>
        </w:rPr>
        <w:t>’</w:t>
      </w:r>
      <w:r w:rsidRPr="001102C1">
        <w:rPr>
          <w:i/>
          <w:lang w:val="fr-CA" w:bidi="en-US"/>
        </w:rPr>
        <w:t>intention de l</w:t>
      </w:r>
      <w:r>
        <w:rPr>
          <w:i/>
          <w:lang w:val="fr-CA" w:bidi="en-US"/>
        </w:rPr>
        <w:t>’</w:t>
      </w:r>
      <w:r w:rsidRPr="001102C1">
        <w:rPr>
          <w:i/>
          <w:lang w:val="fr-CA" w:bidi="en-US"/>
        </w:rPr>
        <w:t>industrie et des praticiens</w:t>
      </w:r>
      <w:r w:rsidR="004828DB">
        <w:rPr>
          <w:i/>
          <w:lang w:val="fr-CA" w:bidi="en-US"/>
        </w:rPr>
        <w:t> :</w:t>
      </w:r>
      <w:r w:rsidRPr="001102C1">
        <w:rPr>
          <w:i/>
          <w:lang w:val="fr-CA" w:bidi="en-US"/>
        </w:rPr>
        <w:t xml:space="preserve"> Programme d</w:t>
      </w:r>
      <w:r>
        <w:rPr>
          <w:i/>
          <w:lang w:val="fr-CA" w:bidi="en-US"/>
        </w:rPr>
        <w:t>’</w:t>
      </w:r>
      <w:r w:rsidRPr="001102C1">
        <w:rPr>
          <w:i/>
          <w:lang w:val="fr-CA" w:bidi="en-US"/>
        </w:rPr>
        <w:t xml:space="preserve">accès spécial — médicaments </w:t>
      </w:r>
      <w:r w:rsidRPr="001102C1">
        <w:rPr>
          <w:lang w:val="fr-CA" w:bidi="en-US"/>
        </w:rPr>
        <w:t>(2008),</w:t>
      </w:r>
      <w:r w:rsidRPr="001102C1">
        <w:rPr>
          <w:i/>
          <w:lang w:val="fr-CA" w:bidi="en-US"/>
        </w:rPr>
        <w:t xml:space="preserve"> </w:t>
      </w:r>
      <w:r w:rsidRPr="001102C1">
        <w:rPr>
          <w:lang w:val="fr-CA" w:bidi="en-US"/>
        </w:rPr>
        <w:t>p.</w:t>
      </w:r>
      <w:r w:rsidR="00CA0201">
        <w:rPr>
          <w:lang w:val="fr-CA" w:bidi="en-US"/>
        </w:rPr>
        <w:t xml:space="preserve"> </w:t>
      </w:r>
      <w:r w:rsidRPr="001102C1">
        <w:rPr>
          <w:lang w:val="fr-CA" w:bidi="en-US"/>
        </w:rPr>
        <w:t>1.</w:t>
      </w:r>
    </w:p>
    <w:p w:rsidR="003514BF" w:rsidRPr="001102C1" w:rsidRDefault="003514BF" w:rsidP="000738B2">
      <w:pPr>
        <w:pStyle w:val="ReasonsNumbering-AltN"/>
        <w:rPr>
          <w:lang w:val="fr-CA"/>
        </w:rPr>
      </w:pPr>
      <w:r w:rsidRPr="001102C1">
        <w:rPr>
          <w:lang w:val="fr-CA"/>
        </w:rPr>
        <w:t>Ni le volume des ventes d</w:t>
      </w:r>
      <w:r>
        <w:rPr>
          <w:lang w:val="fr-CA"/>
        </w:rPr>
        <w:t>’</w:t>
      </w:r>
      <w:r w:rsidRPr="001102C1">
        <w:rPr>
          <w:lang w:val="fr-CA"/>
        </w:rPr>
        <w:t xml:space="preserve">un médicament qui peuvent être effectuées dans le cadre du PAS ni la période pendant laquelle un fabricant peut distribuer le médicament par cette voie ne sont assujettis à quelque limite que ce soit.  Si Santé Canada approuve la demande de vente du médicament au titre du PAS, le fabricant est </w:t>
      </w:r>
      <w:proofErr w:type="gramStart"/>
      <w:r w:rsidRPr="001102C1">
        <w:rPr>
          <w:lang w:val="fr-CA"/>
        </w:rPr>
        <w:t>autorisé</w:t>
      </w:r>
      <w:proofErr w:type="gramEnd"/>
      <w:r w:rsidRPr="001102C1">
        <w:rPr>
          <w:lang w:val="fr-CA"/>
        </w:rPr>
        <w:t xml:space="preserve"> à vendre son produit pour le traitement d</w:t>
      </w:r>
      <w:r>
        <w:rPr>
          <w:lang w:val="fr-CA"/>
        </w:rPr>
        <w:t>’</w:t>
      </w:r>
      <w:r w:rsidRPr="001102C1">
        <w:rPr>
          <w:lang w:val="fr-CA"/>
        </w:rPr>
        <w:t>un patient nommé ou pour l</w:t>
      </w:r>
      <w:r>
        <w:rPr>
          <w:lang w:val="fr-CA"/>
        </w:rPr>
        <w:t>’</w:t>
      </w:r>
      <w:r w:rsidRPr="001102C1">
        <w:rPr>
          <w:lang w:val="fr-CA"/>
        </w:rPr>
        <w:t>essai clinique visé dans la demande.</w:t>
      </w:r>
    </w:p>
    <w:p w:rsidR="003514BF" w:rsidRPr="001102C1" w:rsidRDefault="003514BF" w:rsidP="000738B2">
      <w:pPr>
        <w:pStyle w:val="ReasonsNumbering-AltN"/>
        <w:rPr>
          <w:lang w:val="fr-CA"/>
        </w:rPr>
      </w:pPr>
      <w:proofErr w:type="spellStart"/>
      <w:r w:rsidRPr="001102C1">
        <w:rPr>
          <w:lang w:val="fr-CA"/>
        </w:rPr>
        <w:t>Celgene</w:t>
      </w:r>
      <w:proofErr w:type="spellEnd"/>
      <w:r w:rsidRPr="001102C1">
        <w:rPr>
          <w:lang w:val="fr-CA"/>
        </w:rPr>
        <w:t xml:space="preserve"> n</w:t>
      </w:r>
      <w:r>
        <w:rPr>
          <w:lang w:val="fr-CA"/>
        </w:rPr>
        <w:t>’</w:t>
      </w:r>
      <w:r w:rsidRPr="001102C1">
        <w:rPr>
          <w:lang w:val="fr-CA"/>
        </w:rPr>
        <w:t>a pas obtenu d</w:t>
      </w:r>
      <w:r>
        <w:rPr>
          <w:lang w:val="fr-CA"/>
        </w:rPr>
        <w:t>’</w:t>
      </w:r>
      <w:r w:rsidRPr="001102C1">
        <w:rPr>
          <w:lang w:val="fr-CA"/>
        </w:rPr>
        <w:t xml:space="preserve">avis de conformité pour le </w:t>
      </w:r>
      <w:proofErr w:type="spellStart"/>
      <w:r w:rsidRPr="001102C1">
        <w:rPr>
          <w:lang w:val="fr-CA"/>
        </w:rPr>
        <w:t>Thalomid</w:t>
      </w:r>
      <w:proofErr w:type="spellEnd"/>
      <w:r w:rsidRPr="001102C1">
        <w:rPr>
          <w:lang w:val="fr-CA"/>
        </w:rPr>
        <w:t xml:space="preserve">. </w:t>
      </w:r>
      <w:r>
        <w:rPr>
          <w:lang w:val="fr-CA"/>
        </w:rPr>
        <w:t xml:space="preserve"> </w:t>
      </w:r>
      <w:r w:rsidRPr="001102C1">
        <w:rPr>
          <w:lang w:val="fr-CA"/>
        </w:rPr>
        <w:t xml:space="preserve">Depuis 1995, ses ventes de ce médicament à des Canadiens ont été effectuées par le PAS.  Des quelque 26 000 demandes présentées par des praticiens en vertu de ce programme en 2006, environ 4 500 concernaient le </w:t>
      </w:r>
      <w:proofErr w:type="spellStart"/>
      <w:r w:rsidRPr="001102C1">
        <w:rPr>
          <w:lang w:val="fr-CA"/>
        </w:rPr>
        <w:t>Thalomid</w:t>
      </w:r>
      <w:proofErr w:type="spellEnd"/>
      <w:r w:rsidRPr="001102C1">
        <w:rPr>
          <w:lang w:val="fr-CA"/>
        </w:rPr>
        <w:t>, ce qui en faisait le médicament le plus souvent commandé par cette voie.</w:t>
      </w:r>
    </w:p>
    <w:p w:rsidR="003514BF" w:rsidRPr="001102C1" w:rsidRDefault="003514BF" w:rsidP="000738B2">
      <w:pPr>
        <w:pStyle w:val="ReasonsNumbering-AltN"/>
        <w:rPr>
          <w:lang w:val="fr-CA"/>
        </w:rPr>
      </w:pPr>
      <w:r w:rsidRPr="001102C1">
        <w:rPr>
          <w:lang w:val="fr-CA"/>
        </w:rPr>
        <w:lastRenderedPageBreak/>
        <w:t xml:space="preserve">Quand un médecin canadien commande du </w:t>
      </w:r>
      <w:proofErr w:type="spellStart"/>
      <w:r w:rsidRPr="001102C1">
        <w:rPr>
          <w:lang w:val="fr-CA"/>
        </w:rPr>
        <w:t>Thalomid</w:t>
      </w:r>
      <w:proofErr w:type="spellEnd"/>
      <w:r w:rsidRPr="001102C1">
        <w:rPr>
          <w:lang w:val="fr-CA"/>
        </w:rPr>
        <w:t xml:space="preserve"> au moyen du PAS, le médicament est empaqueté dans les bureaux</w:t>
      </w:r>
      <w:r w:rsidR="00107BB9">
        <w:rPr>
          <w:lang w:val="fr-CA"/>
        </w:rPr>
        <w:t xml:space="preserve"> de </w:t>
      </w:r>
      <w:proofErr w:type="spellStart"/>
      <w:r w:rsidR="00107BB9">
        <w:rPr>
          <w:lang w:val="fr-CA"/>
        </w:rPr>
        <w:t>Celgene</w:t>
      </w:r>
      <w:proofErr w:type="spellEnd"/>
      <w:r w:rsidR="00107BB9">
        <w:rPr>
          <w:lang w:val="fr-CA"/>
        </w:rPr>
        <w:t xml:space="preserve"> aux États-</w:t>
      </w:r>
      <w:r w:rsidRPr="001102C1">
        <w:rPr>
          <w:lang w:val="fr-CA"/>
        </w:rPr>
        <w:t xml:space="preserve">Unis et acheminé, franco à bord, au médecin au Canada.  </w:t>
      </w:r>
      <w:proofErr w:type="spellStart"/>
      <w:r w:rsidRPr="001102C1">
        <w:rPr>
          <w:lang w:val="fr-CA"/>
        </w:rPr>
        <w:t>Celgene</w:t>
      </w:r>
      <w:proofErr w:type="spellEnd"/>
      <w:r w:rsidRPr="001102C1">
        <w:rPr>
          <w:lang w:val="fr-CA"/>
        </w:rPr>
        <w:t xml:space="preserve"> prépare sa facture au New</w:t>
      </w:r>
      <w:r w:rsidR="00107BB9">
        <w:rPr>
          <w:lang w:val="fr-CA"/>
        </w:rPr>
        <w:t xml:space="preserve"> </w:t>
      </w:r>
      <w:r w:rsidRPr="001102C1">
        <w:rPr>
          <w:lang w:val="fr-CA"/>
        </w:rPr>
        <w:t>Jersey, l</w:t>
      </w:r>
      <w:r>
        <w:rPr>
          <w:lang w:val="fr-CA"/>
        </w:rPr>
        <w:t>’</w:t>
      </w:r>
      <w:r w:rsidRPr="001102C1">
        <w:rPr>
          <w:lang w:val="fr-CA"/>
        </w:rPr>
        <w:t>envoie par la poste au Canada et ordonne que le paiement soit effectué en dollars américains et envoyé par messagerie ou par la poste à ses bureaux du New</w:t>
      </w:r>
      <w:r w:rsidR="00107BB9">
        <w:rPr>
          <w:lang w:val="fr-CA"/>
        </w:rPr>
        <w:t xml:space="preserve"> </w:t>
      </w:r>
      <w:r w:rsidRPr="001102C1">
        <w:rPr>
          <w:lang w:val="fr-CA"/>
        </w:rPr>
        <w:t>Jersey.  Aucune taxe canadienne n</w:t>
      </w:r>
      <w:r>
        <w:rPr>
          <w:lang w:val="fr-CA"/>
        </w:rPr>
        <w:t>’</w:t>
      </w:r>
      <w:r w:rsidRPr="001102C1">
        <w:rPr>
          <w:lang w:val="fr-CA"/>
        </w:rPr>
        <w:t>est perçue sur ces transactions.</w:t>
      </w:r>
      <w:r>
        <w:rPr>
          <w:lang w:val="fr-CA"/>
        </w:rPr>
        <w:t xml:space="preserve"> </w:t>
      </w:r>
      <w:r w:rsidRPr="001102C1">
        <w:rPr>
          <w:lang w:val="fr-CA"/>
        </w:rPr>
        <w:t xml:space="preserve"> Le médicament n</w:t>
      </w:r>
      <w:r>
        <w:rPr>
          <w:lang w:val="fr-CA"/>
        </w:rPr>
        <w:t>’</w:t>
      </w:r>
      <w:r w:rsidRPr="001102C1">
        <w:rPr>
          <w:lang w:val="fr-CA"/>
        </w:rPr>
        <w:t>est jamais redistribué au Canada — toutes les doses inutilisées doivent être renvoyées à l</w:t>
      </w:r>
      <w:r>
        <w:rPr>
          <w:lang w:val="fr-CA"/>
        </w:rPr>
        <w:t>’</w:t>
      </w:r>
      <w:r w:rsidRPr="001102C1">
        <w:rPr>
          <w:lang w:val="fr-CA"/>
        </w:rPr>
        <w:t xml:space="preserve">établissement de </w:t>
      </w:r>
      <w:proofErr w:type="spellStart"/>
      <w:r w:rsidRPr="001102C1">
        <w:rPr>
          <w:lang w:val="fr-CA"/>
        </w:rPr>
        <w:t>Celgene</w:t>
      </w:r>
      <w:proofErr w:type="spellEnd"/>
      <w:r w:rsidRPr="001102C1">
        <w:rPr>
          <w:lang w:val="fr-CA"/>
        </w:rPr>
        <w:t xml:space="preserve"> en Pennsylvanie.</w:t>
      </w:r>
    </w:p>
    <w:p w:rsidR="003514BF" w:rsidRPr="001102C1" w:rsidRDefault="003514BF" w:rsidP="000738B2">
      <w:pPr>
        <w:pStyle w:val="ReasonsNumbering-AltN"/>
        <w:rPr>
          <w:lang w:val="fr-CA"/>
        </w:rPr>
      </w:pPr>
      <w:proofErr w:type="spellStart"/>
      <w:r w:rsidRPr="001102C1">
        <w:rPr>
          <w:lang w:val="fr-CA"/>
        </w:rPr>
        <w:t>Celgene</w:t>
      </w:r>
      <w:proofErr w:type="spellEnd"/>
      <w:r w:rsidRPr="001102C1">
        <w:rPr>
          <w:lang w:val="fr-CA"/>
        </w:rPr>
        <w:t xml:space="preserve"> a obtenu un brevet canadien à l</w:t>
      </w:r>
      <w:r>
        <w:rPr>
          <w:lang w:val="fr-CA"/>
        </w:rPr>
        <w:t>’</w:t>
      </w:r>
      <w:r w:rsidRPr="001102C1">
        <w:rPr>
          <w:lang w:val="fr-CA"/>
        </w:rPr>
        <w:t xml:space="preserve">égard du </w:t>
      </w:r>
      <w:proofErr w:type="spellStart"/>
      <w:r w:rsidRPr="001102C1">
        <w:rPr>
          <w:lang w:val="fr-CA"/>
        </w:rPr>
        <w:t>Thalomid</w:t>
      </w:r>
      <w:proofErr w:type="spellEnd"/>
      <w:r w:rsidRPr="001102C1">
        <w:rPr>
          <w:lang w:val="fr-CA"/>
        </w:rPr>
        <w:t xml:space="preserve"> le 4</w:t>
      </w:r>
      <w:r w:rsidR="00107BB9">
        <w:rPr>
          <w:lang w:val="fr-CA"/>
        </w:rPr>
        <w:t xml:space="preserve"> </w:t>
      </w:r>
      <w:r w:rsidRPr="001102C1">
        <w:rPr>
          <w:lang w:val="fr-CA"/>
        </w:rPr>
        <w:t xml:space="preserve">avril 2006.  Sept jours plus tard, le Conseil a avisé </w:t>
      </w:r>
      <w:proofErr w:type="spellStart"/>
      <w:r w:rsidRPr="001102C1">
        <w:rPr>
          <w:lang w:val="fr-CA"/>
        </w:rPr>
        <w:t>Celgene</w:t>
      </w:r>
      <w:proofErr w:type="spellEnd"/>
      <w:r w:rsidRPr="001102C1">
        <w:rPr>
          <w:lang w:val="fr-CA"/>
        </w:rPr>
        <w:t xml:space="preserve"> que vu l</w:t>
      </w:r>
      <w:r>
        <w:rPr>
          <w:lang w:val="fr-CA"/>
        </w:rPr>
        <w:t>’</w:t>
      </w:r>
      <w:r w:rsidRPr="001102C1">
        <w:rPr>
          <w:lang w:val="fr-CA"/>
        </w:rPr>
        <w:t>existence de ce brevet, il pouvait maintenant exiger d</w:t>
      </w:r>
      <w:r>
        <w:rPr>
          <w:lang w:val="fr-CA"/>
        </w:rPr>
        <w:t>’</w:t>
      </w:r>
      <w:r w:rsidRPr="001102C1">
        <w:rPr>
          <w:lang w:val="fr-CA"/>
        </w:rPr>
        <w:t xml:space="preserve">elle les renseignements sur le prix à compter de la date de la première vente de </w:t>
      </w:r>
      <w:proofErr w:type="spellStart"/>
      <w:r w:rsidRPr="001102C1">
        <w:rPr>
          <w:lang w:val="fr-CA"/>
        </w:rPr>
        <w:t>Thalomid</w:t>
      </w:r>
      <w:proofErr w:type="spellEnd"/>
      <w:r w:rsidRPr="001102C1">
        <w:rPr>
          <w:lang w:val="fr-CA"/>
        </w:rPr>
        <w:t xml:space="preserve"> dans le cadre du PAS, soit en 1995.</w:t>
      </w:r>
    </w:p>
    <w:p w:rsidR="003514BF" w:rsidRPr="001102C1" w:rsidRDefault="003514BF" w:rsidP="000738B2">
      <w:pPr>
        <w:pStyle w:val="ReasonsNumbering-AltN"/>
        <w:rPr>
          <w:lang w:val="fr-CA"/>
        </w:rPr>
      </w:pPr>
      <w:proofErr w:type="spellStart"/>
      <w:r w:rsidRPr="001102C1">
        <w:rPr>
          <w:lang w:val="fr-CA"/>
        </w:rPr>
        <w:t>Celgene</w:t>
      </w:r>
      <w:proofErr w:type="spellEnd"/>
      <w:r w:rsidRPr="001102C1">
        <w:rPr>
          <w:lang w:val="fr-CA"/>
        </w:rPr>
        <w:t xml:space="preserve"> a d</w:t>
      </w:r>
      <w:r>
        <w:rPr>
          <w:lang w:val="fr-CA"/>
        </w:rPr>
        <w:t>’</w:t>
      </w:r>
      <w:r w:rsidRPr="001102C1">
        <w:rPr>
          <w:lang w:val="fr-CA"/>
        </w:rPr>
        <w:t>abord fourni quelques renseignements sur le prix sans renoncer à sa position selon laquelle le Conseil n</w:t>
      </w:r>
      <w:r>
        <w:rPr>
          <w:lang w:val="fr-CA"/>
        </w:rPr>
        <w:t>’</w:t>
      </w:r>
      <w:r w:rsidRPr="001102C1">
        <w:rPr>
          <w:lang w:val="fr-CA"/>
        </w:rPr>
        <w:t>avait pas compétence pour les exiger.  Cependant, elle a fini par refuser de fournir d</w:t>
      </w:r>
      <w:r>
        <w:rPr>
          <w:lang w:val="fr-CA"/>
        </w:rPr>
        <w:t>’</w:t>
      </w:r>
      <w:r w:rsidRPr="001102C1">
        <w:rPr>
          <w:lang w:val="fr-CA"/>
        </w:rPr>
        <w:t xml:space="preserve">autres renseignements au motif que, en vertu des principes du droit commercial, la </w:t>
      </w:r>
      <w:r>
        <w:rPr>
          <w:lang w:val="fr-CA"/>
        </w:rPr>
        <w:t>« </w:t>
      </w:r>
      <w:r w:rsidRPr="001102C1">
        <w:rPr>
          <w:lang w:val="fr-CA"/>
        </w:rPr>
        <w:t>vente</w:t>
      </w:r>
      <w:r>
        <w:rPr>
          <w:lang w:val="fr-CA"/>
        </w:rPr>
        <w:t> »</w:t>
      </w:r>
      <w:r w:rsidRPr="001102C1">
        <w:rPr>
          <w:lang w:val="fr-CA"/>
        </w:rPr>
        <w:t xml:space="preserve"> du médicament était effectuée au New</w:t>
      </w:r>
      <w:r w:rsidR="00107BB9">
        <w:rPr>
          <w:lang w:val="fr-CA"/>
        </w:rPr>
        <w:t xml:space="preserve"> </w:t>
      </w:r>
      <w:r w:rsidRPr="001102C1">
        <w:rPr>
          <w:lang w:val="fr-CA"/>
        </w:rPr>
        <w:t>Jersey et que, par conséquent, le Conseil n</w:t>
      </w:r>
      <w:r>
        <w:rPr>
          <w:lang w:val="fr-CA"/>
        </w:rPr>
        <w:t>’</w:t>
      </w:r>
      <w:r w:rsidRPr="001102C1">
        <w:rPr>
          <w:lang w:val="fr-CA"/>
        </w:rPr>
        <w:t>avait pas le pouvoir d</w:t>
      </w:r>
      <w:r>
        <w:rPr>
          <w:lang w:val="fr-CA"/>
        </w:rPr>
        <w:t>’</w:t>
      </w:r>
      <w:r w:rsidRPr="001102C1">
        <w:rPr>
          <w:lang w:val="fr-CA"/>
        </w:rPr>
        <w:t>exiger les renseignements visés à l</w:t>
      </w:r>
      <w:r w:rsidR="00107BB9">
        <w:rPr>
          <w:lang w:val="fr-CA"/>
        </w:rPr>
        <w:t xml:space="preserve">’al. </w:t>
      </w:r>
      <w:r w:rsidRPr="001102C1">
        <w:rPr>
          <w:lang w:val="fr-CA"/>
        </w:rPr>
        <w:t>80(1)</w:t>
      </w:r>
      <w:r w:rsidRPr="001102C1">
        <w:rPr>
          <w:i/>
          <w:lang w:val="fr-CA"/>
        </w:rPr>
        <w:t>b</w:t>
      </w:r>
      <w:r w:rsidRPr="001102C1">
        <w:rPr>
          <w:lang w:val="fr-CA"/>
        </w:rPr>
        <w:t>), pouvoir dont la portée est limitée selon elle aux médicaments vendus au Canada.</w:t>
      </w:r>
    </w:p>
    <w:p w:rsidR="003514BF" w:rsidRPr="001102C1" w:rsidRDefault="003514BF" w:rsidP="000738B2">
      <w:pPr>
        <w:pStyle w:val="ReasonsNumbering-AltN"/>
        <w:rPr>
          <w:lang w:val="fr-CA"/>
        </w:rPr>
      </w:pPr>
      <w:r w:rsidRPr="001102C1">
        <w:rPr>
          <w:lang w:val="fr-CA"/>
        </w:rPr>
        <w:lastRenderedPageBreak/>
        <w:t>Une requête a ensuite été adressée au Conseil lui demandant d</w:t>
      </w:r>
      <w:r>
        <w:rPr>
          <w:lang w:val="fr-CA"/>
        </w:rPr>
        <w:t>’</w:t>
      </w:r>
      <w:r w:rsidRPr="001102C1">
        <w:rPr>
          <w:lang w:val="fr-CA"/>
        </w:rPr>
        <w:t xml:space="preserve">ordonner à </w:t>
      </w:r>
      <w:proofErr w:type="spellStart"/>
      <w:r w:rsidRPr="001102C1">
        <w:rPr>
          <w:lang w:val="fr-CA"/>
        </w:rPr>
        <w:t>Celgene</w:t>
      </w:r>
      <w:proofErr w:type="spellEnd"/>
      <w:r w:rsidRPr="001102C1">
        <w:rPr>
          <w:lang w:val="fr-CA"/>
        </w:rPr>
        <w:t xml:space="preserve"> de produire les renseignements visés, afin qu</w:t>
      </w:r>
      <w:r>
        <w:rPr>
          <w:lang w:val="fr-CA"/>
        </w:rPr>
        <w:t>’</w:t>
      </w:r>
      <w:r w:rsidRPr="001102C1">
        <w:rPr>
          <w:lang w:val="fr-CA"/>
        </w:rPr>
        <w:t>il puisse déterminer si le prix pratiqué à l</w:t>
      </w:r>
      <w:r>
        <w:rPr>
          <w:lang w:val="fr-CA"/>
        </w:rPr>
        <w:t>’</w:t>
      </w:r>
      <w:r w:rsidRPr="001102C1">
        <w:rPr>
          <w:lang w:val="fr-CA"/>
        </w:rPr>
        <w:t>égard des acheteurs canadiens était excessif.</w:t>
      </w:r>
    </w:p>
    <w:p w:rsidR="003514BF" w:rsidRPr="001102C1" w:rsidRDefault="003514BF" w:rsidP="000738B2">
      <w:pPr>
        <w:pStyle w:val="ReasonsNumbering-AltN"/>
        <w:rPr>
          <w:lang w:val="fr-CA"/>
        </w:rPr>
      </w:pPr>
      <w:r w:rsidRPr="001102C1">
        <w:rPr>
          <w:lang w:val="fr-CA"/>
        </w:rPr>
        <w:t xml:space="preserve">Dans sa décision, le Conseil a reconnu que le médicament était vendu par le siège social de </w:t>
      </w:r>
      <w:proofErr w:type="spellStart"/>
      <w:r w:rsidRPr="001102C1">
        <w:rPr>
          <w:lang w:val="fr-CA"/>
        </w:rPr>
        <w:t>Celgene</w:t>
      </w:r>
      <w:proofErr w:type="spellEnd"/>
      <w:r w:rsidRPr="001102C1">
        <w:rPr>
          <w:lang w:val="fr-CA"/>
        </w:rPr>
        <w:t xml:space="preserve"> situé au New</w:t>
      </w:r>
      <w:r w:rsidR="00107BB9">
        <w:rPr>
          <w:lang w:val="fr-CA"/>
        </w:rPr>
        <w:t xml:space="preserve"> </w:t>
      </w:r>
      <w:r w:rsidRPr="001102C1">
        <w:rPr>
          <w:lang w:val="fr-CA"/>
        </w:rPr>
        <w:t>Jersey et, comme l</w:t>
      </w:r>
      <w:r>
        <w:rPr>
          <w:lang w:val="fr-CA"/>
        </w:rPr>
        <w:t>’</w:t>
      </w:r>
      <w:r w:rsidRPr="001102C1">
        <w:rPr>
          <w:lang w:val="fr-CA"/>
        </w:rPr>
        <w:t>ont volontiers admis les parties, que le New</w:t>
      </w:r>
      <w:r w:rsidR="00107BB9">
        <w:rPr>
          <w:lang w:val="fr-CA"/>
        </w:rPr>
        <w:t xml:space="preserve"> </w:t>
      </w:r>
      <w:r w:rsidRPr="001102C1">
        <w:rPr>
          <w:lang w:val="fr-CA"/>
        </w:rPr>
        <w:t xml:space="preserve">Jersey est considéré comme le lieu de vente en droit commercial </w:t>
      </w:r>
      <w:r w:rsidR="00107BB9">
        <w:rPr>
          <w:lang w:val="fr-CA"/>
        </w:rPr>
        <w:t>(CEPMB-</w:t>
      </w:r>
      <w:r w:rsidRPr="001102C1">
        <w:rPr>
          <w:lang w:val="fr-CA"/>
        </w:rPr>
        <w:t>07</w:t>
      </w:r>
      <w:r w:rsidR="00107BB9">
        <w:rPr>
          <w:lang w:val="fr-CA"/>
        </w:rPr>
        <w:t>-</w:t>
      </w:r>
      <w:r w:rsidRPr="001102C1">
        <w:rPr>
          <w:lang w:val="fr-CA"/>
        </w:rPr>
        <w:t>D1</w:t>
      </w:r>
      <w:r w:rsidR="00107BB9">
        <w:rPr>
          <w:lang w:val="fr-CA"/>
        </w:rPr>
        <w:t>-</w:t>
      </w:r>
      <w:r w:rsidRPr="001102C1">
        <w:rPr>
          <w:lang w:val="fr-CA"/>
        </w:rPr>
        <w:t>THALOMID).  Toutefois, selon le Conseil, les définitions ordinaires du lieu de vente en droit commercial n</w:t>
      </w:r>
      <w:r>
        <w:rPr>
          <w:lang w:val="fr-CA"/>
        </w:rPr>
        <w:t>’</w:t>
      </w:r>
      <w:r w:rsidRPr="001102C1">
        <w:rPr>
          <w:lang w:val="fr-CA"/>
        </w:rPr>
        <w:t>étaient pas pertinentes, et encore moins déterminantes, en ce qui concerne sa compétence.  Bien que les principes du droit commercial permettant d</w:t>
      </w:r>
      <w:r>
        <w:rPr>
          <w:lang w:val="fr-CA"/>
        </w:rPr>
        <w:t>’</w:t>
      </w:r>
      <w:r w:rsidRPr="001102C1">
        <w:rPr>
          <w:lang w:val="fr-CA"/>
        </w:rPr>
        <w:t>établir le lieu de la vente se révèlent utiles pour faire respecter des clauses contractuelles et pour déterminer l</w:t>
      </w:r>
      <w:r>
        <w:rPr>
          <w:lang w:val="fr-CA"/>
        </w:rPr>
        <w:t>’</w:t>
      </w:r>
      <w:r w:rsidRPr="001102C1">
        <w:rPr>
          <w:lang w:val="fr-CA"/>
        </w:rPr>
        <w:t>endroit où les risques associés à la marchandise ainsi que les coûts de transport passent du vendeur à l</w:t>
      </w:r>
      <w:r>
        <w:rPr>
          <w:lang w:val="fr-CA"/>
        </w:rPr>
        <w:t>’</w:t>
      </w:r>
      <w:r w:rsidRPr="001102C1">
        <w:rPr>
          <w:lang w:val="fr-CA"/>
        </w:rPr>
        <w:t xml:space="preserve">acheteur, le Conseil a conclu que le pouvoir qui lui est conféré par la </w:t>
      </w:r>
      <w:r w:rsidRPr="001102C1">
        <w:rPr>
          <w:i/>
          <w:lang w:val="fr-CA"/>
        </w:rPr>
        <w:t>Loi sur les brevets</w:t>
      </w:r>
      <w:r w:rsidRPr="001102C1">
        <w:rPr>
          <w:lang w:val="fr-CA"/>
        </w:rPr>
        <w:t xml:space="preserve"> ne porte aucunement sur l</w:t>
      </w:r>
      <w:r>
        <w:rPr>
          <w:lang w:val="fr-CA"/>
        </w:rPr>
        <w:t>’</w:t>
      </w:r>
      <w:r w:rsidRPr="001102C1">
        <w:rPr>
          <w:lang w:val="fr-CA"/>
        </w:rPr>
        <w:t>attribution des risques, les coûts de transport ou le choix du droit applicable en cas de litige de nature contractuelle.  Comme son mandat consiste notamment à protéger les Canadiens en veillant à ce que les médicaments brevetés ne soient pas vendus à des prix excessifs, il a jugé que l</w:t>
      </w:r>
      <w:r>
        <w:rPr>
          <w:lang w:val="fr-CA"/>
        </w:rPr>
        <w:t>’</w:t>
      </w:r>
      <w:r w:rsidRPr="001102C1">
        <w:rPr>
          <w:lang w:val="fr-CA"/>
        </w:rPr>
        <w:t xml:space="preserve">expression </w:t>
      </w:r>
      <w:r>
        <w:rPr>
          <w:lang w:val="fr-CA"/>
        </w:rPr>
        <w:t>« </w:t>
      </w:r>
      <w:r w:rsidR="00107BB9">
        <w:rPr>
          <w:lang w:val="fr-CA"/>
        </w:rPr>
        <w:t xml:space="preserve">vente </w:t>
      </w:r>
      <w:r w:rsidR="00795A39">
        <w:rPr>
          <w:lang w:val="fr-CA"/>
        </w:rPr>
        <w:t>[</w:t>
      </w:r>
      <w:r>
        <w:rPr>
          <w:lang w:val="fr-CA"/>
        </w:rPr>
        <w:t>. . .</w:t>
      </w:r>
      <w:r w:rsidRPr="001102C1">
        <w:rPr>
          <w:lang w:val="fr-CA"/>
        </w:rPr>
        <w:t xml:space="preserve">] sur </w:t>
      </w:r>
      <w:r>
        <w:rPr>
          <w:lang w:val="fr-CA"/>
        </w:rPr>
        <w:t>l</w:t>
      </w:r>
      <w:r w:rsidR="004828DB">
        <w:rPr>
          <w:lang w:val="fr-CA"/>
        </w:rPr>
        <w:t>[</w:t>
      </w:r>
      <w:r>
        <w:rPr>
          <w:lang w:val="fr-CA"/>
        </w:rPr>
        <w:t>e</w:t>
      </w:r>
      <w:r w:rsidR="004828DB">
        <w:rPr>
          <w:lang w:val="fr-CA"/>
        </w:rPr>
        <w:t>]</w:t>
      </w:r>
      <w:r w:rsidRPr="001102C1">
        <w:rPr>
          <w:lang w:val="fr-CA"/>
        </w:rPr>
        <w:t xml:space="preserve"> </w:t>
      </w:r>
      <w:proofErr w:type="spellStart"/>
      <w:r w:rsidRPr="001102C1">
        <w:rPr>
          <w:lang w:val="fr-CA"/>
        </w:rPr>
        <w:t>march</w:t>
      </w:r>
      <w:proofErr w:type="spellEnd"/>
      <w:r w:rsidR="004828DB">
        <w:rPr>
          <w:lang w:val="fr-CA"/>
        </w:rPr>
        <w:t>[</w:t>
      </w:r>
      <w:r w:rsidRPr="001102C1">
        <w:rPr>
          <w:lang w:val="fr-CA"/>
        </w:rPr>
        <w:t>é</w:t>
      </w:r>
      <w:r w:rsidR="004828DB">
        <w:rPr>
          <w:lang w:val="fr-CA"/>
        </w:rPr>
        <w:t>]</w:t>
      </w:r>
      <w:r w:rsidRPr="001102C1">
        <w:rPr>
          <w:lang w:val="fr-CA"/>
        </w:rPr>
        <w:t xml:space="preserve"> canadien</w:t>
      </w:r>
      <w:r>
        <w:rPr>
          <w:lang w:val="fr-CA"/>
        </w:rPr>
        <w:t> »</w:t>
      </w:r>
      <w:r w:rsidRPr="001102C1">
        <w:rPr>
          <w:lang w:val="fr-CA"/>
        </w:rPr>
        <w:t xml:space="preserve"> s</w:t>
      </w:r>
      <w:r>
        <w:rPr>
          <w:lang w:val="fr-CA"/>
        </w:rPr>
        <w:t>’</w:t>
      </w:r>
      <w:r w:rsidRPr="001102C1">
        <w:rPr>
          <w:lang w:val="fr-CA"/>
        </w:rPr>
        <w:t xml:space="preserve">applique aux ventes de médicaments régis par les lois canadiennes, qui sont livrés et utilisés au Canada et dont les coûts sont assumés par des Canadiens.  Le PAS constituant une règle de droit canadienne, les ventes effectuées par </w:t>
      </w:r>
      <w:proofErr w:type="spellStart"/>
      <w:r w:rsidRPr="001102C1">
        <w:rPr>
          <w:lang w:val="fr-CA"/>
        </w:rPr>
        <w:t>Celgene</w:t>
      </w:r>
      <w:proofErr w:type="spellEnd"/>
      <w:r w:rsidRPr="001102C1">
        <w:rPr>
          <w:lang w:val="fr-CA"/>
        </w:rPr>
        <w:t xml:space="preserve"> </w:t>
      </w:r>
      <w:r>
        <w:rPr>
          <w:lang w:val="fr-CA"/>
        </w:rPr>
        <w:t>sous le régime de celui</w:t>
      </w:r>
      <w:r w:rsidR="00795A39">
        <w:rPr>
          <w:lang w:val="fr-CA"/>
        </w:rPr>
        <w:t>-</w:t>
      </w:r>
      <w:r w:rsidRPr="001102C1">
        <w:rPr>
          <w:lang w:val="fr-CA"/>
        </w:rPr>
        <w:t>ci relèvent du mandat du Conseil.</w:t>
      </w:r>
    </w:p>
    <w:p w:rsidR="003514BF" w:rsidRPr="001102C1" w:rsidRDefault="003514BF" w:rsidP="000738B2">
      <w:pPr>
        <w:pStyle w:val="ReasonsNumbering-AltN"/>
        <w:rPr>
          <w:lang w:val="fr-CA"/>
        </w:rPr>
      </w:pPr>
      <w:r w:rsidRPr="001102C1">
        <w:rPr>
          <w:lang w:val="fr-CA"/>
        </w:rPr>
        <w:lastRenderedPageBreak/>
        <w:t>En outre, une interprétation fondée sur le lieu de la vente au sens du droit commercial aurait pour effet absurde, de l</w:t>
      </w:r>
      <w:r>
        <w:rPr>
          <w:lang w:val="fr-CA"/>
        </w:rPr>
        <w:t>’</w:t>
      </w:r>
      <w:r w:rsidRPr="001102C1">
        <w:rPr>
          <w:lang w:val="fr-CA"/>
        </w:rPr>
        <w:t>avis du Conseil, de lui donner compétence à l</w:t>
      </w:r>
      <w:r>
        <w:rPr>
          <w:lang w:val="fr-CA"/>
        </w:rPr>
        <w:t>’</w:t>
      </w:r>
      <w:r w:rsidRPr="001102C1">
        <w:rPr>
          <w:lang w:val="fr-CA"/>
        </w:rPr>
        <w:t xml:space="preserve">égard des ventes commerciales faites au Canada à des acheteurs </w:t>
      </w:r>
      <w:r w:rsidRPr="001102C1">
        <w:rPr>
          <w:i/>
          <w:lang w:val="fr-CA"/>
        </w:rPr>
        <w:t>étrangers</w:t>
      </w:r>
      <w:r w:rsidRPr="001102C1">
        <w:rPr>
          <w:lang w:val="fr-CA"/>
        </w:rPr>
        <w:t xml:space="preserve">.  Une telle interprétation serait incompatible avec le mandat que lui confie la loi et qui consiste à protéger les consommateurs </w:t>
      </w:r>
      <w:r w:rsidRPr="001102C1">
        <w:rPr>
          <w:i/>
          <w:lang w:val="fr-CA"/>
        </w:rPr>
        <w:t>canadiens</w:t>
      </w:r>
      <w:r w:rsidRPr="001102C1">
        <w:rPr>
          <w:lang w:val="fr-CA"/>
        </w:rPr>
        <w:t xml:space="preserve">.  Le Conseil a donc conclu que les ventes de </w:t>
      </w:r>
      <w:proofErr w:type="spellStart"/>
      <w:r w:rsidRPr="001102C1">
        <w:rPr>
          <w:lang w:val="fr-CA"/>
        </w:rPr>
        <w:t>Thalomid</w:t>
      </w:r>
      <w:proofErr w:type="spellEnd"/>
      <w:r w:rsidRPr="001102C1">
        <w:rPr>
          <w:lang w:val="fr-CA"/>
        </w:rPr>
        <w:t xml:space="preserve"> à des Canadiens réalisées par </w:t>
      </w:r>
      <w:proofErr w:type="spellStart"/>
      <w:r w:rsidRPr="001102C1">
        <w:rPr>
          <w:lang w:val="fr-CA"/>
        </w:rPr>
        <w:t>Celgene</w:t>
      </w:r>
      <w:proofErr w:type="spellEnd"/>
      <w:r w:rsidRPr="001102C1">
        <w:rPr>
          <w:lang w:val="fr-CA"/>
        </w:rPr>
        <w:t xml:space="preserve"> dans le cadre du PAS relevaient de sa compétence en matière d</w:t>
      </w:r>
      <w:r>
        <w:rPr>
          <w:lang w:val="fr-CA"/>
        </w:rPr>
        <w:t>’</w:t>
      </w:r>
      <w:r w:rsidRPr="001102C1">
        <w:rPr>
          <w:lang w:val="fr-CA"/>
        </w:rPr>
        <w:t>enquête sur les prix et de ses pouvoirs de réparation connexes.</w:t>
      </w:r>
    </w:p>
    <w:p w:rsidR="003514BF" w:rsidRPr="001102C1" w:rsidRDefault="003514BF" w:rsidP="000738B2">
      <w:pPr>
        <w:pStyle w:val="ReasonsNumbering-AltN"/>
        <w:rPr>
          <w:lang w:val="fr-CA"/>
        </w:rPr>
      </w:pPr>
      <w:r w:rsidRPr="001102C1">
        <w:rPr>
          <w:lang w:val="fr-CA"/>
        </w:rPr>
        <w:t>Lors du contrôle judiciaire, le juge Campbell a conclu qu</w:t>
      </w:r>
      <w:r>
        <w:rPr>
          <w:lang w:val="fr-CA"/>
        </w:rPr>
        <w:t>’</w:t>
      </w:r>
      <w:r w:rsidRPr="001102C1">
        <w:rPr>
          <w:lang w:val="fr-CA"/>
        </w:rPr>
        <w:t>il s</w:t>
      </w:r>
      <w:r>
        <w:rPr>
          <w:lang w:val="fr-CA"/>
        </w:rPr>
        <w:t>’</w:t>
      </w:r>
      <w:r w:rsidRPr="001102C1">
        <w:rPr>
          <w:lang w:val="fr-CA"/>
        </w:rPr>
        <w:t>agissait d</w:t>
      </w:r>
      <w:r>
        <w:rPr>
          <w:lang w:val="fr-CA"/>
        </w:rPr>
        <w:t>’</w:t>
      </w:r>
      <w:r w:rsidRPr="001102C1">
        <w:rPr>
          <w:lang w:val="fr-CA"/>
        </w:rPr>
        <w:t>une question de compétence et que la norme de contrôle applicable était celle de la décision correcte (2009 CF 271 (</w:t>
      </w:r>
      <w:proofErr w:type="spellStart"/>
      <w:r w:rsidRPr="001102C1">
        <w:rPr>
          <w:lang w:val="fr-CA"/>
        </w:rPr>
        <w:t>CanLII</w:t>
      </w:r>
      <w:proofErr w:type="spellEnd"/>
      <w:r w:rsidRPr="001102C1">
        <w:rPr>
          <w:lang w:val="fr-CA"/>
        </w:rPr>
        <w:t xml:space="preserve">)).  Selon lui, bien que le </w:t>
      </w:r>
      <w:proofErr w:type="spellStart"/>
      <w:r w:rsidRPr="001102C1">
        <w:rPr>
          <w:lang w:val="fr-CA"/>
        </w:rPr>
        <w:t>Thalomid</w:t>
      </w:r>
      <w:proofErr w:type="spellEnd"/>
      <w:r w:rsidRPr="001102C1">
        <w:rPr>
          <w:lang w:val="fr-CA"/>
        </w:rPr>
        <w:t xml:space="preserve"> soit vendu à des Ca</w:t>
      </w:r>
      <w:r w:rsidR="00795A39">
        <w:rPr>
          <w:lang w:val="fr-CA"/>
        </w:rPr>
        <w:t>nadiens, il est vendu aux États-</w:t>
      </w:r>
      <w:r w:rsidRPr="001102C1">
        <w:rPr>
          <w:lang w:val="fr-CA"/>
        </w:rPr>
        <w:t xml:space="preserve">Unis, non au Canada, et ne peut être visé par les mots </w:t>
      </w:r>
      <w:r>
        <w:rPr>
          <w:lang w:val="fr-CA"/>
        </w:rPr>
        <w:t>« </w:t>
      </w:r>
      <w:r w:rsidRPr="001102C1">
        <w:rPr>
          <w:lang w:val="fr-CA"/>
        </w:rPr>
        <w:t>vente [</w:t>
      </w:r>
      <w:r>
        <w:rPr>
          <w:lang w:val="fr-CA"/>
        </w:rPr>
        <w:t>. . .</w:t>
      </w:r>
      <w:r w:rsidRPr="001102C1">
        <w:rPr>
          <w:lang w:val="fr-CA"/>
        </w:rPr>
        <w:t xml:space="preserve">] sur  </w:t>
      </w:r>
      <w:r>
        <w:rPr>
          <w:lang w:val="fr-CA"/>
        </w:rPr>
        <w:t>l</w:t>
      </w:r>
      <w:r w:rsidR="004828DB">
        <w:rPr>
          <w:lang w:val="fr-CA"/>
        </w:rPr>
        <w:t>[</w:t>
      </w:r>
      <w:r>
        <w:rPr>
          <w:lang w:val="fr-CA"/>
        </w:rPr>
        <w:t>e</w:t>
      </w:r>
      <w:r w:rsidR="004828DB">
        <w:rPr>
          <w:lang w:val="fr-CA"/>
        </w:rPr>
        <w:t>]</w:t>
      </w:r>
      <w:r w:rsidRPr="001102C1">
        <w:rPr>
          <w:lang w:val="fr-CA"/>
        </w:rPr>
        <w:t xml:space="preserve"> </w:t>
      </w:r>
      <w:proofErr w:type="spellStart"/>
      <w:r w:rsidRPr="001102C1">
        <w:rPr>
          <w:lang w:val="fr-CA"/>
        </w:rPr>
        <w:t>march</w:t>
      </w:r>
      <w:proofErr w:type="spellEnd"/>
      <w:r w:rsidR="004828DB">
        <w:rPr>
          <w:lang w:val="fr-CA"/>
        </w:rPr>
        <w:t>[</w:t>
      </w:r>
      <w:r w:rsidRPr="001102C1">
        <w:rPr>
          <w:lang w:val="fr-CA"/>
        </w:rPr>
        <w:t>é</w:t>
      </w:r>
      <w:r w:rsidR="004828DB">
        <w:rPr>
          <w:lang w:val="fr-CA"/>
        </w:rPr>
        <w:t>]</w:t>
      </w:r>
      <w:r w:rsidRPr="001102C1">
        <w:rPr>
          <w:lang w:val="fr-CA"/>
        </w:rPr>
        <w:t xml:space="preserve"> canadien</w:t>
      </w:r>
      <w:r>
        <w:rPr>
          <w:lang w:val="fr-CA"/>
        </w:rPr>
        <w:t> »</w:t>
      </w:r>
      <w:r w:rsidRPr="001102C1">
        <w:rPr>
          <w:lang w:val="fr-CA"/>
        </w:rPr>
        <w:t>.  Le Conseil n</w:t>
      </w:r>
      <w:r>
        <w:rPr>
          <w:lang w:val="fr-CA"/>
        </w:rPr>
        <w:t>’</w:t>
      </w:r>
      <w:r w:rsidRPr="001102C1">
        <w:rPr>
          <w:lang w:val="fr-CA"/>
        </w:rPr>
        <w:t xml:space="preserve">était donc pas habilité à ordonner la production des renseignements sur le prix du </w:t>
      </w:r>
      <w:proofErr w:type="spellStart"/>
      <w:r w:rsidRPr="001102C1">
        <w:rPr>
          <w:lang w:val="fr-CA"/>
        </w:rPr>
        <w:t>Thalomid</w:t>
      </w:r>
      <w:proofErr w:type="spellEnd"/>
      <w:r w:rsidRPr="001102C1">
        <w:rPr>
          <w:lang w:val="fr-CA"/>
        </w:rPr>
        <w:t xml:space="preserve"> ni la réduction du prix.</w:t>
      </w:r>
    </w:p>
    <w:p w:rsidR="003514BF" w:rsidRPr="001102C1" w:rsidRDefault="003514BF" w:rsidP="000738B2">
      <w:pPr>
        <w:pStyle w:val="ReasonsNumbering-AltN"/>
        <w:rPr>
          <w:lang w:val="fr-CA"/>
        </w:rPr>
      </w:pPr>
      <w:r w:rsidRPr="001102C1">
        <w:rPr>
          <w:lang w:val="fr-CA"/>
        </w:rPr>
        <w:t>La Cour d</w:t>
      </w:r>
      <w:r>
        <w:rPr>
          <w:lang w:val="fr-CA"/>
        </w:rPr>
        <w:t>’</w:t>
      </w:r>
      <w:r w:rsidRPr="001102C1">
        <w:rPr>
          <w:lang w:val="fr-CA"/>
        </w:rPr>
        <w:t>appel fédérale (2009 CAF 378 (</w:t>
      </w:r>
      <w:proofErr w:type="spellStart"/>
      <w:r w:rsidRPr="001102C1">
        <w:rPr>
          <w:lang w:val="fr-CA"/>
        </w:rPr>
        <w:t>CanLII</w:t>
      </w:r>
      <w:proofErr w:type="spellEnd"/>
      <w:r w:rsidRPr="001102C1">
        <w:rPr>
          <w:lang w:val="fr-CA"/>
        </w:rPr>
        <w:t>)) a souscrit à l</w:t>
      </w:r>
      <w:r>
        <w:rPr>
          <w:lang w:val="fr-CA"/>
        </w:rPr>
        <w:t>’</w:t>
      </w:r>
      <w:r w:rsidRPr="001102C1">
        <w:rPr>
          <w:lang w:val="fr-CA"/>
        </w:rPr>
        <w:t>interprétation faite par le Conseil de son mandat.  Considérant être en présence d</w:t>
      </w:r>
      <w:r>
        <w:rPr>
          <w:lang w:val="fr-CA"/>
        </w:rPr>
        <w:t>’</w:t>
      </w:r>
      <w:r w:rsidRPr="001102C1">
        <w:rPr>
          <w:lang w:val="fr-CA"/>
        </w:rPr>
        <w:t>une question de compétence, les parties ont conjointement soutenu que la norme de la décision correcte s</w:t>
      </w:r>
      <w:r>
        <w:rPr>
          <w:lang w:val="fr-CA"/>
        </w:rPr>
        <w:t>’</w:t>
      </w:r>
      <w:r w:rsidRPr="001102C1">
        <w:rPr>
          <w:lang w:val="fr-CA"/>
        </w:rPr>
        <w:t>appliquait.</w:t>
      </w:r>
      <w:r w:rsidRPr="000C7E97">
        <w:rPr>
          <w:lang w:val="fr-CA"/>
        </w:rPr>
        <w:t xml:space="preserve">  </w:t>
      </w:r>
      <w:r w:rsidRPr="001102C1">
        <w:rPr>
          <w:lang w:val="fr-CA"/>
        </w:rPr>
        <w:t>Le juge Evans a mis en doute cette caractérisation de la question et de la norme, mais, convaincu que cette dernière n</w:t>
      </w:r>
      <w:r>
        <w:rPr>
          <w:lang w:val="fr-CA"/>
        </w:rPr>
        <w:t>’</w:t>
      </w:r>
      <w:r w:rsidRPr="001102C1">
        <w:rPr>
          <w:lang w:val="fr-CA"/>
        </w:rPr>
        <w:t>était pas un élément important pour trancher l</w:t>
      </w:r>
      <w:r>
        <w:rPr>
          <w:lang w:val="fr-CA"/>
        </w:rPr>
        <w:t>’</w:t>
      </w:r>
      <w:r w:rsidRPr="001102C1">
        <w:rPr>
          <w:lang w:val="fr-CA"/>
        </w:rPr>
        <w:t xml:space="preserve">appel, il était disposé à accepter la proposition des </w:t>
      </w:r>
      <w:r w:rsidRPr="001102C1">
        <w:rPr>
          <w:lang w:val="fr-CA"/>
        </w:rPr>
        <w:lastRenderedPageBreak/>
        <w:t>parties de contrôler la décision du Conseil selon la norme de la décision correcte (</w:t>
      </w:r>
      <w:proofErr w:type="spellStart"/>
      <w:r w:rsidRPr="001102C1">
        <w:rPr>
          <w:i/>
          <w:lang w:val="fr-CA"/>
        </w:rPr>
        <w:t>Dunsmuir</w:t>
      </w:r>
      <w:proofErr w:type="spellEnd"/>
      <w:r w:rsidRPr="001102C1">
        <w:rPr>
          <w:i/>
          <w:lang w:val="fr-CA"/>
        </w:rPr>
        <w:t xml:space="preserve"> c. </w:t>
      </w:r>
      <w:proofErr w:type="spellStart"/>
      <w:r w:rsidRPr="001102C1">
        <w:rPr>
          <w:i/>
          <w:lang w:val="fr-CA"/>
        </w:rPr>
        <w:t>Nouveau</w:t>
      </w:r>
      <w:r>
        <w:rPr>
          <w:i/>
          <w:lang w:val="fr-CA"/>
        </w:rPr>
        <w:noBreakHyphen/>
      </w:r>
      <w:r w:rsidRPr="001102C1">
        <w:rPr>
          <w:i/>
          <w:lang w:val="fr-CA"/>
        </w:rPr>
        <w:t>Brunswick</w:t>
      </w:r>
      <w:proofErr w:type="spellEnd"/>
      <w:r w:rsidRPr="001102C1">
        <w:rPr>
          <w:lang w:val="fr-CA"/>
        </w:rPr>
        <w:t>,</w:t>
      </w:r>
      <w:r w:rsidRPr="001102C1">
        <w:rPr>
          <w:i/>
          <w:lang w:val="fr-CA"/>
        </w:rPr>
        <w:t xml:space="preserve"> </w:t>
      </w:r>
      <w:r w:rsidRPr="001102C1">
        <w:rPr>
          <w:lang w:val="fr-CA"/>
        </w:rPr>
        <w:t xml:space="preserve">2008 CSC 9, [2008] 1 R.C.S. 190; </w:t>
      </w:r>
      <w:r w:rsidR="004828DB">
        <w:rPr>
          <w:i/>
          <w:lang w:val="fr-CA"/>
        </w:rPr>
        <w:t>Alliance de la F</w:t>
      </w:r>
      <w:r w:rsidRPr="001102C1">
        <w:rPr>
          <w:i/>
          <w:lang w:val="fr-CA"/>
        </w:rPr>
        <w:t xml:space="preserve">onction publique du Canada c. </w:t>
      </w:r>
      <w:proofErr w:type="spellStart"/>
      <w:r w:rsidRPr="001102C1">
        <w:rPr>
          <w:i/>
          <w:lang w:val="fr-CA"/>
        </w:rPr>
        <w:t>Assoc</w:t>
      </w:r>
      <w:proofErr w:type="spellEnd"/>
      <w:r w:rsidRPr="001102C1">
        <w:rPr>
          <w:i/>
          <w:lang w:val="fr-CA"/>
        </w:rPr>
        <w:t>. des pilotes fédéraux du Canada</w:t>
      </w:r>
      <w:r w:rsidRPr="001102C1">
        <w:rPr>
          <w:lang w:val="fr-CA"/>
        </w:rPr>
        <w:t>, 2009 CAF 223</w:t>
      </w:r>
      <w:r w:rsidR="00391C38">
        <w:rPr>
          <w:lang w:val="fr-CA"/>
        </w:rPr>
        <w:t>,</w:t>
      </w:r>
      <w:r w:rsidRPr="001102C1">
        <w:rPr>
          <w:lang w:val="fr-CA"/>
        </w:rPr>
        <w:t xml:space="preserve"> [2010] 3 R.C.F. 219, </w:t>
      </w:r>
      <w:r w:rsidR="00795A39">
        <w:rPr>
          <w:lang w:val="fr-CA"/>
        </w:rPr>
        <w:t>par. 36-</w:t>
      </w:r>
      <w:r w:rsidRPr="001102C1">
        <w:rPr>
          <w:lang w:val="fr-CA"/>
        </w:rPr>
        <w:t>52).</w:t>
      </w:r>
    </w:p>
    <w:p w:rsidR="003514BF" w:rsidRPr="001102C1" w:rsidRDefault="003514BF" w:rsidP="000738B2">
      <w:pPr>
        <w:pStyle w:val="ReasonsNumbering-AltN"/>
        <w:rPr>
          <w:lang w:val="fr-CA"/>
        </w:rPr>
      </w:pPr>
      <w:r w:rsidRPr="001102C1">
        <w:rPr>
          <w:lang w:val="fr-CA"/>
        </w:rPr>
        <w:t>Se livrant à une interprétation textuelle des dispositions pertinentes, le juge Evans a fait remarquer que l</w:t>
      </w:r>
      <w:r>
        <w:rPr>
          <w:lang w:val="fr-CA"/>
        </w:rPr>
        <w:t>’</w:t>
      </w:r>
      <w:r w:rsidRPr="001102C1">
        <w:rPr>
          <w:lang w:val="fr-CA"/>
        </w:rPr>
        <w:t xml:space="preserve">analyse devait porter sur le groupe de mots </w:t>
      </w:r>
      <w:r>
        <w:rPr>
          <w:lang w:val="fr-CA"/>
        </w:rPr>
        <w:t>« </w:t>
      </w:r>
      <w:proofErr w:type="spellStart"/>
      <w:r w:rsidRPr="001102C1">
        <w:rPr>
          <w:i/>
          <w:lang w:val="fr-CA"/>
        </w:rPr>
        <w:t>sold</w:t>
      </w:r>
      <w:proofErr w:type="spellEnd"/>
      <w:r w:rsidRPr="001102C1">
        <w:rPr>
          <w:i/>
          <w:lang w:val="fr-CA"/>
        </w:rPr>
        <w:t xml:space="preserve"> </w:t>
      </w:r>
      <w:r w:rsidRPr="001102C1">
        <w:rPr>
          <w:i/>
          <w:u w:val="single"/>
          <w:lang w:val="fr-CA"/>
        </w:rPr>
        <w:t xml:space="preserve">in </w:t>
      </w:r>
      <w:proofErr w:type="spellStart"/>
      <w:r w:rsidRPr="001102C1">
        <w:rPr>
          <w:i/>
          <w:u w:val="single"/>
          <w:lang w:val="fr-CA"/>
        </w:rPr>
        <w:t>any</w:t>
      </w:r>
      <w:proofErr w:type="spellEnd"/>
      <w:r w:rsidRPr="001102C1">
        <w:rPr>
          <w:i/>
          <w:u w:val="single"/>
          <w:lang w:val="fr-CA"/>
        </w:rPr>
        <w:t xml:space="preserve"> </w:t>
      </w:r>
      <w:proofErr w:type="spellStart"/>
      <w:r w:rsidRPr="001102C1">
        <w:rPr>
          <w:i/>
          <w:u w:val="single"/>
          <w:lang w:val="fr-CA"/>
        </w:rPr>
        <w:t>market</w:t>
      </w:r>
      <w:proofErr w:type="spellEnd"/>
      <w:r w:rsidRPr="001102C1">
        <w:rPr>
          <w:i/>
          <w:lang w:val="fr-CA"/>
        </w:rPr>
        <w:t xml:space="preserve"> in Canada</w:t>
      </w:r>
      <w:r>
        <w:rPr>
          <w:lang w:val="fr-CA"/>
        </w:rPr>
        <w:t> »</w:t>
      </w:r>
      <w:r w:rsidRPr="001102C1">
        <w:rPr>
          <w:lang w:val="fr-CA"/>
        </w:rPr>
        <w:t xml:space="preserve"> dans la version anglaise (</w:t>
      </w:r>
      <w:r>
        <w:rPr>
          <w:lang w:val="fr-CA"/>
        </w:rPr>
        <w:t>« </w:t>
      </w:r>
      <w:r w:rsidRPr="001102C1">
        <w:rPr>
          <w:lang w:val="fr-CA"/>
        </w:rPr>
        <w:t>vente [</w:t>
      </w:r>
      <w:r>
        <w:rPr>
          <w:lang w:val="fr-CA"/>
        </w:rPr>
        <w:t>. . .] sur l</w:t>
      </w:r>
      <w:r w:rsidR="004828DB">
        <w:rPr>
          <w:lang w:val="fr-CA"/>
        </w:rPr>
        <w:t>[</w:t>
      </w:r>
      <w:r>
        <w:rPr>
          <w:lang w:val="fr-CA"/>
        </w:rPr>
        <w:t>e</w:t>
      </w:r>
      <w:r w:rsidR="004828DB">
        <w:rPr>
          <w:lang w:val="fr-CA"/>
        </w:rPr>
        <w:t>]</w:t>
      </w:r>
      <w:r>
        <w:rPr>
          <w:lang w:val="fr-CA"/>
        </w:rPr>
        <w:t xml:space="preserve"> </w:t>
      </w:r>
      <w:proofErr w:type="spellStart"/>
      <w:r>
        <w:rPr>
          <w:lang w:val="fr-CA"/>
        </w:rPr>
        <w:t>march</w:t>
      </w:r>
      <w:proofErr w:type="spellEnd"/>
      <w:r w:rsidR="004828DB">
        <w:rPr>
          <w:lang w:val="fr-CA"/>
        </w:rPr>
        <w:t>[</w:t>
      </w:r>
      <w:r>
        <w:rPr>
          <w:lang w:val="fr-CA"/>
        </w:rPr>
        <w:t>é</w:t>
      </w:r>
      <w:r w:rsidR="004828DB">
        <w:rPr>
          <w:lang w:val="fr-CA"/>
        </w:rPr>
        <w:t>]</w:t>
      </w:r>
      <w:r w:rsidRPr="001102C1">
        <w:rPr>
          <w:lang w:val="fr-CA"/>
        </w:rPr>
        <w:t xml:space="preserve"> canadien</w:t>
      </w:r>
      <w:r>
        <w:rPr>
          <w:lang w:val="fr-CA"/>
        </w:rPr>
        <w:t> »</w:t>
      </w:r>
      <w:r w:rsidRPr="001102C1">
        <w:rPr>
          <w:lang w:val="fr-CA"/>
        </w:rPr>
        <w:t>) de l</w:t>
      </w:r>
      <w:r w:rsidR="00795A39">
        <w:rPr>
          <w:lang w:val="fr-CA"/>
        </w:rPr>
        <w:t xml:space="preserve">’al. </w:t>
      </w:r>
      <w:r w:rsidRPr="001102C1">
        <w:rPr>
          <w:lang w:val="fr-CA"/>
        </w:rPr>
        <w:t>80(1)</w:t>
      </w:r>
      <w:r w:rsidRPr="001102C1">
        <w:rPr>
          <w:i/>
          <w:lang w:val="fr-CA"/>
        </w:rPr>
        <w:t>b</w:t>
      </w:r>
      <w:r w:rsidRPr="001102C1">
        <w:rPr>
          <w:lang w:val="fr-CA"/>
        </w:rPr>
        <w:t xml:space="preserve">), et non pas seulement sur les mots </w:t>
      </w:r>
      <w:r>
        <w:rPr>
          <w:lang w:val="fr-CA"/>
        </w:rPr>
        <w:t>« </w:t>
      </w:r>
      <w:proofErr w:type="spellStart"/>
      <w:r w:rsidRPr="001102C1">
        <w:rPr>
          <w:i/>
          <w:lang w:val="fr-CA"/>
        </w:rPr>
        <w:t>sold</w:t>
      </w:r>
      <w:proofErr w:type="spellEnd"/>
      <w:r w:rsidRPr="001102C1">
        <w:rPr>
          <w:i/>
          <w:lang w:val="fr-CA"/>
        </w:rPr>
        <w:t xml:space="preserve"> in Canada</w:t>
      </w:r>
      <w:r>
        <w:rPr>
          <w:lang w:val="fr-CA"/>
        </w:rPr>
        <w:t> »</w:t>
      </w:r>
      <w:r w:rsidRPr="001102C1">
        <w:rPr>
          <w:lang w:val="fr-CA"/>
        </w:rPr>
        <w:t xml:space="preserve"> (</w:t>
      </w:r>
      <w:r>
        <w:rPr>
          <w:lang w:val="fr-CA"/>
        </w:rPr>
        <w:t>« </w:t>
      </w:r>
      <w:r w:rsidRPr="001102C1">
        <w:rPr>
          <w:lang w:val="fr-CA"/>
        </w:rPr>
        <w:t>vendu au Canada</w:t>
      </w:r>
      <w:r>
        <w:rPr>
          <w:lang w:val="fr-CA"/>
        </w:rPr>
        <w:t> »</w:t>
      </w:r>
      <w:r w:rsidRPr="001102C1">
        <w:rPr>
          <w:lang w:val="fr-CA"/>
        </w:rPr>
        <w:t>), comme l</w:t>
      </w:r>
      <w:r>
        <w:rPr>
          <w:lang w:val="fr-CA"/>
        </w:rPr>
        <w:t>’</w:t>
      </w:r>
      <w:r w:rsidRPr="001102C1">
        <w:rPr>
          <w:lang w:val="fr-CA"/>
        </w:rPr>
        <w:t xml:space="preserve">avait soutenu </w:t>
      </w:r>
      <w:proofErr w:type="spellStart"/>
      <w:r w:rsidRPr="001102C1">
        <w:rPr>
          <w:lang w:val="fr-CA"/>
        </w:rPr>
        <w:t>Celgene</w:t>
      </w:r>
      <w:proofErr w:type="spellEnd"/>
      <w:r w:rsidRPr="001102C1">
        <w:rPr>
          <w:lang w:val="fr-CA"/>
        </w:rPr>
        <w:t>.  De l</w:t>
      </w:r>
      <w:r>
        <w:rPr>
          <w:lang w:val="fr-CA"/>
        </w:rPr>
        <w:t>’</w:t>
      </w:r>
      <w:r w:rsidRPr="001102C1">
        <w:rPr>
          <w:lang w:val="fr-CA"/>
        </w:rPr>
        <w:t xml:space="preserve">avis du juge, puisque le libellé se prêtait à différentes interprétations, il fallait choisir celle qui réalisait le mieux les objectifs de protection du consommateur des dispositions de la </w:t>
      </w:r>
      <w:r w:rsidRPr="001102C1">
        <w:rPr>
          <w:i/>
          <w:lang w:val="fr-CA"/>
        </w:rPr>
        <w:t>Loi sur les brevets</w:t>
      </w:r>
      <w:r w:rsidRPr="001102C1">
        <w:rPr>
          <w:lang w:val="fr-CA"/>
        </w:rPr>
        <w:t xml:space="preserve"> relatives à la réglementation des prix.  Si l</w:t>
      </w:r>
      <w:r>
        <w:rPr>
          <w:lang w:val="fr-CA"/>
        </w:rPr>
        <w:t>’</w:t>
      </w:r>
      <w:r w:rsidRPr="001102C1">
        <w:rPr>
          <w:lang w:val="fr-CA"/>
        </w:rPr>
        <w:t>interprétation donnée aux dispositions en litige avait pour effet d</w:t>
      </w:r>
      <w:r>
        <w:rPr>
          <w:lang w:val="fr-CA"/>
        </w:rPr>
        <w:t>’</w:t>
      </w:r>
      <w:r w:rsidRPr="001102C1">
        <w:rPr>
          <w:lang w:val="fr-CA"/>
        </w:rPr>
        <w:t xml:space="preserve">exempter les ventes de </w:t>
      </w:r>
      <w:proofErr w:type="spellStart"/>
      <w:r w:rsidRPr="001102C1">
        <w:rPr>
          <w:lang w:val="fr-CA"/>
        </w:rPr>
        <w:t>Thalomid</w:t>
      </w:r>
      <w:proofErr w:type="spellEnd"/>
      <w:r w:rsidRPr="001102C1">
        <w:rPr>
          <w:lang w:val="fr-CA"/>
        </w:rPr>
        <w:t xml:space="preserve"> par </w:t>
      </w:r>
      <w:proofErr w:type="spellStart"/>
      <w:r w:rsidRPr="001102C1">
        <w:rPr>
          <w:lang w:val="fr-CA"/>
        </w:rPr>
        <w:t>Celgene</w:t>
      </w:r>
      <w:proofErr w:type="spellEnd"/>
      <w:r w:rsidRPr="001102C1">
        <w:rPr>
          <w:lang w:val="fr-CA"/>
        </w:rPr>
        <w:t xml:space="preserve"> dans le cadre du PAS, les Canadiens ne bénéficieraient pas de la protection en matière de prix qui était à l</w:t>
      </w:r>
      <w:r>
        <w:rPr>
          <w:lang w:val="fr-CA"/>
        </w:rPr>
        <w:t>’</w:t>
      </w:r>
      <w:r w:rsidRPr="001102C1">
        <w:rPr>
          <w:lang w:val="fr-CA"/>
        </w:rPr>
        <w:t>origine de l</w:t>
      </w:r>
      <w:r>
        <w:rPr>
          <w:lang w:val="fr-CA"/>
        </w:rPr>
        <w:t>’</w:t>
      </w:r>
      <w:r w:rsidRPr="001102C1">
        <w:rPr>
          <w:lang w:val="fr-CA"/>
        </w:rPr>
        <w:t>adoption de ces dispositions.</w:t>
      </w:r>
    </w:p>
    <w:p w:rsidR="003514BF" w:rsidRPr="001102C1" w:rsidRDefault="003514BF" w:rsidP="000738B2">
      <w:pPr>
        <w:pStyle w:val="ReasonsNumbering-AltN"/>
        <w:rPr>
          <w:lang w:val="fr-CA"/>
        </w:rPr>
      </w:pPr>
      <w:r w:rsidRPr="001102C1">
        <w:rPr>
          <w:lang w:val="fr-CA"/>
        </w:rPr>
        <w:t xml:space="preserve">Dans ses motifs dissidents, le juge </w:t>
      </w:r>
      <w:proofErr w:type="spellStart"/>
      <w:r w:rsidRPr="001102C1">
        <w:rPr>
          <w:lang w:val="fr-CA"/>
        </w:rPr>
        <w:t>Ryer</w:t>
      </w:r>
      <w:proofErr w:type="spellEnd"/>
      <w:r w:rsidRPr="001102C1">
        <w:rPr>
          <w:lang w:val="fr-CA"/>
        </w:rPr>
        <w:t xml:space="preserve"> n</w:t>
      </w:r>
      <w:r>
        <w:rPr>
          <w:lang w:val="fr-CA"/>
        </w:rPr>
        <w:t>’</w:t>
      </w:r>
      <w:r w:rsidRPr="001102C1">
        <w:rPr>
          <w:lang w:val="fr-CA"/>
        </w:rPr>
        <w:t>a pas retenu la thèse selon laquelle ces dispositions visaient à protéger les consommateurs.  À son avis, le Conseil a compétence seulement s</w:t>
      </w:r>
      <w:r>
        <w:rPr>
          <w:lang w:val="fr-CA"/>
        </w:rPr>
        <w:t>’</w:t>
      </w:r>
      <w:r w:rsidRPr="001102C1">
        <w:rPr>
          <w:lang w:val="fr-CA"/>
        </w:rPr>
        <w:t>il est établi que le médicament en cause a fait l</w:t>
      </w:r>
      <w:r>
        <w:rPr>
          <w:lang w:val="fr-CA"/>
        </w:rPr>
        <w:t>’</w:t>
      </w:r>
      <w:r w:rsidRPr="001102C1">
        <w:rPr>
          <w:lang w:val="fr-CA"/>
        </w:rPr>
        <w:t>objet d</w:t>
      </w:r>
      <w:r>
        <w:rPr>
          <w:lang w:val="fr-CA"/>
        </w:rPr>
        <w:t>’</w:t>
      </w:r>
      <w:r w:rsidRPr="001102C1">
        <w:rPr>
          <w:lang w:val="fr-CA"/>
        </w:rPr>
        <w:t>une vente au Canada.  Or, compte tenu du sens ordinaire de l</w:t>
      </w:r>
      <w:r>
        <w:rPr>
          <w:lang w:val="fr-CA"/>
        </w:rPr>
        <w:t>’</w:t>
      </w:r>
      <w:r w:rsidRPr="001102C1">
        <w:rPr>
          <w:lang w:val="fr-CA"/>
        </w:rPr>
        <w:t xml:space="preserve">expression </w:t>
      </w:r>
      <w:r>
        <w:rPr>
          <w:lang w:val="fr-CA"/>
        </w:rPr>
        <w:t>« </w:t>
      </w:r>
      <w:r w:rsidRPr="001102C1">
        <w:rPr>
          <w:lang w:val="fr-CA"/>
        </w:rPr>
        <w:t>vente [</w:t>
      </w:r>
      <w:r>
        <w:rPr>
          <w:lang w:val="fr-CA"/>
        </w:rPr>
        <w:t>. . .] sur l</w:t>
      </w:r>
      <w:r w:rsidR="004828DB">
        <w:rPr>
          <w:lang w:val="fr-CA"/>
        </w:rPr>
        <w:t>[</w:t>
      </w:r>
      <w:r>
        <w:rPr>
          <w:lang w:val="fr-CA"/>
        </w:rPr>
        <w:t>e</w:t>
      </w:r>
      <w:r w:rsidR="004828DB">
        <w:rPr>
          <w:lang w:val="fr-CA"/>
        </w:rPr>
        <w:t>]</w:t>
      </w:r>
      <w:r>
        <w:rPr>
          <w:lang w:val="fr-CA"/>
        </w:rPr>
        <w:t xml:space="preserve"> </w:t>
      </w:r>
      <w:proofErr w:type="spellStart"/>
      <w:r>
        <w:rPr>
          <w:lang w:val="fr-CA"/>
        </w:rPr>
        <w:t>march</w:t>
      </w:r>
      <w:proofErr w:type="spellEnd"/>
      <w:r w:rsidR="004828DB">
        <w:rPr>
          <w:lang w:val="fr-CA"/>
        </w:rPr>
        <w:t>[</w:t>
      </w:r>
      <w:r>
        <w:rPr>
          <w:lang w:val="fr-CA"/>
        </w:rPr>
        <w:t>é</w:t>
      </w:r>
      <w:r w:rsidR="004828DB">
        <w:rPr>
          <w:lang w:val="fr-CA"/>
        </w:rPr>
        <w:t>]</w:t>
      </w:r>
      <w:r w:rsidRPr="001102C1">
        <w:rPr>
          <w:lang w:val="fr-CA"/>
        </w:rPr>
        <w:t xml:space="preserve"> canadien</w:t>
      </w:r>
      <w:r>
        <w:rPr>
          <w:lang w:val="fr-CA"/>
        </w:rPr>
        <w:t> »</w:t>
      </w:r>
      <w:r w:rsidRPr="001102C1">
        <w:rPr>
          <w:lang w:val="fr-CA"/>
        </w:rPr>
        <w:t xml:space="preserve"> en droit commercial, le médicament </w:t>
      </w:r>
      <w:r w:rsidRPr="001102C1">
        <w:rPr>
          <w:lang w:val="fr-CA"/>
        </w:rPr>
        <w:lastRenderedPageBreak/>
        <w:t>était</w:t>
      </w:r>
      <w:r>
        <w:rPr>
          <w:lang w:val="fr-CA"/>
        </w:rPr>
        <w:t> vendu aux États</w:t>
      </w:r>
      <w:r w:rsidR="00795A39">
        <w:rPr>
          <w:lang w:val="fr-CA"/>
        </w:rPr>
        <w:t>-</w:t>
      </w:r>
      <w:r w:rsidRPr="001102C1">
        <w:rPr>
          <w:lang w:val="fr-CA"/>
        </w:rPr>
        <w:t xml:space="preserve">Unis. </w:t>
      </w:r>
      <w:r>
        <w:rPr>
          <w:lang w:val="fr-CA"/>
        </w:rPr>
        <w:t xml:space="preserve"> </w:t>
      </w:r>
      <w:r w:rsidRPr="001102C1">
        <w:rPr>
          <w:lang w:val="fr-CA"/>
        </w:rPr>
        <w:t xml:space="preserve">Ainsi, le Conseil ne pouvait pas obliger </w:t>
      </w:r>
      <w:proofErr w:type="spellStart"/>
      <w:r w:rsidRPr="001102C1">
        <w:rPr>
          <w:lang w:val="fr-CA"/>
        </w:rPr>
        <w:t>Celgene</w:t>
      </w:r>
      <w:proofErr w:type="spellEnd"/>
      <w:r w:rsidRPr="001102C1">
        <w:rPr>
          <w:lang w:val="fr-CA"/>
        </w:rPr>
        <w:t xml:space="preserve"> à lui fournir les renseignements sur le prix du </w:t>
      </w:r>
      <w:proofErr w:type="spellStart"/>
      <w:r w:rsidRPr="001102C1">
        <w:rPr>
          <w:lang w:val="fr-CA"/>
        </w:rPr>
        <w:t>Thalomid</w:t>
      </w:r>
      <w:proofErr w:type="spellEnd"/>
      <w:r w:rsidRPr="001102C1">
        <w:rPr>
          <w:lang w:val="fr-CA"/>
        </w:rPr>
        <w:t>.</w:t>
      </w:r>
    </w:p>
    <w:p w:rsidR="003514BF" w:rsidRPr="001102C1" w:rsidRDefault="003514BF" w:rsidP="000738B2">
      <w:pPr>
        <w:pStyle w:val="ReasonsNumbering-AltN"/>
        <w:rPr>
          <w:lang w:val="fr-CA"/>
        </w:rPr>
      </w:pPr>
      <w:r w:rsidRPr="001102C1">
        <w:rPr>
          <w:lang w:val="fr-CA"/>
        </w:rPr>
        <w:t xml:space="preserve">Pour les raisons </w:t>
      </w:r>
      <w:r>
        <w:rPr>
          <w:lang w:val="fr-CA"/>
        </w:rPr>
        <w:t>exposées ci</w:t>
      </w:r>
      <w:r w:rsidR="00795A39">
        <w:rPr>
          <w:lang w:val="fr-CA"/>
        </w:rPr>
        <w:t>-</w:t>
      </w:r>
      <w:r w:rsidRPr="001102C1">
        <w:rPr>
          <w:lang w:val="fr-CA"/>
        </w:rPr>
        <w:t>après, je souscris à l</w:t>
      </w:r>
      <w:r>
        <w:rPr>
          <w:lang w:val="fr-CA"/>
        </w:rPr>
        <w:t>’</w:t>
      </w:r>
      <w:r w:rsidRPr="001102C1">
        <w:rPr>
          <w:lang w:val="fr-CA"/>
        </w:rPr>
        <w:t>avis du juge Evans selon lequel la décision du Conseil ne devrait pas être modifiée.</w:t>
      </w:r>
    </w:p>
    <w:p w:rsidR="003514BF" w:rsidRPr="00F469CF" w:rsidRDefault="003514BF" w:rsidP="00F469CF">
      <w:pPr>
        <w:pStyle w:val="SCCNormalDoubleSpacing"/>
        <w:keepNext/>
        <w:spacing w:after="480"/>
        <w:rPr>
          <w:u w:val="single"/>
        </w:rPr>
      </w:pPr>
      <w:r w:rsidRPr="00F469CF">
        <w:rPr>
          <w:u w:val="single"/>
        </w:rPr>
        <w:t>Analyse</w:t>
      </w:r>
    </w:p>
    <w:p w:rsidR="003514BF" w:rsidRPr="001102C1" w:rsidRDefault="003514BF" w:rsidP="000738B2">
      <w:pPr>
        <w:pStyle w:val="ReasonsNumbering-AltN"/>
        <w:rPr>
          <w:lang w:val="fr-CA"/>
        </w:rPr>
      </w:pPr>
      <w:r w:rsidRPr="001102C1">
        <w:rPr>
          <w:lang w:val="fr-CA"/>
        </w:rPr>
        <w:t xml:space="preserve">Le Conseil est chargé de contrôler et de réglementer les prix des médicaments brevetés.  Aux termes du </w:t>
      </w:r>
      <w:r w:rsidR="00795A39">
        <w:rPr>
          <w:lang w:val="fr-CA"/>
        </w:rPr>
        <w:t xml:space="preserve">par. </w:t>
      </w:r>
      <w:r w:rsidRPr="001102C1">
        <w:rPr>
          <w:lang w:val="fr-CA"/>
        </w:rPr>
        <w:t xml:space="preserve">81(1) de la </w:t>
      </w:r>
      <w:r w:rsidRPr="001102C1">
        <w:rPr>
          <w:i/>
          <w:lang w:val="fr-CA"/>
        </w:rPr>
        <w:t>Loi sur les brevets</w:t>
      </w:r>
      <w:r w:rsidRPr="001102C1">
        <w:rPr>
          <w:lang w:val="fr-CA"/>
        </w:rPr>
        <w:t xml:space="preserve">, le Conseil peut, par ordonnance, </w:t>
      </w:r>
      <w:r>
        <w:rPr>
          <w:lang w:val="fr-CA"/>
        </w:rPr>
        <w:t>« </w:t>
      </w:r>
      <w:r w:rsidRPr="001102C1">
        <w:rPr>
          <w:lang w:val="fr-CA"/>
        </w:rPr>
        <w:t>enjoindre le breveté [</w:t>
      </w:r>
      <w:r>
        <w:rPr>
          <w:lang w:val="fr-CA"/>
        </w:rPr>
        <w:t>. . .</w:t>
      </w:r>
      <w:r w:rsidRPr="001102C1">
        <w:rPr>
          <w:lang w:val="fr-CA"/>
        </w:rPr>
        <w:t>] de lui fournir les renseignements et les documents sur les points visés aux alinéas 80(1)</w:t>
      </w:r>
      <w:r w:rsidRPr="001102C1">
        <w:rPr>
          <w:i/>
          <w:lang w:val="fr-CA"/>
        </w:rPr>
        <w:t>a</w:t>
      </w:r>
      <w:r w:rsidRPr="001102C1">
        <w:rPr>
          <w:lang w:val="fr-CA"/>
        </w:rPr>
        <w:t xml:space="preserve">) à </w:t>
      </w:r>
      <w:r w:rsidRPr="001102C1">
        <w:rPr>
          <w:i/>
          <w:lang w:val="fr-CA"/>
        </w:rPr>
        <w:t>e</w:t>
      </w:r>
      <w:r w:rsidRPr="001102C1">
        <w:rPr>
          <w:lang w:val="fr-CA"/>
        </w:rPr>
        <w:t>)</w:t>
      </w:r>
      <w:r>
        <w:rPr>
          <w:lang w:val="fr-CA"/>
        </w:rPr>
        <w:t> »</w:t>
      </w:r>
      <w:r w:rsidRPr="001102C1">
        <w:rPr>
          <w:lang w:val="fr-CA"/>
        </w:rPr>
        <w:t xml:space="preserve">. </w:t>
      </w:r>
      <w:r>
        <w:rPr>
          <w:lang w:val="fr-CA"/>
        </w:rPr>
        <w:t xml:space="preserve"> </w:t>
      </w:r>
      <w:r w:rsidRPr="001102C1">
        <w:rPr>
          <w:lang w:val="fr-CA"/>
        </w:rPr>
        <w:t>La disposition en cause dans le présent pourvoi est l</w:t>
      </w:r>
      <w:r w:rsidR="00795A39">
        <w:rPr>
          <w:lang w:val="fr-CA"/>
        </w:rPr>
        <w:t xml:space="preserve">’al. </w:t>
      </w:r>
      <w:r w:rsidRPr="001102C1">
        <w:rPr>
          <w:lang w:val="fr-CA"/>
        </w:rPr>
        <w:t>80(1)</w:t>
      </w:r>
      <w:r w:rsidRPr="001102C1">
        <w:rPr>
          <w:i/>
          <w:lang w:val="fr-CA"/>
        </w:rPr>
        <w:t>b</w:t>
      </w:r>
      <w:r w:rsidRPr="001102C1">
        <w:rPr>
          <w:lang w:val="fr-CA"/>
        </w:rPr>
        <w:t>), lequel précise que le Conseil a le droit d</w:t>
      </w:r>
      <w:r>
        <w:rPr>
          <w:lang w:val="fr-CA"/>
        </w:rPr>
        <w:t>’</w:t>
      </w:r>
      <w:r w:rsidRPr="001102C1">
        <w:rPr>
          <w:lang w:val="fr-CA"/>
        </w:rPr>
        <w:t>exiger des renseignements sur les prix</w:t>
      </w:r>
      <w:r>
        <w:rPr>
          <w:lang w:val="fr-CA"/>
        </w:rPr>
        <w:t> :</w:t>
      </w:r>
    </w:p>
    <w:p w:rsidR="003514BF" w:rsidRPr="00290EF4" w:rsidRDefault="003514BF" w:rsidP="004828DB">
      <w:pPr>
        <w:pStyle w:val="Citation1"/>
        <w:spacing w:after="480"/>
        <w:ind w:firstLine="274"/>
        <w:contextualSpacing w:val="0"/>
        <w:rPr>
          <w:lang w:val="fr-CA"/>
        </w:rPr>
      </w:pPr>
      <w:r w:rsidRPr="00290EF4">
        <w:rPr>
          <w:b/>
          <w:lang w:val="fr-CA"/>
        </w:rPr>
        <w:t>80.</w:t>
      </w:r>
      <w:r w:rsidR="00A5645B">
        <w:rPr>
          <w:lang w:val="fr-CA"/>
        </w:rPr>
        <w:t> (1)</w:t>
      </w:r>
      <w:r w:rsidR="00A5645B">
        <w:rPr>
          <w:lang w:val="fr-CA"/>
        </w:rPr>
        <w:tab/>
      </w:r>
      <w:r w:rsidRPr="00290EF4">
        <w:rPr>
          <w:lang w:val="fr-CA"/>
        </w:rPr>
        <w:t>Le breveté est tenu de fournir au Conseil, conformément aux règlements, les renseignements et documents sur les points suivants :</w:t>
      </w:r>
    </w:p>
    <w:p w:rsidR="003514BF" w:rsidRPr="001102C1" w:rsidRDefault="003514BF" w:rsidP="00B847DC">
      <w:pPr>
        <w:pStyle w:val="Citation1"/>
        <w:spacing w:after="480"/>
        <w:contextualSpacing w:val="0"/>
        <w:jc w:val="center"/>
        <w:rPr>
          <w:lang w:val="fr-FR"/>
        </w:rPr>
      </w:pPr>
      <w:r w:rsidRPr="000738B2">
        <w:rPr>
          <w:lang w:val="fr-CA"/>
        </w:rPr>
        <w:t>. . .</w:t>
      </w:r>
    </w:p>
    <w:p w:rsidR="003514BF" w:rsidRPr="002D6557" w:rsidRDefault="003514BF" w:rsidP="004828DB">
      <w:pPr>
        <w:pStyle w:val="Citation1"/>
        <w:ind w:left="1440"/>
        <w:contextualSpacing w:val="0"/>
        <w:rPr>
          <w:lang w:val="fr-CA"/>
        </w:rPr>
      </w:pPr>
      <w:r w:rsidRPr="002D6557">
        <w:rPr>
          <w:i/>
          <w:lang w:val="fr-CA"/>
        </w:rPr>
        <w:t>b</w:t>
      </w:r>
      <w:r w:rsidR="00A5645B">
        <w:rPr>
          <w:lang w:val="fr-CA"/>
        </w:rPr>
        <w:t>)</w:t>
      </w:r>
      <w:r w:rsidR="00A5645B">
        <w:rPr>
          <w:lang w:val="fr-CA"/>
        </w:rPr>
        <w:tab/>
      </w:r>
      <w:r w:rsidRPr="002D6557">
        <w:rPr>
          <w:lang w:val="fr-CA"/>
        </w:rPr>
        <w:t xml:space="preserve">le prix de vente — </w:t>
      </w:r>
      <w:r w:rsidRPr="002D6557">
        <w:rPr>
          <w:u w:val="single"/>
          <w:lang w:val="fr-CA"/>
        </w:rPr>
        <w:t>antérieur ou actuel — du médicament sur les marchés canadien</w:t>
      </w:r>
      <w:r w:rsidR="004828DB">
        <w:rPr>
          <w:lang w:val="fr-CA"/>
        </w:rPr>
        <w:t xml:space="preserve"> et étranger</w:t>
      </w:r>
      <w:r w:rsidR="00E62746">
        <w:rPr>
          <w:lang w:val="fr-CA"/>
        </w:rPr>
        <w:t>;</w:t>
      </w:r>
    </w:p>
    <w:p w:rsidR="003514BF" w:rsidRPr="001102C1" w:rsidRDefault="00795A39" w:rsidP="000738B2">
      <w:pPr>
        <w:pStyle w:val="ReasonsNumbering-AltN"/>
        <w:rPr>
          <w:lang w:val="fr-CA"/>
        </w:rPr>
      </w:pPr>
      <w:r>
        <w:rPr>
          <w:lang w:val="fr-CA"/>
        </w:rPr>
        <w:t xml:space="preserve">Le paragraphe </w:t>
      </w:r>
      <w:r w:rsidR="003514BF" w:rsidRPr="001102C1">
        <w:rPr>
          <w:lang w:val="fr-CA"/>
        </w:rPr>
        <w:t xml:space="preserve">83(1) de la </w:t>
      </w:r>
      <w:r w:rsidR="003514BF" w:rsidRPr="001102C1">
        <w:rPr>
          <w:i/>
          <w:lang w:val="fr-CA"/>
        </w:rPr>
        <w:t>Loi sur les brevets</w:t>
      </w:r>
      <w:r w:rsidR="003514BF" w:rsidRPr="001102C1">
        <w:rPr>
          <w:lang w:val="fr-CA"/>
        </w:rPr>
        <w:t xml:space="preserve"> habilite le Conseil, s</w:t>
      </w:r>
      <w:r w:rsidR="003514BF">
        <w:rPr>
          <w:lang w:val="fr-CA"/>
        </w:rPr>
        <w:t>’</w:t>
      </w:r>
      <w:r w:rsidR="003514BF" w:rsidRPr="001102C1">
        <w:rPr>
          <w:lang w:val="fr-CA"/>
        </w:rPr>
        <w:t>il juge excessif</w:t>
      </w:r>
      <w:r w:rsidR="003514BF">
        <w:rPr>
          <w:lang w:val="fr-CA"/>
        </w:rPr>
        <w:t xml:space="preserve"> </w:t>
      </w:r>
      <w:r w:rsidR="003514BF" w:rsidRPr="001102C1">
        <w:rPr>
          <w:lang w:val="fr-CA"/>
        </w:rPr>
        <w:t>le prix auquel le breveté vend le médicament sur un marché canadien, à en ordonner la réduction</w:t>
      </w:r>
      <w:r w:rsidR="003514BF">
        <w:rPr>
          <w:lang w:val="fr-CA"/>
        </w:rPr>
        <w:t> :</w:t>
      </w:r>
    </w:p>
    <w:p w:rsidR="003514BF" w:rsidRPr="000738B2" w:rsidRDefault="003514BF" w:rsidP="007275CF">
      <w:pPr>
        <w:pStyle w:val="Citation1"/>
        <w:rPr>
          <w:lang w:val="fr-CA"/>
        </w:rPr>
      </w:pPr>
      <w:r w:rsidRPr="000738B2">
        <w:rPr>
          <w:b/>
          <w:lang w:val="fr-CA"/>
        </w:rPr>
        <w:lastRenderedPageBreak/>
        <w:tab/>
        <w:t>83. </w:t>
      </w:r>
      <w:r w:rsidR="00A5645B">
        <w:rPr>
          <w:lang w:val="fr-CA"/>
        </w:rPr>
        <w:t>(1)</w:t>
      </w:r>
      <w:r w:rsidR="00A5645B">
        <w:rPr>
          <w:lang w:val="fr-CA"/>
        </w:rPr>
        <w:tab/>
      </w:r>
      <w:r w:rsidRPr="000738B2">
        <w:rPr>
          <w:lang w:val="fr-CA"/>
        </w:rPr>
        <w:t xml:space="preserve">Lorsqu’il estime que le breveté </w:t>
      </w:r>
      <w:r w:rsidRPr="000738B2">
        <w:rPr>
          <w:u w:val="single"/>
          <w:lang w:val="fr-CA"/>
        </w:rPr>
        <w:t>vend sur un marché canadien le médicament</w:t>
      </w:r>
      <w:r w:rsidRPr="000738B2">
        <w:rPr>
          <w:lang w:val="fr-CA"/>
        </w:rPr>
        <w:t xml:space="preserve"> à un prix qu’il juge être excessif, le Conseil peut, par ordonnance, lui enjoindre de baisser le prix de vente maximal du médicament dans ce marché au niveau précisé dans l’ordonnance et de façon qu’il ne puisse pas être excessif.</w:t>
      </w:r>
    </w:p>
    <w:p w:rsidR="003514BF" w:rsidRPr="001102C1" w:rsidRDefault="003514BF" w:rsidP="000738B2">
      <w:pPr>
        <w:pStyle w:val="ReasonsNumbering-AltN"/>
        <w:rPr>
          <w:lang w:val="fr-CA"/>
        </w:rPr>
      </w:pPr>
      <w:r w:rsidRPr="001102C1">
        <w:rPr>
          <w:lang w:val="fr-CA"/>
        </w:rPr>
        <w:t xml:space="preserve">La décision du Conseil de rendre une ordonnance réparatrice fondée sur le </w:t>
      </w:r>
      <w:r w:rsidR="00795A39">
        <w:rPr>
          <w:lang w:val="fr-CA"/>
        </w:rPr>
        <w:t xml:space="preserve">par. </w:t>
      </w:r>
      <w:r w:rsidRPr="001102C1">
        <w:rPr>
          <w:lang w:val="fr-CA"/>
        </w:rPr>
        <w:t>83(1) dépend des facteurs énumérés à l</w:t>
      </w:r>
      <w:r w:rsidR="00795A39">
        <w:rPr>
          <w:lang w:val="fr-CA"/>
        </w:rPr>
        <w:t xml:space="preserve">’art. </w:t>
      </w:r>
      <w:r w:rsidRPr="001102C1">
        <w:rPr>
          <w:lang w:val="fr-CA"/>
        </w:rPr>
        <w:t>85</w:t>
      </w:r>
      <w:r>
        <w:rPr>
          <w:lang w:val="fr-CA"/>
        </w:rPr>
        <w:t> :</w:t>
      </w:r>
    </w:p>
    <w:p w:rsidR="003514BF" w:rsidRPr="00290EF4" w:rsidRDefault="003514BF" w:rsidP="007275CF">
      <w:pPr>
        <w:pStyle w:val="Citation1"/>
        <w:spacing w:after="480"/>
        <w:contextualSpacing w:val="0"/>
        <w:rPr>
          <w:lang w:val="fr-CA"/>
        </w:rPr>
      </w:pPr>
      <w:r w:rsidRPr="000738B2">
        <w:rPr>
          <w:b/>
          <w:lang w:val="fr-CA"/>
        </w:rPr>
        <w:tab/>
      </w:r>
      <w:r w:rsidRPr="00290EF4">
        <w:rPr>
          <w:b/>
          <w:lang w:val="fr-CA"/>
        </w:rPr>
        <w:t>85. </w:t>
      </w:r>
      <w:r w:rsidR="004828DB">
        <w:rPr>
          <w:lang w:val="fr-CA"/>
        </w:rPr>
        <w:t>(1)</w:t>
      </w:r>
      <w:r w:rsidR="00A5645B">
        <w:rPr>
          <w:lang w:val="fr-CA"/>
        </w:rPr>
        <w:tab/>
      </w:r>
      <w:r w:rsidRPr="00290EF4">
        <w:rPr>
          <w:lang w:val="fr-CA"/>
        </w:rPr>
        <w:t xml:space="preserve">Pour décider si le prix d’un médicament </w:t>
      </w:r>
      <w:r w:rsidRPr="00290EF4">
        <w:rPr>
          <w:u w:val="single"/>
          <w:lang w:val="fr-CA"/>
        </w:rPr>
        <w:t>vendu sur un marché canadien</w:t>
      </w:r>
      <w:r w:rsidRPr="00290EF4">
        <w:rPr>
          <w:lang w:val="fr-CA"/>
        </w:rPr>
        <w:t xml:space="preserve"> est excessif, le Conseil tient compte des facteurs suivants, dans la mesure où des renseignements sur ces facteurs lui sont disponibles :</w:t>
      </w:r>
    </w:p>
    <w:p w:rsidR="003514BF" w:rsidRPr="001102C1" w:rsidRDefault="003514BF" w:rsidP="004828DB">
      <w:pPr>
        <w:pStyle w:val="Citation1"/>
        <w:spacing w:after="480"/>
        <w:ind w:left="1440"/>
        <w:contextualSpacing w:val="0"/>
        <w:rPr>
          <w:lang w:val="fr-FR"/>
        </w:rPr>
      </w:pPr>
      <w:r w:rsidRPr="001102C1">
        <w:rPr>
          <w:i/>
          <w:lang w:val="fr-FR"/>
        </w:rPr>
        <w:t>a</w:t>
      </w:r>
      <w:r w:rsidRPr="001102C1">
        <w:rPr>
          <w:lang w:val="fr-FR"/>
        </w:rPr>
        <w:t>)</w:t>
      </w:r>
      <w:r w:rsidR="00A5645B">
        <w:rPr>
          <w:lang w:val="fr-FR"/>
        </w:rPr>
        <w:tab/>
      </w:r>
      <w:r w:rsidRPr="001102C1">
        <w:rPr>
          <w:lang w:val="fr-FR"/>
        </w:rPr>
        <w:t>le prix de vente du médicament sur un tel marché;</w:t>
      </w:r>
    </w:p>
    <w:p w:rsidR="003514BF" w:rsidRPr="001102C1" w:rsidRDefault="003514BF" w:rsidP="004828DB">
      <w:pPr>
        <w:pStyle w:val="Citation1"/>
        <w:spacing w:after="480"/>
        <w:ind w:left="1440"/>
        <w:contextualSpacing w:val="0"/>
        <w:rPr>
          <w:lang w:val="fr-FR"/>
        </w:rPr>
      </w:pPr>
      <w:r w:rsidRPr="001102C1">
        <w:rPr>
          <w:i/>
          <w:lang w:val="fr-FR"/>
        </w:rPr>
        <w:t>b</w:t>
      </w:r>
      <w:r w:rsidR="00A5645B">
        <w:rPr>
          <w:lang w:val="fr-FR"/>
        </w:rPr>
        <w:t>)</w:t>
      </w:r>
      <w:r w:rsidR="00A5645B">
        <w:rPr>
          <w:lang w:val="fr-FR"/>
        </w:rPr>
        <w:tab/>
      </w:r>
      <w:r w:rsidRPr="001102C1">
        <w:rPr>
          <w:lang w:val="fr-FR"/>
        </w:rPr>
        <w:t>le prix de vente de médicaments de la même catégorie thérapeutique sur un tel marché;</w:t>
      </w:r>
    </w:p>
    <w:p w:rsidR="003514BF" w:rsidRPr="001102C1" w:rsidRDefault="003514BF" w:rsidP="004828DB">
      <w:pPr>
        <w:pStyle w:val="Citation1"/>
        <w:spacing w:after="480"/>
        <w:ind w:left="1440"/>
        <w:contextualSpacing w:val="0"/>
        <w:rPr>
          <w:lang w:val="fr-FR"/>
        </w:rPr>
      </w:pPr>
      <w:r w:rsidRPr="001102C1">
        <w:rPr>
          <w:i/>
          <w:lang w:val="fr-FR"/>
        </w:rPr>
        <w:t>c</w:t>
      </w:r>
      <w:r w:rsidR="00A5645B">
        <w:rPr>
          <w:lang w:val="fr-FR"/>
        </w:rPr>
        <w:t>)</w:t>
      </w:r>
      <w:r w:rsidR="00A5645B">
        <w:rPr>
          <w:lang w:val="fr-FR"/>
        </w:rPr>
        <w:tab/>
      </w:r>
      <w:r w:rsidRPr="001102C1">
        <w:rPr>
          <w:lang w:val="fr-FR"/>
        </w:rPr>
        <w:t>le prix de vente du médicament et d</w:t>
      </w:r>
      <w:r>
        <w:rPr>
          <w:lang w:val="fr-FR"/>
        </w:rPr>
        <w:t>’</w:t>
      </w:r>
      <w:r w:rsidRPr="001102C1">
        <w:rPr>
          <w:lang w:val="fr-FR"/>
        </w:rPr>
        <w:t>autres médicaments de la même catégorie thérapeutique à l</w:t>
      </w:r>
      <w:r>
        <w:rPr>
          <w:lang w:val="fr-FR"/>
        </w:rPr>
        <w:t>’</w:t>
      </w:r>
      <w:r w:rsidRPr="001102C1">
        <w:rPr>
          <w:lang w:val="fr-FR"/>
        </w:rPr>
        <w:t>étranger;</w:t>
      </w:r>
    </w:p>
    <w:p w:rsidR="003514BF" w:rsidRPr="001102C1" w:rsidRDefault="003514BF" w:rsidP="004828DB">
      <w:pPr>
        <w:pStyle w:val="Citation1"/>
        <w:spacing w:after="480"/>
        <w:ind w:left="1440"/>
        <w:contextualSpacing w:val="0"/>
        <w:rPr>
          <w:lang w:val="fr-FR"/>
        </w:rPr>
      </w:pPr>
      <w:r w:rsidRPr="001102C1">
        <w:rPr>
          <w:i/>
          <w:lang w:val="fr-FR"/>
        </w:rPr>
        <w:t>d</w:t>
      </w:r>
      <w:r w:rsidR="00A5645B">
        <w:rPr>
          <w:lang w:val="fr-FR"/>
        </w:rPr>
        <w:t>)</w:t>
      </w:r>
      <w:r w:rsidR="00A5645B">
        <w:rPr>
          <w:lang w:val="fr-FR"/>
        </w:rPr>
        <w:tab/>
      </w:r>
      <w:r w:rsidRPr="001102C1">
        <w:rPr>
          <w:lang w:val="fr-FR"/>
        </w:rPr>
        <w:t>les variations de l</w:t>
      </w:r>
      <w:r>
        <w:rPr>
          <w:lang w:val="fr-FR"/>
        </w:rPr>
        <w:t>’</w:t>
      </w:r>
      <w:r w:rsidRPr="001102C1">
        <w:rPr>
          <w:lang w:val="fr-FR"/>
        </w:rPr>
        <w:t>indice des prix à la consommation;</w:t>
      </w:r>
    </w:p>
    <w:p w:rsidR="003514BF" w:rsidRPr="001102C1" w:rsidRDefault="003514BF" w:rsidP="004828DB">
      <w:pPr>
        <w:pStyle w:val="Citation1"/>
        <w:spacing w:after="480"/>
        <w:ind w:left="1440"/>
        <w:contextualSpacing w:val="0"/>
        <w:rPr>
          <w:lang w:val="fr-FR"/>
        </w:rPr>
      </w:pPr>
      <w:r w:rsidRPr="001102C1">
        <w:rPr>
          <w:i/>
          <w:lang w:val="fr-FR"/>
        </w:rPr>
        <w:t>e</w:t>
      </w:r>
      <w:r w:rsidR="00A5645B">
        <w:rPr>
          <w:lang w:val="fr-FR"/>
        </w:rPr>
        <w:t>)</w:t>
      </w:r>
      <w:r w:rsidR="00A5645B">
        <w:rPr>
          <w:lang w:val="fr-FR"/>
        </w:rPr>
        <w:tab/>
      </w:r>
      <w:r w:rsidRPr="001102C1">
        <w:rPr>
          <w:lang w:val="fr-FR"/>
        </w:rPr>
        <w:t>tous les autres facteurs précisés par les règlements d</w:t>
      </w:r>
      <w:r>
        <w:rPr>
          <w:lang w:val="fr-FR"/>
        </w:rPr>
        <w:t>’</w:t>
      </w:r>
      <w:r w:rsidRPr="001102C1">
        <w:rPr>
          <w:lang w:val="fr-FR"/>
        </w:rPr>
        <w:t>application du présent paragraphe.</w:t>
      </w:r>
    </w:p>
    <w:p w:rsidR="003514BF" w:rsidRPr="00290EF4" w:rsidRDefault="00A5645B" w:rsidP="007275CF">
      <w:pPr>
        <w:pStyle w:val="Citation1"/>
        <w:spacing w:after="480"/>
        <w:contextualSpacing w:val="0"/>
        <w:rPr>
          <w:lang w:val="fr-CA"/>
        </w:rPr>
      </w:pPr>
      <w:r>
        <w:rPr>
          <w:lang w:val="fr-CA"/>
        </w:rPr>
        <w:tab/>
        <w:t>(2)</w:t>
      </w:r>
      <w:r>
        <w:rPr>
          <w:lang w:val="fr-CA"/>
        </w:rPr>
        <w:tab/>
      </w:r>
      <w:r w:rsidR="003514BF" w:rsidRPr="00290EF4">
        <w:rPr>
          <w:lang w:val="fr-CA"/>
        </w:rPr>
        <w:t xml:space="preserve">Si, après avoir tenu compte de ces facteurs, il est incapable de décider si le prix d’un médicament </w:t>
      </w:r>
      <w:r w:rsidR="003514BF" w:rsidRPr="00290EF4">
        <w:rPr>
          <w:u w:val="single"/>
          <w:lang w:val="fr-CA"/>
        </w:rPr>
        <w:t>vendu sur un marché canadien</w:t>
      </w:r>
      <w:r w:rsidR="003514BF" w:rsidRPr="00290EF4">
        <w:rPr>
          <w:lang w:val="fr-CA"/>
        </w:rPr>
        <w:t xml:space="preserve"> est excessif, le Conseil peut tenir compte des facteurs suivants : </w:t>
      </w:r>
    </w:p>
    <w:p w:rsidR="003514BF" w:rsidRPr="001102C1" w:rsidRDefault="003514BF" w:rsidP="004828DB">
      <w:pPr>
        <w:pStyle w:val="Citation1"/>
        <w:spacing w:after="480"/>
        <w:ind w:left="1440"/>
        <w:contextualSpacing w:val="0"/>
        <w:rPr>
          <w:lang w:val="fr-FR"/>
        </w:rPr>
      </w:pPr>
      <w:r w:rsidRPr="001102C1">
        <w:rPr>
          <w:i/>
          <w:lang w:val="fr-FR"/>
        </w:rPr>
        <w:t>a</w:t>
      </w:r>
      <w:r w:rsidRPr="001102C1">
        <w:rPr>
          <w:lang w:val="fr-FR"/>
        </w:rPr>
        <w:t>)</w:t>
      </w:r>
      <w:r w:rsidR="00A5645B">
        <w:rPr>
          <w:lang w:val="fr-FR"/>
        </w:rPr>
        <w:tab/>
      </w:r>
      <w:r w:rsidRPr="001102C1">
        <w:rPr>
          <w:lang w:val="fr-FR"/>
        </w:rPr>
        <w:t>les coûts de réalisation et de mise en marché;</w:t>
      </w:r>
    </w:p>
    <w:p w:rsidR="003514BF" w:rsidRPr="001102C1" w:rsidRDefault="003514BF" w:rsidP="004828DB">
      <w:pPr>
        <w:pStyle w:val="Citation1"/>
        <w:spacing w:after="480"/>
        <w:ind w:left="1440"/>
        <w:contextualSpacing w:val="0"/>
        <w:rPr>
          <w:lang w:val="fr-FR"/>
        </w:rPr>
      </w:pPr>
      <w:r w:rsidRPr="001102C1">
        <w:rPr>
          <w:i/>
          <w:lang w:val="fr-FR"/>
        </w:rPr>
        <w:t>b</w:t>
      </w:r>
      <w:r w:rsidR="00A5645B">
        <w:rPr>
          <w:lang w:val="fr-FR"/>
        </w:rPr>
        <w:t>)</w:t>
      </w:r>
      <w:r w:rsidR="00A5645B">
        <w:rPr>
          <w:lang w:val="fr-FR"/>
        </w:rPr>
        <w:tab/>
      </w:r>
      <w:r w:rsidRPr="001102C1">
        <w:rPr>
          <w:lang w:val="fr-FR"/>
        </w:rPr>
        <w:t>tous les autres facteurs précisés par les règlements d</w:t>
      </w:r>
      <w:r>
        <w:rPr>
          <w:lang w:val="fr-FR"/>
        </w:rPr>
        <w:t>’</w:t>
      </w:r>
      <w:r w:rsidRPr="001102C1">
        <w:rPr>
          <w:lang w:val="fr-FR"/>
        </w:rPr>
        <w:t>application du présent paragraphe ou qu</w:t>
      </w:r>
      <w:r>
        <w:rPr>
          <w:lang w:val="fr-FR"/>
        </w:rPr>
        <w:t>’</w:t>
      </w:r>
      <w:r w:rsidRPr="001102C1">
        <w:rPr>
          <w:lang w:val="fr-FR"/>
        </w:rPr>
        <w:t>il estime pertinents.</w:t>
      </w:r>
    </w:p>
    <w:p w:rsidR="003514BF" w:rsidRPr="000738B2" w:rsidRDefault="004828DB" w:rsidP="007275CF">
      <w:pPr>
        <w:pStyle w:val="Citation1"/>
        <w:contextualSpacing w:val="0"/>
        <w:rPr>
          <w:lang w:val="fr-CA"/>
        </w:rPr>
      </w:pPr>
      <w:r>
        <w:rPr>
          <w:lang w:val="fr-CA"/>
        </w:rPr>
        <w:lastRenderedPageBreak/>
        <w:tab/>
      </w:r>
      <w:r w:rsidR="00A5645B">
        <w:rPr>
          <w:lang w:val="fr-CA"/>
        </w:rPr>
        <w:t>(3)</w:t>
      </w:r>
      <w:r w:rsidR="00A5645B">
        <w:rPr>
          <w:lang w:val="fr-CA"/>
        </w:rPr>
        <w:tab/>
      </w:r>
      <w:r w:rsidR="00795A39">
        <w:rPr>
          <w:lang w:val="fr-CA"/>
        </w:rPr>
        <w:t xml:space="preserve">Pour l’application de l’article </w:t>
      </w:r>
      <w:r w:rsidR="003514BF" w:rsidRPr="000738B2">
        <w:rPr>
          <w:lang w:val="fr-CA"/>
        </w:rPr>
        <w:t>83, le Conseil ne tient compte, dans les coûts de recherche, que de la part canadienne des coûts mondiaux directement liée à la recherche qui a abouti soit à l’invention du médicament, soit à sa mise au point et à sa mise en marché, calculée proportionnellement au rapport entre les ventes canadiennes du médicament par le breveté et le total des ventes mondiales.</w:t>
      </w:r>
    </w:p>
    <w:p w:rsidR="003514BF" w:rsidRPr="001102C1" w:rsidRDefault="003514BF" w:rsidP="000738B2">
      <w:pPr>
        <w:pStyle w:val="ReasonsNumbering-AltN"/>
        <w:rPr>
          <w:lang w:val="fr-CA"/>
        </w:rPr>
      </w:pPr>
      <w:r w:rsidRPr="001102C1">
        <w:rPr>
          <w:lang w:val="fr-CA"/>
        </w:rPr>
        <w:t>Les mots communs à l</w:t>
      </w:r>
      <w:r w:rsidR="00795A39">
        <w:rPr>
          <w:lang w:val="fr-CA"/>
        </w:rPr>
        <w:t xml:space="preserve">’al. </w:t>
      </w:r>
      <w:r w:rsidRPr="001102C1">
        <w:rPr>
          <w:lang w:val="fr-CA"/>
        </w:rPr>
        <w:t>80(1)</w:t>
      </w:r>
      <w:r w:rsidRPr="001102C1">
        <w:rPr>
          <w:i/>
          <w:lang w:val="fr-CA"/>
        </w:rPr>
        <w:t>b</w:t>
      </w:r>
      <w:r w:rsidRPr="001102C1">
        <w:rPr>
          <w:lang w:val="fr-CA"/>
        </w:rPr>
        <w:t xml:space="preserve">), au </w:t>
      </w:r>
      <w:r>
        <w:rPr>
          <w:lang w:val="fr-CA"/>
        </w:rPr>
        <w:t>par.</w:t>
      </w:r>
      <w:r w:rsidR="00795A39">
        <w:rPr>
          <w:lang w:val="fr-CA"/>
        </w:rPr>
        <w:t xml:space="preserve"> </w:t>
      </w:r>
      <w:r w:rsidRPr="001102C1">
        <w:rPr>
          <w:lang w:val="fr-CA"/>
        </w:rPr>
        <w:t>83(1) et à l</w:t>
      </w:r>
      <w:r>
        <w:rPr>
          <w:lang w:val="fr-CA"/>
        </w:rPr>
        <w:t>’art.</w:t>
      </w:r>
      <w:r w:rsidR="00795A39">
        <w:rPr>
          <w:lang w:val="fr-CA"/>
        </w:rPr>
        <w:t xml:space="preserve"> </w:t>
      </w:r>
      <w:r w:rsidRPr="001102C1">
        <w:rPr>
          <w:lang w:val="fr-CA"/>
        </w:rPr>
        <w:t xml:space="preserve">85 sont </w:t>
      </w:r>
      <w:r>
        <w:rPr>
          <w:lang w:val="fr-CA"/>
        </w:rPr>
        <w:t>« </w:t>
      </w:r>
      <w:r w:rsidRPr="001102C1">
        <w:rPr>
          <w:lang w:val="fr-CA"/>
        </w:rPr>
        <w:t>vente</w:t>
      </w:r>
      <w:r>
        <w:rPr>
          <w:lang w:val="fr-CA"/>
        </w:rPr>
        <w:t> »</w:t>
      </w:r>
      <w:r w:rsidRPr="001102C1">
        <w:rPr>
          <w:lang w:val="fr-CA"/>
        </w:rPr>
        <w:t xml:space="preserve">, </w:t>
      </w:r>
      <w:r>
        <w:rPr>
          <w:lang w:val="fr-CA"/>
        </w:rPr>
        <w:t>« </w:t>
      </w:r>
      <w:r w:rsidRPr="001102C1">
        <w:rPr>
          <w:lang w:val="fr-CA"/>
        </w:rPr>
        <w:t>vend</w:t>
      </w:r>
      <w:r>
        <w:rPr>
          <w:lang w:val="fr-CA"/>
        </w:rPr>
        <w:t> »</w:t>
      </w:r>
      <w:r w:rsidRPr="001102C1">
        <w:rPr>
          <w:lang w:val="fr-CA"/>
        </w:rPr>
        <w:t xml:space="preserve"> et </w:t>
      </w:r>
      <w:r>
        <w:rPr>
          <w:lang w:val="fr-CA"/>
        </w:rPr>
        <w:t>« </w:t>
      </w:r>
      <w:r w:rsidRPr="001102C1">
        <w:rPr>
          <w:lang w:val="fr-CA"/>
        </w:rPr>
        <w:t>vendu</w:t>
      </w:r>
      <w:r>
        <w:rPr>
          <w:lang w:val="fr-CA"/>
        </w:rPr>
        <w:t> »</w:t>
      </w:r>
      <w:r w:rsidRPr="001102C1">
        <w:rPr>
          <w:lang w:val="fr-CA"/>
        </w:rPr>
        <w:t xml:space="preserve"> sur un marché canadien.  Je reconnais que ces mots peuvent se prêter à différentes interprétations.  La question est de savoir si celle qu</w:t>
      </w:r>
      <w:r>
        <w:rPr>
          <w:lang w:val="fr-CA"/>
        </w:rPr>
        <w:t>’</w:t>
      </w:r>
      <w:r w:rsidRPr="001102C1">
        <w:rPr>
          <w:lang w:val="fr-CA"/>
        </w:rPr>
        <w:t>a retenue le</w:t>
      </w:r>
      <w:r>
        <w:rPr>
          <w:lang w:val="fr-CA"/>
        </w:rPr>
        <w:t xml:space="preserve"> Conseil est justifiée.</w:t>
      </w:r>
    </w:p>
    <w:p w:rsidR="003514BF" w:rsidRPr="001102C1" w:rsidRDefault="003514BF" w:rsidP="000738B2">
      <w:pPr>
        <w:pStyle w:val="ReasonsNumbering-AltN"/>
        <w:rPr>
          <w:lang w:val="fr-CA" w:bidi="en-US"/>
        </w:rPr>
      </w:pPr>
      <w:r w:rsidRPr="001102C1">
        <w:rPr>
          <w:lang w:val="fr-CA"/>
        </w:rPr>
        <w:t>Les parties ont toutes deux invoqué la démarche adoptée dans l</w:t>
      </w:r>
      <w:r>
        <w:rPr>
          <w:lang w:val="fr-CA"/>
        </w:rPr>
        <w:t>’</w:t>
      </w:r>
      <w:r w:rsidRPr="001102C1">
        <w:rPr>
          <w:lang w:val="fr-CA"/>
        </w:rPr>
        <w:t xml:space="preserve">arrêt </w:t>
      </w:r>
      <w:r w:rsidRPr="001102C1">
        <w:rPr>
          <w:i/>
          <w:lang w:val="fr-CA" w:bidi="en-US"/>
        </w:rPr>
        <w:t xml:space="preserve">Hypothèques </w:t>
      </w:r>
      <w:proofErr w:type="spellStart"/>
      <w:r w:rsidRPr="001102C1">
        <w:rPr>
          <w:i/>
          <w:lang w:val="fr-CA" w:bidi="en-US"/>
        </w:rPr>
        <w:t>Trustco</w:t>
      </w:r>
      <w:proofErr w:type="spellEnd"/>
      <w:r w:rsidRPr="001102C1">
        <w:rPr>
          <w:i/>
          <w:lang w:val="fr-CA" w:bidi="en-US"/>
        </w:rPr>
        <w:t xml:space="preserve"> Canada c. Canada</w:t>
      </w:r>
      <w:r w:rsidRPr="001102C1">
        <w:rPr>
          <w:lang w:val="fr-CA" w:bidi="en-US"/>
        </w:rPr>
        <w:t xml:space="preserve">, 2005 CSC 54, [2005] 2 R.C.S. 601, </w:t>
      </w:r>
      <w:r>
        <w:rPr>
          <w:lang w:val="fr-CA" w:bidi="en-US"/>
        </w:rPr>
        <w:t>par.</w:t>
      </w:r>
      <w:r w:rsidR="00795A39">
        <w:rPr>
          <w:lang w:val="fr-CA" w:bidi="en-US"/>
        </w:rPr>
        <w:t xml:space="preserve"> </w:t>
      </w:r>
      <w:r w:rsidRPr="001102C1">
        <w:rPr>
          <w:lang w:val="fr-CA" w:bidi="en-US"/>
        </w:rPr>
        <w:t xml:space="preserve">10, qui </w:t>
      </w:r>
      <w:proofErr w:type="gramStart"/>
      <w:r w:rsidRPr="001102C1">
        <w:rPr>
          <w:lang w:val="fr-CA" w:bidi="en-US"/>
        </w:rPr>
        <w:t>a</w:t>
      </w:r>
      <w:proofErr w:type="gramEnd"/>
      <w:r w:rsidRPr="001102C1">
        <w:rPr>
          <w:lang w:val="fr-CA" w:bidi="en-US"/>
        </w:rPr>
        <w:t xml:space="preserve"> confirmé que l</w:t>
      </w:r>
      <w:r>
        <w:rPr>
          <w:lang w:val="fr-CA" w:bidi="en-US"/>
        </w:rPr>
        <w:t>’</w:t>
      </w:r>
      <w:r w:rsidRPr="001102C1">
        <w:rPr>
          <w:lang w:val="fr-CA" w:bidi="en-US"/>
        </w:rPr>
        <w:t>interprétation des lois consiste à examiner le sens ordinaire des mots et le contexte législatif dans lequel ils s</w:t>
      </w:r>
      <w:r>
        <w:rPr>
          <w:lang w:val="fr-CA" w:bidi="en-US"/>
        </w:rPr>
        <w:t>’</w:t>
      </w:r>
      <w:r w:rsidRPr="001102C1">
        <w:rPr>
          <w:lang w:val="fr-CA" w:bidi="en-US"/>
        </w:rPr>
        <w:t>inscrivent</w:t>
      </w:r>
      <w:r>
        <w:rPr>
          <w:lang w:val="fr-CA" w:bidi="en-US"/>
        </w:rPr>
        <w:t> :</w:t>
      </w:r>
    </w:p>
    <w:p w:rsidR="003514BF" w:rsidRPr="000738B2" w:rsidRDefault="003514BF" w:rsidP="003B13CB">
      <w:pPr>
        <w:pStyle w:val="Citation1"/>
        <w:rPr>
          <w:lang w:val="fr-CA" w:eastAsia="fr-FR"/>
        </w:rPr>
      </w:pPr>
      <w:r w:rsidRPr="001102C1">
        <w:rPr>
          <w:lang w:val="fr-CA" w:eastAsia="fr-FR"/>
        </w:rPr>
        <w:tab/>
      </w:r>
      <w:r w:rsidRPr="000738B2">
        <w:rPr>
          <w:lang w:val="fr-CA" w:eastAsia="fr-FR"/>
        </w:rPr>
        <w:t xml:space="preserve">Il est depuis longtemps établi en matière d’interprétation des lois qu’« il faut lire les termes d’une loi dans leur contexte global en suivant le sens ordinaire et grammatical qui s’harmonise avec </w:t>
      </w:r>
      <w:r w:rsidRPr="001102C1">
        <w:rPr>
          <w:lang w:val="fr-CA"/>
        </w:rPr>
        <w:t>l</w:t>
      </w:r>
      <w:r>
        <w:rPr>
          <w:lang w:val="fr-CA"/>
        </w:rPr>
        <w:t>’</w:t>
      </w:r>
      <w:r w:rsidRPr="001102C1">
        <w:rPr>
          <w:lang w:val="fr-CA"/>
        </w:rPr>
        <w:t>esprit</w:t>
      </w:r>
      <w:r w:rsidRPr="000738B2">
        <w:rPr>
          <w:lang w:val="fr-CA" w:eastAsia="fr-FR"/>
        </w:rPr>
        <w:t xml:space="preserve"> de la loi, l’objet de la loi et l’intention du législateur » : voir</w:t>
      </w:r>
      <w:r w:rsidR="00795A39">
        <w:rPr>
          <w:i/>
          <w:iCs/>
          <w:lang w:val="fr-CA" w:eastAsia="fr-FR"/>
        </w:rPr>
        <w:t xml:space="preserve"> 65302 </w:t>
      </w:r>
      <w:r w:rsidRPr="000738B2">
        <w:rPr>
          <w:i/>
          <w:iCs/>
          <w:lang w:val="fr-CA" w:eastAsia="fr-FR"/>
        </w:rPr>
        <w:t>British Columbia Ltd. c. Canada</w:t>
      </w:r>
      <w:r w:rsidR="00795A39">
        <w:rPr>
          <w:lang w:val="fr-CA" w:eastAsia="fr-FR"/>
        </w:rPr>
        <w:t xml:space="preserve">, [1999] 3 </w:t>
      </w:r>
      <w:r w:rsidRPr="000738B2">
        <w:rPr>
          <w:lang w:val="fr-CA" w:eastAsia="fr-FR"/>
        </w:rPr>
        <w:t>R.C.S.</w:t>
      </w:r>
      <w:r w:rsidR="00795A39">
        <w:rPr>
          <w:lang w:val="fr-CA" w:eastAsia="fr-FR"/>
        </w:rPr>
        <w:t xml:space="preserve"> </w:t>
      </w:r>
      <w:r w:rsidRPr="000738B2">
        <w:rPr>
          <w:lang w:val="fr-CA" w:eastAsia="fr-FR"/>
        </w:rPr>
        <w:t>804, par.</w:t>
      </w:r>
      <w:r w:rsidR="00795A39">
        <w:rPr>
          <w:lang w:val="fr-CA" w:eastAsia="fr-FR"/>
        </w:rPr>
        <w:t xml:space="preserve"> </w:t>
      </w:r>
      <w:r w:rsidRPr="000738B2">
        <w:rPr>
          <w:lang w:val="fr-CA" w:eastAsia="fr-FR"/>
        </w:rPr>
        <w:t xml:space="preserve">50.  L’interprétation d’une disposition législative doit être fondée sur une analyse textuelle, contextuelle et téléologique destinée à dégager un sens qui s’harmonise avec la Loi dans son ensemble.  Lorsque le libellé d’une disposition est précis et non équivoque, le sens ordinaire des mots joue un rôle primordial dans le processus d’interprétation.  Par contre, lorsque les mots utilisés peuvent avoir plus d’un sens raisonnable, leur sens ordinaire joue un rôle moins important.  L’incidence relative du sens ordinaire, du contexte et de l’objet sur le processus d’interprétation peut varier, mais les tribunaux doivent, dans tous les cas, chercher à interpréter les dispositions d’une loi comme formant un tout </w:t>
      </w:r>
      <w:r w:rsidR="00E62746">
        <w:rPr>
          <w:lang w:val="fr-CA" w:eastAsia="fr-FR"/>
        </w:rPr>
        <w:t>harmonieux.</w:t>
      </w:r>
    </w:p>
    <w:p w:rsidR="003514BF" w:rsidRPr="000738B2" w:rsidRDefault="003514BF" w:rsidP="003B13CB">
      <w:pPr>
        <w:pStyle w:val="SCCNormalDoubleSpacing"/>
        <w:spacing w:after="480"/>
        <w:rPr>
          <w:lang w:val="fr-CA" w:bidi="en-US"/>
        </w:rPr>
      </w:pPr>
      <w:r w:rsidRPr="000738B2">
        <w:rPr>
          <w:lang w:val="fr-CA" w:bidi="en-US"/>
        </w:rPr>
        <w:lastRenderedPageBreak/>
        <w:t>S’il est clair, le libellé prévaut; sinon, il cède le pas à l’interprétation qui convient le mieux à l’objet prédominant de la loi.</w:t>
      </w:r>
    </w:p>
    <w:p w:rsidR="003514BF" w:rsidRPr="001102C1" w:rsidRDefault="003514BF" w:rsidP="000738B2">
      <w:pPr>
        <w:pStyle w:val="ReasonsNumbering-AltN"/>
        <w:rPr>
          <w:lang w:val="fr-CA"/>
        </w:rPr>
      </w:pPr>
      <w:r w:rsidRPr="001102C1">
        <w:rPr>
          <w:lang w:val="fr-CA" w:bidi="en-US"/>
        </w:rPr>
        <w:t xml:space="preserve">Cependant, bien </w:t>
      </w:r>
      <w:r w:rsidRPr="001102C1">
        <w:rPr>
          <w:lang w:val="fr-CA"/>
        </w:rPr>
        <w:t>que</w:t>
      </w:r>
      <w:r w:rsidRPr="001102C1">
        <w:rPr>
          <w:lang w:val="fr-CA" w:bidi="en-US"/>
        </w:rPr>
        <w:t xml:space="preserve"> les parties soient d</w:t>
      </w:r>
      <w:r>
        <w:rPr>
          <w:lang w:val="fr-CA" w:bidi="en-US"/>
        </w:rPr>
        <w:t>’</w:t>
      </w:r>
      <w:r w:rsidRPr="001102C1">
        <w:rPr>
          <w:lang w:val="fr-CA" w:bidi="en-US"/>
        </w:rPr>
        <w:t>accord à l</w:t>
      </w:r>
      <w:r>
        <w:rPr>
          <w:lang w:val="fr-CA" w:bidi="en-US"/>
        </w:rPr>
        <w:t>’</w:t>
      </w:r>
      <w:r w:rsidRPr="001102C1">
        <w:rPr>
          <w:lang w:val="fr-CA" w:bidi="en-US"/>
        </w:rPr>
        <w:t>égard des règles d</w:t>
      </w:r>
      <w:r>
        <w:rPr>
          <w:lang w:val="fr-CA" w:bidi="en-US"/>
        </w:rPr>
        <w:t>’</w:t>
      </w:r>
      <w:r w:rsidRPr="001102C1">
        <w:rPr>
          <w:lang w:val="fr-CA" w:bidi="en-US"/>
        </w:rPr>
        <w:t>interprétation pertinentes, elles ne s</w:t>
      </w:r>
      <w:r>
        <w:rPr>
          <w:lang w:val="fr-CA" w:bidi="en-US"/>
        </w:rPr>
        <w:t>’</w:t>
      </w:r>
      <w:r w:rsidRPr="001102C1">
        <w:rPr>
          <w:lang w:val="fr-CA" w:bidi="en-US"/>
        </w:rPr>
        <w:t>entendent pas sur leur</w:t>
      </w:r>
      <w:r w:rsidRPr="001102C1">
        <w:rPr>
          <w:lang w:val="fr-CA"/>
        </w:rPr>
        <w:t xml:space="preserve"> application.  Selon le procureur général, les mots </w:t>
      </w:r>
      <w:r>
        <w:rPr>
          <w:lang w:val="fr-CA"/>
        </w:rPr>
        <w:t>« </w:t>
      </w:r>
      <w:r w:rsidRPr="001102C1">
        <w:rPr>
          <w:lang w:val="fr-CA"/>
        </w:rPr>
        <w:t>vente [</w:t>
      </w:r>
      <w:r>
        <w:rPr>
          <w:lang w:val="fr-CA"/>
        </w:rPr>
        <w:t>. . .</w:t>
      </w:r>
      <w:r w:rsidRPr="001102C1">
        <w:rPr>
          <w:lang w:val="fr-CA"/>
        </w:rPr>
        <w:t xml:space="preserve">] sur </w:t>
      </w:r>
      <w:r>
        <w:rPr>
          <w:lang w:val="fr-CA"/>
        </w:rPr>
        <w:t>l</w:t>
      </w:r>
      <w:r w:rsidR="006332AF">
        <w:rPr>
          <w:lang w:val="fr-CA"/>
        </w:rPr>
        <w:t>[</w:t>
      </w:r>
      <w:r>
        <w:rPr>
          <w:lang w:val="fr-CA"/>
        </w:rPr>
        <w:t>e</w:t>
      </w:r>
      <w:r w:rsidR="006332AF">
        <w:rPr>
          <w:lang w:val="fr-CA"/>
        </w:rPr>
        <w:t>]</w:t>
      </w:r>
      <w:r w:rsidRPr="001102C1">
        <w:rPr>
          <w:lang w:val="fr-CA"/>
        </w:rPr>
        <w:t xml:space="preserve"> </w:t>
      </w:r>
      <w:proofErr w:type="spellStart"/>
      <w:r w:rsidRPr="001102C1">
        <w:rPr>
          <w:lang w:val="fr-CA"/>
        </w:rPr>
        <w:t>march</w:t>
      </w:r>
      <w:proofErr w:type="spellEnd"/>
      <w:r w:rsidR="006332AF">
        <w:rPr>
          <w:lang w:val="fr-CA"/>
        </w:rPr>
        <w:t>[</w:t>
      </w:r>
      <w:r w:rsidRPr="001102C1">
        <w:rPr>
          <w:lang w:val="fr-CA"/>
        </w:rPr>
        <w:t>é</w:t>
      </w:r>
      <w:r w:rsidR="006332AF">
        <w:rPr>
          <w:lang w:val="fr-CA"/>
        </w:rPr>
        <w:t>]</w:t>
      </w:r>
      <w:r w:rsidRPr="001102C1">
        <w:rPr>
          <w:lang w:val="fr-CA"/>
        </w:rPr>
        <w:t xml:space="preserve"> canadien</w:t>
      </w:r>
      <w:r>
        <w:rPr>
          <w:lang w:val="fr-CA"/>
        </w:rPr>
        <w:t> »</w:t>
      </w:r>
      <w:r w:rsidRPr="001102C1">
        <w:rPr>
          <w:lang w:val="fr-CA"/>
        </w:rPr>
        <w:t xml:space="preserve"> ont une large portée et ne devraient pas recevoir l</w:t>
      </w:r>
      <w:r>
        <w:rPr>
          <w:lang w:val="fr-CA"/>
        </w:rPr>
        <w:t>’</w:t>
      </w:r>
      <w:r w:rsidRPr="001102C1">
        <w:rPr>
          <w:lang w:val="fr-CA"/>
        </w:rPr>
        <w:t xml:space="preserve">interprétation technique restreinte que leur donne </w:t>
      </w:r>
      <w:proofErr w:type="spellStart"/>
      <w:r w:rsidRPr="001102C1">
        <w:rPr>
          <w:lang w:val="fr-CA"/>
        </w:rPr>
        <w:t>Celgene</w:t>
      </w:r>
      <w:proofErr w:type="spellEnd"/>
      <w:r w:rsidRPr="001102C1">
        <w:rPr>
          <w:lang w:val="fr-CA"/>
        </w:rPr>
        <w:t xml:space="preserve">.  En revanche, cette dernière affirme que le mot </w:t>
      </w:r>
      <w:r>
        <w:rPr>
          <w:lang w:val="fr-CA"/>
        </w:rPr>
        <w:t>« </w:t>
      </w:r>
      <w:r w:rsidRPr="001102C1">
        <w:rPr>
          <w:lang w:val="fr-CA"/>
        </w:rPr>
        <w:t>vente</w:t>
      </w:r>
      <w:r>
        <w:rPr>
          <w:lang w:val="fr-CA"/>
        </w:rPr>
        <w:t> »</w:t>
      </w:r>
      <w:r w:rsidRPr="001102C1">
        <w:rPr>
          <w:lang w:val="fr-CA"/>
        </w:rPr>
        <w:t xml:space="preserve"> est si </w:t>
      </w:r>
      <w:r>
        <w:rPr>
          <w:lang w:val="fr-CA"/>
        </w:rPr>
        <w:t>« </w:t>
      </w:r>
      <w:r w:rsidRPr="001102C1">
        <w:rPr>
          <w:lang w:val="fr-CA"/>
        </w:rPr>
        <w:t>précis et non équivoque</w:t>
      </w:r>
      <w:r>
        <w:rPr>
          <w:lang w:val="fr-CA"/>
        </w:rPr>
        <w:t> »</w:t>
      </w:r>
      <w:r w:rsidRPr="001102C1">
        <w:rPr>
          <w:lang w:val="fr-CA"/>
        </w:rPr>
        <w:t xml:space="preserve"> qu</w:t>
      </w:r>
      <w:r>
        <w:rPr>
          <w:lang w:val="fr-CA"/>
        </w:rPr>
        <w:t>’</w:t>
      </w:r>
      <w:r w:rsidRPr="001102C1">
        <w:rPr>
          <w:lang w:val="fr-CA"/>
        </w:rPr>
        <w:t>il doit jouer un rôle déterminant dans le processus d</w:t>
      </w:r>
      <w:r>
        <w:rPr>
          <w:lang w:val="fr-CA"/>
        </w:rPr>
        <w:t>’</w:t>
      </w:r>
      <w:r w:rsidRPr="001102C1">
        <w:rPr>
          <w:lang w:val="fr-CA"/>
        </w:rPr>
        <w:t xml:space="preserve">interprétation </w:t>
      </w:r>
      <w:r w:rsidRPr="006332AF">
        <w:rPr>
          <w:lang w:val="fr-CA"/>
        </w:rPr>
        <w:t>(</w:t>
      </w:r>
      <w:proofErr w:type="spellStart"/>
      <w:r w:rsidRPr="001102C1">
        <w:rPr>
          <w:i/>
          <w:lang w:val="fr-CA"/>
        </w:rPr>
        <w:t>Trustco</w:t>
      </w:r>
      <w:proofErr w:type="spellEnd"/>
      <w:r w:rsidRPr="001102C1">
        <w:rPr>
          <w:i/>
          <w:lang w:val="fr-CA"/>
        </w:rPr>
        <w:t xml:space="preserve"> Canada</w:t>
      </w:r>
      <w:r w:rsidRPr="001102C1">
        <w:rPr>
          <w:lang w:val="fr-CA"/>
        </w:rPr>
        <w:t xml:space="preserve">, </w:t>
      </w:r>
      <w:r>
        <w:rPr>
          <w:lang w:val="fr-CA"/>
        </w:rPr>
        <w:t>par.</w:t>
      </w:r>
      <w:r w:rsidR="00795A39">
        <w:rPr>
          <w:lang w:val="fr-CA"/>
        </w:rPr>
        <w:t xml:space="preserve"> </w:t>
      </w:r>
      <w:r w:rsidRPr="001102C1">
        <w:rPr>
          <w:lang w:val="fr-CA"/>
        </w:rPr>
        <w:t>10).  Renvoyant à l</w:t>
      </w:r>
      <w:r>
        <w:rPr>
          <w:lang w:val="fr-CA"/>
        </w:rPr>
        <w:t>’</w:t>
      </w:r>
      <w:r w:rsidRPr="001102C1">
        <w:rPr>
          <w:lang w:val="fr-CA"/>
        </w:rPr>
        <w:t>arrêt</w:t>
      </w:r>
      <w:r w:rsidR="00795A39">
        <w:rPr>
          <w:i/>
          <w:lang w:val="fr-CA"/>
        </w:rPr>
        <w:t xml:space="preserve"> Canada (Sous-</w:t>
      </w:r>
      <w:r w:rsidRPr="001102C1">
        <w:rPr>
          <w:i/>
          <w:lang w:val="fr-CA"/>
        </w:rPr>
        <w:t>ministre du Revenu national) c. Mattel Canada Inc.</w:t>
      </w:r>
      <w:r w:rsidRPr="001102C1">
        <w:rPr>
          <w:lang w:val="fr-CA"/>
        </w:rPr>
        <w:t xml:space="preserve">, 2001 CSC 36, [2001] 2 R.C.S. 100, </w:t>
      </w:r>
      <w:proofErr w:type="spellStart"/>
      <w:r w:rsidRPr="001102C1">
        <w:rPr>
          <w:lang w:val="fr-CA"/>
        </w:rPr>
        <w:t>Celgene</w:t>
      </w:r>
      <w:proofErr w:type="spellEnd"/>
      <w:r w:rsidRPr="001102C1">
        <w:rPr>
          <w:lang w:val="fr-CA"/>
        </w:rPr>
        <w:t xml:space="preserve"> fait valoir que le terme </w:t>
      </w:r>
      <w:r>
        <w:rPr>
          <w:lang w:val="fr-CA"/>
        </w:rPr>
        <w:t>« </w:t>
      </w:r>
      <w:r w:rsidRPr="001102C1">
        <w:rPr>
          <w:lang w:val="fr-CA"/>
        </w:rPr>
        <w:t>vente</w:t>
      </w:r>
      <w:r>
        <w:rPr>
          <w:lang w:val="fr-CA"/>
        </w:rPr>
        <w:t> »</w:t>
      </w:r>
      <w:r w:rsidRPr="001102C1">
        <w:rPr>
          <w:lang w:val="fr-CA"/>
        </w:rPr>
        <w:t xml:space="preserve"> appartient au vocabulaire juridique et devrait a priori recevoir le sens qui lui est attribué en droit commercial privé.  À son avis, le sens ordinaire de </w:t>
      </w:r>
      <w:r>
        <w:rPr>
          <w:lang w:val="fr-CA"/>
        </w:rPr>
        <w:t>« </w:t>
      </w:r>
      <w:r w:rsidRPr="001102C1">
        <w:rPr>
          <w:lang w:val="fr-CA"/>
        </w:rPr>
        <w:t>vente [</w:t>
      </w:r>
      <w:r>
        <w:rPr>
          <w:lang w:val="fr-CA"/>
        </w:rPr>
        <w:t>. . .</w:t>
      </w:r>
      <w:r w:rsidRPr="001102C1">
        <w:rPr>
          <w:lang w:val="fr-CA"/>
        </w:rPr>
        <w:t xml:space="preserve">] sur </w:t>
      </w:r>
      <w:r>
        <w:rPr>
          <w:lang w:val="fr-CA"/>
        </w:rPr>
        <w:t>l</w:t>
      </w:r>
      <w:r w:rsidR="006332AF">
        <w:rPr>
          <w:lang w:val="fr-CA"/>
        </w:rPr>
        <w:t>[</w:t>
      </w:r>
      <w:r>
        <w:rPr>
          <w:lang w:val="fr-CA"/>
        </w:rPr>
        <w:t>e</w:t>
      </w:r>
      <w:r w:rsidR="006332AF">
        <w:rPr>
          <w:lang w:val="fr-CA"/>
        </w:rPr>
        <w:t>]</w:t>
      </w:r>
      <w:r w:rsidRPr="001102C1">
        <w:rPr>
          <w:lang w:val="fr-CA"/>
        </w:rPr>
        <w:t xml:space="preserve"> </w:t>
      </w:r>
      <w:proofErr w:type="spellStart"/>
      <w:r w:rsidRPr="001102C1">
        <w:rPr>
          <w:lang w:val="fr-CA"/>
        </w:rPr>
        <w:t>march</w:t>
      </w:r>
      <w:proofErr w:type="spellEnd"/>
      <w:r w:rsidR="006332AF">
        <w:rPr>
          <w:lang w:val="fr-CA"/>
        </w:rPr>
        <w:t>[</w:t>
      </w:r>
      <w:r w:rsidRPr="001102C1">
        <w:rPr>
          <w:lang w:val="fr-CA"/>
        </w:rPr>
        <w:t>é</w:t>
      </w:r>
      <w:r w:rsidR="006332AF">
        <w:rPr>
          <w:lang w:val="fr-CA"/>
        </w:rPr>
        <w:t>]</w:t>
      </w:r>
      <w:r w:rsidRPr="001102C1">
        <w:rPr>
          <w:lang w:val="fr-CA"/>
        </w:rPr>
        <w:t xml:space="preserve"> canadien</w:t>
      </w:r>
      <w:r>
        <w:rPr>
          <w:lang w:val="fr-CA"/>
        </w:rPr>
        <w:t> »</w:t>
      </w:r>
      <w:r w:rsidRPr="001102C1">
        <w:rPr>
          <w:lang w:val="fr-CA"/>
        </w:rPr>
        <w:t xml:space="preserve"> connote l</w:t>
      </w:r>
      <w:r>
        <w:rPr>
          <w:lang w:val="fr-CA"/>
        </w:rPr>
        <w:t>’</w:t>
      </w:r>
      <w:r w:rsidRPr="001102C1">
        <w:rPr>
          <w:lang w:val="fr-CA"/>
        </w:rPr>
        <w:t>existence d</w:t>
      </w:r>
      <w:r>
        <w:rPr>
          <w:lang w:val="fr-CA"/>
        </w:rPr>
        <w:t>’</w:t>
      </w:r>
      <w:r w:rsidRPr="001102C1">
        <w:rPr>
          <w:lang w:val="fr-CA"/>
        </w:rPr>
        <w:t>un contrat commercial de vente conclu au Canada.</w:t>
      </w:r>
    </w:p>
    <w:p w:rsidR="003514BF" w:rsidRPr="001102C1" w:rsidRDefault="003514BF" w:rsidP="000738B2">
      <w:pPr>
        <w:pStyle w:val="ReasonsNumbering-AltN"/>
        <w:rPr>
          <w:lang w:val="fr-CA"/>
        </w:rPr>
      </w:pPr>
      <w:r w:rsidRPr="001102C1">
        <w:rPr>
          <w:lang w:val="fr-CA"/>
        </w:rPr>
        <w:t>L</w:t>
      </w:r>
      <w:r>
        <w:rPr>
          <w:lang w:val="fr-CA"/>
        </w:rPr>
        <w:t>’</w:t>
      </w:r>
      <w:r w:rsidRPr="001102C1">
        <w:rPr>
          <w:lang w:val="fr-CA"/>
        </w:rPr>
        <w:t>arrêt</w:t>
      </w:r>
      <w:r w:rsidRPr="001102C1">
        <w:rPr>
          <w:i/>
          <w:lang w:val="fr-CA"/>
        </w:rPr>
        <w:t xml:space="preserve"> Mattel</w:t>
      </w:r>
      <w:r w:rsidRPr="001102C1">
        <w:rPr>
          <w:lang w:val="fr-CA"/>
        </w:rPr>
        <w:t xml:space="preserve"> est peu utile en l</w:t>
      </w:r>
      <w:r>
        <w:rPr>
          <w:lang w:val="fr-CA"/>
        </w:rPr>
        <w:t>’</w:t>
      </w:r>
      <w:r w:rsidRPr="001102C1">
        <w:rPr>
          <w:lang w:val="fr-CA"/>
        </w:rPr>
        <w:t>espèce.  Il portait sur l</w:t>
      </w:r>
      <w:r>
        <w:rPr>
          <w:lang w:val="fr-CA"/>
        </w:rPr>
        <w:t>’</w:t>
      </w:r>
      <w:r w:rsidRPr="001102C1">
        <w:rPr>
          <w:lang w:val="fr-CA"/>
        </w:rPr>
        <w:t>interprétation du sous</w:t>
      </w:r>
      <w:r w:rsidR="00795A39">
        <w:rPr>
          <w:lang w:val="fr-CA"/>
        </w:rPr>
        <w:t>-</w:t>
      </w:r>
      <w:r>
        <w:rPr>
          <w:lang w:val="fr-CA"/>
        </w:rPr>
        <w:t>al.</w:t>
      </w:r>
      <w:r w:rsidR="00795A39">
        <w:rPr>
          <w:lang w:val="fr-CA"/>
        </w:rPr>
        <w:t xml:space="preserve"> </w:t>
      </w:r>
      <w:r w:rsidRPr="001102C1">
        <w:rPr>
          <w:lang w:val="fr-CA"/>
        </w:rPr>
        <w:t>48(5)</w:t>
      </w:r>
      <w:r w:rsidRPr="001102C1">
        <w:rPr>
          <w:i/>
          <w:lang w:val="fr-CA"/>
        </w:rPr>
        <w:t>a</w:t>
      </w:r>
      <w:proofErr w:type="gramStart"/>
      <w:r w:rsidRPr="001102C1">
        <w:rPr>
          <w:lang w:val="fr-CA"/>
        </w:rPr>
        <w:t>)(</w:t>
      </w:r>
      <w:proofErr w:type="gramEnd"/>
      <w:r w:rsidRPr="001102C1">
        <w:rPr>
          <w:lang w:val="fr-CA"/>
        </w:rPr>
        <w:t xml:space="preserve">iv) de la </w:t>
      </w:r>
      <w:r w:rsidRPr="001102C1">
        <w:rPr>
          <w:i/>
          <w:lang w:val="fr-CA"/>
        </w:rPr>
        <w:t>Loi sur les douanes</w:t>
      </w:r>
      <w:r w:rsidRPr="001102C1">
        <w:rPr>
          <w:lang w:val="fr-CA"/>
        </w:rPr>
        <w:t xml:space="preserve">, L.R.C. 1985, </w:t>
      </w:r>
      <w:r>
        <w:rPr>
          <w:lang w:val="fr-CA"/>
        </w:rPr>
        <w:t>ch.</w:t>
      </w:r>
      <w:r w:rsidR="00795A39">
        <w:rPr>
          <w:lang w:val="fr-CA"/>
        </w:rPr>
        <w:t xml:space="preserve"> </w:t>
      </w:r>
      <w:r w:rsidRPr="001102C1">
        <w:rPr>
          <w:lang w:val="fr-CA"/>
        </w:rPr>
        <w:t>1 (2</w:t>
      </w:r>
      <w:r w:rsidRPr="001102C1">
        <w:rPr>
          <w:vertAlign w:val="superscript"/>
          <w:lang w:val="fr-CA"/>
        </w:rPr>
        <w:t>e</w:t>
      </w:r>
      <w:r w:rsidRPr="001102C1">
        <w:rPr>
          <w:lang w:val="fr-CA"/>
        </w:rPr>
        <w:t xml:space="preserve"> suppl.), une disposition prévoyant que les redevances versées dans le cadre d</w:t>
      </w:r>
      <w:r>
        <w:rPr>
          <w:lang w:val="fr-CA"/>
        </w:rPr>
        <w:t>’</w:t>
      </w:r>
      <w:r w:rsidRPr="001102C1">
        <w:rPr>
          <w:lang w:val="fr-CA"/>
        </w:rPr>
        <w:t xml:space="preserve">une opération commerciale intervenue entre deux parties </w:t>
      </w:r>
      <w:r w:rsidRPr="001102C1">
        <w:rPr>
          <w:i/>
          <w:lang w:val="fr-CA"/>
        </w:rPr>
        <w:t>privées</w:t>
      </w:r>
      <w:r w:rsidRPr="001102C1">
        <w:rPr>
          <w:lang w:val="fr-CA"/>
        </w:rPr>
        <w:t xml:space="preserve"> peuvent constituer une </w:t>
      </w:r>
      <w:r>
        <w:rPr>
          <w:lang w:val="fr-CA"/>
        </w:rPr>
        <w:t>« </w:t>
      </w:r>
      <w:r w:rsidRPr="001102C1">
        <w:rPr>
          <w:lang w:val="fr-CA"/>
        </w:rPr>
        <w:t>condition de la vente des marchandises pour exportation au Canada</w:t>
      </w:r>
      <w:r>
        <w:rPr>
          <w:lang w:val="fr-CA"/>
        </w:rPr>
        <w:t> »</w:t>
      </w:r>
      <w:r w:rsidRPr="001102C1">
        <w:rPr>
          <w:lang w:val="fr-CA"/>
        </w:rPr>
        <w:t xml:space="preserve">.  Le juge Major a conclu que, dans le contexte particulier de cette disposition — qui permet de calculer les droits de douane sur les articles importés au Canada —, le mot </w:t>
      </w:r>
      <w:r>
        <w:rPr>
          <w:lang w:val="fr-CA"/>
        </w:rPr>
        <w:t>« </w:t>
      </w:r>
      <w:r w:rsidRPr="001102C1">
        <w:rPr>
          <w:lang w:val="fr-CA"/>
        </w:rPr>
        <w:t>condition</w:t>
      </w:r>
      <w:r>
        <w:rPr>
          <w:lang w:val="fr-CA"/>
        </w:rPr>
        <w:t> »</w:t>
      </w:r>
      <w:r w:rsidRPr="001102C1">
        <w:rPr>
          <w:lang w:val="fr-CA"/>
        </w:rPr>
        <w:t xml:space="preserve"> utilisé </w:t>
      </w:r>
      <w:r w:rsidRPr="001102C1">
        <w:rPr>
          <w:lang w:val="fr-CA"/>
        </w:rPr>
        <w:lastRenderedPageBreak/>
        <w:t>dans l</w:t>
      </w:r>
      <w:r>
        <w:rPr>
          <w:lang w:val="fr-CA"/>
        </w:rPr>
        <w:t>’</w:t>
      </w:r>
      <w:r w:rsidRPr="001102C1">
        <w:rPr>
          <w:lang w:val="fr-CA"/>
        </w:rPr>
        <w:t xml:space="preserve">expression </w:t>
      </w:r>
      <w:r>
        <w:rPr>
          <w:lang w:val="fr-CA"/>
        </w:rPr>
        <w:t>« </w:t>
      </w:r>
      <w:r w:rsidRPr="001102C1">
        <w:rPr>
          <w:lang w:val="fr-CA"/>
        </w:rPr>
        <w:t>condition de la vente</w:t>
      </w:r>
      <w:r>
        <w:rPr>
          <w:lang w:val="fr-CA"/>
        </w:rPr>
        <w:t> »</w:t>
      </w:r>
      <w:r w:rsidRPr="001102C1">
        <w:rPr>
          <w:lang w:val="fr-CA"/>
        </w:rPr>
        <w:t xml:space="preserve"> possédait, dans le domaine du droit relatif à la vente de marchandises, un sens bien établi qui régissait l</w:t>
      </w:r>
      <w:r>
        <w:rPr>
          <w:lang w:val="fr-CA"/>
        </w:rPr>
        <w:t>’</w:t>
      </w:r>
      <w:r w:rsidRPr="001102C1">
        <w:rPr>
          <w:lang w:val="fr-CA"/>
        </w:rPr>
        <w:t>interprétation de cette transaction privée (</w:t>
      </w:r>
      <w:r w:rsidR="00E62746">
        <w:rPr>
          <w:lang w:val="fr-CA"/>
        </w:rPr>
        <w:t xml:space="preserve">voir </w:t>
      </w:r>
      <w:r>
        <w:rPr>
          <w:lang w:val="fr-CA"/>
        </w:rPr>
        <w:t>par. </w:t>
      </w:r>
      <w:r w:rsidR="00795A39">
        <w:rPr>
          <w:lang w:val="fr-CA"/>
        </w:rPr>
        <w:t>58-</w:t>
      </w:r>
      <w:r w:rsidRPr="001102C1">
        <w:rPr>
          <w:lang w:val="fr-CA"/>
        </w:rPr>
        <w:t>59).</w:t>
      </w:r>
    </w:p>
    <w:p w:rsidR="003514BF" w:rsidRPr="001102C1" w:rsidRDefault="003514BF" w:rsidP="000738B2">
      <w:pPr>
        <w:pStyle w:val="ReasonsNumbering-AltN"/>
        <w:rPr>
          <w:b/>
          <w:lang w:val="fr-CA"/>
        </w:rPr>
      </w:pPr>
      <w:r w:rsidRPr="001102C1">
        <w:rPr>
          <w:lang w:val="fr-CA"/>
        </w:rPr>
        <w:t>Je reconnais que, comme l</w:t>
      </w:r>
      <w:r>
        <w:rPr>
          <w:lang w:val="fr-CA"/>
        </w:rPr>
        <w:t>’</w:t>
      </w:r>
      <w:r w:rsidRPr="001102C1">
        <w:rPr>
          <w:lang w:val="fr-CA"/>
        </w:rPr>
        <w:t>illustre l</w:t>
      </w:r>
      <w:r>
        <w:rPr>
          <w:lang w:val="fr-CA"/>
        </w:rPr>
        <w:t>’</w:t>
      </w:r>
      <w:r w:rsidRPr="001102C1">
        <w:rPr>
          <w:lang w:val="fr-CA"/>
        </w:rPr>
        <w:t xml:space="preserve">arrêt </w:t>
      </w:r>
      <w:r w:rsidRPr="001102C1">
        <w:rPr>
          <w:i/>
          <w:lang w:val="fr-CA"/>
        </w:rPr>
        <w:t>Mattel</w:t>
      </w:r>
      <w:r w:rsidRPr="001102C1">
        <w:rPr>
          <w:lang w:val="fr-CA"/>
        </w:rPr>
        <w:t xml:space="preserve">, les mots tels que </w:t>
      </w:r>
      <w:r>
        <w:rPr>
          <w:lang w:val="fr-CA"/>
        </w:rPr>
        <w:t>« </w:t>
      </w:r>
      <w:r w:rsidRPr="001102C1">
        <w:rPr>
          <w:lang w:val="fr-CA"/>
        </w:rPr>
        <w:t>vente</w:t>
      </w:r>
      <w:r>
        <w:rPr>
          <w:lang w:val="fr-CA"/>
        </w:rPr>
        <w:t> »</w:t>
      </w:r>
      <w:r w:rsidRPr="001102C1">
        <w:rPr>
          <w:lang w:val="fr-CA"/>
        </w:rPr>
        <w:t xml:space="preserve"> peuvent fort bien avoir le sens qui leur est attribué en droit commercial dans certains contextes législatifs, y compris, par exemple, dans d</w:t>
      </w:r>
      <w:r>
        <w:rPr>
          <w:lang w:val="fr-CA"/>
        </w:rPr>
        <w:t>’</w:t>
      </w:r>
      <w:r w:rsidRPr="001102C1">
        <w:rPr>
          <w:lang w:val="fr-CA"/>
        </w:rPr>
        <w:t xml:space="preserve">autres parties de la </w:t>
      </w:r>
      <w:r w:rsidRPr="001102C1">
        <w:rPr>
          <w:i/>
          <w:lang w:val="fr-CA"/>
        </w:rPr>
        <w:t>Loi sur les brevets</w:t>
      </w:r>
      <w:r w:rsidRPr="001102C1">
        <w:rPr>
          <w:lang w:val="fr-CA"/>
        </w:rPr>
        <w:t xml:space="preserve"> (voir </w:t>
      </w:r>
      <w:r w:rsidRPr="001102C1">
        <w:rPr>
          <w:i/>
          <w:lang w:val="fr-CA"/>
        </w:rPr>
        <w:t xml:space="preserve">Dole </w:t>
      </w:r>
      <w:proofErr w:type="spellStart"/>
      <w:r w:rsidRPr="001102C1">
        <w:rPr>
          <w:i/>
          <w:lang w:val="fr-CA"/>
        </w:rPr>
        <w:t>Refrigerating</w:t>
      </w:r>
      <w:proofErr w:type="spellEnd"/>
      <w:r w:rsidRPr="001102C1">
        <w:rPr>
          <w:i/>
          <w:lang w:val="fr-CA"/>
        </w:rPr>
        <w:t xml:space="preserve"> </w:t>
      </w:r>
      <w:proofErr w:type="spellStart"/>
      <w:r w:rsidRPr="001102C1">
        <w:rPr>
          <w:i/>
          <w:lang w:val="fr-CA"/>
        </w:rPr>
        <w:t>Products</w:t>
      </w:r>
      <w:proofErr w:type="spellEnd"/>
      <w:r w:rsidRPr="001102C1">
        <w:rPr>
          <w:i/>
          <w:lang w:val="fr-CA"/>
        </w:rPr>
        <w:t xml:space="preserve"> Ltd. c. Canadian </w:t>
      </w:r>
      <w:proofErr w:type="spellStart"/>
      <w:r w:rsidRPr="001102C1">
        <w:rPr>
          <w:i/>
          <w:lang w:val="fr-CA"/>
        </w:rPr>
        <w:t>Ice</w:t>
      </w:r>
      <w:proofErr w:type="spellEnd"/>
      <w:r w:rsidRPr="001102C1">
        <w:rPr>
          <w:i/>
          <w:lang w:val="fr-CA"/>
        </w:rPr>
        <w:t xml:space="preserve"> Machine Co. </w:t>
      </w:r>
      <w:r w:rsidRPr="006332AF">
        <w:rPr>
          <w:lang w:val="fr-CA"/>
        </w:rPr>
        <w:t>(1957), 28(2) C.P.R. 32 (C.</w:t>
      </w:r>
      <w:r w:rsidR="006332AF" w:rsidRPr="006332AF">
        <w:rPr>
          <w:lang w:val="fr-CA"/>
        </w:rPr>
        <w:t xml:space="preserve"> de l’É.</w:t>
      </w:r>
      <w:r w:rsidRPr="006332AF">
        <w:rPr>
          <w:lang w:val="fr-CA"/>
        </w:rPr>
        <w:t xml:space="preserve">); </w:t>
      </w:r>
      <w:proofErr w:type="spellStart"/>
      <w:r w:rsidRPr="006332AF">
        <w:rPr>
          <w:i/>
          <w:lang w:val="fr-CA"/>
        </w:rPr>
        <w:t>Domco</w:t>
      </w:r>
      <w:proofErr w:type="spellEnd"/>
      <w:r w:rsidRPr="006332AF">
        <w:rPr>
          <w:i/>
          <w:lang w:val="fr-CA"/>
        </w:rPr>
        <w:t xml:space="preserve"> Industries Ltd. c. </w:t>
      </w:r>
      <w:proofErr w:type="spellStart"/>
      <w:r w:rsidRPr="006332AF">
        <w:rPr>
          <w:i/>
          <w:lang w:val="fr-CA"/>
        </w:rPr>
        <w:t>Mannington</w:t>
      </w:r>
      <w:proofErr w:type="spellEnd"/>
      <w:r w:rsidRPr="006332AF">
        <w:rPr>
          <w:i/>
          <w:lang w:val="fr-CA"/>
        </w:rPr>
        <w:t xml:space="preserve"> Mills</w:t>
      </w:r>
      <w:r w:rsidR="006332AF" w:rsidRPr="006332AF">
        <w:rPr>
          <w:i/>
          <w:lang w:val="fr-CA"/>
        </w:rPr>
        <w:t>,</w:t>
      </w:r>
      <w:r w:rsidRPr="006332AF">
        <w:rPr>
          <w:i/>
          <w:lang w:val="fr-CA"/>
        </w:rPr>
        <w:t xml:space="preserve"> Inc.</w:t>
      </w:r>
      <w:r w:rsidRPr="006332AF">
        <w:rPr>
          <w:lang w:val="fr-CA"/>
        </w:rPr>
        <w:t xml:space="preserve"> </w:t>
      </w:r>
      <w:r w:rsidRPr="001102C1">
        <w:rPr>
          <w:lang w:val="fr-CA"/>
        </w:rPr>
        <w:t xml:space="preserve">(1990), </w:t>
      </w:r>
      <w:smartTag w:uri="urn:schemas-microsoft-com:office:smarttags" w:element="metricconverter">
        <w:smartTagPr>
          <w:attr w:name="ProductID" w:val="29 C"/>
        </w:smartTagPr>
        <w:r w:rsidRPr="001102C1">
          <w:rPr>
            <w:lang w:val="fr-CA"/>
          </w:rPr>
          <w:t>29 C</w:t>
        </w:r>
      </w:smartTag>
      <w:r w:rsidRPr="001102C1">
        <w:rPr>
          <w:lang w:val="fr-CA"/>
        </w:rPr>
        <w:t>.P.R. (3d) 481 (C.A.F.), autorisat</w:t>
      </w:r>
      <w:r w:rsidR="006332AF">
        <w:rPr>
          <w:lang w:val="fr-CA"/>
        </w:rPr>
        <w:t>ion d’appel</w:t>
      </w:r>
      <w:r w:rsidRPr="001102C1">
        <w:rPr>
          <w:lang w:val="fr-CA"/>
        </w:rPr>
        <w:t xml:space="preserve"> refusée, [1990] 2 R.C.S. vi).</w:t>
      </w:r>
    </w:p>
    <w:p w:rsidR="003514BF" w:rsidRPr="001102C1" w:rsidRDefault="003514BF" w:rsidP="000738B2">
      <w:pPr>
        <w:pStyle w:val="ReasonsNumbering-AltN"/>
        <w:rPr>
          <w:lang w:val="fr-CA"/>
        </w:rPr>
      </w:pPr>
      <w:r w:rsidRPr="001102C1">
        <w:rPr>
          <w:lang w:val="fr-CA"/>
        </w:rPr>
        <w:t xml:space="preserve">Or, cela ne signifie pas que le Conseil a mal interprété les mots </w:t>
      </w:r>
      <w:r>
        <w:rPr>
          <w:lang w:val="fr-CA"/>
        </w:rPr>
        <w:t>« </w:t>
      </w:r>
      <w:r w:rsidRPr="001102C1">
        <w:rPr>
          <w:lang w:val="fr-CA"/>
        </w:rPr>
        <w:t>vente</w:t>
      </w:r>
      <w:r>
        <w:rPr>
          <w:lang w:val="fr-CA"/>
        </w:rPr>
        <w:t> »</w:t>
      </w:r>
      <w:r w:rsidRPr="001102C1">
        <w:rPr>
          <w:lang w:val="fr-CA"/>
        </w:rPr>
        <w:t xml:space="preserve">, </w:t>
      </w:r>
      <w:r>
        <w:rPr>
          <w:lang w:val="fr-CA"/>
        </w:rPr>
        <w:t>« </w:t>
      </w:r>
      <w:r w:rsidRPr="001102C1">
        <w:rPr>
          <w:lang w:val="fr-CA"/>
        </w:rPr>
        <w:t>vend</w:t>
      </w:r>
      <w:r>
        <w:rPr>
          <w:lang w:val="fr-CA"/>
        </w:rPr>
        <w:t> »</w:t>
      </w:r>
      <w:r w:rsidRPr="001102C1">
        <w:rPr>
          <w:lang w:val="fr-CA"/>
        </w:rPr>
        <w:t xml:space="preserve"> et </w:t>
      </w:r>
      <w:r>
        <w:rPr>
          <w:lang w:val="fr-CA"/>
        </w:rPr>
        <w:t>« </w:t>
      </w:r>
      <w:r w:rsidRPr="001102C1">
        <w:rPr>
          <w:lang w:val="fr-CA"/>
        </w:rPr>
        <w:t>vendu</w:t>
      </w:r>
      <w:r>
        <w:rPr>
          <w:lang w:val="fr-CA"/>
        </w:rPr>
        <w:t> »</w:t>
      </w:r>
      <w:r w:rsidRPr="001102C1">
        <w:rPr>
          <w:lang w:val="fr-CA"/>
        </w:rPr>
        <w:t xml:space="preserve"> à l</w:t>
      </w:r>
      <w:r w:rsidR="006332AF">
        <w:rPr>
          <w:lang w:val="fr-CA"/>
        </w:rPr>
        <w:t xml:space="preserve">’al. </w:t>
      </w:r>
      <w:r w:rsidRPr="001102C1">
        <w:rPr>
          <w:lang w:val="fr-CA"/>
        </w:rPr>
        <w:t>80(1)</w:t>
      </w:r>
      <w:r w:rsidRPr="001102C1">
        <w:rPr>
          <w:i/>
          <w:lang w:val="fr-CA"/>
        </w:rPr>
        <w:t>b</w:t>
      </w:r>
      <w:r w:rsidRPr="001102C1">
        <w:rPr>
          <w:lang w:val="fr-CA"/>
        </w:rPr>
        <w:t xml:space="preserve">), au </w:t>
      </w:r>
      <w:r>
        <w:rPr>
          <w:lang w:val="fr-CA"/>
        </w:rPr>
        <w:t>par.</w:t>
      </w:r>
      <w:r w:rsidR="006332AF">
        <w:rPr>
          <w:lang w:val="fr-CA"/>
        </w:rPr>
        <w:t xml:space="preserve"> </w:t>
      </w:r>
      <w:r w:rsidRPr="001102C1">
        <w:rPr>
          <w:lang w:val="fr-CA"/>
        </w:rPr>
        <w:t>83(1) et à l</w:t>
      </w:r>
      <w:r>
        <w:rPr>
          <w:lang w:val="fr-CA"/>
        </w:rPr>
        <w:t>’art.</w:t>
      </w:r>
      <w:r w:rsidR="006332AF">
        <w:rPr>
          <w:lang w:val="fr-CA"/>
        </w:rPr>
        <w:t xml:space="preserve"> </w:t>
      </w:r>
      <w:r w:rsidRPr="001102C1">
        <w:rPr>
          <w:lang w:val="fr-CA"/>
        </w:rPr>
        <w:t>85.  En rejetant la définition technique de droit commercial, le Conseil était guidé par les objectifs de protection du consommateur de son mandat.  Il a conclu que l</w:t>
      </w:r>
      <w:r>
        <w:rPr>
          <w:lang w:val="fr-CA"/>
        </w:rPr>
        <w:t>’</w:t>
      </w:r>
      <w:r w:rsidRPr="001102C1">
        <w:rPr>
          <w:lang w:val="fr-CA"/>
        </w:rPr>
        <w:t xml:space="preserve">interprétation proposée par </w:t>
      </w:r>
      <w:proofErr w:type="spellStart"/>
      <w:r w:rsidRPr="001102C1">
        <w:rPr>
          <w:lang w:val="fr-CA"/>
        </w:rPr>
        <w:t>Celgene</w:t>
      </w:r>
      <w:proofErr w:type="spellEnd"/>
      <w:r w:rsidRPr="001102C1">
        <w:rPr>
          <w:lang w:val="fr-CA"/>
        </w:rPr>
        <w:t xml:space="preserve"> était incompatible avec ces objectifs dans la mesure où elle ne lui reconnaissait pas la compétence pour protéger les acheteurs canadiens de </w:t>
      </w:r>
      <w:proofErr w:type="spellStart"/>
      <w:r w:rsidRPr="001102C1">
        <w:rPr>
          <w:lang w:val="fr-CA"/>
        </w:rPr>
        <w:t>Thalomid</w:t>
      </w:r>
      <w:proofErr w:type="spellEnd"/>
      <w:r w:rsidRPr="001102C1">
        <w:rPr>
          <w:lang w:val="fr-CA"/>
        </w:rPr>
        <w:t xml:space="preserve"> et d</w:t>
      </w:r>
      <w:r>
        <w:rPr>
          <w:lang w:val="fr-CA"/>
        </w:rPr>
        <w:t>’</w:t>
      </w:r>
      <w:r w:rsidRPr="001102C1">
        <w:rPr>
          <w:lang w:val="fr-CA"/>
        </w:rPr>
        <w:t>autres médicaments brevetés vendus à partir de l</w:t>
      </w:r>
      <w:r>
        <w:rPr>
          <w:lang w:val="fr-CA"/>
        </w:rPr>
        <w:t>’</w:t>
      </w:r>
      <w:r w:rsidRPr="001102C1">
        <w:rPr>
          <w:lang w:val="fr-CA"/>
        </w:rPr>
        <w:t>étranger dans le cadre du PAS.</w:t>
      </w:r>
    </w:p>
    <w:p w:rsidR="003514BF" w:rsidRPr="001102C1" w:rsidRDefault="003514BF" w:rsidP="000738B2">
      <w:pPr>
        <w:pStyle w:val="ReasonsNumbering-AltN"/>
        <w:rPr>
          <w:lang w:val="fr-CA"/>
        </w:rPr>
      </w:pPr>
      <w:r w:rsidRPr="001102C1">
        <w:rPr>
          <w:lang w:val="fr-CA"/>
        </w:rPr>
        <w:t>L</w:t>
      </w:r>
      <w:r>
        <w:rPr>
          <w:lang w:val="fr-CA"/>
        </w:rPr>
        <w:t>’</w:t>
      </w:r>
      <w:r w:rsidRPr="001102C1">
        <w:rPr>
          <w:lang w:val="fr-CA"/>
        </w:rPr>
        <w:t>interprétation choisie par le Conseil est étayée par l</w:t>
      </w:r>
      <w:r>
        <w:rPr>
          <w:lang w:val="fr-CA"/>
        </w:rPr>
        <w:t>’</w:t>
      </w:r>
      <w:r w:rsidRPr="001102C1">
        <w:rPr>
          <w:lang w:val="fr-CA"/>
        </w:rPr>
        <w:t>historique législatif.  Le Conseil a été constitué par des modifications introduites par le projet de loi C</w:t>
      </w:r>
      <w:r w:rsidR="006332AF">
        <w:rPr>
          <w:lang w:val="fr-CA"/>
        </w:rPr>
        <w:t>-</w:t>
      </w:r>
      <w:r w:rsidRPr="001102C1">
        <w:rPr>
          <w:lang w:val="fr-CA"/>
        </w:rPr>
        <w:t xml:space="preserve">22, </w:t>
      </w:r>
      <w:r w:rsidRPr="001102C1">
        <w:rPr>
          <w:i/>
          <w:lang w:val="fr-CA"/>
        </w:rPr>
        <w:t>Loi modifiant la Loi sur les brevets et prévoyant certaines dispositions connexes</w:t>
      </w:r>
      <w:r w:rsidRPr="001102C1">
        <w:rPr>
          <w:lang w:val="fr-CA"/>
        </w:rPr>
        <w:t>, qui a reçu la sanction royale le 19</w:t>
      </w:r>
      <w:r w:rsidR="00795A39">
        <w:rPr>
          <w:lang w:val="fr-CA"/>
        </w:rPr>
        <w:t xml:space="preserve"> </w:t>
      </w:r>
      <w:r w:rsidRPr="001102C1">
        <w:rPr>
          <w:lang w:val="fr-CA"/>
        </w:rPr>
        <w:t xml:space="preserve">novembre 1987 (L.C. 1987, </w:t>
      </w:r>
      <w:r>
        <w:rPr>
          <w:lang w:val="fr-CA"/>
        </w:rPr>
        <w:t>ch.</w:t>
      </w:r>
      <w:r w:rsidR="00795A39">
        <w:rPr>
          <w:lang w:val="fr-CA"/>
        </w:rPr>
        <w:t xml:space="preserve"> </w:t>
      </w:r>
      <w:r w:rsidRPr="001102C1">
        <w:rPr>
          <w:lang w:val="fr-CA"/>
        </w:rPr>
        <w:t xml:space="preserve">41).  </w:t>
      </w:r>
      <w:r w:rsidRPr="001102C1">
        <w:rPr>
          <w:lang w:val="fr-CA"/>
        </w:rPr>
        <w:lastRenderedPageBreak/>
        <w:t>Lors de la présentation du projet de loi en deuxième lecture, l</w:t>
      </w:r>
      <w:r>
        <w:rPr>
          <w:lang w:val="fr-CA"/>
        </w:rPr>
        <w:t>’</w:t>
      </w:r>
      <w:r w:rsidRPr="001102C1">
        <w:rPr>
          <w:lang w:val="fr-CA"/>
        </w:rPr>
        <w:t xml:space="preserve">hon. </w:t>
      </w:r>
      <w:proofErr w:type="spellStart"/>
      <w:r w:rsidRPr="001102C1">
        <w:rPr>
          <w:lang w:val="fr-CA"/>
        </w:rPr>
        <w:t>Harvie</w:t>
      </w:r>
      <w:proofErr w:type="spellEnd"/>
      <w:r w:rsidRPr="001102C1">
        <w:rPr>
          <w:lang w:val="fr-CA"/>
        </w:rPr>
        <w:t xml:space="preserve"> </w:t>
      </w:r>
      <w:proofErr w:type="spellStart"/>
      <w:r w:rsidRPr="001102C1">
        <w:rPr>
          <w:lang w:val="fr-CA"/>
        </w:rPr>
        <w:t>Andre</w:t>
      </w:r>
      <w:proofErr w:type="spellEnd"/>
      <w:r w:rsidRPr="001102C1">
        <w:rPr>
          <w:lang w:val="fr-CA"/>
        </w:rPr>
        <w:t xml:space="preserve"> a fait les observations pertinentes suivantes relativement aux objectifs du Conseil</w:t>
      </w:r>
      <w:r>
        <w:rPr>
          <w:lang w:val="fr-CA"/>
        </w:rPr>
        <w:t> :</w:t>
      </w:r>
    </w:p>
    <w:p w:rsidR="003514BF" w:rsidRPr="000738B2" w:rsidRDefault="003514BF" w:rsidP="003B13CB">
      <w:pPr>
        <w:pStyle w:val="Citation1"/>
        <w:spacing w:after="480"/>
        <w:contextualSpacing w:val="0"/>
        <w:rPr>
          <w:lang w:val="fr-CA"/>
        </w:rPr>
      </w:pPr>
      <w:r w:rsidRPr="000738B2">
        <w:rPr>
          <w:lang w:val="fr-CA"/>
        </w:rPr>
        <w:tab/>
        <w:t xml:space="preserve">Fondamentalement, les modifications que je </w:t>
      </w:r>
      <w:r w:rsidR="00CA0201">
        <w:rPr>
          <w:lang w:val="fr-CA"/>
        </w:rPr>
        <w:t>propose dans le projet de loi C-</w:t>
      </w:r>
      <w:r w:rsidRPr="000738B2">
        <w:rPr>
          <w:lang w:val="fr-CA"/>
        </w:rPr>
        <w:t xml:space="preserve">22 créeront un climat favorable à de nouveaux investissements dans le domaine de la recherche et du développement, en protégeant pendant une période donnée les entreprises pharmaceutiques qui détiennent des brevets au Canada.  </w:t>
      </w:r>
      <w:r w:rsidRPr="000738B2">
        <w:rPr>
          <w:u w:val="single"/>
          <w:lang w:val="fr-CA"/>
        </w:rPr>
        <w:t>Ces modifications permettront également de protéger les consommateurs en créant un conseil d’examen du prix des médicaments chargé de surveiller les prix</w:t>
      </w:r>
      <w:r w:rsidRPr="00E62746">
        <w:rPr>
          <w:lang w:val="fr-CA"/>
        </w:rPr>
        <w:t>.</w:t>
      </w:r>
      <w:r w:rsidR="00E62746">
        <w:rPr>
          <w:lang w:val="fr-CA"/>
        </w:rPr>
        <w:t> . .</w:t>
      </w:r>
    </w:p>
    <w:p w:rsidR="003514BF" w:rsidRPr="000738B2" w:rsidRDefault="003514BF" w:rsidP="003B13CB">
      <w:pPr>
        <w:pStyle w:val="Citation1"/>
        <w:spacing w:after="480"/>
        <w:contextualSpacing w:val="0"/>
        <w:jc w:val="center"/>
        <w:rPr>
          <w:lang w:val="fr-CA"/>
        </w:rPr>
      </w:pPr>
      <w:r w:rsidRPr="000738B2">
        <w:rPr>
          <w:lang w:val="fr-CA"/>
        </w:rPr>
        <w:t>. . .</w:t>
      </w:r>
    </w:p>
    <w:p w:rsidR="003514BF" w:rsidRPr="000738B2" w:rsidRDefault="003514BF" w:rsidP="003B13CB">
      <w:pPr>
        <w:pStyle w:val="Citation1"/>
        <w:spacing w:after="480"/>
        <w:contextualSpacing w:val="0"/>
        <w:rPr>
          <w:lang w:val="fr-CA"/>
        </w:rPr>
      </w:pPr>
      <w:r w:rsidRPr="000738B2">
        <w:rPr>
          <w:lang w:val="fr-CA"/>
        </w:rPr>
        <w:tab/>
        <w:t xml:space="preserve">À mon humble avis, si l’on examine objectivement notre proposition, on verra que </w:t>
      </w:r>
      <w:r w:rsidRPr="000738B2">
        <w:rPr>
          <w:u w:val="single"/>
          <w:lang w:val="fr-CA"/>
        </w:rPr>
        <w:t>nous avons mis sur pied un énorme mécanisme de poids et contrepoids pour nous assurer que le prix à la consommation des médicaments demeurera raisonnable</w:t>
      </w:r>
      <w:r w:rsidRPr="000738B2">
        <w:rPr>
          <w:lang w:val="fr-CA"/>
        </w:rPr>
        <w:t>.  On verra que la mesure proposée aura des résultats en matière de recherche et de développement et aussi de création d’emplois.</w:t>
      </w:r>
    </w:p>
    <w:p w:rsidR="003514BF" w:rsidRPr="000738B2" w:rsidRDefault="003514BF" w:rsidP="003B13CB">
      <w:pPr>
        <w:pStyle w:val="Citation1"/>
        <w:spacing w:after="480"/>
        <w:contextualSpacing w:val="0"/>
        <w:jc w:val="center"/>
        <w:rPr>
          <w:lang w:val="fr-CA"/>
        </w:rPr>
      </w:pPr>
      <w:r w:rsidRPr="000738B2">
        <w:rPr>
          <w:lang w:val="fr-CA"/>
        </w:rPr>
        <w:t>. . .</w:t>
      </w:r>
    </w:p>
    <w:p w:rsidR="003514BF" w:rsidRDefault="003514BF" w:rsidP="003B13CB">
      <w:pPr>
        <w:pStyle w:val="Citation1"/>
        <w:rPr>
          <w:lang w:val="fr-CA"/>
        </w:rPr>
      </w:pPr>
      <w:r w:rsidRPr="000738B2">
        <w:rPr>
          <w:i/>
          <w:lang w:val="fr-CA"/>
        </w:rPr>
        <w:tab/>
      </w:r>
      <w:r w:rsidRPr="000738B2">
        <w:rPr>
          <w:u w:val="single"/>
          <w:lang w:val="fr-CA"/>
        </w:rPr>
        <w:t>Cette mesure législative entraînera des coûts minimes qui ne se répercuteront pas sur le consommateur</w:t>
      </w:r>
      <w:r w:rsidRPr="006332AF">
        <w:rPr>
          <w:u w:val="single"/>
          <w:lang w:val="fr-CA"/>
        </w:rPr>
        <w:t>.</w:t>
      </w:r>
      <w:r w:rsidRPr="000738B2">
        <w:rPr>
          <w:lang w:val="fr-CA"/>
        </w:rPr>
        <w:t xml:space="preserve">  [Je souligne.] </w:t>
      </w:r>
    </w:p>
    <w:p w:rsidR="006332AF" w:rsidRPr="000738B2" w:rsidRDefault="006332AF" w:rsidP="003B13CB">
      <w:pPr>
        <w:pStyle w:val="Citation1"/>
        <w:rPr>
          <w:lang w:val="fr-CA"/>
        </w:rPr>
      </w:pPr>
    </w:p>
    <w:p w:rsidR="003514BF" w:rsidRPr="000738B2" w:rsidRDefault="003514BF" w:rsidP="003B13CB">
      <w:pPr>
        <w:pStyle w:val="Citation1"/>
        <w:contextualSpacing w:val="0"/>
        <w:rPr>
          <w:lang w:val="fr-CA"/>
        </w:rPr>
      </w:pPr>
      <w:r w:rsidRPr="000738B2">
        <w:rPr>
          <w:lang w:val="fr-CA"/>
        </w:rPr>
        <w:t>(</w:t>
      </w:r>
      <w:r w:rsidRPr="000738B2">
        <w:rPr>
          <w:i/>
          <w:lang w:val="fr-CA"/>
        </w:rPr>
        <w:t>Débats de la Chambre des communes</w:t>
      </w:r>
      <w:r w:rsidR="00795A39">
        <w:rPr>
          <w:lang w:val="fr-CA"/>
        </w:rPr>
        <w:t xml:space="preserve">, vol. </w:t>
      </w:r>
      <w:r w:rsidRPr="000738B2">
        <w:rPr>
          <w:lang w:val="fr-CA"/>
        </w:rPr>
        <w:t>I, 2</w:t>
      </w:r>
      <w:r w:rsidRPr="000738B2">
        <w:rPr>
          <w:vertAlign w:val="superscript"/>
          <w:lang w:val="fr-CA"/>
        </w:rPr>
        <w:t>e</w:t>
      </w:r>
      <w:r w:rsidRPr="000738B2">
        <w:rPr>
          <w:lang w:val="fr-CA"/>
        </w:rPr>
        <w:t xml:space="preserve"> </w:t>
      </w:r>
      <w:proofErr w:type="spellStart"/>
      <w:proofErr w:type="gramStart"/>
      <w:r w:rsidRPr="000738B2">
        <w:rPr>
          <w:lang w:val="fr-CA"/>
        </w:rPr>
        <w:t>sess</w:t>
      </w:r>
      <w:proofErr w:type="spellEnd"/>
      <w:r w:rsidRPr="000738B2">
        <w:rPr>
          <w:lang w:val="fr-CA"/>
        </w:rPr>
        <w:t>.,</w:t>
      </w:r>
      <w:proofErr w:type="gramEnd"/>
      <w:r w:rsidRPr="000738B2">
        <w:rPr>
          <w:lang w:val="fr-CA"/>
        </w:rPr>
        <w:t xml:space="preserve"> 33</w:t>
      </w:r>
      <w:r w:rsidRPr="000738B2">
        <w:rPr>
          <w:vertAlign w:val="superscript"/>
          <w:lang w:val="fr-CA"/>
        </w:rPr>
        <w:t>e</w:t>
      </w:r>
      <w:r w:rsidRPr="000738B2">
        <w:rPr>
          <w:lang w:val="fr-CA"/>
        </w:rPr>
        <w:t xml:space="preserve"> </w:t>
      </w:r>
      <w:proofErr w:type="spellStart"/>
      <w:r w:rsidRPr="000738B2">
        <w:rPr>
          <w:lang w:val="fr-CA"/>
        </w:rPr>
        <w:t>lég</w:t>
      </w:r>
      <w:proofErr w:type="spellEnd"/>
      <w:r w:rsidRPr="000738B2">
        <w:rPr>
          <w:lang w:val="fr-CA"/>
        </w:rPr>
        <w:t>., 20 novembre 1986,</w:t>
      </w:r>
      <w:r w:rsidRPr="000738B2">
        <w:rPr>
          <w:i/>
          <w:lang w:val="fr-CA"/>
        </w:rPr>
        <w:t xml:space="preserve"> </w:t>
      </w:r>
      <w:r w:rsidR="00795A39">
        <w:rPr>
          <w:lang w:val="fr-CA"/>
        </w:rPr>
        <w:t xml:space="preserve">p. </w:t>
      </w:r>
      <w:r w:rsidRPr="000738B2">
        <w:rPr>
          <w:lang w:val="fr-CA"/>
        </w:rPr>
        <w:t>1369</w:t>
      </w:r>
      <w:r w:rsidR="00E62746">
        <w:rPr>
          <w:lang w:val="fr-CA"/>
        </w:rPr>
        <w:t xml:space="preserve"> et</w:t>
      </w:r>
      <w:r w:rsidR="006332AF">
        <w:rPr>
          <w:lang w:val="fr-CA"/>
        </w:rPr>
        <w:t xml:space="preserve"> 1373-</w:t>
      </w:r>
      <w:r w:rsidRPr="000738B2">
        <w:rPr>
          <w:lang w:val="fr-CA"/>
        </w:rPr>
        <w:t>1374)</w:t>
      </w:r>
    </w:p>
    <w:p w:rsidR="003514BF" w:rsidRPr="001102C1" w:rsidRDefault="003514BF" w:rsidP="000738B2">
      <w:pPr>
        <w:pStyle w:val="ReasonsNumbering-AltN"/>
        <w:rPr>
          <w:lang w:val="fr-CA"/>
        </w:rPr>
      </w:pPr>
      <w:r w:rsidRPr="001102C1">
        <w:rPr>
          <w:lang w:val="fr-CA"/>
        </w:rPr>
        <w:t xml:space="preserve">Lorsque la </w:t>
      </w:r>
      <w:r w:rsidRPr="001102C1">
        <w:rPr>
          <w:i/>
          <w:lang w:val="fr-CA"/>
        </w:rPr>
        <w:t>Loi sur les brevets</w:t>
      </w:r>
      <w:r w:rsidRPr="001102C1">
        <w:rPr>
          <w:lang w:val="fr-CA"/>
        </w:rPr>
        <w:t xml:space="preserve"> a été modifiée de nouveau en 1993 (</w:t>
      </w:r>
      <w:r w:rsidRPr="001102C1">
        <w:rPr>
          <w:i/>
          <w:lang w:val="fr-CA"/>
        </w:rPr>
        <w:t>Loi de 1992 modifiant la Loi sur les brevets</w:t>
      </w:r>
      <w:r w:rsidRPr="001102C1">
        <w:rPr>
          <w:lang w:val="fr-CA"/>
        </w:rPr>
        <w:t xml:space="preserve">, L.C. 1993, </w:t>
      </w:r>
      <w:r>
        <w:rPr>
          <w:lang w:val="fr-CA"/>
        </w:rPr>
        <w:t>ch.</w:t>
      </w:r>
      <w:r w:rsidR="00795A39">
        <w:rPr>
          <w:lang w:val="fr-CA"/>
        </w:rPr>
        <w:t xml:space="preserve"> </w:t>
      </w:r>
      <w:r w:rsidRPr="001102C1">
        <w:rPr>
          <w:lang w:val="fr-CA"/>
        </w:rPr>
        <w:t>2), le ministre de la Consommation et des Affaires c</w:t>
      </w:r>
      <w:r>
        <w:rPr>
          <w:lang w:val="fr-CA"/>
        </w:rPr>
        <w:t>ommerciales</w:t>
      </w:r>
      <w:r w:rsidR="006332AF">
        <w:rPr>
          <w:lang w:val="fr-CA"/>
        </w:rPr>
        <w:t xml:space="preserve"> et ministre d’État (Agriculture)</w:t>
      </w:r>
      <w:r>
        <w:rPr>
          <w:lang w:val="fr-CA"/>
        </w:rPr>
        <w:t xml:space="preserve"> de l’époque, l’hon. </w:t>
      </w:r>
      <w:r w:rsidRPr="001102C1">
        <w:rPr>
          <w:lang w:val="fr-CA"/>
        </w:rPr>
        <w:t xml:space="preserve">Pierre Blais, a réitéré </w:t>
      </w:r>
      <w:r>
        <w:rPr>
          <w:lang w:val="fr-CA"/>
        </w:rPr>
        <w:t xml:space="preserve">en ces termes </w:t>
      </w:r>
      <w:r w:rsidRPr="001102C1">
        <w:rPr>
          <w:lang w:val="fr-CA"/>
        </w:rPr>
        <w:t>le mandat de protection du consommateur conféré au Conseil</w:t>
      </w:r>
      <w:r>
        <w:rPr>
          <w:lang w:val="fr-CA"/>
        </w:rPr>
        <w:t> :</w:t>
      </w:r>
    </w:p>
    <w:p w:rsidR="003514BF" w:rsidRPr="000738B2" w:rsidRDefault="003514BF" w:rsidP="003B13CB">
      <w:pPr>
        <w:pStyle w:val="Citation1"/>
        <w:spacing w:after="480"/>
        <w:contextualSpacing w:val="0"/>
        <w:rPr>
          <w:lang w:val="fr-CA"/>
        </w:rPr>
      </w:pPr>
      <w:r w:rsidRPr="000738B2">
        <w:rPr>
          <w:lang w:val="fr-CA"/>
        </w:rPr>
        <w:lastRenderedPageBreak/>
        <w:tab/>
      </w:r>
      <w:r w:rsidR="00795A39">
        <w:rPr>
          <w:lang w:val="fr-CA"/>
        </w:rPr>
        <w:t>En proposant le projet de loi C-</w:t>
      </w:r>
      <w:r w:rsidRPr="000738B2">
        <w:rPr>
          <w:lang w:val="fr-CA"/>
        </w:rPr>
        <w:t>91, nous avons voulu également renforcer la protection qui est offerte a</w:t>
      </w:r>
      <w:r w:rsidR="00CA0201">
        <w:rPr>
          <w:lang w:val="fr-CA"/>
        </w:rPr>
        <w:t>ux consommateurs, afin que ceux-</w:t>
      </w:r>
      <w:r w:rsidRPr="000738B2">
        <w:rPr>
          <w:lang w:val="fr-CA"/>
        </w:rPr>
        <w:t>ci puissent continuer de se procurer des médicaments brevetés, qui soient à des prix raisonnables.  Et je pense que les Canadiens y ont tous droit.</w:t>
      </w:r>
    </w:p>
    <w:p w:rsidR="003514BF" w:rsidRPr="000738B2" w:rsidRDefault="006332AF" w:rsidP="003B13CB">
      <w:pPr>
        <w:pStyle w:val="Citation1"/>
        <w:spacing w:after="480"/>
        <w:contextualSpacing w:val="0"/>
        <w:jc w:val="center"/>
        <w:rPr>
          <w:lang w:val="fr-CA"/>
        </w:rPr>
      </w:pPr>
      <w:r>
        <w:rPr>
          <w:lang w:val="fr-CA"/>
        </w:rPr>
        <w:t>. . .</w:t>
      </w:r>
    </w:p>
    <w:p w:rsidR="003514BF" w:rsidRPr="000738B2" w:rsidRDefault="003514BF" w:rsidP="003B13CB">
      <w:pPr>
        <w:pStyle w:val="Citation1"/>
        <w:spacing w:after="480"/>
        <w:contextualSpacing w:val="0"/>
        <w:rPr>
          <w:lang w:val="fr-CA"/>
        </w:rPr>
      </w:pPr>
      <w:r w:rsidRPr="000738B2">
        <w:rPr>
          <w:lang w:val="fr-CA"/>
        </w:rPr>
        <w:tab/>
        <w:t>. . . Le conseil pourra ainsi garantir à l’ensemble des consommateurs canadiens un contrôle encore plus efficace des prix.  Ces nouveaux pouvoirs autoriseront le conseil à ordonner une réduction des prix qu’il juge trop élevés.</w:t>
      </w:r>
      <w:r w:rsidR="00E62746">
        <w:rPr>
          <w:lang w:val="fr-CA"/>
        </w:rPr>
        <w:t> . .</w:t>
      </w:r>
    </w:p>
    <w:p w:rsidR="003514BF" w:rsidRPr="000738B2" w:rsidRDefault="003514BF" w:rsidP="003B13CB">
      <w:pPr>
        <w:pStyle w:val="Citation1"/>
        <w:spacing w:after="480"/>
        <w:contextualSpacing w:val="0"/>
        <w:rPr>
          <w:lang w:val="fr-CA"/>
        </w:rPr>
      </w:pPr>
      <w:r w:rsidRPr="000738B2">
        <w:rPr>
          <w:lang w:val="fr-CA"/>
        </w:rPr>
        <w:tab/>
        <w:t>. . .  Je suis persuadé que ces nouvelles dispositions assureront aux consommateurs canadiens des prix raisonnables, comme ceux dont ils bénéficient depuis 1987.</w:t>
      </w:r>
    </w:p>
    <w:p w:rsidR="003514BF" w:rsidRPr="000738B2" w:rsidRDefault="003514BF" w:rsidP="003B13CB">
      <w:pPr>
        <w:pStyle w:val="Citation1"/>
        <w:contextualSpacing w:val="0"/>
        <w:rPr>
          <w:lang w:val="fr-CA"/>
        </w:rPr>
      </w:pPr>
      <w:r w:rsidRPr="000738B2">
        <w:rPr>
          <w:lang w:val="fr-CA"/>
        </w:rPr>
        <w:t>(</w:t>
      </w:r>
      <w:r w:rsidRPr="000738B2">
        <w:rPr>
          <w:i/>
          <w:lang w:val="fr-CA"/>
        </w:rPr>
        <w:t>Débats de la Chambre des communes</w:t>
      </w:r>
      <w:r w:rsidRPr="000738B2">
        <w:rPr>
          <w:lang w:val="fr-CA"/>
        </w:rPr>
        <w:t>, vol.</w:t>
      </w:r>
      <w:r w:rsidR="00795A39">
        <w:rPr>
          <w:lang w:val="fr-CA"/>
        </w:rPr>
        <w:t xml:space="preserve"> </w:t>
      </w:r>
      <w:r w:rsidRPr="000738B2">
        <w:rPr>
          <w:lang w:val="fr-CA"/>
        </w:rPr>
        <w:t>XII, 3</w:t>
      </w:r>
      <w:r w:rsidRPr="000738B2">
        <w:rPr>
          <w:vertAlign w:val="superscript"/>
          <w:lang w:val="fr-CA"/>
        </w:rPr>
        <w:t>e</w:t>
      </w:r>
      <w:r w:rsidR="00795A39">
        <w:rPr>
          <w:vertAlign w:val="superscript"/>
          <w:lang w:val="fr-CA"/>
        </w:rPr>
        <w:t xml:space="preserve"> </w:t>
      </w:r>
      <w:proofErr w:type="spellStart"/>
      <w:proofErr w:type="gramStart"/>
      <w:r w:rsidRPr="000738B2">
        <w:rPr>
          <w:lang w:val="fr-CA"/>
        </w:rPr>
        <w:t>sess</w:t>
      </w:r>
      <w:proofErr w:type="spellEnd"/>
      <w:r w:rsidRPr="000738B2">
        <w:rPr>
          <w:lang w:val="fr-CA"/>
        </w:rPr>
        <w:t>.,</w:t>
      </w:r>
      <w:proofErr w:type="gramEnd"/>
      <w:r w:rsidRPr="000738B2">
        <w:rPr>
          <w:lang w:val="fr-CA"/>
        </w:rPr>
        <w:t xml:space="preserve"> 34</w:t>
      </w:r>
      <w:r w:rsidRPr="000738B2">
        <w:rPr>
          <w:vertAlign w:val="superscript"/>
          <w:lang w:val="fr-CA"/>
        </w:rPr>
        <w:t>e</w:t>
      </w:r>
      <w:r w:rsidR="00795A39">
        <w:rPr>
          <w:vertAlign w:val="superscript"/>
          <w:lang w:val="fr-CA"/>
        </w:rPr>
        <w:t xml:space="preserve"> </w:t>
      </w:r>
      <w:proofErr w:type="spellStart"/>
      <w:r w:rsidRPr="000738B2">
        <w:rPr>
          <w:lang w:val="fr-CA"/>
        </w:rPr>
        <w:t>lég</w:t>
      </w:r>
      <w:proofErr w:type="spellEnd"/>
      <w:r w:rsidRPr="000738B2">
        <w:rPr>
          <w:lang w:val="fr-CA"/>
        </w:rPr>
        <w:t>., 10</w:t>
      </w:r>
      <w:r w:rsidR="00795A39">
        <w:rPr>
          <w:lang w:val="fr-CA"/>
        </w:rPr>
        <w:t xml:space="preserve"> </w:t>
      </w:r>
      <w:r w:rsidRPr="000738B2">
        <w:rPr>
          <w:lang w:val="fr-CA"/>
        </w:rPr>
        <w:t>décembre 1992, p.</w:t>
      </w:r>
      <w:r w:rsidR="00795A39">
        <w:rPr>
          <w:lang w:val="fr-CA"/>
        </w:rPr>
        <w:t xml:space="preserve"> </w:t>
      </w:r>
      <w:r w:rsidRPr="000738B2">
        <w:rPr>
          <w:lang w:val="fr-CA"/>
        </w:rPr>
        <w:t>14998 et 15001)</w:t>
      </w:r>
    </w:p>
    <w:p w:rsidR="003514BF" w:rsidRPr="001102C1" w:rsidRDefault="003514BF" w:rsidP="000738B2">
      <w:pPr>
        <w:pStyle w:val="ReasonsNumbering-AltN"/>
        <w:rPr>
          <w:lang w:val="fr-CA"/>
        </w:rPr>
      </w:pPr>
      <w:r w:rsidRPr="001102C1">
        <w:rPr>
          <w:lang w:val="fr-CA"/>
        </w:rPr>
        <w:t>L</w:t>
      </w:r>
      <w:r>
        <w:rPr>
          <w:lang w:val="fr-CA"/>
        </w:rPr>
        <w:t>’</w:t>
      </w:r>
      <w:r w:rsidRPr="001102C1">
        <w:rPr>
          <w:lang w:val="fr-CA"/>
        </w:rPr>
        <w:t xml:space="preserve">objectif du Conseil en matière de protection des consommateurs a été confirmé dans </w:t>
      </w:r>
      <w:r w:rsidRPr="001102C1">
        <w:rPr>
          <w:i/>
          <w:iCs/>
          <w:lang w:val="fr-CA"/>
        </w:rPr>
        <w:t>ICN Pharmaceuticals</w:t>
      </w:r>
      <w:r w:rsidR="006332AF">
        <w:rPr>
          <w:i/>
          <w:iCs/>
          <w:lang w:val="fr-CA"/>
        </w:rPr>
        <w:t>,</w:t>
      </w:r>
      <w:r w:rsidRPr="001102C1">
        <w:rPr>
          <w:i/>
          <w:iCs/>
          <w:lang w:val="fr-CA"/>
        </w:rPr>
        <w:t xml:space="preserve"> Inc. c. </w:t>
      </w:r>
      <w:r w:rsidR="006332AF">
        <w:rPr>
          <w:i/>
          <w:iCs/>
          <w:lang w:val="fr-CA"/>
        </w:rPr>
        <w:t xml:space="preserve">Canada (Personnel du </w:t>
      </w:r>
      <w:r w:rsidRPr="001102C1">
        <w:rPr>
          <w:i/>
          <w:iCs/>
          <w:lang w:val="fr-CA"/>
        </w:rPr>
        <w:t>Conseil d</w:t>
      </w:r>
      <w:r>
        <w:rPr>
          <w:i/>
          <w:iCs/>
          <w:lang w:val="fr-CA"/>
        </w:rPr>
        <w:t>’</w:t>
      </w:r>
      <w:r w:rsidRPr="001102C1">
        <w:rPr>
          <w:i/>
          <w:iCs/>
          <w:lang w:val="fr-CA"/>
        </w:rPr>
        <w:t>examen du prix des médicaments brevetés</w:t>
      </w:r>
      <w:r w:rsidR="006332AF">
        <w:rPr>
          <w:i/>
          <w:iCs/>
          <w:lang w:val="fr-CA"/>
        </w:rPr>
        <w:t>)</w:t>
      </w:r>
      <w:r w:rsidR="006332AF">
        <w:rPr>
          <w:iCs/>
          <w:lang w:val="fr-CA"/>
        </w:rPr>
        <w:t>,</w:t>
      </w:r>
      <w:r w:rsidRPr="001102C1">
        <w:rPr>
          <w:lang w:val="fr-CA"/>
        </w:rPr>
        <w:t xml:space="preserve"> [1996] </w:t>
      </w:r>
      <w:r w:rsidR="006332AF">
        <w:rPr>
          <w:lang w:val="fr-CA"/>
        </w:rPr>
        <w:t>A.</w:t>
      </w:r>
      <w:r w:rsidRPr="001102C1">
        <w:rPr>
          <w:lang w:val="fr-CA"/>
        </w:rPr>
        <w:t>C.F. n</w:t>
      </w:r>
      <w:r w:rsidRPr="001102C1">
        <w:rPr>
          <w:vertAlign w:val="superscript"/>
          <w:lang w:val="fr-CA"/>
        </w:rPr>
        <w:t>o</w:t>
      </w:r>
      <w:r w:rsidR="00795A39">
        <w:rPr>
          <w:lang w:val="fr-CA"/>
        </w:rPr>
        <w:t xml:space="preserve"> </w:t>
      </w:r>
      <w:r w:rsidRPr="001102C1">
        <w:rPr>
          <w:lang w:val="fr-CA"/>
        </w:rPr>
        <w:t>206 (QL) (C.F. 1</w:t>
      </w:r>
      <w:r w:rsidRPr="001102C1">
        <w:rPr>
          <w:vertAlign w:val="superscript"/>
          <w:lang w:val="fr-CA"/>
        </w:rPr>
        <w:t>re</w:t>
      </w:r>
      <w:r w:rsidRPr="001102C1">
        <w:rPr>
          <w:lang w:val="fr-CA"/>
        </w:rPr>
        <w:t xml:space="preserve"> </w:t>
      </w:r>
      <w:proofErr w:type="spellStart"/>
      <w:r w:rsidRPr="001102C1">
        <w:rPr>
          <w:lang w:val="fr-CA"/>
        </w:rPr>
        <w:t>inst</w:t>
      </w:r>
      <w:proofErr w:type="spellEnd"/>
      <w:r w:rsidRPr="001102C1">
        <w:rPr>
          <w:lang w:val="fr-CA"/>
        </w:rPr>
        <w:t xml:space="preserve">.), </w:t>
      </w:r>
      <w:proofErr w:type="spellStart"/>
      <w:r w:rsidRPr="001102C1">
        <w:rPr>
          <w:lang w:val="fr-CA"/>
        </w:rPr>
        <w:t>conf</w:t>
      </w:r>
      <w:proofErr w:type="spellEnd"/>
      <w:r w:rsidRPr="001102C1">
        <w:rPr>
          <w:lang w:val="fr-CA"/>
        </w:rPr>
        <w:t>. par [1997] 1 C.F. 32 (C.A.), où le juge Cullen a dit ceci</w:t>
      </w:r>
      <w:r>
        <w:rPr>
          <w:lang w:val="fr-CA"/>
        </w:rPr>
        <w:t> :</w:t>
      </w:r>
    </w:p>
    <w:p w:rsidR="003514BF" w:rsidRPr="006332AF" w:rsidRDefault="00795A39" w:rsidP="003B13CB">
      <w:pPr>
        <w:pStyle w:val="Citation1"/>
        <w:rPr>
          <w:lang w:val="fr-CA"/>
        </w:rPr>
      </w:pPr>
      <w:r>
        <w:rPr>
          <w:lang w:val="fr-CA"/>
        </w:rPr>
        <w:tab/>
      </w:r>
      <w:r w:rsidR="003514BF" w:rsidRPr="000738B2">
        <w:rPr>
          <w:lang w:val="fr-CA"/>
        </w:rPr>
        <w:t>Les articles</w:t>
      </w:r>
      <w:r>
        <w:rPr>
          <w:lang w:val="fr-CA"/>
        </w:rPr>
        <w:t xml:space="preserve"> </w:t>
      </w:r>
      <w:r w:rsidR="003514BF" w:rsidRPr="000738B2">
        <w:rPr>
          <w:lang w:val="fr-CA"/>
        </w:rPr>
        <w:t xml:space="preserve">79 à 103 de la </w:t>
      </w:r>
      <w:r w:rsidR="003514BF" w:rsidRPr="000738B2">
        <w:rPr>
          <w:i/>
          <w:lang w:val="fr-CA"/>
        </w:rPr>
        <w:t>Loi sur les brevets</w:t>
      </w:r>
      <w:r w:rsidR="003514BF" w:rsidRPr="000738B2">
        <w:rPr>
          <w:lang w:val="fr-CA"/>
        </w:rPr>
        <w:t xml:space="preserve">, qui prévoient la constitution du Conseil d’examen du prix des médicaments brevetés, ont été adoptés en réponse à l’abolition du régime de délivrance de licences obligatoires.  </w:t>
      </w:r>
      <w:r w:rsidR="003514BF" w:rsidRPr="000738B2">
        <w:rPr>
          <w:u w:val="single"/>
          <w:lang w:val="fr-CA"/>
        </w:rPr>
        <w:t>Le législateur avait certainement l’intention de pallier le « préjudice » découlant du fait que le monopole accordé au breveté en matière de produits pharmaceutiques durant la période d’exclusivité pouvait entraîner une hausse des prix à des niveaux inacceptables.</w:t>
      </w:r>
      <w:r w:rsidR="003514BF" w:rsidRPr="000738B2">
        <w:rPr>
          <w:lang w:val="fr-CA"/>
        </w:rPr>
        <w:t xml:space="preserve">  Par conséquent, les termes employés dans ces dispositions de la </w:t>
      </w:r>
      <w:r w:rsidR="003514BF" w:rsidRPr="000738B2">
        <w:rPr>
          <w:i/>
          <w:lang w:val="fr-CA"/>
        </w:rPr>
        <w:t>Loi sur les brevets</w:t>
      </w:r>
      <w:r w:rsidR="003514BF" w:rsidRPr="000738B2">
        <w:rPr>
          <w:lang w:val="fr-CA"/>
        </w:rPr>
        <w:t xml:space="preserve"> doivent recevoir une interprétation fondée sur l’objet </w:t>
      </w:r>
      <w:proofErr w:type="gramStart"/>
      <w:r w:rsidR="003514BF" w:rsidRPr="000738B2">
        <w:rPr>
          <w:lang w:val="fr-CA"/>
        </w:rPr>
        <w:t>visé</w:t>
      </w:r>
      <w:r w:rsidR="006332AF">
        <w:rPr>
          <w:lang w:val="fr-CA"/>
        </w:rPr>
        <w:t> </w:t>
      </w:r>
      <w:r w:rsidR="003514BF" w:rsidRPr="000738B2">
        <w:rPr>
          <w:lang w:val="fr-CA"/>
        </w:rPr>
        <w:t>.</w:t>
      </w:r>
      <w:proofErr w:type="gramEnd"/>
      <w:r w:rsidR="003514BF" w:rsidRPr="000738B2">
        <w:rPr>
          <w:lang w:val="fr-CA"/>
        </w:rPr>
        <w:t xml:space="preserve"> . . </w:t>
      </w:r>
      <w:r w:rsidR="003514BF" w:rsidRPr="006332AF">
        <w:rPr>
          <w:lang w:val="fr-CA"/>
        </w:rPr>
        <w:t>[Je souligne; par.</w:t>
      </w:r>
      <w:r>
        <w:rPr>
          <w:lang w:val="fr-CA"/>
        </w:rPr>
        <w:t xml:space="preserve"> </w:t>
      </w:r>
      <w:r w:rsidR="003514BF" w:rsidRPr="006332AF">
        <w:rPr>
          <w:lang w:val="fr-CA"/>
        </w:rPr>
        <w:t>24.]</w:t>
      </w:r>
    </w:p>
    <w:p w:rsidR="003514BF" w:rsidRPr="001102C1" w:rsidRDefault="003514BF" w:rsidP="000738B2">
      <w:pPr>
        <w:pStyle w:val="ReasonsNumbering-AltN"/>
        <w:rPr>
          <w:lang w:val="fr-CA"/>
        </w:rPr>
      </w:pPr>
      <w:r w:rsidRPr="001102C1">
        <w:rPr>
          <w:lang w:val="fr-CA" w:bidi="en-US"/>
        </w:rPr>
        <w:lastRenderedPageBreak/>
        <w:t>C</w:t>
      </w:r>
      <w:r>
        <w:rPr>
          <w:lang w:val="fr-CA" w:bidi="en-US"/>
        </w:rPr>
        <w:t>’</w:t>
      </w:r>
      <w:r w:rsidRPr="001102C1">
        <w:rPr>
          <w:lang w:val="fr-CA" w:bidi="en-US"/>
        </w:rPr>
        <w:t>est ainsi que le Conseil a exercé son mandat</w:t>
      </w:r>
      <w:r>
        <w:rPr>
          <w:lang w:val="fr-CA" w:bidi="en-US"/>
        </w:rPr>
        <w:t>, c’est</w:t>
      </w:r>
      <w:r w:rsidR="00795A39">
        <w:rPr>
          <w:lang w:val="fr-CA" w:bidi="en-US"/>
        </w:rPr>
        <w:t>-</w:t>
      </w:r>
      <w:r w:rsidRPr="001102C1">
        <w:rPr>
          <w:lang w:val="fr-CA" w:bidi="en-US"/>
        </w:rPr>
        <w:t>à</w:t>
      </w:r>
      <w:r w:rsidR="00795A39">
        <w:rPr>
          <w:lang w:val="fr-CA" w:bidi="en-US"/>
        </w:rPr>
        <w:t>-</w:t>
      </w:r>
      <w:r w:rsidRPr="001102C1">
        <w:rPr>
          <w:lang w:val="fr-CA" w:bidi="en-US"/>
        </w:rPr>
        <w:t xml:space="preserve">dire en accordant une importance </w:t>
      </w:r>
      <w:r w:rsidRPr="001102C1">
        <w:rPr>
          <w:lang w:val="fr-CA"/>
        </w:rPr>
        <w:t>prépondérante</w:t>
      </w:r>
      <w:r w:rsidRPr="001102C1">
        <w:rPr>
          <w:lang w:val="fr-CA" w:bidi="en-US"/>
        </w:rPr>
        <w:t xml:space="preserve"> à sa responsabilité qui consiste à veiller à ce que le breveté n</w:t>
      </w:r>
      <w:r>
        <w:rPr>
          <w:lang w:val="fr-CA" w:bidi="en-US"/>
        </w:rPr>
        <w:t>’</w:t>
      </w:r>
      <w:r w:rsidRPr="001102C1">
        <w:rPr>
          <w:lang w:val="fr-CA" w:bidi="en-US"/>
        </w:rPr>
        <w:t>abuse pas financièrement du monopole découlant de la délivrance d</w:t>
      </w:r>
      <w:r>
        <w:rPr>
          <w:lang w:val="fr-CA" w:bidi="en-US"/>
        </w:rPr>
        <w:t>’</w:t>
      </w:r>
      <w:r w:rsidRPr="001102C1">
        <w:rPr>
          <w:lang w:val="fr-CA" w:bidi="en-US"/>
        </w:rPr>
        <w:t>un brevet, au détriment des patients canadiens et de leurs assureurs</w:t>
      </w:r>
      <w:r>
        <w:rPr>
          <w:lang w:val="fr-CA" w:bidi="en-US"/>
        </w:rPr>
        <w:t> :</w:t>
      </w:r>
    </w:p>
    <w:p w:rsidR="003514BF" w:rsidRPr="001102C1" w:rsidRDefault="003514BF" w:rsidP="002E42DB">
      <w:pPr>
        <w:pStyle w:val="Citation1"/>
      </w:pPr>
      <w:r w:rsidRPr="000738B2">
        <w:rPr>
          <w:i/>
          <w:lang w:val="fr-CA"/>
        </w:rPr>
        <w:tab/>
      </w:r>
      <w:r w:rsidRPr="000738B2">
        <w:rPr>
          <w:u w:val="single"/>
          <w:lang w:val="fr-CA"/>
        </w:rPr>
        <w:t>Le Conseil est investi du mandat de protéger les intérêts des acheteurs dans une situation où le titulaire d’un brevet lié à un médicament pourrait exercer un monopole</w:t>
      </w:r>
      <w:r w:rsidRPr="006332AF">
        <w:rPr>
          <w:u w:val="single"/>
          <w:lang w:val="fr-CA"/>
        </w:rPr>
        <w:t>.</w:t>
      </w:r>
      <w:r w:rsidRPr="000738B2">
        <w:rPr>
          <w:lang w:val="fr-CA"/>
        </w:rPr>
        <w:t xml:space="preserve">  Le titulaire d’un brevet canadien lié à un médicament vendu au Canada est assujetti à la compétence du Conseil, en vertu de laquelle il doit faire rapport au Conseil de l’information concernant le prix auquel il a vendu son médicament breveté sur un marché au Canada.  Le Conseil compare ce prix aux prix des médicaments de comparaison ainsi qu’aux prix auxquels le médicament est vendu dans les pays de comparaison afin de déterminer si le prix du médicament sous examen est ou non excessif.  En consultation avec ses intervenants, à savoir l’industrie, les gouvernements et les consommateurs, le Conseil a formulé des lignes directrices </w:t>
      </w:r>
      <w:r w:rsidRPr="000738B2">
        <w:rPr>
          <w:u w:val="single"/>
          <w:lang w:val="fr-CA"/>
        </w:rPr>
        <w:t xml:space="preserve">que suivent les brevetés et les membres du personnel du Conseil afin que les prix au Canada des médicaments brevetés ne soient pas </w:t>
      </w:r>
      <w:proofErr w:type="gramStart"/>
      <w:r w:rsidRPr="000738B2">
        <w:rPr>
          <w:u w:val="single"/>
          <w:lang w:val="fr-CA"/>
        </w:rPr>
        <w:t>excessifs</w:t>
      </w:r>
      <w:r w:rsidR="00E62746">
        <w:rPr>
          <w:lang w:val="fr-CA"/>
        </w:rPr>
        <w:t> </w:t>
      </w:r>
      <w:r w:rsidRPr="000738B2">
        <w:rPr>
          <w:lang w:val="fr-CA"/>
        </w:rPr>
        <w:t>.</w:t>
      </w:r>
      <w:proofErr w:type="gramEnd"/>
      <w:r w:rsidR="00E62746">
        <w:rPr>
          <w:lang w:val="fr-CA"/>
        </w:rPr>
        <w:t> . .</w:t>
      </w:r>
      <w:r w:rsidRPr="000738B2">
        <w:rPr>
          <w:lang w:val="fr-CA"/>
        </w:rPr>
        <w:t xml:space="preserve"> </w:t>
      </w:r>
      <w:r w:rsidRPr="001102C1">
        <w:t xml:space="preserve">[Je </w:t>
      </w:r>
      <w:proofErr w:type="spellStart"/>
      <w:r w:rsidRPr="001102C1">
        <w:t>souligne</w:t>
      </w:r>
      <w:proofErr w:type="spellEnd"/>
      <w:r w:rsidRPr="001102C1">
        <w:t xml:space="preserve">; </w:t>
      </w:r>
      <w:r>
        <w:t>par.</w:t>
      </w:r>
      <w:r w:rsidR="00795A39">
        <w:t xml:space="preserve"> </w:t>
      </w:r>
      <w:r w:rsidRPr="001102C1">
        <w:t>5.]</w:t>
      </w:r>
    </w:p>
    <w:p w:rsidR="003514BF" w:rsidRPr="00007F2B" w:rsidRDefault="003514BF" w:rsidP="000738B2">
      <w:pPr>
        <w:pStyle w:val="ReasonsNumbering-AltN"/>
        <w:rPr>
          <w:lang w:val="fr-CA"/>
        </w:rPr>
      </w:pPr>
      <w:r w:rsidRPr="001102C1">
        <w:rPr>
          <w:lang w:val="fr-CA"/>
        </w:rPr>
        <w:t>Le Conseil a donc conclu que pour respecter ce mandat, il fallait, pour l</w:t>
      </w:r>
      <w:r>
        <w:rPr>
          <w:lang w:val="fr-CA"/>
        </w:rPr>
        <w:t>’</w:t>
      </w:r>
      <w:r w:rsidRPr="001102C1">
        <w:rPr>
          <w:lang w:val="fr-CA"/>
        </w:rPr>
        <w:t xml:space="preserve">application des dispositions pertinentes, considérer que les ventes </w:t>
      </w:r>
      <w:r>
        <w:rPr>
          <w:lang w:val="fr-CA"/>
        </w:rPr>
        <w:t>« sur l</w:t>
      </w:r>
      <w:r w:rsidR="00E62746">
        <w:rPr>
          <w:lang w:val="fr-CA"/>
        </w:rPr>
        <w:t>[</w:t>
      </w:r>
      <w:r>
        <w:rPr>
          <w:lang w:val="fr-CA"/>
        </w:rPr>
        <w:t>e</w:t>
      </w:r>
      <w:r w:rsidR="00E62746">
        <w:rPr>
          <w:lang w:val="fr-CA"/>
        </w:rPr>
        <w:t>]</w:t>
      </w:r>
      <w:r w:rsidRPr="001102C1">
        <w:rPr>
          <w:lang w:val="fr-CA"/>
        </w:rPr>
        <w:t xml:space="preserve"> march</w:t>
      </w:r>
      <w:r w:rsidR="00E62746">
        <w:rPr>
          <w:lang w:val="fr-CA"/>
        </w:rPr>
        <w:t>[</w:t>
      </w:r>
      <w:r w:rsidRPr="001102C1">
        <w:rPr>
          <w:lang w:val="fr-CA"/>
        </w:rPr>
        <w:t>é</w:t>
      </w:r>
      <w:r w:rsidR="00E62746">
        <w:rPr>
          <w:lang w:val="fr-CA"/>
        </w:rPr>
        <w:t>]</w:t>
      </w:r>
      <w:r w:rsidRPr="001102C1">
        <w:rPr>
          <w:lang w:val="fr-CA"/>
        </w:rPr>
        <w:t xml:space="preserve"> canadien</w:t>
      </w:r>
      <w:r>
        <w:rPr>
          <w:lang w:val="fr-CA"/>
        </w:rPr>
        <w:t> »</w:t>
      </w:r>
      <w:r w:rsidRPr="001102C1">
        <w:rPr>
          <w:lang w:val="fr-CA"/>
        </w:rPr>
        <w:t xml:space="preserve"> ou </w:t>
      </w:r>
      <w:r>
        <w:rPr>
          <w:lang w:val="fr-CA"/>
        </w:rPr>
        <w:t>« </w:t>
      </w:r>
      <w:r w:rsidRPr="001102C1">
        <w:rPr>
          <w:lang w:val="fr-CA"/>
        </w:rPr>
        <w:t>sur un marché canadien</w:t>
      </w:r>
      <w:r>
        <w:rPr>
          <w:lang w:val="fr-CA"/>
        </w:rPr>
        <w:t> »</w:t>
      </w:r>
      <w:r w:rsidRPr="001102C1">
        <w:rPr>
          <w:lang w:val="fr-CA"/>
        </w:rPr>
        <w:t xml:space="preserve"> </w:t>
      </w:r>
      <w:r>
        <w:rPr>
          <w:lang w:val="fr-CA"/>
        </w:rPr>
        <w:t>« </w:t>
      </w:r>
      <w:r w:rsidRPr="001102C1">
        <w:rPr>
          <w:lang w:val="fr-CA"/>
        </w:rPr>
        <w:t>couvrent</w:t>
      </w:r>
      <w:r w:rsidRPr="001102C1">
        <w:rPr>
          <w:b/>
          <w:lang w:val="fr-CA"/>
        </w:rPr>
        <w:t xml:space="preserve"> </w:t>
      </w:r>
      <w:r w:rsidRPr="001102C1">
        <w:rPr>
          <w:lang w:val="fr-CA"/>
        </w:rPr>
        <w:t>les ventes des médicaments régis par le droit public au Canada, qui sont livrés au Canada, qui sont administrés au Canada ainsi que les prix lorsque le coût du médicament est à la charge des Canadiens — qu</w:t>
      </w:r>
      <w:r>
        <w:rPr>
          <w:lang w:val="fr-CA"/>
        </w:rPr>
        <w:t>’</w:t>
      </w:r>
      <w:r w:rsidRPr="001102C1">
        <w:rPr>
          <w:lang w:val="fr-CA"/>
        </w:rPr>
        <w:t>il s</w:t>
      </w:r>
      <w:r>
        <w:rPr>
          <w:lang w:val="fr-CA"/>
        </w:rPr>
        <w:t>’</w:t>
      </w:r>
      <w:r w:rsidRPr="001102C1">
        <w:rPr>
          <w:lang w:val="fr-CA"/>
        </w:rPr>
        <w:t>agisse de patients ou de contribuables</w:t>
      </w:r>
      <w:r>
        <w:rPr>
          <w:lang w:val="fr-CA"/>
        </w:rPr>
        <w:t> »</w:t>
      </w:r>
      <w:r w:rsidRPr="001102C1">
        <w:rPr>
          <w:lang w:val="fr-CA"/>
        </w:rPr>
        <w:t xml:space="preserve"> (</w:t>
      </w:r>
      <w:r>
        <w:rPr>
          <w:lang w:val="fr-CA"/>
        </w:rPr>
        <w:t>par.</w:t>
      </w:r>
      <w:r w:rsidR="00795A39">
        <w:rPr>
          <w:lang w:val="fr-CA"/>
        </w:rPr>
        <w:t xml:space="preserve"> </w:t>
      </w:r>
      <w:r w:rsidRPr="001102C1">
        <w:rPr>
          <w:lang w:val="fr-CA"/>
        </w:rPr>
        <w:t xml:space="preserve">34).  Les ventes de </w:t>
      </w:r>
      <w:proofErr w:type="spellStart"/>
      <w:r w:rsidRPr="001102C1">
        <w:rPr>
          <w:lang w:val="fr-CA"/>
        </w:rPr>
        <w:t>Thalomid</w:t>
      </w:r>
      <w:proofErr w:type="spellEnd"/>
      <w:r w:rsidRPr="001102C1">
        <w:rPr>
          <w:lang w:val="fr-CA"/>
        </w:rPr>
        <w:t xml:space="preserve"> aux Canadiens effectuées par </w:t>
      </w:r>
      <w:proofErr w:type="spellStart"/>
      <w:r w:rsidRPr="001102C1">
        <w:rPr>
          <w:lang w:val="fr-CA"/>
        </w:rPr>
        <w:t>Celgene</w:t>
      </w:r>
      <w:proofErr w:type="spellEnd"/>
      <w:r w:rsidRPr="001102C1">
        <w:rPr>
          <w:lang w:val="fr-CA"/>
        </w:rPr>
        <w:t xml:space="preserve"> dans le cadre du PAS remplissent toutes ces conditions.</w:t>
      </w:r>
    </w:p>
    <w:p w:rsidR="003514BF" w:rsidRPr="001102C1" w:rsidRDefault="003514BF" w:rsidP="000738B2">
      <w:pPr>
        <w:pStyle w:val="ReasonsNumbering-AltN"/>
        <w:rPr>
          <w:lang w:val="fr-CA"/>
        </w:rPr>
      </w:pPr>
      <w:r w:rsidRPr="001102C1">
        <w:rPr>
          <w:lang w:val="fr-CA"/>
        </w:rPr>
        <w:lastRenderedPageBreak/>
        <w:t>Le Conseil est également arrivé à la conclusion, à laquelle je souscris,  qu</w:t>
      </w:r>
      <w:r>
        <w:rPr>
          <w:lang w:val="fr-CA"/>
        </w:rPr>
        <w:t>’</w:t>
      </w:r>
      <w:r w:rsidRPr="001102C1">
        <w:rPr>
          <w:lang w:val="fr-CA"/>
        </w:rPr>
        <w:t xml:space="preserve">une interprétation stricte, fondée sur le droit commercial, du mot </w:t>
      </w:r>
      <w:r>
        <w:rPr>
          <w:lang w:val="fr-CA"/>
        </w:rPr>
        <w:t>« </w:t>
      </w:r>
      <w:r w:rsidRPr="001102C1">
        <w:rPr>
          <w:lang w:val="fr-CA"/>
        </w:rPr>
        <w:t>vente</w:t>
      </w:r>
      <w:r>
        <w:rPr>
          <w:lang w:val="fr-CA"/>
        </w:rPr>
        <w:t> »</w:t>
      </w:r>
      <w:r w:rsidRPr="001102C1">
        <w:rPr>
          <w:lang w:val="fr-CA"/>
        </w:rPr>
        <w:t xml:space="preserve"> figurant à l</w:t>
      </w:r>
      <w:r>
        <w:rPr>
          <w:lang w:val="fr-CA"/>
        </w:rPr>
        <w:t>’al.</w:t>
      </w:r>
      <w:r w:rsidR="00795A39">
        <w:rPr>
          <w:lang w:val="fr-CA"/>
        </w:rPr>
        <w:t xml:space="preserve"> </w:t>
      </w:r>
      <w:r w:rsidRPr="001102C1">
        <w:rPr>
          <w:lang w:val="fr-CA"/>
        </w:rPr>
        <w:t>80(1)</w:t>
      </w:r>
      <w:r w:rsidRPr="001102C1">
        <w:rPr>
          <w:i/>
          <w:lang w:val="fr-CA"/>
        </w:rPr>
        <w:t>b</w:t>
      </w:r>
      <w:r w:rsidRPr="001102C1">
        <w:rPr>
          <w:lang w:val="fr-CA"/>
        </w:rPr>
        <w:t>) lui donnerait compétence à l</w:t>
      </w:r>
      <w:r>
        <w:rPr>
          <w:lang w:val="fr-CA"/>
        </w:rPr>
        <w:t>’</w:t>
      </w:r>
      <w:r w:rsidRPr="001102C1">
        <w:rPr>
          <w:lang w:val="fr-CA"/>
        </w:rPr>
        <w:t>égard de ventes qui, bien que techniquement réalisées au Canada, sont destinées à d</w:t>
      </w:r>
      <w:r>
        <w:rPr>
          <w:lang w:val="fr-CA"/>
        </w:rPr>
        <w:t>’</w:t>
      </w:r>
      <w:r w:rsidRPr="001102C1">
        <w:rPr>
          <w:lang w:val="fr-CA"/>
        </w:rPr>
        <w:t>autres pays.  Un tel résultat serait incompatible avec l</w:t>
      </w:r>
      <w:r>
        <w:rPr>
          <w:lang w:val="fr-CA"/>
        </w:rPr>
        <w:t>’</w:t>
      </w:r>
      <w:r w:rsidRPr="001102C1">
        <w:rPr>
          <w:lang w:val="fr-CA"/>
        </w:rPr>
        <w:t xml:space="preserve">objectif de la loi, à savoir la réglementation du prix des médicaments brevetés vendus sur le marché </w:t>
      </w:r>
      <w:r w:rsidRPr="001102C1">
        <w:rPr>
          <w:i/>
          <w:lang w:val="fr-CA"/>
        </w:rPr>
        <w:t>canadien</w:t>
      </w:r>
      <w:r w:rsidRPr="001102C1">
        <w:rPr>
          <w:lang w:val="fr-CA"/>
        </w:rPr>
        <w:t>, non pas sur le marché étranger</w:t>
      </w:r>
      <w:r>
        <w:rPr>
          <w:lang w:val="fr-CA"/>
        </w:rPr>
        <w:t> :</w:t>
      </w:r>
    </w:p>
    <w:p w:rsidR="003514BF" w:rsidRPr="001102C1" w:rsidRDefault="003514BF" w:rsidP="00286A4E">
      <w:pPr>
        <w:pStyle w:val="Citation1"/>
      </w:pPr>
      <w:r w:rsidRPr="000738B2">
        <w:rPr>
          <w:lang w:val="fr-CA"/>
        </w:rPr>
        <w:t xml:space="preserve">. . . la Loi n’a pas conféré au Conseil le mandat de protéger les intérêts des acheteurs européens de médicaments brevetés, sans égard au lieu où la vente a été effectuée au sens qu’en donne le Common Law.  Dans le Common Law, le lieu où la vente a été effectuée ne crée pas une compétence pour le Conseil même si le lieu de vente est le Canada et, inversement, il ne prive pas non plus le Conseil de sa compétence lorsque le lieu de vente se trouve à l’extérieur du Canada. </w:t>
      </w:r>
      <w:r w:rsidRPr="001102C1">
        <w:t>[</w:t>
      </w:r>
      <w:r>
        <w:t>par.</w:t>
      </w:r>
      <w:r w:rsidR="00795A39">
        <w:t xml:space="preserve"> </w:t>
      </w:r>
      <w:r w:rsidRPr="001102C1">
        <w:t>36]</w:t>
      </w:r>
    </w:p>
    <w:p w:rsidR="003514BF" w:rsidRPr="00804A31" w:rsidRDefault="003514BF" w:rsidP="000738B2">
      <w:pPr>
        <w:pStyle w:val="ReasonsNumbering-AltN"/>
        <w:rPr>
          <w:lang w:val="fr-CA"/>
        </w:rPr>
      </w:pPr>
      <w:r w:rsidRPr="001102C1">
        <w:rPr>
          <w:lang w:val="fr-CA"/>
        </w:rPr>
        <w:t>Par conséquent, je suis d</w:t>
      </w:r>
      <w:r>
        <w:rPr>
          <w:lang w:val="fr-CA"/>
        </w:rPr>
        <w:t>’</w:t>
      </w:r>
      <w:r w:rsidRPr="001102C1">
        <w:rPr>
          <w:lang w:val="fr-CA"/>
        </w:rPr>
        <w:t>avis que le contexte législatif, ainsi que l</w:t>
      </w:r>
      <w:r>
        <w:rPr>
          <w:lang w:val="fr-CA"/>
        </w:rPr>
        <w:t>’</w:t>
      </w:r>
      <w:r w:rsidRPr="001102C1">
        <w:rPr>
          <w:lang w:val="fr-CA"/>
        </w:rPr>
        <w:t>objectif de protection du consommateur de l</w:t>
      </w:r>
      <w:r w:rsidR="00795A39">
        <w:rPr>
          <w:lang w:val="fr-CA"/>
        </w:rPr>
        <w:t xml:space="preserve">’al. </w:t>
      </w:r>
      <w:r w:rsidRPr="001102C1">
        <w:rPr>
          <w:lang w:val="fr-CA"/>
        </w:rPr>
        <w:t>80(1)</w:t>
      </w:r>
      <w:r w:rsidRPr="001102C1">
        <w:rPr>
          <w:i/>
          <w:lang w:val="fr-CA"/>
        </w:rPr>
        <w:t>b</w:t>
      </w:r>
      <w:r w:rsidRPr="001102C1">
        <w:rPr>
          <w:lang w:val="fr-CA"/>
        </w:rPr>
        <w:t xml:space="preserve">), du </w:t>
      </w:r>
      <w:r>
        <w:rPr>
          <w:lang w:val="fr-CA"/>
        </w:rPr>
        <w:t>par.</w:t>
      </w:r>
      <w:r w:rsidR="00795A39">
        <w:rPr>
          <w:lang w:val="fr-CA"/>
        </w:rPr>
        <w:t xml:space="preserve"> </w:t>
      </w:r>
      <w:r w:rsidRPr="001102C1">
        <w:rPr>
          <w:lang w:val="fr-CA"/>
        </w:rPr>
        <w:t>83(1) et de l</w:t>
      </w:r>
      <w:r>
        <w:rPr>
          <w:lang w:val="fr-CA"/>
        </w:rPr>
        <w:t>’art.</w:t>
      </w:r>
      <w:r w:rsidR="00795A39">
        <w:rPr>
          <w:lang w:val="fr-CA"/>
        </w:rPr>
        <w:t xml:space="preserve"> </w:t>
      </w:r>
      <w:r w:rsidRPr="001102C1">
        <w:rPr>
          <w:lang w:val="fr-CA"/>
        </w:rPr>
        <w:t xml:space="preserve">85 de la </w:t>
      </w:r>
      <w:r w:rsidRPr="001102C1">
        <w:rPr>
          <w:i/>
          <w:lang w:val="fr-CA"/>
        </w:rPr>
        <w:t>Loi sur les brevets</w:t>
      </w:r>
      <w:r w:rsidRPr="001102C1">
        <w:rPr>
          <w:lang w:val="fr-CA"/>
        </w:rPr>
        <w:t xml:space="preserve"> étayent la conclusion du Conseil selon laquelle, d</w:t>
      </w:r>
      <w:r>
        <w:rPr>
          <w:lang w:val="fr-CA"/>
        </w:rPr>
        <w:t>’</w:t>
      </w:r>
      <w:r w:rsidRPr="001102C1">
        <w:rPr>
          <w:lang w:val="fr-CA"/>
        </w:rPr>
        <w:t xml:space="preserve">après le libellé de ces dispositions, il a compétence sur les ventes de </w:t>
      </w:r>
      <w:proofErr w:type="spellStart"/>
      <w:r w:rsidRPr="001102C1">
        <w:rPr>
          <w:lang w:val="fr-CA"/>
        </w:rPr>
        <w:t>Thalomid</w:t>
      </w:r>
      <w:proofErr w:type="spellEnd"/>
      <w:r w:rsidRPr="001102C1">
        <w:rPr>
          <w:lang w:val="fr-CA"/>
        </w:rPr>
        <w:t xml:space="preserve"> par </w:t>
      </w:r>
      <w:proofErr w:type="spellStart"/>
      <w:r w:rsidRPr="001102C1">
        <w:rPr>
          <w:lang w:val="fr-CA"/>
        </w:rPr>
        <w:t>Celgene</w:t>
      </w:r>
      <w:proofErr w:type="spellEnd"/>
      <w:r w:rsidRPr="001102C1">
        <w:rPr>
          <w:lang w:val="fr-CA"/>
        </w:rPr>
        <w:t xml:space="preserve"> à des Canadiens dans le cadre du PAS</w:t>
      </w:r>
      <w:r w:rsidRPr="00804A31">
        <w:rPr>
          <w:lang w:val="fr-CA"/>
        </w:rPr>
        <w:t>.</w:t>
      </w:r>
    </w:p>
    <w:p w:rsidR="003514BF" w:rsidRPr="001102C1" w:rsidRDefault="003514BF" w:rsidP="000738B2">
      <w:pPr>
        <w:pStyle w:val="ReasonsNumbering-AltN"/>
        <w:rPr>
          <w:lang w:val="fr-CA"/>
        </w:rPr>
      </w:pPr>
      <w:r w:rsidRPr="001102C1">
        <w:rPr>
          <w:lang w:val="fr-CA"/>
        </w:rPr>
        <w:t xml:space="preserve">Enfin, une dernière observation. </w:t>
      </w:r>
      <w:r>
        <w:rPr>
          <w:lang w:val="fr-CA"/>
        </w:rPr>
        <w:t xml:space="preserve"> </w:t>
      </w:r>
      <w:r w:rsidRPr="001102C1">
        <w:rPr>
          <w:lang w:val="fr-CA"/>
        </w:rPr>
        <w:t>Devant notre Cour, les parties n</w:t>
      </w:r>
      <w:r>
        <w:rPr>
          <w:lang w:val="fr-CA"/>
        </w:rPr>
        <w:t>’</w:t>
      </w:r>
      <w:r w:rsidRPr="001102C1">
        <w:rPr>
          <w:lang w:val="fr-CA"/>
        </w:rPr>
        <w:t>ont présenté aucun argument concernant la norme de contrôle applicable.  Toutes deux ont considéré, aux diverses étapes du contrôle judiciaire, que la norme de la décision correcte s</w:t>
      </w:r>
      <w:r>
        <w:rPr>
          <w:lang w:val="fr-CA"/>
        </w:rPr>
        <w:t>’</w:t>
      </w:r>
      <w:r w:rsidRPr="001102C1">
        <w:rPr>
          <w:lang w:val="fr-CA"/>
        </w:rPr>
        <w:t xml:space="preserve">appliquait.  Les parties ne devraient certes pas avoir la faculté de </w:t>
      </w:r>
      <w:r w:rsidRPr="001102C1">
        <w:rPr>
          <w:i/>
          <w:lang w:val="fr-CA"/>
        </w:rPr>
        <w:t xml:space="preserve">se </w:t>
      </w:r>
      <w:r w:rsidRPr="001102C1">
        <w:rPr>
          <w:i/>
          <w:lang w:val="fr-CA"/>
        </w:rPr>
        <w:lastRenderedPageBreak/>
        <w:t>soustraire</w:t>
      </w:r>
      <w:r w:rsidRPr="001102C1">
        <w:rPr>
          <w:lang w:val="fr-CA"/>
        </w:rPr>
        <w:t>, d</w:t>
      </w:r>
      <w:r>
        <w:rPr>
          <w:lang w:val="fr-CA"/>
        </w:rPr>
        <w:t>’</w:t>
      </w:r>
      <w:r w:rsidRPr="001102C1">
        <w:rPr>
          <w:lang w:val="fr-CA"/>
        </w:rPr>
        <w:t>un commun accord, à l</w:t>
      </w:r>
      <w:r>
        <w:rPr>
          <w:lang w:val="fr-CA"/>
        </w:rPr>
        <w:t>’</w:t>
      </w:r>
      <w:r w:rsidRPr="001102C1">
        <w:rPr>
          <w:lang w:val="fr-CA"/>
        </w:rPr>
        <w:t>application de la norme de contrôle appropriée, mais, à l</w:t>
      </w:r>
      <w:r>
        <w:rPr>
          <w:lang w:val="fr-CA"/>
        </w:rPr>
        <w:t>’</w:t>
      </w:r>
      <w:r w:rsidRPr="001102C1">
        <w:rPr>
          <w:lang w:val="fr-CA"/>
        </w:rPr>
        <w:t>instar du juge Evans, j</w:t>
      </w:r>
      <w:r>
        <w:rPr>
          <w:lang w:val="fr-CA"/>
        </w:rPr>
        <w:t>’</w:t>
      </w:r>
      <w:r w:rsidRPr="001102C1">
        <w:rPr>
          <w:lang w:val="fr-CA"/>
        </w:rPr>
        <w:t>estime que la décision du Conseil serait confirmée, peu importe la norme appliquée.</w:t>
      </w:r>
    </w:p>
    <w:p w:rsidR="003514BF" w:rsidRPr="001102C1" w:rsidRDefault="003514BF" w:rsidP="000738B2">
      <w:pPr>
        <w:pStyle w:val="ReasonsNumbering-AltN"/>
        <w:rPr>
          <w:lang w:val="fr-CA"/>
        </w:rPr>
      </w:pPr>
      <w:r w:rsidRPr="001102C1">
        <w:rPr>
          <w:lang w:val="fr-CA"/>
        </w:rPr>
        <w:t>En outre, comme le juge Evans, je me demande moi aussi si la norme de la décision correcte est bien la norme applicable.  Nous sommes en présence d</w:t>
      </w:r>
      <w:r>
        <w:rPr>
          <w:lang w:val="fr-CA"/>
        </w:rPr>
        <w:t>’</w:t>
      </w:r>
      <w:r w:rsidRPr="001102C1">
        <w:rPr>
          <w:lang w:val="fr-CA"/>
        </w:rPr>
        <w:t>un tribunal expert qui interprète sa propre loi habilitante.  La déférence est habituellement de mise dans de telles circonstances</w:t>
      </w:r>
      <w:r>
        <w:rPr>
          <w:lang w:val="fr-CA"/>
        </w:rPr>
        <w:t> :</w:t>
      </w:r>
      <w:r w:rsidRPr="001102C1">
        <w:rPr>
          <w:lang w:val="fr-CA"/>
        </w:rPr>
        <w:t xml:space="preserve"> voir</w:t>
      </w:r>
      <w:r w:rsidRPr="001102C1">
        <w:rPr>
          <w:i/>
          <w:lang w:val="fr-CA"/>
        </w:rPr>
        <w:t xml:space="preserve"> </w:t>
      </w:r>
      <w:proofErr w:type="spellStart"/>
      <w:r w:rsidRPr="001102C1">
        <w:rPr>
          <w:i/>
          <w:lang w:val="fr-CA"/>
        </w:rPr>
        <w:t>Dunsmuir</w:t>
      </w:r>
      <w:proofErr w:type="spellEnd"/>
      <w:r w:rsidRPr="001102C1">
        <w:rPr>
          <w:lang w:val="fr-CA"/>
        </w:rPr>
        <w:t xml:space="preserve">, </w:t>
      </w:r>
      <w:r w:rsidR="00795A39">
        <w:rPr>
          <w:lang w:val="fr-CA"/>
        </w:rPr>
        <w:t xml:space="preserve">par. </w:t>
      </w:r>
      <w:r w:rsidRPr="001102C1">
        <w:rPr>
          <w:lang w:val="fr-CA"/>
        </w:rPr>
        <w:t>54 et 59;</w:t>
      </w:r>
      <w:r w:rsidRPr="001102C1">
        <w:rPr>
          <w:i/>
          <w:lang w:val="fr-CA"/>
        </w:rPr>
        <w:t xml:space="preserve"> Canada (Citoyenneté et Immigration) c. </w:t>
      </w:r>
      <w:proofErr w:type="spellStart"/>
      <w:r w:rsidRPr="001102C1">
        <w:rPr>
          <w:i/>
          <w:lang w:val="fr-CA"/>
        </w:rPr>
        <w:t>Khosa</w:t>
      </w:r>
      <w:proofErr w:type="spellEnd"/>
      <w:r w:rsidRPr="001102C1">
        <w:rPr>
          <w:lang w:val="fr-CA"/>
        </w:rPr>
        <w:t xml:space="preserve">, 2009 CSC 12, [2009] 1 R.C.S. 339, </w:t>
      </w:r>
      <w:r>
        <w:rPr>
          <w:lang w:val="fr-CA"/>
        </w:rPr>
        <w:t>par.</w:t>
      </w:r>
      <w:r w:rsidR="00795A39">
        <w:rPr>
          <w:lang w:val="fr-CA"/>
        </w:rPr>
        <w:t xml:space="preserve"> </w:t>
      </w:r>
      <w:r w:rsidRPr="001102C1">
        <w:rPr>
          <w:lang w:val="fr-CA"/>
        </w:rPr>
        <w:t>44;</w:t>
      </w:r>
      <w:r w:rsidRPr="001102C1">
        <w:rPr>
          <w:i/>
          <w:lang w:val="fr-CA"/>
        </w:rPr>
        <w:t xml:space="preserve"> Nolan c. Kerry (Canada) Inc.</w:t>
      </w:r>
      <w:r w:rsidRPr="001102C1">
        <w:rPr>
          <w:lang w:val="fr-CA"/>
        </w:rPr>
        <w:t>, 2009 CSC 39, [2009] 2 R.C.S. 678.  Ce n</w:t>
      </w:r>
      <w:r>
        <w:rPr>
          <w:lang w:val="fr-CA"/>
        </w:rPr>
        <w:t>’</w:t>
      </w:r>
      <w:r w:rsidRPr="001102C1">
        <w:rPr>
          <w:lang w:val="fr-CA"/>
        </w:rPr>
        <w:t>est donc que dans les cas où la décision du Conseil est déraisonnable qu</w:t>
      </w:r>
      <w:r>
        <w:rPr>
          <w:lang w:val="fr-CA"/>
        </w:rPr>
        <w:t>’</w:t>
      </w:r>
      <w:r w:rsidRPr="001102C1">
        <w:rPr>
          <w:lang w:val="fr-CA"/>
        </w:rPr>
        <w:t>elle est annulée.  Comme l</w:t>
      </w:r>
      <w:r>
        <w:rPr>
          <w:lang w:val="fr-CA"/>
        </w:rPr>
        <w:t>’</w:t>
      </w:r>
      <w:r w:rsidRPr="001102C1">
        <w:rPr>
          <w:lang w:val="fr-CA"/>
        </w:rPr>
        <w:t xml:space="preserve">a dit notre Cour dans </w:t>
      </w:r>
      <w:proofErr w:type="spellStart"/>
      <w:r w:rsidRPr="001102C1">
        <w:rPr>
          <w:i/>
          <w:lang w:val="fr-CA"/>
        </w:rPr>
        <w:t>Dunsmuir</w:t>
      </w:r>
      <w:proofErr w:type="spellEnd"/>
      <w:r w:rsidRPr="001102C1">
        <w:rPr>
          <w:lang w:val="fr-CA"/>
        </w:rPr>
        <w:t xml:space="preserve">, pour être jugée déraisonnable la décision contestée ne doit pas faire partie des </w:t>
      </w:r>
      <w:r>
        <w:rPr>
          <w:lang w:val="fr-CA"/>
        </w:rPr>
        <w:t>« </w:t>
      </w:r>
      <w:r w:rsidRPr="001102C1">
        <w:rPr>
          <w:lang w:val="fr-CA"/>
        </w:rPr>
        <w:t>issues possibles acceptables pouvant se justifier au regard des faits et du droit</w:t>
      </w:r>
      <w:r>
        <w:rPr>
          <w:lang w:val="fr-CA"/>
        </w:rPr>
        <w:t> »</w:t>
      </w:r>
      <w:r w:rsidRPr="001102C1">
        <w:rPr>
          <w:lang w:val="fr-CA"/>
        </w:rPr>
        <w:t xml:space="preserve"> (</w:t>
      </w:r>
      <w:r>
        <w:rPr>
          <w:lang w:val="fr-CA"/>
        </w:rPr>
        <w:t>par.</w:t>
      </w:r>
      <w:r w:rsidR="00795A39">
        <w:rPr>
          <w:lang w:val="fr-CA"/>
        </w:rPr>
        <w:t xml:space="preserve"> </w:t>
      </w:r>
      <w:r w:rsidRPr="001102C1">
        <w:rPr>
          <w:lang w:val="fr-CA"/>
        </w:rPr>
        <w:t>47).  En l</w:t>
      </w:r>
      <w:r>
        <w:rPr>
          <w:lang w:val="fr-CA"/>
        </w:rPr>
        <w:t>’</w:t>
      </w:r>
      <w:r w:rsidRPr="001102C1">
        <w:rPr>
          <w:lang w:val="fr-CA"/>
        </w:rPr>
        <w:t>espèce, je considère que, loin de se situer à l</w:t>
      </w:r>
      <w:r>
        <w:rPr>
          <w:lang w:val="fr-CA"/>
        </w:rPr>
        <w:t>’</w:t>
      </w:r>
      <w:r w:rsidRPr="001102C1">
        <w:rPr>
          <w:lang w:val="fr-CA"/>
        </w:rPr>
        <w:t>extérieur de l</w:t>
      </w:r>
      <w:r>
        <w:rPr>
          <w:lang w:val="fr-CA"/>
        </w:rPr>
        <w:t>’</w:t>
      </w:r>
      <w:r w:rsidRPr="001102C1">
        <w:rPr>
          <w:lang w:val="fr-CA"/>
        </w:rPr>
        <w:t>éventail de ces issues, la décision du Conseil est inattaquable, quelle que soit la norme de contrôle appliquée.</w:t>
      </w:r>
    </w:p>
    <w:p w:rsidR="003514BF" w:rsidRPr="001102C1" w:rsidRDefault="003514BF" w:rsidP="000738B2">
      <w:pPr>
        <w:pStyle w:val="ReasonsNumbering-AltN"/>
        <w:rPr>
          <w:lang w:val="fr-CA"/>
        </w:rPr>
      </w:pPr>
      <w:r w:rsidRPr="001102C1">
        <w:rPr>
          <w:lang w:val="fr-CA"/>
        </w:rPr>
        <w:t>Je suis d</w:t>
      </w:r>
      <w:r>
        <w:rPr>
          <w:lang w:val="fr-CA"/>
        </w:rPr>
        <w:t>’</w:t>
      </w:r>
      <w:r w:rsidRPr="001102C1">
        <w:rPr>
          <w:lang w:val="fr-CA"/>
        </w:rPr>
        <w:t>avis de rejeter le pourvoi avec dépens.</w:t>
      </w:r>
    </w:p>
    <w:p w:rsidR="0033393C" w:rsidRPr="000738B2" w:rsidRDefault="0033393C" w:rsidP="008510F3">
      <w:pPr>
        <w:pStyle w:val="SCCNormalDoubleSpacing"/>
        <w:spacing w:after="480"/>
        <w:rPr>
          <w:i/>
          <w:lang w:val="fr-CA"/>
        </w:rPr>
      </w:pPr>
      <w:r w:rsidRPr="000738B2">
        <w:rPr>
          <w:lang w:val="fr-CA"/>
        </w:rPr>
        <w:tab/>
      </w:r>
      <w:r w:rsidR="00956D7F" w:rsidRPr="000738B2">
        <w:rPr>
          <w:i/>
          <w:lang w:val="fr-CA"/>
        </w:rPr>
        <w:t>Pourvoi rejeté avec dépens.</w:t>
      </w:r>
    </w:p>
    <w:p w:rsidR="00956D7F" w:rsidRPr="000738B2" w:rsidRDefault="00956D7F" w:rsidP="008510F3">
      <w:pPr>
        <w:pStyle w:val="SCCNormalDoubleSpacing"/>
        <w:spacing w:after="480"/>
        <w:rPr>
          <w:i/>
          <w:lang w:val="fr-CA"/>
        </w:rPr>
      </w:pPr>
      <w:r w:rsidRPr="000738B2">
        <w:rPr>
          <w:i/>
          <w:lang w:val="fr-CA"/>
        </w:rPr>
        <w:tab/>
        <w:t>Procureurs d</w:t>
      </w:r>
      <w:r w:rsidR="00FE3740" w:rsidRPr="000738B2">
        <w:rPr>
          <w:i/>
          <w:lang w:val="fr-CA"/>
        </w:rPr>
        <w:t>e l</w:t>
      </w:r>
      <w:r w:rsidR="00C04A0C" w:rsidRPr="000738B2">
        <w:rPr>
          <w:i/>
          <w:lang w:val="fr-CA"/>
        </w:rPr>
        <w:t>’</w:t>
      </w:r>
      <w:r w:rsidR="00FE3740" w:rsidRPr="000738B2">
        <w:rPr>
          <w:i/>
          <w:lang w:val="fr-CA"/>
        </w:rPr>
        <w:t>appelante : </w:t>
      </w:r>
      <w:proofErr w:type="spellStart"/>
      <w:r w:rsidRPr="000738B2">
        <w:rPr>
          <w:i/>
          <w:lang w:val="fr-CA"/>
        </w:rPr>
        <w:t>Gowling</w:t>
      </w:r>
      <w:proofErr w:type="spellEnd"/>
      <w:r w:rsidRPr="000738B2">
        <w:rPr>
          <w:i/>
          <w:lang w:val="fr-CA"/>
        </w:rPr>
        <w:t xml:space="preserve"> Lafleur Henderson, Ottawa.</w:t>
      </w:r>
    </w:p>
    <w:p w:rsidR="00956D7F" w:rsidRPr="000738B2" w:rsidRDefault="00956D7F" w:rsidP="00286A4E">
      <w:pPr>
        <w:pStyle w:val="SCCNormalDoubleSpacing"/>
        <w:rPr>
          <w:i/>
          <w:lang w:val="fr-CA"/>
        </w:rPr>
      </w:pPr>
      <w:r w:rsidRPr="000738B2">
        <w:rPr>
          <w:i/>
          <w:lang w:val="fr-CA"/>
        </w:rPr>
        <w:lastRenderedPageBreak/>
        <w:tab/>
      </w:r>
      <w:r w:rsidR="00FE3740" w:rsidRPr="000738B2">
        <w:rPr>
          <w:i/>
          <w:lang w:val="fr-CA"/>
        </w:rPr>
        <w:t>Procureur de l</w:t>
      </w:r>
      <w:r w:rsidR="00C04A0C" w:rsidRPr="000738B2">
        <w:rPr>
          <w:i/>
          <w:lang w:val="fr-CA"/>
        </w:rPr>
        <w:t>’</w:t>
      </w:r>
      <w:r w:rsidR="00FE3740" w:rsidRPr="000738B2">
        <w:rPr>
          <w:i/>
          <w:lang w:val="fr-CA"/>
        </w:rPr>
        <w:t>intimé : </w:t>
      </w:r>
      <w:r w:rsidRPr="000738B2">
        <w:rPr>
          <w:i/>
          <w:lang w:val="fr-CA"/>
        </w:rPr>
        <w:t>Procureur général du Canada, Ottawa.</w:t>
      </w:r>
    </w:p>
    <w:sectPr w:rsidR="00956D7F" w:rsidRPr="000738B2" w:rsidSect="003E3987">
      <w:headerReference w:type="even" r:id="rId9"/>
      <w:headerReference w:type="default" r:id="rId10"/>
      <w:footerReference w:type="even" r:id="rId11"/>
      <w:footerReference w:type="default" r:id="rId12"/>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C38" w:rsidRDefault="00391C38">
      <w:r>
        <w:separator/>
      </w:r>
    </w:p>
  </w:endnote>
  <w:endnote w:type="continuationSeparator" w:id="0">
    <w:p w:rsidR="00391C38" w:rsidRDefault="00391C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C38" w:rsidRDefault="00391C38">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C38" w:rsidRDefault="00391C38">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C38" w:rsidRDefault="00391C38">
      <w:r>
        <w:separator/>
      </w:r>
    </w:p>
  </w:footnote>
  <w:footnote w:type="continuationSeparator" w:id="0">
    <w:p w:rsidR="00391C38" w:rsidRDefault="00391C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C38" w:rsidRDefault="00391C38">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C38" w:rsidRDefault="006F75AC">
    <w:pPr>
      <w:pStyle w:val="Header"/>
      <w:jc w:val="center"/>
    </w:pPr>
    <w:sdt>
      <w:sdtPr>
        <w:id w:val="6769507"/>
        <w:docPartObj>
          <w:docPartGallery w:val="Page Numbers (Top of Page)"/>
          <w:docPartUnique/>
        </w:docPartObj>
      </w:sdtPr>
      <w:sdtContent>
        <w:r w:rsidR="00391C38">
          <w:t xml:space="preserve">- </w:t>
        </w:r>
        <w:fldSimple w:instr=" PAGE   \* MERGEFORMAT ">
          <w:r w:rsidR="008E160E">
            <w:rPr>
              <w:noProof/>
            </w:rPr>
            <w:t>7</w:t>
          </w:r>
        </w:fldSimple>
      </w:sdtContent>
    </w:sdt>
    <w:r w:rsidR="00391C38">
      <w:t xml:space="preserve"> -</w:t>
    </w:r>
  </w:p>
  <w:p w:rsidR="00391C38" w:rsidRDefault="00391C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AC64FE2"/>
    <w:multiLevelType w:val="hybridMultilevel"/>
    <w:tmpl w:val="4656A9D6"/>
    <w:lvl w:ilvl="0" w:tplc="184C8F2E">
      <w:start w:val="1"/>
      <w:numFmt w:val="decimal"/>
      <w:pStyle w:val="ReasonsNumbering-AltN"/>
      <w:lvlText w:val="[%1]"/>
      <w:lvlJc w:val="left"/>
      <w:pPr>
        <w:ind w:left="36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4">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15"/>
  </w:num>
  <w:num w:numId="3">
    <w:abstractNumId w:val="11"/>
  </w:num>
  <w:num w:numId="4">
    <w:abstractNumId w:val="10"/>
  </w:num>
  <w:num w:numId="5">
    <w:abstractNumId w:val="13"/>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attachedTemplate r:id="rId1"/>
  <w:linkStyles/>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98305"/>
  </w:hdrShapeDefaults>
  <w:footnotePr>
    <w:footnote w:id="-1"/>
    <w:footnote w:id="0"/>
  </w:footnotePr>
  <w:endnotePr>
    <w:endnote w:id="-1"/>
    <w:endnote w:id="0"/>
  </w:endnotePr>
  <w:compat/>
  <w:rsids>
    <w:rsidRoot w:val="0031414C"/>
    <w:rsid w:val="00022308"/>
    <w:rsid w:val="00025198"/>
    <w:rsid w:val="00055A36"/>
    <w:rsid w:val="000578A3"/>
    <w:rsid w:val="00064563"/>
    <w:rsid w:val="000648CC"/>
    <w:rsid w:val="000738B2"/>
    <w:rsid w:val="000948F7"/>
    <w:rsid w:val="00094DE0"/>
    <w:rsid w:val="000A5321"/>
    <w:rsid w:val="000B6D11"/>
    <w:rsid w:val="000C59B8"/>
    <w:rsid w:val="000F2E3D"/>
    <w:rsid w:val="00107BB9"/>
    <w:rsid w:val="00107E35"/>
    <w:rsid w:val="00111DE2"/>
    <w:rsid w:val="00113167"/>
    <w:rsid w:val="00114BBC"/>
    <w:rsid w:val="00116B38"/>
    <w:rsid w:val="0013109F"/>
    <w:rsid w:val="00135406"/>
    <w:rsid w:val="00135972"/>
    <w:rsid w:val="00140667"/>
    <w:rsid w:val="001426A9"/>
    <w:rsid w:val="00154D7C"/>
    <w:rsid w:val="001570B0"/>
    <w:rsid w:val="00172A04"/>
    <w:rsid w:val="00175A97"/>
    <w:rsid w:val="00185394"/>
    <w:rsid w:val="001A451D"/>
    <w:rsid w:val="001B33E0"/>
    <w:rsid w:val="001B4573"/>
    <w:rsid w:val="001C779F"/>
    <w:rsid w:val="001D2AC1"/>
    <w:rsid w:val="001E795D"/>
    <w:rsid w:val="001F7673"/>
    <w:rsid w:val="00220FC2"/>
    <w:rsid w:val="00224FC0"/>
    <w:rsid w:val="00225EA4"/>
    <w:rsid w:val="00226EAF"/>
    <w:rsid w:val="00231F3A"/>
    <w:rsid w:val="0024041D"/>
    <w:rsid w:val="002406EE"/>
    <w:rsid w:val="002745CC"/>
    <w:rsid w:val="00286A4E"/>
    <w:rsid w:val="00290EF4"/>
    <w:rsid w:val="002D39A4"/>
    <w:rsid w:val="002D6557"/>
    <w:rsid w:val="002E42DB"/>
    <w:rsid w:val="002E6705"/>
    <w:rsid w:val="002F5821"/>
    <w:rsid w:val="002F696C"/>
    <w:rsid w:val="0030329A"/>
    <w:rsid w:val="00307AFD"/>
    <w:rsid w:val="0031086F"/>
    <w:rsid w:val="00310E05"/>
    <w:rsid w:val="0031414C"/>
    <w:rsid w:val="00314E01"/>
    <w:rsid w:val="0032089D"/>
    <w:rsid w:val="0033393C"/>
    <w:rsid w:val="0034770C"/>
    <w:rsid w:val="003514BF"/>
    <w:rsid w:val="0035259D"/>
    <w:rsid w:val="003866EC"/>
    <w:rsid w:val="00391C38"/>
    <w:rsid w:val="00394476"/>
    <w:rsid w:val="00396FF2"/>
    <w:rsid w:val="003A4C70"/>
    <w:rsid w:val="003A4E15"/>
    <w:rsid w:val="003A539C"/>
    <w:rsid w:val="003A67D4"/>
    <w:rsid w:val="003B0A57"/>
    <w:rsid w:val="003B13CB"/>
    <w:rsid w:val="003B2646"/>
    <w:rsid w:val="003C799C"/>
    <w:rsid w:val="003E1C71"/>
    <w:rsid w:val="003E3987"/>
    <w:rsid w:val="003F327B"/>
    <w:rsid w:val="00401037"/>
    <w:rsid w:val="004059A7"/>
    <w:rsid w:val="00406166"/>
    <w:rsid w:val="00411300"/>
    <w:rsid w:val="00413B31"/>
    <w:rsid w:val="004150BA"/>
    <w:rsid w:val="00426659"/>
    <w:rsid w:val="0043088E"/>
    <w:rsid w:val="004439D8"/>
    <w:rsid w:val="004649DE"/>
    <w:rsid w:val="00465132"/>
    <w:rsid w:val="00480C90"/>
    <w:rsid w:val="004828DB"/>
    <w:rsid w:val="0048396F"/>
    <w:rsid w:val="0049106C"/>
    <w:rsid w:val="00493C18"/>
    <w:rsid w:val="00494CDC"/>
    <w:rsid w:val="004A600C"/>
    <w:rsid w:val="004C478D"/>
    <w:rsid w:val="004E588F"/>
    <w:rsid w:val="004E6A2C"/>
    <w:rsid w:val="004F1F02"/>
    <w:rsid w:val="00521AE8"/>
    <w:rsid w:val="005222CB"/>
    <w:rsid w:val="005265CC"/>
    <w:rsid w:val="00527180"/>
    <w:rsid w:val="00536719"/>
    <w:rsid w:val="005564A7"/>
    <w:rsid w:val="00570B97"/>
    <w:rsid w:val="00594FED"/>
    <w:rsid w:val="00595B2F"/>
    <w:rsid w:val="005A3061"/>
    <w:rsid w:val="005B6C54"/>
    <w:rsid w:val="005C5157"/>
    <w:rsid w:val="005D332E"/>
    <w:rsid w:val="005E4698"/>
    <w:rsid w:val="00625C35"/>
    <w:rsid w:val="006332AF"/>
    <w:rsid w:val="00634E1B"/>
    <w:rsid w:val="00645057"/>
    <w:rsid w:val="00654858"/>
    <w:rsid w:val="006565F4"/>
    <w:rsid w:val="00681AD1"/>
    <w:rsid w:val="00683EF1"/>
    <w:rsid w:val="00691971"/>
    <w:rsid w:val="006A56F1"/>
    <w:rsid w:val="006A7FA3"/>
    <w:rsid w:val="006B5FF5"/>
    <w:rsid w:val="006C5661"/>
    <w:rsid w:val="006D4790"/>
    <w:rsid w:val="006D6701"/>
    <w:rsid w:val="006E0EE1"/>
    <w:rsid w:val="006F75AC"/>
    <w:rsid w:val="00701759"/>
    <w:rsid w:val="00702C6F"/>
    <w:rsid w:val="00705F0C"/>
    <w:rsid w:val="007275CF"/>
    <w:rsid w:val="007327CF"/>
    <w:rsid w:val="007444CF"/>
    <w:rsid w:val="00747288"/>
    <w:rsid w:val="00747DD3"/>
    <w:rsid w:val="00752F4E"/>
    <w:rsid w:val="00754887"/>
    <w:rsid w:val="007549C8"/>
    <w:rsid w:val="00762D30"/>
    <w:rsid w:val="00763377"/>
    <w:rsid w:val="00766D14"/>
    <w:rsid w:val="00767A0F"/>
    <w:rsid w:val="00782B9B"/>
    <w:rsid w:val="007834A8"/>
    <w:rsid w:val="007919F7"/>
    <w:rsid w:val="00795A39"/>
    <w:rsid w:val="007A05F6"/>
    <w:rsid w:val="007A0CA5"/>
    <w:rsid w:val="007B6F4A"/>
    <w:rsid w:val="007E1C47"/>
    <w:rsid w:val="007E337A"/>
    <w:rsid w:val="007E5C70"/>
    <w:rsid w:val="007F2FF5"/>
    <w:rsid w:val="007F7E86"/>
    <w:rsid w:val="00817190"/>
    <w:rsid w:val="008322BD"/>
    <w:rsid w:val="00847937"/>
    <w:rsid w:val="008510F3"/>
    <w:rsid w:val="00855307"/>
    <w:rsid w:val="00862CF3"/>
    <w:rsid w:val="00864CF8"/>
    <w:rsid w:val="00874914"/>
    <w:rsid w:val="008811FF"/>
    <w:rsid w:val="00892E1A"/>
    <w:rsid w:val="008958F5"/>
    <w:rsid w:val="008A6558"/>
    <w:rsid w:val="008A727C"/>
    <w:rsid w:val="008C01DA"/>
    <w:rsid w:val="008C75BB"/>
    <w:rsid w:val="008E160E"/>
    <w:rsid w:val="008F0653"/>
    <w:rsid w:val="008F16D9"/>
    <w:rsid w:val="008F78E9"/>
    <w:rsid w:val="00902462"/>
    <w:rsid w:val="009403F3"/>
    <w:rsid w:val="00946F39"/>
    <w:rsid w:val="00956D7F"/>
    <w:rsid w:val="00957FA2"/>
    <w:rsid w:val="00962949"/>
    <w:rsid w:val="00966913"/>
    <w:rsid w:val="00967374"/>
    <w:rsid w:val="0097543E"/>
    <w:rsid w:val="00983F3F"/>
    <w:rsid w:val="00985C69"/>
    <w:rsid w:val="0099079B"/>
    <w:rsid w:val="009A4808"/>
    <w:rsid w:val="009A7F77"/>
    <w:rsid w:val="009B2F23"/>
    <w:rsid w:val="009B53E2"/>
    <w:rsid w:val="009B57B3"/>
    <w:rsid w:val="009B6A23"/>
    <w:rsid w:val="009C6CDD"/>
    <w:rsid w:val="009D580B"/>
    <w:rsid w:val="009D5AEB"/>
    <w:rsid w:val="009F383F"/>
    <w:rsid w:val="00A000B2"/>
    <w:rsid w:val="00A05F0E"/>
    <w:rsid w:val="00A21107"/>
    <w:rsid w:val="00A21B90"/>
    <w:rsid w:val="00A24E15"/>
    <w:rsid w:val="00A26C69"/>
    <w:rsid w:val="00A42C2E"/>
    <w:rsid w:val="00A548CB"/>
    <w:rsid w:val="00A5645B"/>
    <w:rsid w:val="00A60EEB"/>
    <w:rsid w:val="00A6242E"/>
    <w:rsid w:val="00A643E7"/>
    <w:rsid w:val="00A65710"/>
    <w:rsid w:val="00A71CC5"/>
    <w:rsid w:val="00A73C38"/>
    <w:rsid w:val="00A74E91"/>
    <w:rsid w:val="00AC6322"/>
    <w:rsid w:val="00AC7437"/>
    <w:rsid w:val="00AC7A44"/>
    <w:rsid w:val="00AE54CD"/>
    <w:rsid w:val="00AF03C5"/>
    <w:rsid w:val="00AF2A0B"/>
    <w:rsid w:val="00AF4D8A"/>
    <w:rsid w:val="00B000D8"/>
    <w:rsid w:val="00B00F75"/>
    <w:rsid w:val="00B145B6"/>
    <w:rsid w:val="00B17B04"/>
    <w:rsid w:val="00B22ABB"/>
    <w:rsid w:val="00B50C81"/>
    <w:rsid w:val="00B557F8"/>
    <w:rsid w:val="00B64972"/>
    <w:rsid w:val="00B66DD8"/>
    <w:rsid w:val="00B8145D"/>
    <w:rsid w:val="00B815FC"/>
    <w:rsid w:val="00B847DC"/>
    <w:rsid w:val="00B93FBC"/>
    <w:rsid w:val="00BD69A9"/>
    <w:rsid w:val="00BD77F3"/>
    <w:rsid w:val="00C02092"/>
    <w:rsid w:val="00C04A0C"/>
    <w:rsid w:val="00C057F7"/>
    <w:rsid w:val="00C0663B"/>
    <w:rsid w:val="00C07A93"/>
    <w:rsid w:val="00C23E98"/>
    <w:rsid w:val="00C24C8C"/>
    <w:rsid w:val="00C24D91"/>
    <w:rsid w:val="00C52532"/>
    <w:rsid w:val="00C53F14"/>
    <w:rsid w:val="00C55C2E"/>
    <w:rsid w:val="00C600CF"/>
    <w:rsid w:val="00C6084F"/>
    <w:rsid w:val="00C62A66"/>
    <w:rsid w:val="00C62A6F"/>
    <w:rsid w:val="00C67CA5"/>
    <w:rsid w:val="00C71458"/>
    <w:rsid w:val="00C71F58"/>
    <w:rsid w:val="00C77613"/>
    <w:rsid w:val="00C828E7"/>
    <w:rsid w:val="00C82D33"/>
    <w:rsid w:val="00C917A1"/>
    <w:rsid w:val="00C921DD"/>
    <w:rsid w:val="00CA0201"/>
    <w:rsid w:val="00CA4D82"/>
    <w:rsid w:val="00CA6391"/>
    <w:rsid w:val="00CC7013"/>
    <w:rsid w:val="00CE3171"/>
    <w:rsid w:val="00CF1601"/>
    <w:rsid w:val="00CF4A2E"/>
    <w:rsid w:val="00D23641"/>
    <w:rsid w:val="00D272CB"/>
    <w:rsid w:val="00D32086"/>
    <w:rsid w:val="00D37A3F"/>
    <w:rsid w:val="00D45FCF"/>
    <w:rsid w:val="00D4667A"/>
    <w:rsid w:val="00D510BB"/>
    <w:rsid w:val="00D5435D"/>
    <w:rsid w:val="00D74F2E"/>
    <w:rsid w:val="00D8605D"/>
    <w:rsid w:val="00D95DEA"/>
    <w:rsid w:val="00DA0590"/>
    <w:rsid w:val="00DC1788"/>
    <w:rsid w:val="00DE5789"/>
    <w:rsid w:val="00DF0CA8"/>
    <w:rsid w:val="00DF49A7"/>
    <w:rsid w:val="00E01106"/>
    <w:rsid w:val="00E07EE2"/>
    <w:rsid w:val="00E12B10"/>
    <w:rsid w:val="00E24573"/>
    <w:rsid w:val="00E377A1"/>
    <w:rsid w:val="00E45109"/>
    <w:rsid w:val="00E54B02"/>
    <w:rsid w:val="00E62746"/>
    <w:rsid w:val="00E97830"/>
    <w:rsid w:val="00EA03E5"/>
    <w:rsid w:val="00EB1CDF"/>
    <w:rsid w:val="00EB6F91"/>
    <w:rsid w:val="00EC554A"/>
    <w:rsid w:val="00EE0FAF"/>
    <w:rsid w:val="00F00EB7"/>
    <w:rsid w:val="00F16548"/>
    <w:rsid w:val="00F2258E"/>
    <w:rsid w:val="00F24B0A"/>
    <w:rsid w:val="00F326B6"/>
    <w:rsid w:val="00F33658"/>
    <w:rsid w:val="00F36AB6"/>
    <w:rsid w:val="00F409CE"/>
    <w:rsid w:val="00F428C6"/>
    <w:rsid w:val="00F469CF"/>
    <w:rsid w:val="00F82447"/>
    <w:rsid w:val="00F84DF4"/>
    <w:rsid w:val="00F853FB"/>
    <w:rsid w:val="00F85C97"/>
    <w:rsid w:val="00FA2FE1"/>
    <w:rsid w:val="00FA4804"/>
    <w:rsid w:val="00FA49B0"/>
    <w:rsid w:val="00FB61F9"/>
    <w:rsid w:val="00FC606D"/>
    <w:rsid w:val="00FD068D"/>
    <w:rsid w:val="00FD4F28"/>
    <w:rsid w:val="00FE3740"/>
    <w:rsid w:val="00FE4B4D"/>
    <w:rsid w:val="00FE53E3"/>
    <w:rsid w:val="00FE6784"/>
    <w:rsid w:val="00FF70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8305"/>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000B2"/>
    <w:rPr>
      <w:rFonts w:eastAsia="Times New Roman"/>
      <w:sz w:val="24"/>
      <w:lang w:val="en-CA" w:eastAsia="en-CA"/>
    </w:rPr>
  </w:style>
  <w:style w:type="paragraph" w:styleId="Heading1">
    <w:name w:val="heading 1"/>
    <w:next w:val="ReasonsNumbering-AltN"/>
    <w:link w:val="Heading1Char"/>
    <w:uiPriority w:val="2"/>
    <w:qFormat/>
    <w:rsid w:val="00A000B2"/>
    <w:pPr>
      <w:keepNext/>
      <w:keepLines/>
      <w:tabs>
        <w:tab w:val="left" w:pos="360"/>
      </w:tabs>
      <w:spacing w:before="480" w:after="480"/>
      <w:ind w:left="360" w:hanging="360"/>
      <w:jc w:val="both"/>
      <w:outlineLvl w:val="0"/>
    </w:pPr>
    <w:rPr>
      <w:rFonts w:eastAsiaTheme="majorEastAsia" w:cstheme="majorBidi"/>
      <w:bCs/>
      <w:sz w:val="24"/>
      <w:szCs w:val="28"/>
      <w:lang w:val="en-CA"/>
    </w:rPr>
  </w:style>
  <w:style w:type="paragraph" w:styleId="Heading2">
    <w:name w:val="heading 2"/>
    <w:basedOn w:val="Normal"/>
    <w:next w:val="Normal"/>
    <w:link w:val="Heading2Char"/>
    <w:uiPriority w:val="9"/>
    <w:unhideWhenUsed/>
    <w:rsid w:val="00A000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00B2"/>
    <w:rPr>
      <w:rFonts w:asciiTheme="majorHAnsi" w:eastAsiaTheme="majorEastAsia" w:hAnsiTheme="majorHAnsi" w:cstheme="majorBidi"/>
      <w:b/>
      <w:bCs/>
      <w:color w:val="4F81BD" w:themeColor="accent1"/>
      <w:sz w:val="26"/>
      <w:szCs w:val="26"/>
      <w:lang w:val="en-CA" w:eastAsia="en-CA"/>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qFormat/>
    <w:rsid w:val="005222CB"/>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5222CB"/>
    <w:rPr>
      <w:sz w:val="24"/>
      <w:lang w:val="fr-CA" w:eastAsia="en-CA"/>
    </w:rPr>
  </w:style>
  <w:style w:type="character" w:styleId="Strong">
    <w:name w:val="Strong"/>
    <w:basedOn w:val="DefaultParagraphFont"/>
    <w:uiPriority w:val="22"/>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A000B2"/>
    <w:rPr>
      <w:color w:val="808080"/>
    </w:rPr>
  </w:style>
  <w:style w:type="paragraph" w:styleId="BalloonText">
    <w:name w:val="Balloon Text"/>
    <w:basedOn w:val="Normal"/>
    <w:link w:val="BalloonTextChar"/>
    <w:uiPriority w:val="99"/>
    <w:semiHidden/>
    <w:unhideWhenUsed/>
    <w:rsid w:val="00A000B2"/>
    <w:rPr>
      <w:rFonts w:cs="Tahoma"/>
      <w:sz w:val="28"/>
      <w:szCs w:val="16"/>
    </w:rPr>
  </w:style>
  <w:style w:type="character" w:customStyle="1" w:styleId="BalloonTextChar">
    <w:name w:val="Balloon Text Char"/>
    <w:basedOn w:val="DefaultParagraphFont"/>
    <w:link w:val="BalloonText"/>
    <w:uiPriority w:val="99"/>
    <w:semiHidden/>
    <w:rsid w:val="00A000B2"/>
    <w:rPr>
      <w:rFonts w:eastAsia="Times New Roman" w:cs="Tahoma"/>
      <w:sz w:val="28"/>
      <w:szCs w:val="16"/>
      <w:lang w:val="en-CA" w:eastAsia="en-CA"/>
    </w:rPr>
  </w:style>
  <w:style w:type="paragraph" w:styleId="Header">
    <w:name w:val="header"/>
    <w:basedOn w:val="Normal"/>
    <w:link w:val="HeaderChar"/>
    <w:uiPriority w:val="99"/>
    <w:unhideWhenUsed/>
    <w:rsid w:val="00A000B2"/>
    <w:pPr>
      <w:tabs>
        <w:tab w:val="center" w:pos="4680"/>
        <w:tab w:val="right" w:pos="9360"/>
      </w:tabs>
    </w:pPr>
  </w:style>
  <w:style w:type="character" w:customStyle="1" w:styleId="HeaderChar">
    <w:name w:val="Header Char"/>
    <w:basedOn w:val="DefaultParagraphFont"/>
    <w:link w:val="Header"/>
    <w:uiPriority w:val="99"/>
    <w:rsid w:val="00A000B2"/>
    <w:rPr>
      <w:rFonts w:eastAsia="Times New Roman"/>
      <w:sz w:val="24"/>
      <w:lang w:val="en-CA" w:eastAsia="en-CA"/>
    </w:rPr>
  </w:style>
  <w:style w:type="paragraph" w:styleId="Footer">
    <w:name w:val="footer"/>
    <w:basedOn w:val="Normal"/>
    <w:link w:val="FooterChar"/>
    <w:uiPriority w:val="99"/>
    <w:unhideWhenUsed/>
    <w:rsid w:val="00A000B2"/>
    <w:pPr>
      <w:tabs>
        <w:tab w:val="center" w:pos="4680"/>
        <w:tab w:val="right" w:pos="9360"/>
      </w:tabs>
    </w:pPr>
  </w:style>
  <w:style w:type="character" w:customStyle="1" w:styleId="FooterChar">
    <w:name w:val="Footer Char"/>
    <w:basedOn w:val="DefaultParagraphFont"/>
    <w:link w:val="Footer"/>
    <w:uiPriority w:val="99"/>
    <w:rsid w:val="00A000B2"/>
    <w:rPr>
      <w:rFonts w:eastAsia="Times New Roman"/>
      <w:sz w:val="24"/>
      <w:lang w:val="en-CA" w:eastAsia="en-CA"/>
    </w:rPr>
  </w:style>
  <w:style w:type="paragraph" w:customStyle="1" w:styleId="SCCLsocParty">
    <w:name w:val="SCC.Lsoc.Party"/>
    <w:basedOn w:val="Normal"/>
    <w:next w:val="Normal"/>
    <w:link w:val="SCCLsocPartyChar"/>
    <w:rsid w:val="00A000B2"/>
    <w:pPr>
      <w:spacing w:after="480"/>
      <w:jc w:val="both"/>
    </w:pPr>
    <w:rPr>
      <w:rFonts w:eastAsiaTheme="minorHAnsi" w:cstheme="minorBidi"/>
      <w:szCs w:val="22"/>
      <w:lang w:eastAsia="en-US"/>
    </w:rPr>
  </w:style>
  <w:style w:type="character" w:customStyle="1" w:styleId="SCCLsocPartyChar">
    <w:name w:val="SCC.Lsoc.Party Char"/>
    <w:basedOn w:val="DefaultParagraphFont"/>
    <w:link w:val="SCCLsocParty"/>
    <w:rsid w:val="00A000B2"/>
    <w:rPr>
      <w:rFonts w:cstheme="minorBidi"/>
      <w:sz w:val="24"/>
      <w:szCs w:val="22"/>
      <w:lang w:val="en-CA"/>
    </w:rPr>
  </w:style>
  <w:style w:type="paragraph" w:customStyle="1" w:styleId="SCCLsocVersus">
    <w:name w:val="SCC.Lsoc.Versus"/>
    <w:basedOn w:val="Normal"/>
    <w:next w:val="Normal"/>
    <w:link w:val="SCCLsocVersusChar"/>
    <w:rsid w:val="00A000B2"/>
    <w:pPr>
      <w:spacing w:after="480"/>
    </w:pPr>
    <w:rPr>
      <w:rFonts w:eastAsiaTheme="minorHAnsi" w:cstheme="minorBidi"/>
      <w:szCs w:val="22"/>
      <w:lang w:eastAsia="en-US"/>
    </w:rPr>
  </w:style>
  <w:style w:type="character" w:customStyle="1" w:styleId="SCCLsocVersusChar">
    <w:name w:val="SCC.Lsoc.Versus Char"/>
    <w:basedOn w:val="DefaultParagraphFont"/>
    <w:link w:val="SCCLsocVersus"/>
    <w:rsid w:val="00A000B2"/>
    <w:rPr>
      <w:rFonts w:cstheme="minorBidi"/>
      <w:sz w:val="24"/>
      <w:szCs w:val="22"/>
      <w:lang w:val="en-CA"/>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A000B2"/>
    <w:pPr>
      <w:spacing w:after="480"/>
    </w:pPr>
    <w:rPr>
      <w:rFonts w:eastAsiaTheme="minorHAnsi" w:cstheme="minorBidi"/>
      <w:szCs w:val="22"/>
      <w:lang w:eastAsia="en-US"/>
    </w:rPr>
  </w:style>
  <w:style w:type="character" w:customStyle="1" w:styleId="SCCLsocSubfileSeparatorChar">
    <w:name w:val="SCC.Lsoc.SubfileSeparator Char"/>
    <w:basedOn w:val="DefaultParagraphFont"/>
    <w:link w:val="SCCLsocSubfileSeparator"/>
    <w:rsid w:val="00A000B2"/>
    <w:rPr>
      <w:rFonts w:cstheme="minorBidi"/>
      <w:sz w:val="24"/>
      <w:szCs w:val="22"/>
      <w:lang w:val="en-CA"/>
    </w:rPr>
  </w:style>
  <w:style w:type="paragraph" w:customStyle="1" w:styleId="SCCLsocOtherPartySeparator">
    <w:name w:val="SCC.Lsoc.OtherPartySeparator"/>
    <w:basedOn w:val="Normal"/>
    <w:next w:val="Normal"/>
    <w:link w:val="SCCLsocOtherPartySeparatorChar"/>
    <w:rsid w:val="00A000B2"/>
    <w:pPr>
      <w:spacing w:after="480"/>
    </w:pPr>
    <w:rPr>
      <w:rFonts w:eastAsiaTheme="minorHAnsi" w:cstheme="minorBidi"/>
      <w:szCs w:val="22"/>
      <w:lang w:eastAsia="en-US"/>
    </w:rPr>
  </w:style>
  <w:style w:type="character" w:customStyle="1" w:styleId="SCCLsocOtherPartySeparatorChar">
    <w:name w:val="SCC.Lsoc.OtherPartySeparator Char"/>
    <w:basedOn w:val="DefaultParagraphFont"/>
    <w:link w:val="SCCLsocOtherPartySeparator"/>
    <w:rsid w:val="00A000B2"/>
    <w:rPr>
      <w:rFonts w:cstheme="minorBidi"/>
      <w:sz w:val="24"/>
      <w:szCs w:val="22"/>
      <w:lang w:val="en-CA"/>
    </w:rPr>
  </w:style>
  <w:style w:type="character" w:customStyle="1" w:styleId="Heading1Char">
    <w:name w:val="Heading 1 Char"/>
    <w:basedOn w:val="DefaultParagraphFont"/>
    <w:link w:val="Heading1"/>
    <w:uiPriority w:val="2"/>
    <w:rsid w:val="00A000B2"/>
    <w:rPr>
      <w:rFonts w:eastAsiaTheme="majorEastAsia" w:cstheme="majorBidi"/>
      <w:bCs/>
      <w:sz w:val="24"/>
      <w:szCs w:val="28"/>
      <w:lang w:val="en-CA"/>
    </w:rPr>
  </w:style>
  <w:style w:type="paragraph" w:customStyle="1" w:styleId="SCCBanSummary">
    <w:name w:val="SCC.BanSummary"/>
    <w:basedOn w:val="Normal"/>
    <w:next w:val="Normal"/>
    <w:link w:val="SCCBanSummaryChar"/>
    <w:rsid w:val="00A000B2"/>
    <w:pPr>
      <w:jc w:val="right"/>
    </w:pPr>
    <w:rPr>
      <w:rFonts w:eastAsiaTheme="minorEastAsia"/>
      <w:b/>
      <w:szCs w:val="24"/>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paragraph" w:customStyle="1" w:styleId="SCCCounselPartyRole">
    <w:name w:val="SCC.CounselPartyRole"/>
    <w:basedOn w:val="SCCNormalDoubleSpacing"/>
    <w:next w:val="SCCNormalDoubleSpacing"/>
    <w:link w:val="SCCCounselPartyRoleChar"/>
    <w:rsid w:val="004439D8"/>
  </w:style>
  <w:style w:type="character" w:customStyle="1" w:styleId="SCCCounselPartyRoleChar">
    <w:name w:val="SCC.CounselPartyRole Char"/>
    <w:basedOn w:val="SCCNormalDoubleSpacingChar"/>
    <w:link w:val="SCCCounselPartyRole"/>
    <w:rsid w:val="004439D8"/>
    <w:rPr>
      <w:lang w:val="fr-CA"/>
    </w:rPr>
  </w:style>
  <w:style w:type="paragraph" w:styleId="ListParagraph">
    <w:name w:val="List Paragraph"/>
    <w:basedOn w:val="Normal"/>
    <w:uiPriority w:val="34"/>
    <w:qFormat/>
    <w:rsid w:val="005222CB"/>
    <w:pPr>
      <w:ind w:left="720"/>
    </w:pPr>
  </w:style>
  <w:style w:type="paragraph" w:styleId="NoSpacing">
    <w:name w:val="No Spacing"/>
    <w:uiPriority w:val="1"/>
    <w:rsid w:val="003514BF"/>
    <w:rPr>
      <w:sz w:val="24"/>
    </w:rPr>
  </w:style>
  <w:style w:type="paragraph" w:customStyle="1" w:styleId="SCCLsocOtherPartyRoleSeparator">
    <w:name w:val="SCC.Lsoc.OtherPartyRoleSeparator"/>
    <w:basedOn w:val="Normal"/>
    <w:next w:val="Normal"/>
    <w:link w:val="SCCLsocOtherPartyRoleSeparatorChar"/>
    <w:rsid w:val="00A000B2"/>
    <w:pPr>
      <w:spacing w:after="480"/>
    </w:pPr>
    <w:rPr>
      <w:rFonts w:eastAsiaTheme="minorHAnsi" w:cstheme="minorBidi"/>
      <w:szCs w:val="22"/>
      <w:lang w:eastAsia="en-US"/>
    </w:rPr>
  </w:style>
  <w:style w:type="paragraph" w:customStyle="1" w:styleId="SCCCoram">
    <w:name w:val="SCC.Coram"/>
    <w:basedOn w:val="Normal"/>
    <w:next w:val="Normal"/>
    <w:link w:val="SCCCoramChar"/>
    <w:rsid w:val="00A000B2"/>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A000B2"/>
    <w:rPr>
      <w:rFonts w:cstheme="minorBidi"/>
      <w:sz w:val="24"/>
      <w:szCs w:val="22"/>
      <w:lang w:val="en-CA"/>
    </w:rPr>
  </w:style>
  <w:style w:type="character" w:customStyle="1" w:styleId="SCCLsocOtherPartyRoleSeparatorChar">
    <w:name w:val="SCC.Lsoc.OtherPartyRoleSeparator Char"/>
    <w:basedOn w:val="DefaultParagraphFont"/>
    <w:link w:val="SCCLsocOtherPartyRoleSeparator"/>
    <w:rsid w:val="00A000B2"/>
    <w:rPr>
      <w:rFonts w:cstheme="minorBidi"/>
      <w:sz w:val="24"/>
      <w:szCs w:val="22"/>
      <w:lang w:val="en-CA"/>
    </w:rPr>
  </w:style>
  <w:style w:type="character" w:customStyle="1" w:styleId="SCCBanSummaryChar">
    <w:name w:val="SCC.BanSummary Char"/>
    <w:basedOn w:val="DefaultParagraphFont"/>
    <w:link w:val="SCCBanSummary"/>
    <w:rsid w:val="00A000B2"/>
    <w:rPr>
      <w:rFonts w:eastAsiaTheme="minorEastAsia"/>
      <w:b/>
      <w:sz w:val="24"/>
      <w:szCs w:val="24"/>
      <w:lang w:val="en-CA" w:eastAsia="en-CA"/>
    </w:rPr>
  </w:style>
  <w:style w:type="table" w:styleId="TableGrid">
    <w:name w:val="Table Grid"/>
    <w:basedOn w:val="TableNormal"/>
    <w:uiPriority w:val="59"/>
    <w:rsid w:val="00A000B2"/>
    <w:rPr>
      <w:rFonts w:eastAsia="Times New Roman"/>
      <w:lang w:val="en-CA" w:eastAsia="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1">
    <w:name w:val="Citation1"/>
    <w:basedOn w:val="Normal"/>
    <w:qFormat/>
    <w:rsid w:val="005222CB"/>
    <w:pPr>
      <w:spacing w:after="720"/>
      <w:ind w:left="1166"/>
      <w:contextualSpacing/>
      <w:jc w:val="both"/>
    </w:pPr>
  </w:style>
  <w:style w:type="paragraph" w:styleId="FootnoteText">
    <w:name w:val="footnote text"/>
    <w:basedOn w:val="Normal"/>
    <w:link w:val="FootnoteTextChar"/>
    <w:semiHidden/>
    <w:unhideWhenUsed/>
    <w:rsid w:val="003514BF"/>
    <w:pPr>
      <w:spacing w:after="200" w:line="276" w:lineRule="auto"/>
    </w:pPr>
    <w:rPr>
      <w:rFonts w:ascii="Calibri" w:eastAsia="Calibri" w:hAnsi="Calibri"/>
      <w:sz w:val="20"/>
      <w:lang w:val="en-US" w:eastAsia="en-US"/>
    </w:rPr>
  </w:style>
  <w:style w:type="character" w:customStyle="1" w:styleId="FootnoteTextChar">
    <w:name w:val="Footnote Text Char"/>
    <w:basedOn w:val="DefaultParagraphFont"/>
    <w:link w:val="FootnoteText"/>
    <w:semiHidden/>
    <w:rsid w:val="003514BF"/>
    <w:rPr>
      <w:rFonts w:ascii="Calibri" w:eastAsia="Calibri" w:hAnsi="Calibri"/>
      <w:lang w:val="en-US" w:eastAsia="en-US"/>
    </w:rPr>
  </w:style>
  <w:style w:type="character" w:styleId="FootnoteReference">
    <w:name w:val="footnote reference"/>
    <w:basedOn w:val="DefaultParagraphFont"/>
    <w:semiHidden/>
    <w:rsid w:val="003514BF"/>
    <w:rPr>
      <w:vertAlign w:val="superscript"/>
    </w:rPr>
  </w:style>
  <w:style w:type="character" w:styleId="CommentReference">
    <w:name w:val="annotation reference"/>
    <w:basedOn w:val="DefaultParagraphFont"/>
    <w:uiPriority w:val="99"/>
    <w:unhideWhenUsed/>
    <w:rsid w:val="00A000B2"/>
    <w:rPr>
      <w:sz w:val="16"/>
      <w:szCs w:val="16"/>
    </w:rPr>
  </w:style>
  <w:style w:type="paragraph" w:styleId="CommentText">
    <w:name w:val="annotation text"/>
    <w:basedOn w:val="Normal"/>
    <w:link w:val="CommentTextChar"/>
    <w:uiPriority w:val="99"/>
    <w:unhideWhenUsed/>
    <w:rsid w:val="00A000B2"/>
    <w:rPr>
      <w:sz w:val="20"/>
    </w:rPr>
  </w:style>
  <w:style w:type="character" w:customStyle="1" w:styleId="CommentTextChar">
    <w:name w:val="Comment Text Char"/>
    <w:basedOn w:val="DefaultParagraphFont"/>
    <w:link w:val="CommentText"/>
    <w:uiPriority w:val="99"/>
    <w:rsid w:val="00A000B2"/>
    <w:rPr>
      <w:rFonts w:eastAsia="Times New Roman"/>
      <w:lang w:val="en-CA" w:eastAsia="en-CA"/>
    </w:rPr>
  </w:style>
  <w:style w:type="paragraph" w:styleId="CommentSubject">
    <w:name w:val="annotation subject"/>
    <w:basedOn w:val="CommentText"/>
    <w:next w:val="CommentText"/>
    <w:link w:val="CommentSubjectChar"/>
    <w:uiPriority w:val="99"/>
    <w:unhideWhenUsed/>
    <w:rsid w:val="00A000B2"/>
    <w:rPr>
      <w:b/>
      <w:bCs/>
    </w:rPr>
  </w:style>
  <w:style w:type="character" w:customStyle="1" w:styleId="CommentSubjectChar">
    <w:name w:val="Comment Subject Char"/>
    <w:basedOn w:val="CommentTextChar"/>
    <w:link w:val="CommentSubject"/>
    <w:uiPriority w:val="99"/>
    <w:rsid w:val="00A000B2"/>
    <w:rPr>
      <w:b/>
      <w:bCs/>
    </w:rPr>
  </w:style>
  <w:style w:type="paragraph" w:styleId="Revision">
    <w:name w:val="Revision"/>
    <w:hidden/>
    <w:uiPriority w:val="99"/>
    <w:semiHidden/>
    <w:rsid w:val="003514BF"/>
    <w:rPr>
      <w:sz w:val="24"/>
    </w:rPr>
  </w:style>
  <w:style w:type="character" w:customStyle="1" w:styleId="sxpl1">
    <w:name w:val="s_xpl1"/>
    <w:basedOn w:val="DefaultParagraphFont"/>
    <w:rsid w:val="003514BF"/>
    <w:rPr>
      <w:b w:val="0"/>
      <w:bCs w:val="0"/>
      <w:i/>
      <w:iCs/>
      <w:strike w:val="0"/>
      <w:dstrike w:val="0"/>
      <w:u w:val="none"/>
      <w:effect w:val="none"/>
    </w:rPr>
  </w:style>
  <w:style w:type="character" w:customStyle="1" w:styleId="slca1">
    <w:name w:val="s_lca1"/>
    <w:basedOn w:val="DefaultParagraphFont"/>
    <w:rsid w:val="003514BF"/>
    <w:rPr>
      <w:b/>
      <w:bCs/>
      <w:i w:val="0"/>
      <w:iCs w:val="0"/>
      <w:smallCaps/>
      <w:color w:val="000000"/>
      <w:sz w:val="23"/>
      <w:szCs w:val="23"/>
    </w:rPr>
  </w:style>
  <w:style w:type="character" w:customStyle="1" w:styleId="sgls1">
    <w:name w:val="s_gls1"/>
    <w:basedOn w:val="DefaultParagraphFont"/>
    <w:rsid w:val="003514BF"/>
    <w:rPr>
      <w:b w:val="0"/>
      <w:bCs w:val="0"/>
      <w:i w:val="0"/>
      <w:iCs w:val="0"/>
    </w:rPr>
  </w:style>
  <w:style w:type="character" w:customStyle="1" w:styleId="srvd1">
    <w:name w:val="s_rvd1"/>
    <w:basedOn w:val="DefaultParagraphFont"/>
    <w:rsid w:val="003514BF"/>
    <w:rPr>
      <w:rFonts w:ascii="Verdana" w:hAnsi="Verdana" w:hint="default"/>
      <w:b/>
      <w:bCs/>
      <w:i w:val="0"/>
      <w:iCs w:val="0"/>
      <w:color w:val="680368"/>
      <w:sz w:val="16"/>
      <w:szCs w:val="16"/>
    </w:rPr>
  </w:style>
  <w:style w:type="character" w:customStyle="1" w:styleId="clickable">
    <w:name w:val="clickable"/>
    <w:basedOn w:val="DefaultParagraphFont"/>
    <w:rsid w:val="003514BF"/>
  </w:style>
  <w:style w:type="character" w:customStyle="1" w:styleId="srvs1">
    <w:name w:val="s_rvs1"/>
    <w:basedOn w:val="DefaultParagraphFont"/>
    <w:rsid w:val="003514BF"/>
    <w:rPr>
      <w:rFonts w:ascii="Verdana" w:hAnsi="Verdana" w:hint="default"/>
      <w:b w:val="0"/>
      <w:bCs w:val="0"/>
      <w:i w:val="0"/>
      <w:iCs w:val="0"/>
      <w:smallCaps w:val="0"/>
      <w:sz w:val="20"/>
      <w:szCs w:val="20"/>
    </w:rPr>
  </w:style>
  <w:style w:type="character" w:customStyle="1" w:styleId="srarr1">
    <w:name w:val="s_rarr1"/>
    <w:basedOn w:val="DefaultParagraphFont"/>
    <w:rsid w:val="003514BF"/>
    <w:rPr>
      <w:rFonts w:ascii="Verdana" w:hAnsi="Verdana" w:hint="default"/>
      <w:i w:val="0"/>
      <w:iCs w:val="0"/>
      <w:sz w:val="26"/>
      <w:szCs w:val="26"/>
    </w:rPr>
  </w:style>
  <w:style w:type="character" w:customStyle="1" w:styleId="ssxpl1">
    <w:name w:val="ss_xpl1"/>
    <w:basedOn w:val="DefaultParagraphFont"/>
    <w:rsid w:val="003514BF"/>
    <w:rPr>
      <w:color w:val="999999"/>
      <w:sz w:val="20"/>
      <w:szCs w:val="20"/>
    </w:rPr>
  </w:style>
  <w:style w:type="character" w:customStyle="1" w:styleId="smta1">
    <w:name w:val="s_mta1"/>
    <w:basedOn w:val="DefaultParagraphFont"/>
    <w:rsid w:val="003514BF"/>
    <w:rPr>
      <w:rFonts w:ascii="Verdana" w:hAnsi="Verdana" w:hint="default"/>
      <w:b/>
      <w:bCs/>
      <w:i w:val="0"/>
      <w:iCs w:val="0"/>
      <w:smallCaps w:val="0"/>
      <w:strike w:val="0"/>
      <w:dstrike w:val="0"/>
      <w:sz w:val="16"/>
      <w:szCs w:val="16"/>
      <w:u w:val="none"/>
      <w:effect w:val="none"/>
    </w:rPr>
  </w:style>
  <w:style w:type="character" w:customStyle="1" w:styleId="sdfn1">
    <w:name w:val="s_dfn1"/>
    <w:basedOn w:val="DefaultParagraphFont"/>
    <w:rsid w:val="003514BF"/>
    <w:rPr>
      <w:b w:val="0"/>
      <w:bCs w:val="0"/>
      <w:i w:val="0"/>
      <w:iCs w:val="0"/>
      <w:color w:val="333399"/>
    </w:rPr>
  </w:style>
  <w:style w:type="character" w:customStyle="1" w:styleId="srvi1">
    <w:name w:val="s_rvi1"/>
    <w:basedOn w:val="DefaultParagraphFont"/>
    <w:rsid w:val="003514BF"/>
    <w:rPr>
      <w:rFonts w:ascii="Verdana" w:hAnsi="Verdana" w:hint="default"/>
      <w:b w:val="0"/>
      <w:bCs w:val="0"/>
      <w:i w:val="0"/>
      <w:iCs w:val="0"/>
      <w:smallCaps w:val="0"/>
      <w:sz w:val="20"/>
      <w:szCs w:val="20"/>
    </w:rPr>
  </w:style>
  <w:style w:type="paragraph" w:customStyle="1" w:styleId="ContinueReasonsNo-AltP">
    <w:name w:val="Continue Reasons No # - Alt P"/>
    <w:next w:val="ReasonsNumbering-AltN"/>
    <w:uiPriority w:val="1"/>
    <w:qFormat/>
    <w:rsid w:val="00A000B2"/>
    <w:pPr>
      <w:spacing w:before="480" w:after="480" w:line="480" w:lineRule="auto"/>
    </w:pPr>
    <w:rPr>
      <w:rFonts w:cstheme="minorBidi"/>
      <w:sz w:val="24"/>
      <w:szCs w:val="22"/>
      <w:lang w:val="en-CA"/>
    </w:rPr>
  </w:style>
  <w:style w:type="paragraph" w:customStyle="1" w:styleId="ReasonsNumbering-AltN">
    <w:name w:val="Reasons Numbering - Alt N"/>
    <w:qFormat/>
    <w:rsid w:val="00A000B2"/>
    <w:pPr>
      <w:numPr>
        <w:numId w:val="1"/>
      </w:numPr>
      <w:tabs>
        <w:tab w:val="left" w:pos="1152"/>
      </w:tabs>
      <w:spacing w:after="480" w:line="480" w:lineRule="auto"/>
      <w:ind w:left="0" w:firstLine="0"/>
      <w:jc w:val="both"/>
    </w:pPr>
    <w:rPr>
      <w:rFonts w:cstheme="minorBidi"/>
      <w:sz w:val="24"/>
      <w:szCs w:val="22"/>
      <w:lang w:val="en-CA"/>
    </w:rPr>
  </w:style>
  <w:style w:type="paragraph" w:customStyle="1" w:styleId="Citation-AltC">
    <w:name w:val="Citation - Alt C"/>
    <w:uiPriority w:val="2"/>
    <w:qFormat/>
    <w:rsid w:val="00A000B2"/>
    <w:pPr>
      <w:spacing w:after="720"/>
      <w:ind w:left="1166"/>
      <w:contextualSpacing/>
      <w:jc w:val="both"/>
    </w:pPr>
    <w:rPr>
      <w:rFonts w:eastAsia="Times New Roman"/>
      <w:sz w:val="24"/>
      <w:lang w:val="en-CA" w:eastAsia="en-CA"/>
    </w:rPr>
  </w:style>
  <w:style w:type="table" w:customStyle="1" w:styleId="TableGrid1">
    <w:name w:val="Table Grid1"/>
    <w:basedOn w:val="TableNormal"/>
    <w:next w:val="TableGrid"/>
    <w:uiPriority w:val="59"/>
    <w:rsid w:val="00946F39"/>
    <w:rPr>
      <w:rFonts w:cstheme="minorBidi"/>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yolai\Desktop\Ltr_J18_f%20-%20revised%20Feb%2021%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Ltr_J18_f - revised Feb 21 2011.dotx</Template>
  <TotalTime>0</TotalTime>
  <Pages>24</Pages>
  <Words>5590</Words>
  <Characters>28235</Characters>
  <Application>Microsoft Office Word</Application>
  <DocSecurity>0</DocSecurity>
  <Lines>235</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2011-02-16T16:07:00Z</dcterms:created>
  <dcterms:modified xsi:type="dcterms:W3CDTF">2011-06-27T18:17:00Z</dcterms:modified>
</cp:coreProperties>
</file>