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EC" w:rsidRPr="009C247D" w:rsidRDefault="00055FEC" w:rsidP="00055FEC">
      <w:pPr>
        <w:tabs>
          <w:tab w:val="center" w:pos="4680"/>
          <w:tab w:val="right" w:pos="9360"/>
        </w:tabs>
        <w:rPr>
          <w:rFonts w:cstheme="minorBidi"/>
          <w:szCs w:val="24"/>
          <w:lang w:eastAsia="en-US"/>
        </w:rPr>
      </w:pPr>
      <w:r w:rsidRPr="009C247D">
        <w:rPr>
          <w:rFonts w:cstheme="minorBidi"/>
          <w:szCs w:val="24"/>
          <w:lang w:eastAsia="en-US"/>
        </w:rPr>
        <w:ptab w:relativeTo="margin" w:alignment="center" w:leader="none"/>
      </w:r>
      <w:r w:rsidRPr="009C247D">
        <w:rPr>
          <w:rFonts w:cstheme="minorBidi"/>
          <w:szCs w:val="24"/>
          <w:lang w:eastAsia="en-US"/>
        </w:rPr>
        <w:t xml:space="preserve"> </w:t>
      </w:r>
      <w:r w:rsidRPr="009C247D">
        <w:rPr>
          <w:rFonts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70689773" r:id="rId9"/>
        </w:object>
      </w:r>
      <w:r w:rsidRPr="009C247D">
        <w:rPr>
          <w:rFonts w:cstheme="minorBidi"/>
          <w:szCs w:val="24"/>
          <w:lang w:eastAsia="en-US"/>
        </w:rPr>
        <w:t xml:space="preserve"> </w:t>
      </w:r>
      <w:r w:rsidRPr="009C247D">
        <w:rPr>
          <w:rFonts w:cstheme="minorBidi"/>
          <w:szCs w:val="24"/>
          <w:lang w:eastAsia="en-US"/>
        </w:rPr>
        <w:ptab w:relativeTo="margin" w:alignment="right" w:leader="none"/>
      </w:r>
    </w:p>
    <w:p w:rsidR="00055FEC" w:rsidRPr="009C247D" w:rsidRDefault="00055FEC" w:rsidP="00055FEC">
      <w:pPr>
        <w:tabs>
          <w:tab w:val="center" w:pos="4680"/>
          <w:tab w:val="right" w:pos="9360"/>
        </w:tabs>
        <w:rPr>
          <w:rFonts w:cstheme="minorBidi"/>
          <w:szCs w:val="24"/>
          <w:lang w:eastAsia="en-US"/>
        </w:rPr>
      </w:pPr>
    </w:p>
    <w:p w:rsidR="00055FEC" w:rsidRPr="009C247D" w:rsidRDefault="00055FEC" w:rsidP="00055FEC">
      <w:pPr>
        <w:jc w:val="center"/>
        <w:rPr>
          <w:rFonts w:cstheme="minorBidi"/>
          <w:b/>
          <w:szCs w:val="24"/>
          <w:lang w:eastAsia="en-US"/>
        </w:rPr>
      </w:pPr>
      <w:r w:rsidRPr="009C247D">
        <w:rPr>
          <w:rFonts w:cstheme="minorBidi"/>
          <w:b/>
          <w:szCs w:val="24"/>
          <w:lang w:eastAsia="en-US"/>
        </w:rPr>
        <w:t>COUR SUPRÊME DU CANADA</w:t>
      </w:r>
    </w:p>
    <w:p w:rsidR="00055FEC" w:rsidRPr="009C247D" w:rsidRDefault="00055FEC" w:rsidP="00055FEC">
      <w:pPr>
        <w:rPr>
          <w:rFonts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55FEC" w:rsidRPr="009C247D" w:rsidTr="00F943DD">
        <w:trPr>
          <w:cantSplit/>
        </w:trPr>
        <w:tc>
          <w:tcPr>
            <w:tcW w:w="6768" w:type="dxa"/>
          </w:tcPr>
          <w:p w:rsidR="00055FEC" w:rsidRPr="00055FEC" w:rsidRDefault="00055FEC" w:rsidP="00F943DD">
            <w:pPr>
              <w:rPr>
                <w:lang w:val="fr-CA" w:eastAsia="en-US"/>
              </w:rPr>
            </w:pPr>
            <w:r w:rsidRPr="00055FEC">
              <w:rPr>
                <w:b/>
                <w:smallCaps/>
                <w:lang w:val="fr-CA" w:eastAsia="en-US"/>
              </w:rPr>
              <w:t>Référence :</w:t>
            </w:r>
            <w:r w:rsidRPr="00055FEC">
              <w:rPr>
                <w:lang w:val="fr-CA" w:eastAsia="en-US"/>
              </w:rPr>
              <w:t xml:space="preserve"> </w:t>
            </w:r>
            <w:r w:rsidRPr="00055FEC">
              <w:rPr>
                <w:lang w:val="fr-CA"/>
              </w:rPr>
              <w:t>Société Radio-Canada</w:t>
            </w:r>
            <w:r w:rsidRPr="00055FEC">
              <w:rPr>
                <w:lang w:val="fr-CA" w:eastAsia="en-US"/>
              </w:rPr>
              <w:t xml:space="preserve"> </w:t>
            </w:r>
            <w:r w:rsidRPr="00055FEC">
              <w:rPr>
                <w:i/>
                <w:lang w:val="fr-CA" w:eastAsia="en-US"/>
              </w:rPr>
              <w:t>c.</w:t>
            </w:r>
            <w:r w:rsidRPr="00055FEC">
              <w:rPr>
                <w:lang w:val="fr-CA" w:eastAsia="en-US"/>
              </w:rPr>
              <w:t xml:space="preserve"> La Reine, </w:t>
            </w:r>
            <w:r w:rsidRPr="00516C7E">
              <w:rPr>
                <w:rStyle w:val="SCCRespondentForIndexChar"/>
                <w:b w:val="0"/>
                <w:lang w:val="fr-CA"/>
              </w:rPr>
              <w:t xml:space="preserve">2011 </w:t>
            </w:r>
            <w:r>
              <w:rPr>
                <w:rStyle w:val="SCCRespondentForIndexChar"/>
                <w:b w:val="0"/>
                <w:lang w:val="fr-CA"/>
              </w:rPr>
              <w:t>C</w:t>
            </w:r>
            <w:r w:rsidRPr="00516C7E">
              <w:rPr>
                <w:rStyle w:val="SCCRespondentForIndexChar"/>
                <w:b w:val="0"/>
                <w:lang w:val="fr-CA"/>
              </w:rPr>
              <w:t xml:space="preserve">SC </w:t>
            </w:r>
            <w:r>
              <w:rPr>
                <w:rStyle w:val="SCCRespondentForIndexChar"/>
                <w:b w:val="0"/>
                <w:lang w:val="fr-CA"/>
              </w:rPr>
              <w:t>3</w:t>
            </w:r>
            <w:r w:rsidRPr="00516C7E">
              <w:rPr>
                <w:rStyle w:val="SCCRespondentForIndexChar"/>
                <w:b w:val="0"/>
                <w:lang w:val="fr-CA"/>
              </w:rPr>
              <w:t xml:space="preserve">, [2011] 1 </w:t>
            </w:r>
            <w:r>
              <w:rPr>
                <w:rStyle w:val="SCCRespondentForIndexChar"/>
                <w:b w:val="0"/>
                <w:lang w:val="fr-CA"/>
              </w:rPr>
              <w:t>R.C.</w:t>
            </w:r>
            <w:r w:rsidRPr="00516C7E">
              <w:rPr>
                <w:rStyle w:val="SCCRespondentForIndexChar"/>
                <w:b w:val="0"/>
                <w:lang w:val="fr-CA"/>
              </w:rPr>
              <w:t xml:space="preserve">S. </w:t>
            </w:r>
            <w:r>
              <w:rPr>
                <w:rStyle w:val="SCCRespondentForIndexChar"/>
                <w:b w:val="0"/>
                <w:lang w:val="fr-CA"/>
              </w:rPr>
              <w:t>65</w:t>
            </w:r>
          </w:p>
        </w:tc>
        <w:tc>
          <w:tcPr>
            <w:tcW w:w="2808" w:type="dxa"/>
          </w:tcPr>
          <w:p w:rsidR="00055FEC" w:rsidRPr="009C247D" w:rsidRDefault="00055FEC" w:rsidP="00F943DD">
            <w:pPr>
              <w:rPr>
                <w:lang w:eastAsia="en-US"/>
              </w:rPr>
            </w:pPr>
            <w:r w:rsidRPr="009C247D">
              <w:rPr>
                <w:b/>
                <w:smallCaps/>
                <w:lang w:eastAsia="en-US"/>
              </w:rPr>
              <w:t>Date :</w:t>
            </w:r>
            <w:r w:rsidRPr="009C247D">
              <w:rPr>
                <w:lang w:eastAsia="en-US"/>
              </w:rPr>
              <w:t xml:space="preserve"> 20110128</w:t>
            </w:r>
          </w:p>
          <w:p w:rsidR="00055FEC" w:rsidRPr="009C247D" w:rsidRDefault="00055FEC" w:rsidP="00F943DD">
            <w:pPr>
              <w:rPr>
                <w:lang w:eastAsia="en-US"/>
              </w:rPr>
            </w:pPr>
            <w:r w:rsidRPr="009C247D">
              <w:rPr>
                <w:b/>
                <w:smallCaps/>
                <w:lang w:eastAsia="en-US"/>
              </w:rPr>
              <w:t>Dossier :</w:t>
            </w:r>
            <w:r w:rsidRPr="009C247D">
              <w:rPr>
                <w:lang w:eastAsia="en-US"/>
              </w:rPr>
              <w:t xml:space="preserve"> 32987</w:t>
            </w:r>
          </w:p>
        </w:tc>
      </w:tr>
    </w:tbl>
    <w:p w:rsidR="00055FEC" w:rsidRPr="009C247D" w:rsidRDefault="00055FEC" w:rsidP="00055FEC">
      <w:pPr>
        <w:rPr>
          <w:rFonts w:cstheme="minorBidi"/>
          <w:szCs w:val="24"/>
          <w:lang w:eastAsia="en-US"/>
        </w:rPr>
      </w:pPr>
    </w:p>
    <w:p w:rsidR="00055FEC" w:rsidRPr="009C247D" w:rsidRDefault="00055FEC" w:rsidP="00055FEC">
      <w:pPr>
        <w:rPr>
          <w:rFonts w:cstheme="minorBidi"/>
          <w:b/>
          <w:smallCaps/>
          <w:szCs w:val="24"/>
          <w:lang w:eastAsia="en-US"/>
        </w:rPr>
      </w:pPr>
      <w:proofErr w:type="gramStart"/>
      <w:r w:rsidRPr="009C247D">
        <w:rPr>
          <w:rFonts w:cstheme="minorBidi"/>
          <w:b/>
          <w:smallCaps/>
          <w:szCs w:val="24"/>
          <w:lang w:eastAsia="en-US"/>
        </w:rPr>
        <w:t>Entre :</w:t>
      </w:r>
      <w:proofErr w:type="gramEnd"/>
    </w:p>
    <w:p w:rsidR="00055FEC" w:rsidRPr="009C247D" w:rsidRDefault="00055FEC" w:rsidP="00055FEC">
      <w:pPr>
        <w:jc w:val="center"/>
        <w:rPr>
          <w:rFonts w:cstheme="minorBidi"/>
          <w:b/>
          <w:szCs w:val="24"/>
          <w:lang w:eastAsia="en-US"/>
        </w:rPr>
      </w:pPr>
      <w:proofErr w:type="spellStart"/>
      <w:r w:rsidRPr="009C247D">
        <w:rPr>
          <w:rFonts w:cstheme="minorBidi"/>
          <w:b/>
          <w:szCs w:val="24"/>
          <w:lang w:eastAsia="en-US"/>
        </w:rPr>
        <w:t>Société</w:t>
      </w:r>
      <w:proofErr w:type="spellEnd"/>
      <w:r w:rsidRPr="009C247D">
        <w:rPr>
          <w:rFonts w:cstheme="minorBidi"/>
          <w:b/>
          <w:szCs w:val="24"/>
          <w:lang w:eastAsia="en-US"/>
        </w:rPr>
        <w:t xml:space="preserve"> Radio-Canada</w:t>
      </w:r>
    </w:p>
    <w:p w:rsidR="00055FEC" w:rsidRPr="009C247D" w:rsidRDefault="00055FEC" w:rsidP="00055FEC">
      <w:pPr>
        <w:jc w:val="center"/>
        <w:rPr>
          <w:rFonts w:cstheme="minorBidi"/>
          <w:szCs w:val="24"/>
          <w:lang w:eastAsia="en-US"/>
        </w:rPr>
      </w:pPr>
      <w:proofErr w:type="spellStart"/>
      <w:r w:rsidRPr="009C247D">
        <w:rPr>
          <w:rFonts w:cstheme="minorBidi"/>
          <w:szCs w:val="24"/>
          <w:lang w:eastAsia="en-US"/>
        </w:rPr>
        <w:t>Appelante</w:t>
      </w:r>
      <w:proofErr w:type="spellEnd"/>
    </w:p>
    <w:p w:rsidR="00055FEC" w:rsidRPr="009C247D" w:rsidRDefault="00055FEC" w:rsidP="00055FEC">
      <w:pPr>
        <w:jc w:val="center"/>
        <w:rPr>
          <w:rFonts w:cstheme="minorBidi"/>
          <w:szCs w:val="24"/>
          <w:lang w:eastAsia="en-US"/>
        </w:rPr>
      </w:pPr>
      <w:proofErr w:type="gramStart"/>
      <w:r w:rsidRPr="009C247D">
        <w:rPr>
          <w:rFonts w:cstheme="minorBidi"/>
          <w:szCs w:val="24"/>
          <w:lang w:eastAsia="en-US"/>
        </w:rPr>
        <w:t>et</w:t>
      </w:r>
      <w:proofErr w:type="gramEnd"/>
    </w:p>
    <w:p w:rsidR="00055FEC" w:rsidRPr="00055FEC" w:rsidRDefault="00055FEC" w:rsidP="00055FEC">
      <w:pPr>
        <w:jc w:val="center"/>
        <w:rPr>
          <w:rFonts w:cstheme="minorBidi"/>
          <w:b/>
          <w:szCs w:val="24"/>
          <w:lang w:val="fr-CA" w:eastAsia="en-US"/>
        </w:rPr>
      </w:pPr>
      <w:r w:rsidRPr="00055FEC">
        <w:rPr>
          <w:rFonts w:cstheme="minorBidi"/>
          <w:b/>
          <w:szCs w:val="24"/>
          <w:lang w:val="fr-CA" w:eastAsia="en-US"/>
        </w:rPr>
        <w:t>Sa Majesté la Reine et Stéphan Dufour</w:t>
      </w:r>
    </w:p>
    <w:p w:rsidR="00055FEC" w:rsidRPr="00055FEC" w:rsidRDefault="00055FEC" w:rsidP="00055FEC">
      <w:pPr>
        <w:jc w:val="center"/>
        <w:rPr>
          <w:rFonts w:cstheme="minorBidi"/>
          <w:szCs w:val="24"/>
          <w:lang w:val="fr-CA" w:eastAsia="en-US"/>
        </w:rPr>
      </w:pPr>
      <w:r w:rsidRPr="00055FEC">
        <w:rPr>
          <w:rFonts w:cstheme="minorBidi"/>
          <w:szCs w:val="24"/>
          <w:lang w:val="fr-CA" w:eastAsia="en-US"/>
        </w:rPr>
        <w:t>Intimés</w:t>
      </w:r>
    </w:p>
    <w:p w:rsidR="00055FEC" w:rsidRPr="00055FEC" w:rsidRDefault="00055FEC" w:rsidP="00055FEC">
      <w:pPr>
        <w:jc w:val="center"/>
        <w:rPr>
          <w:rFonts w:cstheme="minorBidi"/>
          <w:szCs w:val="24"/>
          <w:lang w:val="fr-CA" w:eastAsia="en-US"/>
        </w:rPr>
      </w:pPr>
      <w:r w:rsidRPr="00055FEC">
        <w:rPr>
          <w:rFonts w:cstheme="minorBidi"/>
          <w:szCs w:val="24"/>
          <w:lang w:val="fr-CA" w:eastAsia="en-US"/>
        </w:rPr>
        <w:t>- et -</w:t>
      </w:r>
    </w:p>
    <w:p w:rsidR="00055FEC" w:rsidRPr="00055FEC" w:rsidRDefault="00055FEC" w:rsidP="00055FEC">
      <w:pPr>
        <w:jc w:val="center"/>
        <w:rPr>
          <w:rFonts w:cstheme="minorBidi"/>
          <w:b/>
          <w:szCs w:val="24"/>
          <w:lang w:val="fr-CA" w:eastAsia="en-US"/>
        </w:rPr>
      </w:pPr>
      <w:r w:rsidRPr="00055FEC">
        <w:rPr>
          <w:rFonts w:cstheme="minorBidi"/>
          <w:b/>
          <w:szCs w:val="24"/>
          <w:lang w:val="fr-CA" w:eastAsia="en-US"/>
        </w:rPr>
        <w:t>Procureur général du Canada, procureur général du Québec,</w:t>
      </w:r>
    </w:p>
    <w:p w:rsidR="00055FEC" w:rsidRPr="00055FEC" w:rsidRDefault="00055FEC" w:rsidP="00055FEC">
      <w:pPr>
        <w:jc w:val="center"/>
        <w:rPr>
          <w:rFonts w:cstheme="minorBidi"/>
          <w:b/>
          <w:szCs w:val="24"/>
          <w:lang w:val="fr-CA" w:eastAsia="en-US"/>
        </w:rPr>
      </w:pPr>
      <w:proofErr w:type="gramStart"/>
      <w:r w:rsidRPr="00055FEC">
        <w:rPr>
          <w:rFonts w:cstheme="minorBidi"/>
          <w:b/>
          <w:szCs w:val="24"/>
          <w:lang w:val="fr-CA" w:eastAsia="en-US"/>
        </w:rPr>
        <w:t>procureur</w:t>
      </w:r>
      <w:proofErr w:type="gramEnd"/>
      <w:r w:rsidRPr="00055FEC">
        <w:rPr>
          <w:rFonts w:cstheme="minorBidi"/>
          <w:b/>
          <w:szCs w:val="24"/>
          <w:lang w:val="fr-CA" w:eastAsia="en-US"/>
        </w:rPr>
        <w:t xml:space="preserve"> général du Nouveau-Brunswick, procureur général de l’Alberta,</w:t>
      </w:r>
    </w:p>
    <w:p w:rsidR="00055FEC" w:rsidRPr="00055FEC" w:rsidRDefault="00055FEC" w:rsidP="00055FEC">
      <w:pPr>
        <w:jc w:val="center"/>
        <w:rPr>
          <w:rFonts w:cstheme="minorBidi"/>
          <w:b/>
          <w:szCs w:val="24"/>
          <w:lang w:val="fr-CA" w:eastAsia="en-US"/>
        </w:rPr>
      </w:pPr>
      <w:r w:rsidRPr="00055FEC">
        <w:rPr>
          <w:rFonts w:cstheme="minorBidi"/>
          <w:b/>
          <w:szCs w:val="24"/>
          <w:lang w:val="fr-CA" w:eastAsia="en-US"/>
        </w:rPr>
        <w:t>Association des libertés civiles de la Colombie</w:t>
      </w:r>
      <w:r w:rsidRPr="00055FEC">
        <w:rPr>
          <w:rFonts w:ascii="MS Mincho" w:eastAsia="MS Mincho" w:hAnsi="MS Mincho" w:cs="MS Mincho" w:hint="eastAsia"/>
          <w:b/>
          <w:szCs w:val="24"/>
          <w:lang w:val="fr-CA" w:eastAsia="en-US"/>
        </w:rPr>
        <w:t>‑</w:t>
      </w:r>
      <w:r w:rsidRPr="00055FEC">
        <w:rPr>
          <w:rFonts w:cstheme="minorBidi"/>
          <w:b/>
          <w:szCs w:val="24"/>
          <w:lang w:val="fr-CA" w:eastAsia="en-US"/>
        </w:rPr>
        <w:t>Britannique et</w:t>
      </w:r>
    </w:p>
    <w:p w:rsidR="00055FEC" w:rsidRPr="00055FEC" w:rsidRDefault="00055FEC" w:rsidP="00055FEC">
      <w:pPr>
        <w:jc w:val="center"/>
        <w:rPr>
          <w:rFonts w:cstheme="minorBidi"/>
          <w:b/>
          <w:szCs w:val="24"/>
          <w:lang w:val="fr-CA" w:eastAsia="en-US"/>
        </w:rPr>
      </w:pPr>
      <w:r w:rsidRPr="00055FEC">
        <w:rPr>
          <w:rFonts w:cstheme="minorBidi"/>
          <w:b/>
          <w:szCs w:val="24"/>
          <w:lang w:val="fr-CA" w:eastAsia="en-US"/>
        </w:rPr>
        <w:t>Association canadienne des libertés civiles</w:t>
      </w:r>
    </w:p>
    <w:p w:rsidR="00055FEC" w:rsidRPr="00055FEC" w:rsidRDefault="00055FEC" w:rsidP="00055FEC">
      <w:pPr>
        <w:jc w:val="center"/>
        <w:rPr>
          <w:rFonts w:cstheme="minorBidi"/>
          <w:szCs w:val="24"/>
          <w:lang w:val="fr-CA" w:eastAsia="en-US"/>
        </w:rPr>
      </w:pPr>
      <w:r w:rsidRPr="00055FEC">
        <w:rPr>
          <w:rFonts w:cstheme="minorBidi"/>
          <w:szCs w:val="24"/>
          <w:lang w:val="fr-CA" w:eastAsia="en-US"/>
        </w:rPr>
        <w:t>Intervenants</w:t>
      </w:r>
    </w:p>
    <w:p w:rsidR="00055FEC" w:rsidRPr="00055FEC" w:rsidRDefault="00055FEC" w:rsidP="00055FEC">
      <w:pPr>
        <w:rPr>
          <w:rFonts w:cstheme="minorBidi"/>
          <w:szCs w:val="24"/>
          <w:lang w:val="fr-CA" w:eastAsia="en-US"/>
        </w:rPr>
      </w:pPr>
    </w:p>
    <w:p w:rsidR="00055FEC" w:rsidRPr="00055FEC" w:rsidRDefault="00055FEC" w:rsidP="00055FEC">
      <w:pPr>
        <w:rPr>
          <w:rFonts w:cstheme="minorBidi"/>
          <w:szCs w:val="24"/>
          <w:lang w:val="fr-CA" w:eastAsia="en-US"/>
        </w:rPr>
      </w:pPr>
    </w:p>
    <w:p w:rsidR="00055FEC" w:rsidRPr="00055FEC" w:rsidRDefault="00055FEC" w:rsidP="00055FEC">
      <w:pPr>
        <w:rPr>
          <w:rFonts w:cstheme="minorBidi"/>
          <w:szCs w:val="24"/>
          <w:lang w:val="fr-CA" w:eastAsia="en-US"/>
        </w:rPr>
      </w:pPr>
      <w:r w:rsidRPr="00055FEC">
        <w:rPr>
          <w:rFonts w:cstheme="minorBidi"/>
          <w:b/>
          <w:smallCaps/>
          <w:szCs w:val="24"/>
          <w:lang w:val="fr-CA" w:eastAsia="en-US"/>
        </w:rPr>
        <w:t>Coram :</w:t>
      </w:r>
      <w:r w:rsidRPr="00055FEC">
        <w:rPr>
          <w:rFonts w:cstheme="minorBidi"/>
          <w:szCs w:val="24"/>
          <w:lang w:val="fr-CA" w:eastAsia="en-US"/>
        </w:rPr>
        <w:t xml:space="preserve"> La juge en chef </w:t>
      </w:r>
      <w:proofErr w:type="spellStart"/>
      <w:r w:rsidRPr="00055FEC">
        <w:rPr>
          <w:rFonts w:cstheme="minorBidi"/>
          <w:szCs w:val="24"/>
          <w:lang w:val="fr-CA" w:eastAsia="en-US"/>
        </w:rPr>
        <w:t>McLachlin</w:t>
      </w:r>
      <w:proofErr w:type="spellEnd"/>
      <w:r w:rsidRPr="00055FEC">
        <w:rPr>
          <w:rFonts w:cstheme="minorBidi"/>
          <w:szCs w:val="24"/>
          <w:lang w:val="fr-CA" w:eastAsia="en-US"/>
        </w:rPr>
        <w:t xml:space="preserve"> et les juges </w:t>
      </w:r>
      <w:proofErr w:type="spellStart"/>
      <w:r w:rsidRPr="00055FEC">
        <w:rPr>
          <w:rFonts w:cstheme="minorBidi"/>
          <w:szCs w:val="24"/>
          <w:lang w:val="fr-CA" w:eastAsia="en-US"/>
        </w:rPr>
        <w:t>Binnie</w:t>
      </w:r>
      <w:proofErr w:type="spellEnd"/>
      <w:r w:rsidRPr="00055FEC">
        <w:rPr>
          <w:rFonts w:cstheme="minorBidi"/>
          <w:szCs w:val="24"/>
          <w:lang w:val="fr-CA" w:eastAsia="en-US"/>
        </w:rPr>
        <w:t xml:space="preserve">, </w:t>
      </w:r>
      <w:proofErr w:type="spellStart"/>
      <w:r w:rsidRPr="00055FEC">
        <w:rPr>
          <w:rFonts w:cstheme="minorBidi"/>
          <w:szCs w:val="24"/>
          <w:lang w:val="fr-CA" w:eastAsia="en-US"/>
        </w:rPr>
        <w:t>LeBel</w:t>
      </w:r>
      <w:proofErr w:type="spellEnd"/>
      <w:r w:rsidRPr="00055FEC">
        <w:rPr>
          <w:rFonts w:cstheme="minorBidi"/>
          <w:szCs w:val="24"/>
          <w:lang w:val="fr-CA" w:eastAsia="en-US"/>
        </w:rPr>
        <w:t xml:space="preserve">, Deschamps, Fish, Abella, Charron, </w:t>
      </w:r>
      <w:proofErr w:type="spellStart"/>
      <w:r w:rsidRPr="00055FEC">
        <w:rPr>
          <w:rFonts w:cstheme="minorBidi"/>
          <w:szCs w:val="24"/>
          <w:lang w:val="fr-CA" w:eastAsia="en-US"/>
        </w:rPr>
        <w:t>Rothstein</w:t>
      </w:r>
      <w:proofErr w:type="spellEnd"/>
      <w:r w:rsidRPr="00055FEC">
        <w:rPr>
          <w:rFonts w:cstheme="minorBidi"/>
          <w:szCs w:val="24"/>
          <w:lang w:val="fr-CA" w:eastAsia="en-US"/>
        </w:rPr>
        <w:t xml:space="preserve"> et Cromwell</w:t>
      </w:r>
    </w:p>
    <w:p w:rsidR="00055FEC" w:rsidRPr="00055FEC" w:rsidRDefault="00055FEC" w:rsidP="00055FEC">
      <w:pPr>
        <w:rPr>
          <w:rFonts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55FEC" w:rsidRPr="00055FEC" w:rsidTr="00F943DD">
        <w:trPr>
          <w:cantSplit/>
        </w:trPr>
        <w:tc>
          <w:tcPr>
            <w:tcW w:w="3618" w:type="dxa"/>
          </w:tcPr>
          <w:p w:rsidR="00055FEC" w:rsidRPr="00055FEC" w:rsidRDefault="00055FEC" w:rsidP="00F943DD">
            <w:pPr>
              <w:rPr>
                <w:b/>
                <w:smallCaps/>
                <w:lang w:val="fr-CA" w:eastAsia="en-US"/>
              </w:rPr>
            </w:pPr>
            <w:r w:rsidRPr="00055FEC">
              <w:rPr>
                <w:b/>
                <w:smallCaps/>
                <w:lang w:val="fr-CA" w:eastAsia="en-US"/>
              </w:rPr>
              <w:t>Motifs de jugement :</w:t>
            </w:r>
          </w:p>
          <w:p w:rsidR="00055FEC" w:rsidRPr="00055FEC" w:rsidRDefault="00055FEC" w:rsidP="00F943DD">
            <w:pPr>
              <w:rPr>
                <w:lang w:val="fr-CA" w:eastAsia="en-US"/>
              </w:rPr>
            </w:pPr>
            <w:r w:rsidRPr="00055FEC">
              <w:rPr>
                <w:lang w:val="fr-CA" w:eastAsia="en-US"/>
              </w:rPr>
              <w:t>(par. 1 à 20)</w:t>
            </w:r>
          </w:p>
        </w:tc>
        <w:tc>
          <w:tcPr>
            <w:tcW w:w="5958" w:type="dxa"/>
          </w:tcPr>
          <w:p w:rsidR="00055FEC" w:rsidRPr="00055FEC" w:rsidRDefault="00055FEC" w:rsidP="00F943DD">
            <w:pPr>
              <w:rPr>
                <w:lang w:val="fr-CA" w:eastAsia="en-US"/>
              </w:rPr>
            </w:pPr>
            <w:r w:rsidRPr="00055FEC">
              <w:rPr>
                <w:lang w:val="fr-CA" w:eastAsia="en-US"/>
              </w:rPr>
              <w:t xml:space="preserve">La juge Deschamps (avec l’accord de la juge en chef </w:t>
            </w:r>
            <w:proofErr w:type="spellStart"/>
            <w:r w:rsidRPr="00055FEC">
              <w:rPr>
                <w:lang w:val="fr-CA" w:eastAsia="en-US"/>
              </w:rPr>
              <w:t>McLachlin</w:t>
            </w:r>
            <w:proofErr w:type="spellEnd"/>
            <w:r w:rsidRPr="00055FEC">
              <w:rPr>
                <w:lang w:val="fr-CA" w:eastAsia="en-US"/>
              </w:rPr>
              <w:t xml:space="preserve"> et des juges </w:t>
            </w:r>
            <w:proofErr w:type="spellStart"/>
            <w:r w:rsidRPr="00055FEC">
              <w:rPr>
                <w:lang w:val="fr-CA" w:eastAsia="en-US"/>
              </w:rPr>
              <w:t>Binnie</w:t>
            </w:r>
            <w:proofErr w:type="spellEnd"/>
            <w:r w:rsidRPr="00055FEC">
              <w:rPr>
                <w:lang w:val="fr-CA" w:eastAsia="en-US"/>
              </w:rPr>
              <w:t xml:space="preserve">, </w:t>
            </w:r>
            <w:proofErr w:type="spellStart"/>
            <w:r w:rsidRPr="00055FEC">
              <w:rPr>
                <w:lang w:val="fr-CA" w:eastAsia="en-US"/>
              </w:rPr>
              <w:t>LeBel</w:t>
            </w:r>
            <w:proofErr w:type="spellEnd"/>
            <w:r w:rsidRPr="00055FEC">
              <w:rPr>
                <w:lang w:val="fr-CA" w:eastAsia="en-US"/>
              </w:rPr>
              <w:t xml:space="preserve">, Fish, Abella, Charron, </w:t>
            </w:r>
            <w:proofErr w:type="spellStart"/>
            <w:r w:rsidRPr="00055FEC">
              <w:rPr>
                <w:lang w:val="fr-CA" w:eastAsia="en-US"/>
              </w:rPr>
              <w:t>Rothstein</w:t>
            </w:r>
            <w:proofErr w:type="spellEnd"/>
            <w:r w:rsidRPr="00055FEC">
              <w:rPr>
                <w:lang w:val="fr-CA" w:eastAsia="en-US"/>
              </w:rPr>
              <w:t xml:space="preserve"> et Cromwell)</w:t>
            </w:r>
          </w:p>
        </w:tc>
      </w:tr>
    </w:tbl>
    <w:p w:rsidR="00055FEC" w:rsidRPr="00055FEC" w:rsidRDefault="00055FEC" w:rsidP="00055FEC">
      <w:pPr>
        <w:rPr>
          <w:rFonts w:cstheme="minorBidi"/>
          <w:szCs w:val="24"/>
          <w:lang w:val="fr-CA" w:eastAsia="en-US"/>
        </w:rPr>
      </w:pPr>
    </w:p>
    <w:p w:rsidR="00055FEC" w:rsidRPr="00055FEC" w:rsidRDefault="00055FEC" w:rsidP="00055FEC">
      <w:pPr>
        <w:rPr>
          <w:rFonts w:cstheme="minorBidi"/>
          <w:szCs w:val="24"/>
          <w:lang w:val="fr-CA" w:eastAsia="en-US"/>
        </w:rPr>
      </w:pPr>
      <w:r>
        <w:rPr>
          <w:rFonts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055FEC" w:rsidRPr="00055FEC" w:rsidRDefault="00055FEC" w:rsidP="00055FEC">
      <w:pPr>
        <w:rPr>
          <w:rStyle w:val="SCCAppellantForRunningHeadChar"/>
          <w:lang w:val="fr-CA"/>
        </w:rPr>
      </w:pPr>
      <w:r w:rsidRPr="00055FEC">
        <w:rPr>
          <w:rStyle w:val="SCCAppellantForRunningHeadChar"/>
          <w:lang w:val="fr-CA"/>
        </w:rPr>
        <w:br w:type="page"/>
      </w:r>
    </w:p>
    <w:p w:rsidR="008322BD" w:rsidRPr="002E7F1E" w:rsidRDefault="00292FF2" w:rsidP="00140667">
      <w:pPr>
        <w:spacing w:line="480" w:lineRule="auto"/>
        <w:jc w:val="both"/>
        <w:rPr>
          <w:lang w:val="fr-CA"/>
        </w:rPr>
      </w:pPr>
      <w:r w:rsidRPr="00292FF2">
        <w:rPr>
          <w:rStyle w:val="SCCAppellantForIndexChar"/>
          <w:b w:val="0"/>
          <w:lang w:val="fr-CA"/>
        </w:rPr>
        <w:lastRenderedPageBreak/>
        <w:t xml:space="preserve">Société </w:t>
      </w:r>
      <w:proofErr w:type="spellStart"/>
      <w:r w:rsidRPr="00292FF2">
        <w:rPr>
          <w:rStyle w:val="SCCAppellantForIndexChar"/>
          <w:b w:val="0"/>
          <w:lang w:val="fr-CA"/>
        </w:rPr>
        <w:t>Radio</w:t>
      </w:r>
      <w:r w:rsidRPr="00292FF2">
        <w:rPr>
          <w:rStyle w:val="SCCAppellantForIndexChar"/>
          <w:b w:val="0"/>
          <w:lang w:val="fr-CA"/>
        </w:rPr>
        <w:noBreakHyphen/>
        <w:t>Canada</w:t>
      </w:r>
      <w:proofErr w:type="spellEnd"/>
      <w:r w:rsidRPr="00292FF2">
        <w:rPr>
          <w:lang w:val="fr-CA"/>
        </w:rPr>
        <w:t xml:space="preserve"> </w:t>
      </w:r>
      <w:r w:rsidRPr="00292FF2">
        <w:rPr>
          <w:i/>
          <w:lang w:val="fr-CA"/>
        </w:rPr>
        <w:t>c.</w:t>
      </w:r>
      <w:r w:rsidRPr="00292FF2">
        <w:rPr>
          <w:lang w:val="fr-CA"/>
        </w:rPr>
        <w:t xml:space="preserve"> La Reine</w:t>
      </w:r>
      <w:r>
        <w:rPr>
          <w:smallCaps/>
          <w:lang w:val="fr-CA"/>
        </w:rPr>
        <w:t xml:space="preserve">, </w:t>
      </w:r>
      <w:r w:rsidRPr="00516C7E">
        <w:rPr>
          <w:rStyle w:val="SCCRespondentForIndexChar"/>
          <w:b w:val="0"/>
          <w:lang w:val="fr-CA"/>
        </w:rPr>
        <w:t xml:space="preserve">2011 </w:t>
      </w:r>
      <w:r>
        <w:rPr>
          <w:rStyle w:val="SCCRespondentForIndexChar"/>
          <w:b w:val="0"/>
          <w:lang w:val="fr-CA"/>
        </w:rPr>
        <w:t>C</w:t>
      </w:r>
      <w:r w:rsidRPr="00516C7E">
        <w:rPr>
          <w:rStyle w:val="SCCRespondentForIndexChar"/>
          <w:b w:val="0"/>
          <w:lang w:val="fr-CA"/>
        </w:rPr>
        <w:t xml:space="preserve">SC </w:t>
      </w:r>
      <w:r>
        <w:rPr>
          <w:rStyle w:val="SCCRespondentForIndexChar"/>
          <w:b w:val="0"/>
          <w:lang w:val="fr-CA"/>
        </w:rPr>
        <w:t>3</w:t>
      </w:r>
      <w:r w:rsidRPr="00516C7E">
        <w:rPr>
          <w:rStyle w:val="SCCRespondentForIndexChar"/>
          <w:b w:val="0"/>
          <w:lang w:val="fr-CA"/>
        </w:rPr>
        <w:t xml:space="preserve">, [2011] 1 </w:t>
      </w:r>
      <w:r>
        <w:rPr>
          <w:rStyle w:val="SCCRespondentForIndexChar"/>
          <w:b w:val="0"/>
          <w:lang w:val="fr-CA"/>
        </w:rPr>
        <w:t>R.C.</w:t>
      </w:r>
      <w:r w:rsidRPr="00516C7E">
        <w:rPr>
          <w:rStyle w:val="SCCRespondentForIndexChar"/>
          <w:b w:val="0"/>
          <w:lang w:val="fr-CA"/>
        </w:rPr>
        <w:t xml:space="preserve">S. </w:t>
      </w:r>
      <w:r>
        <w:rPr>
          <w:rStyle w:val="SCCRespondentForIndexChar"/>
          <w:b w:val="0"/>
          <w:lang w:val="fr-CA"/>
        </w:rPr>
        <w:t>65</w:t>
      </w:r>
    </w:p>
    <w:p w:rsidR="00766D14" w:rsidRPr="002E7F1E" w:rsidRDefault="00766D14" w:rsidP="00451E18">
      <w:pPr>
        <w:spacing w:after="480"/>
        <w:jc w:val="both"/>
        <w:rPr>
          <w:lang w:val="fr-CA"/>
        </w:rPr>
      </w:pPr>
    </w:p>
    <w:p w:rsidR="00C825CB" w:rsidRPr="002E7F1E" w:rsidRDefault="00F63DE0" w:rsidP="00451E18">
      <w:pPr>
        <w:pStyle w:val="SCCLsocParty"/>
        <w:tabs>
          <w:tab w:val="right" w:pos="8280"/>
        </w:tabs>
        <w:spacing w:line="480" w:lineRule="auto"/>
        <w:rPr>
          <w:lang w:val="fr-CA"/>
        </w:rPr>
      </w:pPr>
      <w:r w:rsidRPr="002E7F1E">
        <w:rPr>
          <w:b/>
          <w:lang w:val="fr-CA"/>
        </w:rPr>
        <w:t xml:space="preserve">Société </w:t>
      </w:r>
      <w:proofErr w:type="spellStart"/>
      <w:r w:rsidR="0012490D" w:rsidRPr="002E7F1E">
        <w:rPr>
          <w:b/>
          <w:lang w:val="fr-CA"/>
        </w:rPr>
        <w:t>Radio</w:t>
      </w:r>
      <w:r w:rsidR="0012490D" w:rsidRPr="002E7F1E">
        <w:rPr>
          <w:b/>
          <w:lang w:val="fr-CA"/>
        </w:rPr>
        <w:noBreakHyphen/>
      </w:r>
      <w:r w:rsidRPr="002E7F1E">
        <w:rPr>
          <w:b/>
          <w:lang w:val="fr-CA"/>
        </w:rPr>
        <w:t>Canada</w:t>
      </w:r>
      <w:proofErr w:type="spellEnd"/>
      <w:r w:rsidR="00451E18" w:rsidRPr="002E7F1E">
        <w:rPr>
          <w:lang w:val="fr-CA"/>
        </w:rPr>
        <w:t xml:space="preserve"> </w:t>
      </w:r>
      <w:r w:rsidR="00451E18" w:rsidRPr="002E7F1E">
        <w:rPr>
          <w:lang w:val="fr-CA"/>
        </w:rPr>
        <w:tab/>
      </w:r>
      <w:r w:rsidR="00451E18" w:rsidRPr="002E7F1E">
        <w:rPr>
          <w:i/>
          <w:lang w:val="fr-CA"/>
        </w:rPr>
        <w:t>Appelante</w:t>
      </w:r>
    </w:p>
    <w:p w:rsidR="00C825CB" w:rsidRPr="002E7F1E" w:rsidRDefault="00C825CB" w:rsidP="00451E18">
      <w:pPr>
        <w:pStyle w:val="SCCLsocPartyRole"/>
        <w:spacing w:line="480" w:lineRule="auto"/>
        <w:jc w:val="left"/>
        <w:rPr>
          <w:lang w:val="fr-CA"/>
        </w:rPr>
      </w:pPr>
    </w:p>
    <w:p w:rsidR="00C825CB" w:rsidRPr="002E7F1E" w:rsidRDefault="00F63DE0" w:rsidP="00451E18">
      <w:pPr>
        <w:pStyle w:val="SCCLsocVersus"/>
        <w:spacing w:line="480" w:lineRule="auto"/>
        <w:rPr>
          <w:i/>
          <w:lang w:val="fr-CA"/>
        </w:rPr>
      </w:pPr>
      <w:proofErr w:type="gramStart"/>
      <w:r w:rsidRPr="002E7F1E">
        <w:rPr>
          <w:i/>
          <w:lang w:val="fr-CA"/>
        </w:rPr>
        <w:t>c</w:t>
      </w:r>
      <w:proofErr w:type="gramEnd"/>
      <w:r w:rsidRPr="002E7F1E">
        <w:rPr>
          <w:i/>
          <w:lang w:val="fr-CA"/>
        </w:rPr>
        <w:t>.</w:t>
      </w:r>
      <w:r w:rsidRPr="002E7F1E">
        <w:rPr>
          <w:i/>
          <w:lang w:val="fr-CA"/>
        </w:rPr>
        <w:br/>
      </w:r>
    </w:p>
    <w:p w:rsidR="00C825CB" w:rsidRPr="002E7F1E" w:rsidRDefault="00F63DE0" w:rsidP="00525752">
      <w:pPr>
        <w:pStyle w:val="SCCLsocParty"/>
        <w:spacing w:after="0"/>
        <w:rPr>
          <w:b/>
          <w:lang w:val="fr-CA"/>
        </w:rPr>
      </w:pPr>
      <w:r w:rsidRPr="002E7F1E">
        <w:rPr>
          <w:b/>
          <w:lang w:val="fr-CA"/>
        </w:rPr>
        <w:t>Sa Majesté la Reine</w:t>
      </w:r>
      <w:r w:rsidR="004D5B3F" w:rsidRPr="002E7F1E">
        <w:rPr>
          <w:b/>
          <w:lang w:val="fr-CA"/>
        </w:rPr>
        <w:t xml:space="preserve"> et</w:t>
      </w:r>
      <w:r w:rsidRPr="002E7F1E">
        <w:rPr>
          <w:b/>
          <w:lang w:val="fr-CA"/>
        </w:rPr>
        <w:t xml:space="preserve"> </w:t>
      </w:r>
    </w:p>
    <w:p w:rsidR="00C825CB" w:rsidRPr="002E7F1E" w:rsidRDefault="00F63DE0" w:rsidP="00525752">
      <w:pPr>
        <w:pStyle w:val="SCCLsocParty"/>
        <w:tabs>
          <w:tab w:val="right" w:pos="8280"/>
        </w:tabs>
        <w:spacing w:after="720"/>
        <w:rPr>
          <w:b/>
          <w:i/>
          <w:lang w:val="fr-CA"/>
        </w:rPr>
      </w:pPr>
      <w:r w:rsidRPr="002E7F1E">
        <w:rPr>
          <w:b/>
          <w:lang w:val="fr-CA"/>
        </w:rPr>
        <w:t>Stéphan Dufour</w:t>
      </w:r>
      <w:r w:rsidR="00451E18" w:rsidRPr="002E7F1E">
        <w:rPr>
          <w:lang w:val="fr-CA"/>
        </w:rPr>
        <w:tab/>
      </w:r>
      <w:r w:rsidR="00451E18" w:rsidRPr="002E7F1E">
        <w:rPr>
          <w:i/>
          <w:lang w:val="fr-CA"/>
        </w:rPr>
        <w:t>Intimés</w:t>
      </w:r>
    </w:p>
    <w:p w:rsidR="00525752" w:rsidRPr="002E7F1E" w:rsidRDefault="00525752" w:rsidP="00525752">
      <w:pPr>
        <w:pStyle w:val="SCCLsocOtherPartySeparator"/>
        <w:spacing w:line="480" w:lineRule="auto"/>
        <w:rPr>
          <w:lang w:val="fr-CA"/>
        </w:rPr>
      </w:pPr>
      <w:proofErr w:type="gramStart"/>
      <w:r w:rsidRPr="002E7F1E">
        <w:rPr>
          <w:lang w:val="fr-CA"/>
        </w:rPr>
        <w:t>e</w:t>
      </w:r>
      <w:r w:rsidR="00F63DE0" w:rsidRPr="002E7F1E">
        <w:rPr>
          <w:lang w:val="fr-CA"/>
        </w:rPr>
        <w:t>t</w:t>
      </w:r>
      <w:proofErr w:type="gramEnd"/>
    </w:p>
    <w:p w:rsidR="00C825CB" w:rsidRPr="002E7F1E" w:rsidRDefault="0012490D" w:rsidP="003A7999">
      <w:pPr>
        <w:pStyle w:val="SCCLsocOtherPartySeparator"/>
        <w:spacing w:after="0"/>
        <w:rPr>
          <w:b/>
          <w:lang w:val="fr-CA"/>
        </w:rPr>
      </w:pPr>
      <w:r w:rsidRPr="002E7F1E">
        <w:rPr>
          <w:b/>
          <w:lang w:val="fr-CA"/>
        </w:rPr>
        <w:t>Procureur général du Canada,</w:t>
      </w:r>
    </w:p>
    <w:p w:rsidR="00C825CB" w:rsidRPr="002E7F1E" w:rsidRDefault="009D12E2" w:rsidP="00525752">
      <w:pPr>
        <w:pStyle w:val="SCCLsocParty"/>
        <w:spacing w:after="0"/>
        <w:rPr>
          <w:b/>
          <w:lang w:val="fr-CA"/>
        </w:rPr>
      </w:pPr>
      <w:proofErr w:type="gramStart"/>
      <w:r w:rsidRPr="002E7F1E">
        <w:rPr>
          <w:b/>
          <w:lang w:val="fr-CA"/>
        </w:rPr>
        <w:t>p</w:t>
      </w:r>
      <w:r w:rsidR="00F63DE0" w:rsidRPr="002E7F1E">
        <w:rPr>
          <w:b/>
          <w:lang w:val="fr-CA"/>
        </w:rPr>
        <w:t>rocureur</w:t>
      </w:r>
      <w:proofErr w:type="gramEnd"/>
      <w:r w:rsidR="0012490D" w:rsidRPr="002E7F1E">
        <w:rPr>
          <w:b/>
          <w:lang w:val="fr-CA"/>
        </w:rPr>
        <w:t xml:space="preserve"> général du Québec,</w:t>
      </w:r>
    </w:p>
    <w:p w:rsidR="00C825CB" w:rsidRPr="002E7F1E" w:rsidRDefault="009D12E2" w:rsidP="00525752">
      <w:pPr>
        <w:pStyle w:val="SCCLsocParty"/>
        <w:spacing w:after="0"/>
        <w:rPr>
          <w:b/>
          <w:lang w:val="fr-CA"/>
        </w:rPr>
      </w:pPr>
      <w:proofErr w:type="gramStart"/>
      <w:r w:rsidRPr="002E7F1E">
        <w:rPr>
          <w:b/>
          <w:lang w:val="fr-CA"/>
        </w:rPr>
        <w:t>p</w:t>
      </w:r>
      <w:r w:rsidR="00F63DE0" w:rsidRPr="002E7F1E">
        <w:rPr>
          <w:b/>
          <w:lang w:val="fr-CA"/>
        </w:rPr>
        <w:t>rocureu</w:t>
      </w:r>
      <w:r w:rsidR="0012490D" w:rsidRPr="002E7F1E">
        <w:rPr>
          <w:b/>
          <w:lang w:val="fr-CA"/>
        </w:rPr>
        <w:t>r</w:t>
      </w:r>
      <w:proofErr w:type="gramEnd"/>
      <w:r w:rsidR="0012490D" w:rsidRPr="002E7F1E">
        <w:rPr>
          <w:b/>
          <w:lang w:val="fr-CA"/>
        </w:rPr>
        <w:t xml:space="preserve"> général du Nouveau-Brunswick,</w:t>
      </w:r>
    </w:p>
    <w:p w:rsidR="00544F90" w:rsidRPr="002E7F1E" w:rsidRDefault="009D12E2" w:rsidP="00525752">
      <w:pPr>
        <w:pStyle w:val="SCCLsocParty"/>
        <w:spacing w:after="0"/>
        <w:rPr>
          <w:b/>
          <w:lang w:val="fr-CA"/>
        </w:rPr>
      </w:pPr>
      <w:proofErr w:type="gramStart"/>
      <w:r w:rsidRPr="002E7F1E">
        <w:rPr>
          <w:b/>
          <w:lang w:val="fr-CA"/>
        </w:rPr>
        <w:t>p</w:t>
      </w:r>
      <w:r w:rsidR="00544F90" w:rsidRPr="002E7F1E">
        <w:rPr>
          <w:b/>
          <w:lang w:val="fr-CA"/>
        </w:rPr>
        <w:t>rocureur</w:t>
      </w:r>
      <w:proofErr w:type="gramEnd"/>
      <w:r w:rsidR="00544F90" w:rsidRPr="002E7F1E">
        <w:rPr>
          <w:b/>
          <w:lang w:val="fr-CA"/>
        </w:rPr>
        <w:t xml:space="preserve"> général de l’</w:t>
      </w:r>
      <w:r w:rsidR="0012490D" w:rsidRPr="002E7F1E">
        <w:rPr>
          <w:b/>
          <w:lang w:val="fr-CA"/>
        </w:rPr>
        <w:t>Alberta,</w:t>
      </w:r>
    </w:p>
    <w:p w:rsidR="00C825CB" w:rsidRPr="002E7F1E" w:rsidRDefault="00544F90" w:rsidP="00525752">
      <w:pPr>
        <w:pStyle w:val="SCCLsocParty"/>
        <w:spacing w:after="0"/>
        <w:rPr>
          <w:b/>
          <w:lang w:val="fr-CA"/>
        </w:rPr>
      </w:pPr>
      <w:r w:rsidRPr="002E7F1E">
        <w:rPr>
          <w:b/>
          <w:lang w:val="fr-CA"/>
        </w:rPr>
        <w:t xml:space="preserve">Association </w:t>
      </w:r>
      <w:r w:rsidR="005E7289" w:rsidRPr="002E7F1E">
        <w:rPr>
          <w:b/>
          <w:lang w:val="fr-CA"/>
        </w:rPr>
        <w:t>des libertés civiles de la Colombie</w:t>
      </w:r>
      <w:r w:rsidR="005E7289" w:rsidRPr="002E7F1E">
        <w:rPr>
          <w:rFonts w:ascii="MS Mincho" w:eastAsia="MS Mincho" w:hAnsi="MS Mincho" w:cs="MS Mincho" w:hint="eastAsia"/>
          <w:b/>
          <w:lang w:val="fr-CA"/>
        </w:rPr>
        <w:t>‑</w:t>
      </w:r>
      <w:r w:rsidR="005E7289" w:rsidRPr="002E7F1E">
        <w:rPr>
          <w:b/>
          <w:lang w:val="fr-CA"/>
        </w:rPr>
        <w:t xml:space="preserve">Britannique </w:t>
      </w:r>
      <w:r w:rsidR="0012490D" w:rsidRPr="002E7F1E">
        <w:rPr>
          <w:b/>
          <w:lang w:val="fr-CA"/>
        </w:rPr>
        <w:t>et</w:t>
      </w:r>
    </w:p>
    <w:p w:rsidR="007834A8" w:rsidRPr="002E7F1E" w:rsidRDefault="009D12E2" w:rsidP="00525752">
      <w:pPr>
        <w:pStyle w:val="SCCLsocParty"/>
        <w:tabs>
          <w:tab w:val="right" w:pos="8280"/>
        </w:tabs>
        <w:spacing w:after="720"/>
        <w:rPr>
          <w:lang w:val="fr-CA"/>
        </w:rPr>
      </w:pPr>
      <w:r w:rsidRPr="002E7F1E">
        <w:rPr>
          <w:b/>
          <w:lang w:val="fr-CA"/>
        </w:rPr>
        <w:t xml:space="preserve">Association </w:t>
      </w:r>
      <w:r w:rsidR="00451E18" w:rsidRPr="002E7F1E">
        <w:rPr>
          <w:b/>
          <w:lang w:val="fr-CA"/>
        </w:rPr>
        <w:t>canadienne des libertés civiles</w:t>
      </w:r>
      <w:r w:rsidR="00451E18" w:rsidRPr="002E7F1E">
        <w:rPr>
          <w:lang w:val="fr-CA"/>
        </w:rPr>
        <w:tab/>
      </w:r>
      <w:r w:rsidR="00451E18" w:rsidRPr="002E7F1E">
        <w:rPr>
          <w:i/>
          <w:lang w:val="fr-CA"/>
        </w:rPr>
        <w:t>Intervenants</w:t>
      </w:r>
    </w:p>
    <w:p w:rsidR="00426659" w:rsidRPr="002E7F1E" w:rsidRDefault="0043088E" w:rsidP="00451E18">
      <w:pPr>
        <w:spacing w:line="480" w:lineRule="auto"/>
        <w:jc w:val="both"/>
        <w:rPr>
          <w:b/>
          <w:lang w:val="fr-CA"/>
        </w:rPr>
      </w:pPr>
      <w:r w:rsidRPr="002E7F1E">
        <w:rPr>
          <w:b/>
          <w:lang w:val="fr-CA"/>
        </w:rPr>
        <w:t>Répertorié</w:t>
      </w:r>
      <w:r w:rsidR="00C67CA5" w:rsidRPr="002E7F1E">
        <w:rPr>
          <w:b/>
          <w:lang w:val="fr-CA"/>
        </w:rPr>
        <w:t> </w:t>
      </w:r>
      <w:r w:rsidR="00426659" w:rsidRPr="002E7F1E">
        <w:rPr>
          <w:b/>
          <w:lang w:val="fr-CA"/>
        </w:rPr>
        <w:t>:</w:t>
      </w:r>
      <w:r w:rsidR="00C67CA5" w:rsidRPr="002E7F1E">
        <w:rPr>
          <w:b/>
          <w:lang w:val="fr-CA"/>
        </w:rPr>
        <w:t> </w:t>
      </w:r>
      <w:r w:rsidR="0012490D" w:rsidRPr="002E7F1E">
        <w:rPr>
          <w:rStyle w:val="SCCAppellantForIndexChar"/>
          <w:lang w:val="fr-CA"/>
        </w:rPr>
        <w:t xml:space="preserve">Société </w:t>
      </w:r>
      <w:proofErr w:type="spellStart"/>
      <w:r w:rsidR="0012490D" w:rsidRPr="002E7F1E">
        <w:rPr>
          <w:rStyle w:val="SCCAppellantForIndexChar"/>
          <w:lang w:val="fr-CA"/>
        </w:rPr>
        <w:t>Radio</w:t>
      </w:r>
      <w:r w:rsidR="0012490D" w:rsidRPr="002E7F1E">
        <w:rPr>
          <w:rStyle w:val="SCCAppellantForIndexChar"/>
          <w:lang w:val="fr-CA"/>
        </w:rPr>
        <w:noBreakHyphen/>
      </w:r>
      <w:r w:rsidRPr="002E7F1E">
        <w:rPr>
          <w:rStyle w:val="SCCAppellantForIndexChar"/>
          <w:lang w:val="fr-CA"/>
        </w:rPr>
        <w:t>Canada</w:t>
      </w:r>
      <w:proofErr w:type="spellEnd"/>
      <w:r w:rsidR="00426659" w:rsidRPr="002E7F1E">
        <w:rPr>
          <w:b/>
          <w:lang w:val="fr-CA"/>
        </w:rPr>
        <w:t xml:space="preserve"> </w:t>
      </w:r>
      <w:r w:rsidR="00645057" w:rsidRPr="002E7F1E">
        <w:rPr>
          <w:b/>
          <w:i/>
          <w:lang w:val="fr-CA"/>
        </w:rPr>
        <w:t>c</w:t>
      </w:r>
      <w:r w:rsidR="00426659" w:rsidRPr="002E7F1E">
        <w:rPr>
          <w:b/>
          <w:i/>
          <w:lang w:val="fr-CA"/>
        </w:rPr>
        <w:t>.</w:t>
      </w:r>
      <w:r w:rsidR="00426659" w:rsidRPr="002E7F1E">
        <w:rPr>
          <w:b/>
          <w:lang w:val="fr-CA"/>
        </w:rPr>
        <w:t xml:space="preserve"> </w:t>
      </w:r>
      <w:r w:rsidR="009974FB" w:rsidRPr="002E7F1E">
        <w:rPr>
          <w:b/>
          <w:lang w:val="fr-CA"/>
        </w:rPr>
        <w:t>La Reine</w:t>
      </w:r>
    </w:p>
    <w:p w:rsidR="007834A8" w:rsidRPr="002E7F1E" w:rsidRDefault="007834A8" w:rsidP="00451E18">
      <w:pPr>
        <w:spacing w:line="480" w:lineRule="auto"/>
        <w:jc w:val="both"/>
        <w:rPr>
          <w:lang w:val="fr-CA"/>
        </w:rPr>
      </w:pPr>
    </w:p>
    <w:p w:rsidR="00426659" w:rsidRPr="002E7F1E" w:rsidRDefault="00F853FB" w:rsidP="00451E18">
      <w:pPr>
        <w:pStyle w:val="SCCSystemYear"/>
        <w:spacing w:line="480" w:lineRule="auto"/>
        <w:jc w:val="both"/>
        <w:rPr>
          <w:lang w:val="fr-CA"/>
        </w:rPr>
      </w:pPr>
      <w:r w:rsidRPr="002E7F1E">
        <w:rPr>
          <w:lang w:val="fr-CA"/>
        </w:rPr>
        <w:t>201</w:t>
      </w:r>
      <w:r w:rsidR="0059298C" w:rsidRPr="002E7F1E">
        <w:rPr>
          <w:lang w:val="fr-CA"/>
        </w:rPr>
        <w:t>1</w:t>
      </w:r>
      <w:r w:rsidR="00C52421" w:rsidRPr="002E7F1E">
        <w:rPr>
          <w:lang w:val="fr-CA"/>
        </w:rPr>
        <w:t> </w:t>
      </w:r>
      <w:r w:rsidR="00C71F58" w:rsidRPr="002E7F1E">
        <w:rPr>
          <w:lang w:val="fr-CA"/>
        </w:rPr>
        <w:t>C</w:t>
      </w:r>
      <w:r w:rsidR="00572568" w:rsidRPr="002E7F1E">
        <w:rPr>
          <w:lang w:val="fr-CA"/>
        </w:rPr>
        <w:t>SC 3</w:t>
      </w:r>
    </w:p>
    <w:p w:rsidR="007834A8" w:rsidRPr="002E7F1E" w:rsidRDefault="007834A8" w:rsidP="00451E18">
      <w:pPr>
        <w:spacing w:line="480" w:lineRule="auto"/>
        <w:jc w:val="both"/>
        <w:rPr>
          <w:lang w:val="fr-CA"/>
        </w:rPr>
      </w:pPr>
    </w:p>
    <w:p w:rsidR="008322BD" w:rsidRPr="002E7F1E" w:rsidRDefault="009B57B3" w:rsidP="00451E18">
      <w:pPr>
        <w:spacing w:line="480" w:lineRule="auto"/>
        <w:jc w:val="both"/>
        <w:rPr>
          <w:lang w:val="fr-CA"/>
        </w:rPr>
      </w:pPr>
      <w:r w:rsidRPr="002E7F1E">
        <w:rPr>
          <w:lang w:val="fr-CA"/>
        </w:rPr>
        <w:t>N</w:t>
      </w:r>
      <w:r w:rsidRPr="002E7F1E">
        <w:rPr>
          <w:vertAlign w:val="superscript"/>
          <w:lang w:val="fr-CA"/>
        </w:rPr>
        <w:t>o</w:t>
      </w:r>
      <w:r w:rsidR="0043088E" w:rsidRPr="002E7F1E">
        <w:rPr>
          <w:lang w:val="fr-CA"/>
        </w:rPr>
        <w:t xml:space="preserve"> du greffe</w:t>
      </w:r>
      <w:r w:rsidR="00C67CA5" w:rsidRPr="002E7F1E">
        <w:rPr>
          <w:lang w:val="fr-CA"/>
        </w:rPr>
        <w:t> </w:t>
      </w:r>
      <w:r w:rsidRPr="002E7F1E">
        <w:rPr>
          <w:lang w:val="fr-CA"/>
        </w:rPr>
        <w:t>:</w:t>
      </w:r>
      <w:r w:rsidR="00C67CA5" w:rsidRPr="002E7F1E">
        <w:rPr>
          <w:lang w:val="fr-CA"/>
        </w:rPr>
        <w:t> </w:t>
      </w:r>
      <w:r w:rsidRPr="002E7F1E">
        <w:rPr>
          <w:lang w:val="fr-CA"/>
        </w:rPr>
        <w:t>32987.</w:t>
      </w:r>
    </w:p>
    <w:p w:rsidR="007834A8" w:rsidRPr="002E7F1E" w:rsidRDefault="007834A8" w:rsidP="00451E18">
      <w:pPr>
        <w:spacing w:line="480" w:lineRule="auto"/>
        <w:jc w:val="both"/>
        <w:rPr>
          <w:lang w:val="fr-CA"/>
        </w:rPr>
      </w:pPr>
    </w:p>
    <w:p w:rsidR="008322BD" w:rsidRPr="002E7F1E" w:rsidRDefault="00F853FB" w:rsidP="00451E18">
      <w:pPr>
        <w:spacing w:line="480" w:lineRule="auto"/>
        <w:jc w:val="both"/>
        <w:rPr>
          <w:lang w:val="fr-CA"/>
        </w:rPr>
      </w:pPr>
      <w:r w:rsidRPr="002E7F1E">
        <w:rPr>
          <w:lang w:val="fr-CA"/>
        </w:rPr>
        <w:lastRenderedPageBreak/>
        <w:t>2010</w:t>
      </w:r>
      <w:r w:rsidR="004B61B0" w:rsidRPr="002E7F1E">
        <w:rPr>
          <w:lang w:val="fr-CA"/>
        </w:rPr>
        <w:t> : </w:t>
      </w:r>
      <w:r w:rsidRPr="002E7F1E">
        <w:rPr>
          <w:lang w:val="fr-CA"/>
        </w:rPr>
        <w:t>16 mars</w:t>
      </w:r>
      <w:r w:rsidR="009B57B3" w:rsidRPr="002E7F1E">
        <w:rPr>
          <w:lang w:val="fr-CA"/>
        </w:rPr>
        <w:t>;</w:t>
      </w:r>
      <w:r w:rsidR="00C23F9B" w:rsidRPr="002E7F1E">
        <w:rPr>
          <w:lang w:val="fr-CA"/>
        </w:rPr>
        <w:t xml:space="preserve"> 2011</w:t>
      </w:r>
      <w:r w:rsidR="004B61B0" w:rsidRPr="002E7F1E">
        <w:rPr>
          <w:lang w:val="fr-CA"/>
        </w:rPr>
        <w:t> : </w:t>
      </w:r>
      <w:r w:rsidR="00C23F9B" w:rsidRPr="002E7F1E">
        <w:rPr>
          <w:lang w:val="fr-CA"/>
        </w:rPr>
        <w:t>28 janvier</w:t>
      </w:r>
      <w:r w:rsidR="009B57B3" w:rsidRPr="002E7F1E">
        <w:rPr>
          <w:lang w:val="fr-CA"/>
        </w:rPr>
        <w:t>.</w:t>
      </w:r>
    </w:p>
    <w:p w:rsidR="007834A8" w:rsidRPr="002E7F1E" w:rsidRDefault="007834A8" w:rsidP="00451E18">
      <w:pPr>
        <w:spacing w:line="480" w:lineRule="auto"/>
        <w:jc w:val="both"/>
        <w:rPr>
          <w:lang w:val="fr-CA"/>
        </w:rPr>
      </w:pPr>
    </w:p>
    <w:p w:rsidR="008322BD" w:rsidRPr="002E7F1E" w:rsidRDefault="009B57B3" w:rsidP="00451E18">
      <w:pPr>
        <w:spacing w:after="720"/>
        <w:jc w:val="both"/>
        <w:rPr>
          <w:lang w:val="fr-CA"/>
        </w:rPr>
      </w:pPr>
      <w:r w:rsidRPr="002E7F1E">
        <w:rPr>
          <w:lang w:val="fr-CA"/>
        </w:rPr>
        <w:t>Pr</w:t>
      </w:r>
      <w:r w:rsidR="0043088E" w:rsidRPr="002E7F1E">
        <w:rPr>
          <w:lang w:val="fr-CA"/>
        </w:rPr>
        <w:t>é</w:t>
      </w:r>
      <w:r w:rsidRPr="002E7F1E">
        <w:rPr>
          <w:lang w:val="fr-CA"/>
        </w:rPr>
        <w:t>sent</w:t>
      </w:r>
      <w:r w:rsidR="008A6558" w:rsidRPr="002E7F1E">
        <w:rPr>
          <w:lang w:val="fr-CA"/>
        </w:rPr>
        <w:t>s</w:t>
      </w:r>
      <w:r w:rsidR="00C67CA5" w:rsidRPr="002E7F1E">
        <w:rPr>
          <w:lang w:val="fr-CA"/>
        </w:rPr>
        <w:t> </w:t>
      </w:r>
      <w:r w:rsidRPr="002E7F1E">
        <w:rPr>
          <w:lang w:val="fr-CA"/>
        </w:rPr>
        <w:t>:</w:t>
      </w:r>
      <w:r w:rsidR="00C67CA5" w:rsidRPr="002E7F1E">
        <w:rPr>
          <w:lang w:val="fr-CA"/>
        </w:rPr>
        <w:t> </w:t>
      </w:r>
      <w:r w:rsidRPr="002E7F1E">
        <w:rPr>
          <w:lang w:val="fr-CA"/>
        </w:rPr>
        <w:t xml:space="preserve">La juge en chef </w:t>
      </w:r>
      <w:proofErr w:type="spellStart"/>
      <w:r w:rsidRPr="002E7F1E">
        <w:rPr>
          <w:lang w:val="fr-CA"/>
        </w:rPr>
        <w:t>McLachlin</w:t>
      </w:r>
      <w:proofErr w:type="spellEnd"/>
      <w:r w:rsidRPr="002E7F1E">
        <w:rPr>
          <w:lang w:val="fr-CA"/>
        </w:rPr>
        <w:t xml:space="preserve"> et les juges </w:t>
      </w:r>
      <w:proofErr w:type="spellStart"/>
      <w:r w:rsidRPr="002E7F1E">
        <w:rPr>
          <w:lang w:val="fr-CA"/>
        </w:rPr>
        <w:t>Binnie</w:t>
      </w:r>
      <w:proofErr w:type="spellEnd"/>
      <w:r w:rsidRPr="002E7F1E">
        <w:rPr>
          <w:lang w:val="fr-CA"/>
        </w:rPr>
        <w:t xml:space="preserve">, </w:t>
      </w:r>
      <w:proofErr w:type="spellStart"/>
      <w:r w:rsidRPr="002E7F1E">
        <w:rPr>
          <w:lang w:val="fr-CA"/>
        </w:rPr>
        <w:t>LeBel</w:t>
      </w:r>
      <w:proofErr w:type="spellEnd"/>
      <w:r w:rsidRPr="002E7F1E">
        <w:rPr>
          <w:lang w:val="fr-CA"/>
        </w:rPr>
        <w:t xml:space="preserve">, Deschamps, Fish, Abella, Charron, </w:t>
      </w:r>
      <w:proofErr w:type="spellStart"/>
      <w:r w:rsidRPr="002E7F1E">
        <w:rPr>
          <w:lang w:val="fr-CA"/>
        </w:rPr>
        <w:t>Rothstein</w:t>
      </w:r>
      <w:proofErr w:type="spellEnd"/>
      <w:r w:rsidRPr="002E7F1E">
        <w:rPr>
          <w:lang w:val="fr-CA"/>
        </w:rPr>
        <w:t xml:space="preserve"> et Cromwell.</w:t>
      </w:r>
    </w:p>
    <w:p w:rsidR="008322BD" w:rsidRPr="002E7F1E" w:rsidRDefault="00AC7437" w:rsidP="00901E3A">
      <w:pPr>
        <w:pStyle w:val="SCCNormalDoubleSpacing"/>
        <w:spacing w:after="480"/>
        <w:rPr>
          <w:smallCaps/>
          <w:lang w:val="fr-CA"/>
        </w:rPr>
      </w:pPr>
      <w:r w:rsidRPr="002E7F1E">
        <w:rPr>
          <w:smallCaps/>
          <w:lang w:val="fr-CA"/>
        </w:rPr>
        <w:t>e</w:t>
      </w:r>
      <w:r w:rsidR="00855307" w:rsidRPr="002E7F1E">
        <w:rPr>
          <w:smallCaps/>
          <w:lang w:val="fr-CA"/>
        </w:rPr>
        <w:t>n</w:t>
      </w:r>
      <w:r w:rsidR="00224FC0" w:rsidRPr="002E7F1E">
        <w:rPr>
          <w:smallCaps/>
          <w:lang w:val="fr-CA"/>
        </w:rPr>
        <w:t xml:space="preserve"> </w:t>
      </w:r>
      <w:r w:rsidR="00855307" w:rsidRPr="002E7F1E">
        <w:rPr>
          <w:smallCaps/>
          <w:lang w:val="fr-CA"/>
        </w:rPr>
        <w:t>appel</w:t>
      </w:r>
      <w:r w:rsidR="00224FC0" w:rsidRPr="002E7F1E">
        <w:rPr>
          <w:smallCaps/>
          <w:lang w:val="fr-CA"/>
        </w:rPr>
        <w:t xml:space="preserve"> </w:t>
      </w:r>
      <w:r w:rsidR="00855307" w:rsidRPr="002E7F1E">
        <w:rPr>
          <w:smallCaps/>
          <w:lang w:val="fr-CA"/>
        </w:rPr>
        <w:t>de</w:t>
      </w:r>
      <w:r w:rsidR="0043088E" w:rsidRPr="002E7F1E">
        <w:rPr>
          <w:smallCaps/>
          <w:lang w:val="fr-CA"/>
        </w:rPr>
        <w:t xml:space="preserve"> </w:t>
      </w:r>
      <w:r w:rsidR="00855307" w:rsidRPr="002E7F1E">
        <w:rPr>
          <w:smallCaps/>
          <w:lang w:val="fr-CA"/>
        </w:rPr>
        <w:t>la</w:t>
      </w:r>
      <w:r w:rsidR="00224FC0" w:rsidRPr="002E7F1E">
        <w:rPr>
          <w:smallCaps/>
          <w:lang w:val="fr-CA"/>
        </w:rPr>
        <w:t xml:space="preserve"> </w:t>
      </w:r>
      <w:r w:rsidR="009B57B3" w:rsidRPr="002E7F1E">
        <w:rPr>
          <w:smallCaps/>
          <w:lang w:val="fr-CA"/>
        </w:rPr>
        <w:t xml:space="preserve">cour supérieure du </w:t>
      </w:r>
      <w:proofErr w:type="spellStart"/>
      <w:r w:rsidR="009B57B3" w:rsidRPr="002E7F1E">
        <w:rPr>
          <w:smallCaps/>
          <w:lang w:val="fr-CA"/>
        </w:rPr>
        <w:t>québec</w:t>
      </w:r>
      <w:proofErr w:type="spellEnd"/>
    </w:p>
    <w:p w:rsidR="005C4C6F" w:rsidRPr="002E7F1E" w:rsidRDefault="005C4C6F" w:rsidP="008E1359">
      <w:pPr>
        <w:pStyle w:val="SCCNormalDoubleSpacing"/>
        <w:tabs>
          <w:tab w:val="clear" w:pos="1168"/>
          <w:tab w:val="left" w:pos="1170"/>
        </w:tabs>
        <w:spacing w:after="480"/>
        <w:rPr>
          <w:lang w:val="fr-CA"/>
        </w:rPr>
      </w:pPr>
      <w:r w:rsidRPr="002E7F1E">
        <w:rPr>
          <w:lang w:val="fr-CA"/>
        </w:rPr>
        <w:tab/>
      </w:r>
      <w:r w:rsidRPr="002E7F1E">
        <w:rPr>
          <w:i/>
          <w:lang w:val="fr-CA"/>
        </w:rPr>
        <w:t xml:space="preserve">Droit criminel </w:t>
      </w:r>
      <w:r w:rsidR="00A771B6" w:rsidRPr="002E7F1E">
        <w:rPr>
          <w:i/>
          <w:lang w:val="fr-CA"/>
        </w:rPr>
        <w:t>—</w:t>
      </w:r>
      <w:r w:rsidRPr="002E7F1E">
        <w:rPr>
          <w:i/>
          <w:lang w:val="fr-CA"/>
        </w:rPr>
        <w:t xml:space="preserve"> Procédure </w:t>
      </w:r>
      <w:r w:rsidR="00A771B6" w:rsidRPr="002E7F1E">
        <w:rPr>
          <w:i/>
          <w:lang w:val="fr-CA"/>
        </w:rPr>
        <w:t>—</w:t>
      </w:r>
      <w:r w:rsidRPr="002E7F1E">
        <w:rPr>
          <w:i/>
          <w:lang w:val="fr-CA"/>
        </w:rPr>
        <w:t xml:space="preserve"> Interdiction de diffusion </w:t>
      </w:r>
      <w:r w:rsidR="00A771B6" w:rsidRPr="002E7F1E">
        <w:rPr>
          <w:i/>
          <w:lang w:val="fr-CA"/>
        </w:rPr>
        <w:t>—</w:t>
      </w:r>
      <w:r w:rsidRPr="002E7F1E">
        <w:rPr>
          <w:i/>
          <w:lang w:val="fr-CA"/>
        </w:rPr>
        <w:t xml:space="preserve"> Principe de la publicité des débats judic</w:t>
      </w:r>
      <w:r w:rsidR="00035442">
        <w:rPr>
          <w:i/>
          <w:lang w:val="fr-CA"/>
        </w:rPr>
        <w:t>i</w:t>
      </w:r>
      <w:r w:rsidRPr="002E7F1E">
        <w:rPr>
          <w:i/>
          <w:lang w:val="fr-CA"/>
        </w:rPr>
        <w:t xml:space="preserve">aires </w:t>
      </w:r>
      <w:r w:rsidR="00A771B6" w:rsidRPr="002E7F1E">
        <w:rPr>
          <w:i/>
          <w:lang w:val="fr-CA"/>
        </w:rPr>
        <w:t>—</w:t>
      </w:r>
      <w:r w:rsidRPr="002E7F1E">
        <w:rPr>
          <w:i/>
          <w:lang w:val="fr-CA"/>
        </w:rPr>
        <w:t xml:space="preserve"> Enregistrement vidéo d’une déclaration de l’accusé faite aux policiers déposé en preuve au procès </w:t>
      </w:r>
      <w:r w:rsidR="00A771B6" w:rsidRPr="002E7F1E">
        <w:rPr>
          <w:i/>
          <w:lang w:val="fr-CA"/>
        </w:rPr>
        <w:t>—</w:t>
      </w:r>
      <w:r w:rsidRPr="002E7F1E">
        <w:rPr>
          <w:i/>
          <w:lang w:val="fr-CA"/>
        </w:rPr>
        <w:t xml:space="preserve"> Requête des médias visant à obtenir l’autorisation de diffuser l’enregistrement de la déclaration </w:t>
      </w:r>
      <w:r w:rsidR="00A771B6" w:rsidRPr="002E7F1E">
        <w:rPr>
          <w:i/>
          <w:lang w:val="fr-CA"/>
        </w:rPr>
        <w:t>—</w:t>
      </w:r>
      <w:r w:rsidRPr="002E7F1E">
        <w:rPr>
          <w:i/>
          <w:lang w:val="fr-CA"/>
        </w:rPr>
        <w:t xml:space="preserve"> Activité expressive protégée par la liberté d’expression </w:t>
      </w:r>
      <w:r w:rsidR="00A771B6" w:rsidRPr="002E7F1E">
        <w:rPr>
          <w:i/>
          <w:lang w:val="fr-CA"/>
        </w:rPr>
        <w:t>—</w:t>
      </w:r>
      <w:r w:rsidRPr="002E7F1E">
        <w:rPr>
          <w:i/>
          <w:lang w:val="fr-CA"/>
        </w:rPr>
        <w:t xml:space="preserve"> Ordonnance relevant du pouvoir discrétionnaire du juge du procès </w:t>
      </w:r>
      <w:r w:rsidR="00A771B6" w:rsidRPr="002E7F1E">
        <w:rPr>
          <w:i/>
          <w:lang w:val="fr-CA"/>
        </w:rPr>
        <w:t>—</w:t>
      </w:r>
      <w:r w:rsidRPr="002E7F1E">
        <w:rPr>
          <w:i/>
          <w:lang w:val="fr-CA"/>
        </w:rPr>
        <w:t xml:space="preserve"> La requête </w:t>
      </w:r>
      <w:proofErr w:type="spellStart"/>
      <w:r w:rsidRPr="002E7F1E">
        <w:rPr>
          <w:i/>
          <w:lang w:val="fr-CA"/>
        </w:rPr>
        <w:t>doit</w:t>
      </w:r>
      <w:r w:rsidR="0012490D" w:rsidRPr="002E7F1E">
        <w:rPr>
          <w:i/>
          <w:lang w:val="fr-CA"/>
        </w:rPr>
        <w:noBreakHyphen/>
      </w:r>
      <w:r w:rsidRPr="002E7F1E">
        <w:rPr>
          <w:i/>
          <w:lang w:val="fr-CA"/>
        </w:rPr>
        <w:t>elle</w:t>
      </w:r>
      <w:proofErr w:type="spellEnd"/>
      <w:r w:rsidRPr="002E7F1E">
        <w:rPr>
          <w:i/>
          <w:lang w:val="fr-CA"/>
        </w:rPr>
        <w:t xml:space="preserve"> être décidée selon la grille d’analyse établie dans les arrêts </w:t>
      </w:r>
      <w:proofErr w:type="spellStart"/>
      <w:r w:rsidRPr="002E7F1E">
        <w:rPr>
          <w:i/>
          <w:lang w:val="fr-CA"/>
        </w:rPr>
        <w:t>Dagenais</w:t>
      </w:r>
      <w:proofErr w:type="spellEnd"/>
      <w:r w:rsidRPr="002E7F1E">
        <w:rPr>
          <w:i/>
          <w:lang w:val="fr-CA"/>
        </w:rPr>
        <w:t>/</w:t>
      </w:r>
      <w:proofErr w:type="spellStart"/>
      <w:r w:rsidRPr="002E7F1E">
        <w:rPr>
          <w:i/>
          <w:lang w:val="fr-CA"/>
        </w:rPr>
        <w:t>Mentuck</w:t>
      </w:r>
      <w:proofErr w:type="spellEnd"/>
      <w:r w:rsidRPr="002E7F1E">
        <w:rPr>
          <w:i/>
          <w:lang w:val="fr-CA"/>
        </w:rPr>
        <w:t>?</w:t>
      </w:r>
    </w:p>
    <w:p w:rsidR="005C4C6F" w:rsidRPr="002E7F1E" w:rsidRDefault="001039A2" w:rsidP="00C52421">
      <w:pPr>
        <w:pStyle w:val="SCCNormalDoubleSpacing"/>
        <w:tabs>
          <w:tab w:val="clear" w:pos="1168"/>
          <w:tab w:val="left" w:pos="1170"/>
        </w:tabs>
        <w:spacing w:after="480"/>
        <w:rPr>
          <w:i/>
          <w:lang w:val="fr-CA"/>
        </w:rPr>
      </w:pPr>
      <w:r w:rsidRPr="002E7F1E">
        <w:rPr>
          <w:i/>
          <w:lang w:val="fr-CA"/>
        </w:rPr>
        <w:tab/>
      </w:r>
      <w:r w:rsidR="005C4C6F" w:rsidRPr="002E7F1E">
        <w:rPr>
          <w:i/>
          <w:lang w:val="fr-CA"/>
        </w:rPr>
        <w:t xml:space="preserve">Tribunaux </w:t>
      </w:r>
      <w:r w:rsidR="00A771B6" w:rsidRPr="002E7F1E">
        <w:rPr>
          <w:i/>
          <w:lang w:val="fr-CA"/>
        </w:rPr>
        <w:t>—</w:t>
      </w:r>
      <w:r w:rsidR="005C4C6F" w:rsidRPr="002E7F1E">
        <w:rPr>
          <w:i/>
          <w:lang w:val="fr-CA"/>
        </w:rPr>
        <w:t xml:space="preserve"> Cour supérieure </w:t>
      </w:r>
      <w:r w:rsidR="00A771B6" w:rsidRPr="002E7F1E">
        <w:rPr>
          <w:i/>
          <w:lang w:val="fr-CA"/>
        </w:rPr>
        <w:t>—</w:t>
      </w:r>
      <w:r w:rsidR="005C4C6F" w:rsidRPr="002E7F1E">
        <w:rPr>
          <w:i/>
          <w:lang w:val="fr-CA"/>
        </w:rPr>
        <w:t xml:space="preserve"> Interdiction de diffusion </w:t>
      </w:r>
      <w:r w:rsidR="00A771B6" w:rsidRPr="002E7F1E">
        <w:rPr>
          <w:i/>
          <w:lang w:val="fr-CA"/>
        </w:rPr>
        <w:t>—</w:t>
      </w:r>
      <w:r w:rsidR="005C4C6F" w:rsidRPr="002E7F1E">
        <w:rPr>
          <w:i/>
          <w:lang w:val="fr-CA"/>
        </w:rPr>
        <w:t xml:space="preserve"> Règles de procédure interdisant la diffusion de tout enregistrement sonore des audiences </w:t>
      </w:r>
      <w:r w:rsidR="00A771B6" w:rsidRPr="002E7F1E">
        <w:rPr>
          <w:i/>
          <w:lang w:val="fr-CA"/>
        </w:rPr>
        <w:t>—</w:t>
      </w:r>
      <w:r w:rsidR="005C4C6F" w:rsidRPr="002E7F1E">
        <w:rPr>
          <w:i/>
          <w:lang w:val="fr-CA"/>
        </w:rPr>
        <w:t xml:space="preserve"> La diffusion d’</w:t>
      </w:r>
      <w:r w:rsidR="0012490D" w:rsidRPr="002E7F1E">
        <w:rPr>
          <w:i/>
          <w:lang w:val="fr-CA"/>
        </w:rPr>
        <w:t xml:space="preserve">une pièce déposée en preuve </w:t>
      </w:r>
      <w:proofErr w:type="spellStart"/>
      <w:r w:rsidR="0012490D" w:rsidRPr="002E7F1E">
        <w:rPr>
          <w:i/>
          <w:lang w:val="fr-CA"/>
        </w:rPr>
        <w:t>est</w:t>
      </w:r>
      <w:r w:rsidR="0012490D" w:rsidRPr="002E7F1E">
        <w:rPr>
          <w:i/>
          <w:lang w:val="fr-CA"/>
        </w:rPr>
        <w:noBreakHyphen/>
      </w:r>
      <w:r w:rsidR="005C4C6F" w:rsidRPr="002E7F1E">
        <w:rPr>
          <w:i/>
          <w:lang w:val="fr-CA"/>
        </w:rPr>
        <w:t>elle</w:t>
      </w:r>
      <w:proofErr w:type="spellEnd"/>
      <w:r w:rsidR="005C4C6F" w:rsidRPr="002E7F1E">
        <w:rPr>
          <w:i/>
          <w:lang w:val="fr-CA"/>
        </w:rPr>
        <w:t xml:space="preserve"> visée par cette interdiction? </w:t>
      </w:r>
      <w:r w:rsidR="00A771B6" w:rsidRPr="002E7F1E">
        <w:rPr>
          <w:i/>
          <w:lang w:val="fr-CA"/>
        </w:rPr>
        <w:t>—</w:t>
      </w:r>
      <w:r w:rsidR="005C4C6F" w:rsidRPr="002E7F1E">
        <w:rPr>
          <w:i/>
          <w:lang w:val="fr-CA"/>
        </w:rPr>
        <w:t xml:space="preserve"> Règles de procédure de la Cour supérieure du Québec, chambre criminelle (2002), TR/2002</w:t>
      </w:r>
      <w:r w:rsidR="0012490D" w:rsidRPr="002E7F1E">
        <w:rPr>
          <w:i/>
          <w:lang w:val="fr-CA"/>
        </w:rPr>
        <w:noBreakHyphen/>
      </w:r>
      <w:r w:rsidR="005C4C6F" w:rsidRPr="002E7F1E">
        <w:rPr>
          <w:i/>
          <w:lang w:val="fr-CA"/>
        </w:rPr>
        <w:t>46 (</w:t>
      </w:r>
      <w:proofErr w:type="spellStart"/>
      <w:r w:rsidR="0012490D" w:rsidRPr="002E7F1E">
        <w:rPr>
          <w:i/>
          <w:lang w:val="fr-CA"/>
        </w:rPr>
        <w:t>mod</w:t>
      </w:r>
      <w:proofErr w:type="spellEnd"/>
      <w:r w:rsidR="0012490D" w:rsidRPr="002E7F1E">
        <w:rPr>
          <w:i/>
          <w:lang w:val="fr-CA"/>
        </w:rPr>
        <w:t>. TR/2005</w:t>
      </w:r>
      <w:r w:rsidR="0012490D" w:rsidRPr="002E7F1E">
        <w:rPr>
          <w:i/>
          <w:lang w:val="fr-CA"/>
        </w:rPr>
        <w:noBreakHyphen/>
      </w:r>
      <w:r w:rsidR="005C4C6F" w:rsidRPr="002E7F1E">
        <w:rPr>
          <w:i/>
          <w:lang w:val="fr-CA"/>
        </w:rPr>
        <w:t>19)</w:t>
      </w:r>
      <w:r w:rsidR="00C52421" w:rsidRPr="002E7F1E">
        <w:rPr>
          <w:i/>
          <w:lang w:val="fr-CA"/>
        </w:rPr>
        <w:t xml:space="preserve">, </w:t>
      </w:r>
      <w:r w:rsidR="001D0F8D" w:rsidRPr="002E7F1E">
        <w:rPr>
          <w:i/>
          <w:lang w:val="fr-CA"/>
        </w:rPr>
        <w:t>art. </w:t>
      </w:r>
      <w:r w:rsidR="005C4C6F" w:rsidRPr="002E7F1E">
        <w:rPr>
          <w:i/>
          <w:lang w:val="fr-CA"/>
        </w:rPr>
        <w:t>8, 8A.</w:t>
      </w:r>
    </w:p>
    <w:p w:rsidR="005C4C6F" w:rsidRPr="002E7F1E" w:rsidRDefault="001039A2" w:rsidP="001A26A5">
      <w:pPr>
        <w:pStyle w:val="SCCNormalDoubleSpacing"/>
        <w:tabs>
          <w:tab w:val="clear" w:pos="1168"/>
          <w:tab w:val="left" w:pos="1170"/>
        </w:tabs>
        <w:spacing w:after="480"/>
        <w:rPr>
          <w:lang w:val="fr-CA"/>
        </w:rPr>
      </w:pPr>
      <w:r w:rsidRPr="002E7F1E">
        <w:rPr>
          <w:lang w:val="fr-CA"/>
        </w:rPr>
        <w:tab/>
      </w:r>
      <w:r w:rsidR="005C4C6F" w:rsidRPr="002E7F1E">
        <w:rPr>
          <w:lang w:val="fr-CA"/>
        </w:rPr>
        <w:t>Au procès de S, la poursuite dépose comme pièce l’enregistrement vi</w:t>
      </w:r>
      <w:r w:rsidR="0012490D" w:rsidRPr="002E7F1E">
        <w:rPr>
          <w:lang w:val="fr-CA"/>
        </w:rPr>
        <w:t xml:space="preserve">déo d’une déclaration que </w:t>
      </w:r>
      <w:proofErr w:type="spellStart"/>
      <w:r w:rsidR="0012490D" w:rsidRPr="002E7F1E">
        <w:rPr>
          <w:lang w:val="fr-CA"/>
        </w:rPr>
        <w:t>celui</w:t>
      </w:r>
      <w:r w:rsidR="0012490D" w:rsidRPr="002E7F1E">
        <w:rPr>
          <w:lang w:val="fr-CA"/>
        </w:rPr>
        <w:noBreakHyphen/>
      </w:r>
      <w:r w:rsidR="005C4C6F" w:rsidRPr="002E7F1E">
        <w:rPr>
          <w:lang w:val="fr-CA"/>
        </w:rPr>
        <w:t>ci</w:t>
      </w:r>
      <w:proofErr w:type="spellEnd"/>
      <w:r w:rsidR="005C4C6F" w:rsidRPr="002E7F1E">
        <w:rPr>
          <w:lang w:val="fr-CA"/>
        </w:rPr>
        <w:t xml:space="preserve"> a faite aux policiers avant sa mise en accusation. </w:t>
      </w:r>
      <w:r w:rsidR="00621B8D" w:rsidRPr="002E7F1E">
        <w:rPr>
          <w:lang w:val="fr-CA"/>
        </w:rPr>
        <w:t xml:space="preserve"> </w:t>
      </w:r>
      <w:r w:rsidR="005C4C6F" w:rsidRPr="002E7F1E">
        <w:rPr>
          <w:lang w:val="fr-CA"/>
        </w:rPr>
        <w:t xml:space="preserve">La Cour supérieure autorise les médias à visionner la déclaration dans une autre salle </w:t>
      </w:r>
      <w:r w:rsidR="005C4C6F" w:rsidRPr="002E7F1E">
        <w:rPr>
          <w:lang w:val="fr-CA"/>
        </w:rPr>
        <w:lastRenderedPageBreak/>
        <w:t xml:space="preserve">d’audience et à filmer l’écran sur lequel est diffusée la déclaration, mais elle leur interdit de rediffuser l’enregistrement de la déclaration. </w:t>
      </w:r>
      <w:r w:rsidR="00621B8D" w:rsidRPr="002E7F1E">
        <w:rPr>
          <w:lang w:val="fr-CA"/>
        </w:rPr>
        <w:t xml:space="preserve"> </w:t>
      </w:r>
      <w:r w:rsidR="005C4C6F" w:rsidRPr="002E7F1E">
        <w:rPr>
          <w:lang w:val="fr-CA"/>
        </w:rPr>
        <w:t xml:space="preserve">La SRC et le Groupe TVA présentent à la Cour supérieure une requête afin d’obtenir l’autorisation de diffuser l’enregistrement vidéo de la déclaration, qui est rejetée. </w:t>
      </w:r>
      <w:r w:rsidR="00621B8D" w:rsidRPr="002E7F1E">
        <w:rPr>
          <w:lang w:val="fr-CA"/>
        </w:rPr>
        <w:t xml:space="preserve"> </w:t>
      </w:r>
      <w:r w:rsidR="005C4C6F" w:rsidRPr="002E7F1E">
        <w:rPr>
          <w:lang w:val="fr-CA"/>
        </w:rPr>
        <w:t>La SRC se pourvoit contre cette décision.</w:t>
      </w:r>
    </w:p>
    <w:p w:rsidR="005C4C6F" w:rsidRPr="002E7F1E" w:rsidRDefault="005C4C6F" w:rsidP="00C52421">
      <w:pPr>
        <w:pStyle w:val="SCCNormalDoubleSpacing"/>
        <w:tabs>
          <w:tab w:val="clear" w:pos="1168"/>
          <w:tab w:val="left" w:pos="1170"/>
        </w:tabs>
        <w:spacing w:after="480"/>
        <w:rPr>
          <w:lang w:val="fr-CA"/>
        </w:rPr>
      </w:pPr>
      <w:r w:rsidRPr="002E7F1E">
        <w:rPr>
          <w:lang w:val="fr-CA"/>
        </w:rPr>
        <w:tab/>
      </w:r>
      <w:r w:rsidRPr="002E7F1E">
        <w:rPr>
          <w:i/>
          <w:lang w:val="fr-CA"/>
        </w:rPr>
        <w:t>Arrêt</w:t>
      </w:r>
      <w:r w:rsidRPr="002E7F1E">
        <w:rPr>
          <w:lang w:val="fr-CA"/>
        </w:rPr>
        <w:t xml:space="preserve"> </w:t>
      </w:r>
      <w:r w:rsidRPr="002E7F1E">
        <w:rPr>
          <w:rStyle w:val="QuoteChar"/>
          <w:i w:val="0"/>
          <w:color w:val="auto"/>
          <w:lang w:val="fr-CA"/>
        </w:rPr>
        <w:t>:</w:t>
      </w:r>
      <w:r w:rsidRPr="002E7F1E">
        <w:rPr>
          <w:lang w:val="fr-CA"/>
        </w:rPr>
        <w:t xml:space="preserve"> Le pourvoi est rejeté.</w:t>
      </w:r>
    </w:p>
    <w:p w:rsidR="005C4C6F" w:rsidRPr="002E7F1E" w:rsidRDefault="001A26A5" w:rsidP="00C52421">
      <w:pPr>
        <w:pStyle w:val="SCCNormalDoubleSpacing"/>
        <w:tabs>
          <w:tab w:val="clear" w:pos="1168"/>
          <w:tab w:val="left" w:pos="1170"/>
        </w:tabs>
        <w:spacing w:after="480"/>
        <w:rPr>
          <w:lang w:val="fr-CA"/>
        </w:rPr>
      </w:pPr>
      <w:r w:rsidRPr="002E7F1E">
        <w:rPr>
          <w:lang w:val="fr-CA"/>
        </w:rPr>
        <w:tab/>
      </w:r>
      <w:r w:rsidR="005C4C6F" w:rsidRPr="002E7F1E">
        <w:rPr>
          <w:lang w:val="fr-CA"/>
        </w:rPr>
        <w:t xml:space="preserve">L’enregistrement vidéo déposé en preuve n’est pas visé par l’interdiction de diffusion prévue </w:t>
      </w:r>
      <w:proofErr w:type="gramStart"/>
      <w:r w:rsidR="005C4C6F" w:rsidRPr="002E7F1E">
        <w:rPr>
          <w:lang w:val="fr-CA"/>
        </w:rPr>
        <w:t xml:space="preserve">aux </w:t>
      </w:r>
      <w:r w:rsidR="001D0F8D" w:rsidRPr="002E7F1E">
        <w:rPr>
          <w:lang w:val="fr-CA"/>
        </w:rPr>
        <w:t>art</w:t>
      </w:r>
      <w:proofErr w:type="gramEnd"/>
      <w:r w:rsidR="001D0F8D" w:rsidRPr="002E7F1E">
        <w:rPr>
          <w:lang w:val="fr-CA"/>
        </w:rPr>
        <w:t>. </w:t>
      </w:r>
      <w:r w:rsidR="005C4C6F" w:rsidRPr="002E7F1E">
        <w:rPr>
          <w:lang w:val="fr-CA"/>
        </w:rPr>
        <w:t xml:space="preserve">8 et 8A des </w:t>
      </w:r>
      <w:r w:rsidR="005C4C6F" w:rsidRPr="002E7F1E">
        <w:rPr>
          <w:i/>
          <w:lang w:val="fr-CA"/>
        </w:rPr>
        <w:t>Règles de procédure de la Cour supérieure du Québec, chambre criminelle (2002)</w:t>
      </w:r>
      <w:r w:rsidR="005C4C6F" w:rsidRPr="002E7F1E">
        <w:rPr>
          <w:lang w:val="fr-CA"/>
        </w:rPr>
        <w:t>.</w:t>
      </w:r>
      <w:r w:rsidR="00621B8D" w:rsidRPr="002E7F1E">
        <w:rPr>
          <w:lang w:val="fr-CA"/>
        </w:rPr>
        <w:t xml:space="preserve"> </w:t>
      </w:r>
      <w:r w:rsidR="005C4C6F" w:rsidRPr="002E7F1E">
        <w:rPr>
          <w:lang w:val="fr-CA"/>
        </w:rPr>
        <w:t xml:space="preserve"> Cette interdiction vise uniquement les enregistrements des débats. </w:t>
      </w:r>
      <w:r w:rsidR="00621B8D" w:rsidRPr="002E7F1E">
        <w:rPr>
          <w:lang w:val="fr-CA"/>
        </w:rPr>
        <w:t xml:space="preserve"> </w:t>
      </w:r>
      <w:r w:rsidR="005C4C6F" w:rsidRPr="002E7F1E">
        <w:rPr>
          <w:lang w:val="fr-CA"/>
        </w:rPr>
        <w:t>Comme la création des pièces est indépendante des débats tenus à l</w:t>
      </w:r>
      <w:r w:rsidR="0012490D" w:rsidRPr="002E7F1E">
        <w:rPr>
          <w:lang w:val="fr-CA"/>
        </w:rPr>
        <w:t xml:space="preserve">’audience et antérieure à </w:t>
      </w:r>
      <w:proofErr w:type="spellStart"/>
      <w:r w:rsidR="0012490D" w:rsidRPr="002E7F1E">
        <w:rPr>
          <w:lang w:val="fr-CA"/>
        </w:rPr>
        <w:t>celle</w:t>
      </w:r>
      <w:r w:rsidR="0012490D" w:rsidRPr="002E7F1E">
        <w:rPr>
          <w:lang w:val="fr-CA"/>
        </w:rPr>
        <w:noBreakHyphen/>
      </w:r>
      <w:r w:rsidR="005C4C6F" w:rsidRPr="002E7F1E">
        <w:rPr>
          <w:lang w:val="fr-CA"/>
        </w:rPr>
        <w:t>ci</w:t>
      </w:r>
      <w:proofErr w:type="spellEnd"/>
      <w:r w:rsidR="005C4C6F" w:rsidRPr="002E7F1E">
        <w:rPr>
          <w:lang w:val="fr-CA"/>
        </w:rPr>
        <w:t>, elles ne peuvent pas leur être assimilées.</w:t>
      </w:r>
      <w:r w:rsidR="00621B8D" w:rsidRPr="002E7F1E">
        <w:rPr>
          <w:lang w:val="fr-CA"/>
        </w:rPr>
        <w:t xml:space="preserve"> </w:t>
      </w:r>
      <w:r w:rsidR="005C4C6F" w:rsidRPr="002E7F1E">
        <w:rPr>
          <w:lang w:val="fr-CA"/>
        </w:rPr>
        <w:t xml:space="preserve"> L’accès aux pièces est un corollaire du caractère public des débats et, en l’absence de disposition législative applicable, il revient au juge du procès de décider de l’usage qui peut en être fait selon la grille d’analyse établie dans les arrêts </w:t>
      </w:r>
      <w:proofErr w:type="spellStart"/>
      <w:r w:rsidR="005C4C6F" w:rsidRPr="002E7F1E">
        <w:rPr>
          <w:i/>
          <w:lang w:val="fr-CA"/>
        </w:rPr>
        <w:t>Dagenais</w:t>
      </w:r>
      <w:proofErr w:type="spellEnd"/>
      <w:r w:rsidR="005C4C6F" w:rsidRPr="002E7F1E">
        <w:rPr>
          <w:lang w:val="fr-CA"/>
        </w:rPr>
        <w:t xml:space="preserve"> et</w:t>
      </w:r>
      <w:r w:rsidR="005C4C6F" w:rsidRPr="002E7F1E">
        <w:rPr>
          <w:i/>
          <w:lang w:val="fr-CA"/>
        </w:rPr>
        <w:t xml:space="preserve"> </w:t>
      </w:r>
      <w:proofErr w:type="spellStart"/>
      <w:r w:rsidR="005C4C6F" w:rsidRPr="002E7F1E">
        <w:rPr>
          <w:i/>
          <w:lang w:val="fr-CA"/>
        </w:rPr>
        <w:t>Mentuck</w:t>
      </w:r>
      <w:proofErr w:type="spellEnd"/>
      <w:r w:rsidR="005C4C6F" w:rsidRPr="002E7F1E">
        <w:rPr>
          <w:lang w:val="fr-CA"/>
        </w:rPr>
        <w:t xml:space="preserve">. </w:t>
      </w:r>
      <w:r w:rsidR="00621B8D" w:rsidRPr="002E7F1E">
        <w:rPr>
          <w:lang w:val="fr-CA"/>
        </w:rPr>
        <w:t xml:space="preserve"> </w:t>
      </w:r>
      <w:r w:rsidR="005C4C6F" w:rsidRPr="002E7F1E">
        <w:rPr>
          <w:lang w:val="fr-CA"/>
        </w:rPr>
        <w:t>Lorsqu’il est saisi d’une demande de diffusion d’une déclaration, le juge du procès doit, avant de prononcer l’ordonnance, soupeser les différents facteurs en jeu et s’assurer que la sérénité des débats, l’équité du procès et une saine administration de la justice sont préservées.</w:t>
      </w:r>
    </w:p>
    <w:p w:rsidR="005C4C6F" w:rsidRPr="002E7F1E" w:rsidRDefault="00C70A4D" w:rsidP="00A771B6">
      <w:pPr>
        <w:pStyle w:val="SCCNormalDoubleSpacing"/>
        <w:spacing w:after="480"/>
        <w:rPr>
          <w:lang w:val="fr-FR"/>
        </w:rPr>
      </w:pPr>
      <w:r w:rsidRPr="002E7F1E">
        <w:rPr>
          <w:lang w:val="fr-CA"/>
        </w:rPr>
        <w:tab/>
      </w:r>
      <w:r w:rsidR="005C4C6F" w:rsidRPr="002E7F1E">
        <w:rPr>
          <w:lang w:val="fr-CA"/>
        </w:rPr>
        <w:t xml:space="preserve">En l’espèce, le procès de S est maintenant terminé et il a été acquitté. </w:t>
      </w:r>
      <w:r w:rsidR="00A771B6" w:rsidRPr="002E7F1E">
        <w:rPr>
          <w:lang w:val="fr-CA"/>
        </w:rPr>
        <w:t xml:space="preserve"> </w:t>
      </w:r>
      <w:r w:rsidR="005C4C6F" w:rsidRPr="002E7F1E">
        <w:rPr>
          <w:lang w:val="fr-CA"/>
        </w:rPr>
        <w:t xml:space="preserve">Le pourvoi tel que formé est devenu théorique. </w:t>
      </w:r>
      <w:r w:rsidR="00A771B6" w:rsidRPr="002E7F1E">
        <w:rPr>
          <w:lang w:val="fr-CA"/>
        </w:rPr>
        <w:t xml:space="preserve"> </w:t>
      </w:r>
      <w:r w:rsidR="005C4C6F" w:rsidRPr="002E7F1E">
        <w:rPr>
          <w:lang w:val="fr-CA"/>
        </w:rPr>
        <w:t xml:space="preserve">Cependant, si une requête pour diffusion </w:t>
      </w:r>
      <w:r w:rsidR="005C4C6F" w:rsidRPr="002E7F1E">
        <w:rPr>
          <w:lang w:val="fr-CA"/>
        </w:rPr>
        <w:lastRenderedPageBreak/>
        <w:t xml:space="preserve">de la déclaration était présentée malgré la fin du débat judiciaire, le juge devrait évaluer l’incidence de la diffusion de </w:t>
      </w:r>
      <w:proofErr w:type="spellStart"/>
      <w:r w:rsidR="005C4C6F" w:rsidRPr="002E7F1E">
        <w:rPr>
          <w:lang w:val="fr-CA"/>
        </w:rPr>
        <w:t>celle</w:t>
      </w:r>
      <w:r w:rsidR="0012490D" w:rsidRPr="002E7F1E">
        <w:rPr>
          <w:lang w:val="fr-CA"/>
        </w:rPr>
        <w:noBreakHyphen/>
      </w:r>
      <w:r w:rsidR="005C4C6F" w:rsidRPr="002E7F1E">
        <w:rPr>
          <w:lang w:val="fr-CA"/>
        </w:rPr>
        <w:t>ci</w:t>
      </w:r>
      <w:proofErr w:type="spellEnd"/>
      <w:r w:rsidR="005C4C6F" w:rsidRPr="002E7F1E">
        <w:rPr>
          <w:lang w:val="fr-CA"/>
        </w:rPr>
        <w:t xml:space="preserve"> sur le procès d’un coaccusé ou sur l</w:t>
      </w:r>
      <w:r w:rsidR="0012490D" w:rsidRPr="002E7F1E">
        <w:rPr>
          <w:lang w:val="fr-CA"/>
        </w:rPr>
        <w:t xml:space="preserve">’accusé </w:t>
      </w:r>
      <w:proofErr w:type="spellStart"/>
      <w:r w:rsidR="0012490D" w:rsidRPr="002E7F1E">
        <w:rPr>
          <w:lang w:val="fr-CA"/>
        </w:rPr>
        <w:t>lui</w:t>
      </w:r>
      <w:r w:rsidR="0012490D" w:rsidRPr="002E7F1E">
        <w:rPr>
          <w:lang w:val="fr-CA"/>
        </w:rPr>
        <w:noBreakHyphen/>
      </w:r>
      <w:r w:rsidR="005C4C6F" w:rsidRPr="002E7F1E">
        <w:rPr>
          <w:lang w:val="fr-CA"/>
        </w:rPr>
        <w:t>même</w:t>
      </w:r>
      <w:proofErr w:type="spellEnd"/>
      <w:r w:rsidR="005C4C6F" w:rsidRPr="002E7F1E">
        <w:rPr>
          <w:lang w:val="fr-CA"/>
        </w:rPr>
        <w:t xml:space="preserve">. </w:t>
      </w:r>
      <w:r w:rsidR="00A771B6" w:rsidRPr="002E7F1E">
        <w:rPr>
          <w:lang w:val="fr-CA"/>
        </w:rPr>
        <w:t xml:space="preserve"> </w:t>
      </w:r>
      <w:r w:rsidR="005C4C6F" w:rsidRPr="002E7F1E">
        <w:rPr>
          <w:lang w:val="fr-CA"/>
        </w:rPr>
        <w:t xml:space="preserve">À cet égard, S fait valoir qu’il serait particulièrement affecté par la diffusion de la déclaration en raison de sa déficience intellectuelle. </w:t>
      </w:r>
      <w:r w:rsidR="00A771B6" w:rsidRPr="002E7F1E">
        <w:rPr>
          <w:lang w:val="fr-CA"/>
        </w:rPr>
        <w:t xml:space="preserve"> </w:t>
      </w:r>
      <w:r w:rsidR="005C4C6F" w:rsidRPr="002E7F1E">
        <w:rPr>
          <w:lang w:val="fr-CA"/>
        </w:rPr>
        <w:t>L</w:t>
      </w:r>
      <w:r w:rsidR="005C4C6F" w:rsidRPr="002E7F1E">
        <w:rPr>
          <w:rStyle w:val="reportcite"/>
          <w:szCs w:val="24"/>
          <w:lang w:val="fr-CA"/>
        </w:rPr>
        <w:t>a protection de valeurs sociales doit parfois avoir préséance sur la publicité des débats.</w:t>
      </w:r>
      <w:r w:rsidR="00A771B6" w:rsidRPr="002E7F1E">
        <w:rPr>
          <w:rStyle w:val="reportcite"/>
          <w:szCs w:val="24"/>
          <w:lang w:val="fr-CA"/>
        </w:rPr>
        <w:t xml:space="preserve"> </w:t>
      </w:r>
      <w:r w:rsidR="005C4C6F" w:rsidRPr="002E7F1E">
        <w:rPr>
          <w:rStyle w:val="reportcite"/>
          <w:szCs w:val="24"/>
          <w:lang w:val="fr-CA"/>
        </w:rPr>
        <w:t xml:space="preserve"> La protection des personnes vulnérables, particulièrement lorsqu’elles ont été acquittées, constitue un tel cas.</w:t>
      </w:r>
    </w:p>
    <w:p w:rsidR="007E1C47" w:rsidRPr="002E7F1E" w:rsidRDefault="0043088E" w:rsidP="00580F2C">
      <w:pPr>
        <w:pStyle w:val="SCCNormalDoubleSpacing"/>
        <w:keepNext/>
        <w:spacing w:after="480"/>
        <w:rPr>
          <w:b/>
          <w:lang w:val="fr-FR"/>
        </w:rPr>
      </w:pPr>
      <w:r w:rsidRPr="002E7F1E">
        <w:rPr>
          <w:b/>
          <w:lang w:val="fr-FR"/>
        </w:rPr>
        <w:t>Jurisprudence</w:t>
      </w:r>
    </w:p>
    <w:p w:rsidR="004049B0" w:rsidRPr="002E7F1E" w:rsidRDefault="002E6705" w:rsidP="00C52421">
      <w:pPr>
        <w:pStyle w:val="SCCNormalDoubleSpacing"/>
        <w:spacing w:after="480"/>
        <w:rPr>
          <w:lang w:val="fr-FR"/>
        </w:rPr>
      </w:pPr>
      <w:r w:rsidRPr="002E7F1E">
        <w:rPr>
          <w:lang w:val="fr-FR"/>
        </w:rPr>
        <w:tab/>
      </w:r>
      <w:r w:rsidR="0043088E" w:rsidRPr="002E7F1E">
        <w:rPr>
          <w:b/>
          <w:lang w:val="fr-FR"/>
        </w:rPr>
        <w:t xml:space="preserve">Arrêts </w:t>
      </w:r>
      <w:r w:rsidR="005E7289" w:rsidRPr="002E7F1E">
        <w:rPr>
          <w:b/>
          <w:lang w:val="fr-FR"/>
        </w:rPr>
        <w:t>appliqu</w:t>
      </w:r>
      <w:r w:rsidR="0043088E" w:rsidRPr="002E7F1E">
        <w:rPr>
          <w:b/>
          <w:lang w:val="fr-FR"/>
        </w:rPr>
        <w:t>és</w:t>
      </w:r>
      <w:r w:rsidR="00F33658" w:rsidRPr="002E7F1E">
        <w:rPr>
          <w:b/>
          <w:lang w:val="fr-FR"/>
        </w:rPr>
        <w:t> </w:t>
      </w:r>
      <w:r w:rsidRPr="002E7F1E">
        <w:rPr>
          <w:b/>
          <w:lang w:val="fr-FR"/>
        </w:rPr>
        <w:t>:</w:t>
      </w:r>
      <w:r w:rsidR="00172A04" w:rsidRPr="002E7F1E">
        <w:rPr>
          <w:lang w:val="fr-FR"/>
        </w:rPr>
        <w:t xml:space="preserve"> </w:t>
      </w:r>
      <w:proofErr w:type="spellStart"/>
      <w:r w:rsidR="0012490D" w:rsidRPr="002E7F1E">
        <w:rPr>
          <w:i/>
          <w:lang w:val="fr-FR"/>
        </w:rPr>
        <w:t>Dagenais</w:t>
      </w:r>
      <w:proofErr w:type="spellEnd"/>
      <w:r w:rsidR="0012490D" w:rsidRPr="002E7F1E">
        <w:rPr>
          <w:i/>
          <w:lang w:val="fr-FR"/>
        </w:rPr>
        <w:t xml:space="preserve"> c. Société </w:t>
      </w:r>
      <w:proofErr w:type="spellStart"/>
      <w:r w:rsidR="0012490D" w:rsidRPr="002E7F1E">
        <w:rPr>
          <w:i/>
          <w:lang w:val="fr-FR"/>
        </w:rPr>
        <w:t>Radio</w:t>
      </w:r>
      <w:r w:rsidR="0012490D" w:rsidRPr="002E7F1E">
        <w:rPr>
          <w:i/>
          <w:lang w:val="fr-FR"/>
        </w:rPr>
        <w:noBreakHyphen/>
      </w:r>
      <w:r w:rsidR="005E7289" w:rsidRPr="002E7F1E">
        <w:rPr>
          <w:i/>
          <w:lang w:val="fr-FR"/>
        </w:rPr>
        <w:t>Canada</w:t>
      </w:r>
      <w:proofErr w:type="spellEnd"/>
      <w:r w:rsidR="005E7289" w:rsidRPr="002E7F1E">
        <w:rPr>
          <w:lang w:val="fr-FR"/>
        </w:rPr>
        <w:t xml:space="preserve">, [1994] 3 R.C.S. 835; </w:t>
      </w:r>
      <w:r w:rsidR="005E7289" w:rsidRPr="002E7F1E">
        <w:rPr>
          <w:i/>
          <w:lang w:val="fr-FR"/>
        </w:rPr>
        <w:t xml:space="preserve">R. c. </w:t>
      </w:r>
      <w:proofErr w:type="spellStart"/>
      <w:r w:rsidR="005E7289" w:rsidRPr="002E7F1E">
        <w:rPr>
          <w:i/>
          <w:lang w:val="fr-FR"/>
        </w:rPr>
        <w:t>Mentuck</w:t>
      </w:r>
      <w:proofErr w:type="spellEnd"/>
      <w:r w:rsidR="005E7289" w:rsidRPr="002E7F1E">
        <w:rPr>
          <w:lang w:val="fr-FR"/>
        </w:rPr>
        <w:t xml:space="preserve">, 2001 CSC 76, [2001] 3 R.C.S. 442; </w:t>
      </w:r>
      <w:r w:rsidR="005E7289" w:rsidRPr="002E7F1E">
        <w:rPr>
          <w:b/>
          <w:lang w:val="fr-FR"/>
        </w:rPr>
        <w:t>arrêts mentionnés :</w:t>
      </w:r>
      <w:r w:rsidR="005E7289" w:rsidRPr="002E7F1E">
        <w:rPr>
          <w:lang w:val="fr-FR"/>
        </w:rPr>
        <w:t xml:space="preserve"> </w:t>
      </w:r>
      <w:r w:rsidR="00F03665" w:rsidRPr="002E7F1E">
        <w:rPr>
          <w:i/>
          <w:lang w:val="fr-FR"/>
        </w:rPr>
        <w:t>Société</w:t>
      </w:r>
      <w:r w:rsidR="00F03665" w:rsidRPr="002E7F1E">
        <w:rPr>
          <w:lang w:val="fr-FR"/>
        </w:rPr>
        <w:t xml:space="preserve"> </w:t>
      </w:r>
      <w:proofErr w:type="spellStart"/>
      <w:r w:rsidR="0012490D" w:rsidRPr="002E7F1E">
        <w:rPr>
          <w:i/>
          <w:lang w:val="fr-FR"/>
        </w:rPr>
        <w:t>Radio</w:t>
      </w:r>
      <w:r w:rsidR="0012490D" w:rsidRPr="002E7F1E">
        <w:rPr>
          <w:i/>
          <w:lang w:val="fr-FR"/>
        </w:rPr>
        <w:noBreakHyphen/>
      </w:r>
      <w:r w:rsidR="00F03665" w:rsidRPr="002E7F1E">
        <w:rPr>
          <w:i/>
          <w:lang w:val="fr-FR"/>
        </w:rPr>
        <w:t>Canada</w:t>
      </w:r>
      <w:proofErr w:type="spellEnd"/>
      <w:r w:rsidR="00F03665" w:rsidRPr="002E7F1E">
        <w:rPr>
          <w:i/>
          <w:lang w:val="fr-FR"/>
        </w:rPr>
        <w:t xml:space="preserve"> c. Canada (Procureur général)</w:t>
      </w:r>
      <w:r w:rsidR="00F03665" w:rsidRPr="002E7F1E">
        <w:rPr>
          <w:lang w:val="fr-FR"/>
        </w:rPr>
        <w:t xml:space="preserve">, 2011 CSC </w:t>
      </w:r>
      <w:r w:rsidR="00572568" w:rsidRPr="002E7F1E">
        <w:rPr>
          <w:lang w:val="fr-FR"/>
        </w:rPr>
        <w:t>2</w:t>
      </w:r>
      <w:r w:rsidR="009974FB" w:rsidRPr="002E7F1E">
        <w:rPr>
          <w:lang w:val="fr-FR"/>
        </w:rPr>
        <w:t>, [2011] 1 R.C.S. 19</w:t>
      </w:r>
      <w:r w:rsidR="00F03665" w:rsidRPr="002E7F1E">
        <w:rPr>
          <w:lang w:val="fr-FR"/>
        </w:rPr>
        <w:t xml:space="preserve">; </w:t>
      </w:r>
      <w:r w:rsidR="0012490D" w:rsidRPr="002E7F1E">
        <w:rPr>
          <w:i/>
          <w:lang w:val="fr-FR"/>
        </w:rPr>
        <w:t xml:space="preserve">Société </w:t>
      </w:r>
      <w:proofErr w:type="spellStart"/>
      <w:r w:rsidR="0012490D" w:rsidRPr="002E7F1E">
        <w:rPr>
          <w:i/>
          <w:lang w:val="fr-FR"/>
        </w:rPr>
        <w:t>Radio</w:t>
      </w:r>
      <w:r w:rsidR="0012490D" w:rsidRPr="002E7F1E">
        <w:rPr>
          <w:i/>
          <w:lang w:val="fr-FR"/>
        </w:rPr>
        <w:noBreakHyphen/>
      </w:r>
      <w:r w:rsidR="004049B0" w:rsidRPr="002E7F1E">
        <w:rPr>
          <w:i/>
          <w:lang w:val="fr-FR"/>
        </w:rPr>
        <w:t>Canada</w:t>
      </w:r>
      <w:proofErr w:type="spellEnd"/>
      <w:r w:rsidR="004049B0" w:rsidRPr="002E7F1E">
        <w:rPr>
          <w:i/>
          <w:lang w:val="fr-FR"/>
        </w:rPr>
        <w:t xml:space="preserve"> c. Québec (Procureur général)</w:t>
      </w:r>
      <w:r w:rsidR="004049B0" w:rsidRPr="002E7F1E">
        <w:rPr>
          <w:lang w:val="fr-FR"/>
        </w:rPr>
        <w:t>, 2008 QCCA 1910</w:t>
      </w:r>
      <w:r w:rsidR="00EC4AAC" w:rsidRPr="002E7F1E">
        <w:rPr>
          <w:lang w:val="fr-FR"/>
        </w:rPr>
        <w:t>, [2008] R.J.Q. 2303</w:t>
      </w:r>
      <w:r w:rsidR="00F03665" w:rsidRPr="002E7F1E">
        <w:rPr>
          <w:lang w:val="fr-FR"/>
        </w:rPr>
        <w:t xml:space="preserve">; </w:t>
      </w:r>
      <w:r w:rsidR="004D0F6D" w:rsidRPr="002E7F1E">
        <w:rPr>
          <w:i/>
          <w:lang w:val="fr-FR"/>
        </w:rPr>
        <w:t xml:space="preserve">Irwin </w:t>
      </w:r>
      <w:proofErr w:type="spellStart"/>
      <w:r w:rsidR="004D0F6D" w:rsidRPr="002E7F1E">
        <w:rPr>
          <w:i/>
          <w:lang w:val="fr-FR"/>
        </w:rPr>
        <w:t>Toy</w:t>
      </w:r>
      <w:proofErr w:type="spellEnd"/>
      <w:r w:rsidR="004D0F6D" w:rsidRPr="002E7F1E">
        <w:rPr>
          <w:i/>
          <w:lang w:val="fr-FR"/>
        </w:rPr>
        <w:t xml:space="preserve"> Ltd. c. Québec (Procureur général)</w:t>
      </w:r>
      <w:r w:rsidR="004D0F6D" w:rsidRPr="002E7F1E">
        <w:rPr>
          <w:lang w:val="fr-FR"/>
        </w:rPr>
        <w:t xml:space="preserve">, [1989] 1 R.C.S. 927; </w:t>
      </w:r>
      <w:proofErr w:type="spellStart"/>
      <w:r w:rsidR="004049B0" w:rsidRPr="002E7F1E">
        <w:rPr>
          <w:i/>
          <w:lang w:val="fr-FR"/>
        </w:rPr>
        <w:t>Vickery</w:t>
      </w:r>
      <w:proofErr w:type="spellEnd"/>
      <w:r w:rsidR="004049B0" w:rsidRPr="002E7F1E">
        <w:rPr>
          <w:i/>
          <w:lang w:val="fr-FR"/>
        </w:rPr>
        <w:t xml:space="preserve"> c. Cour suprême de </w:t>
      </w:r>
      <w:r w:rsidR="00D95832" w:rsidRPr="002E7F1E">
        <w:rPr>
          <w:i/>
          <w:lang w:val="fr-FR"/>
        </w:rPr>
        <w:t xml:space="preserve">la </w:t>
      </w:r>
      <w:proofErr w:type="spellStart"/>
      <w:r w:rsidR="004049B0" w:rsidRPr="002E7F1E">
        <w:rPr>
          <w:i/>
          <w:lang w:val="fr-FR"/>
        </w:rPr>
        <w:t>Nouvelle</w:t>
      </w:r>
      <w:r w:rsidR="0012490D" w:rsidRPr="002E7F1E">
        <w:rPr>
          <w:i/>
          <w:lang w:val="fr-FR"/>
        </w:rPr>
        <w:noBreakHyphen/>
      </w:r>
      <w:r w:rsidR="004049B0" w:rsidRPr="002E7F1E">
        <w:rPr>
          <w:i/>
          <w:lang w:val="fr-FR"/>
        </w:rPr>
        <w:t>Écosse</w:t>
      </w:r>
      <w:proofErr w:type="spellEnd"/>
      <w:r w:rsidR="004049B0" w:rsidRPr="002E7F1E">
        <w:rPr>
          <w:i/>
          <w:lang w:val="fr-FR"/>
        </w:rPr>
        <w:t xml:space="preserve"> (Protonotaire)</w:t>
      </w:r>
      <w:r w:rsidR="004049B0" w:rsidRPr="002E7F1E">
        <w:rPr>
          <w:lang w:val="fr-FR"/>
        </w:rPr>
        <w:t>, [1991] 1 R.C.S. 671</w:t>
      </w:r>
      <w:r w:rsidR="005E7289" w:rsidRPr="002E7F1E">
        <w:rPr>
          <w:lang w:val="fr-FR"/>
        </w:rPr>
        <w:t xml:space="preserve">; </w:t>
      </w:r>
      <w:r w:rsidR="00F03665" w:rsidRPr="002E7F1E">
        <w:rPr>
          <w:i/>
          <w:lang w:val="fr-FR"/>
        </w:rPr>
        <w:t xml:space="preserve">Procureur général de la </w:t>
      </w:r>
      <w:proofErr w:type="spellStart"/>
      <w:r w:rsidR="00F03665" w:rsidRPr="002E7F1E">
        <w:rPr>
          <w:i/>
          <w:lang w:val="fr-FR"/>
        </w:rPr>
        <w:t>Nouvelle</w:t>
      </w:r>
      <w:r w:rsidR="0012490D" w:rsidRPr="002E7F1E">
        <w:rPr>
          <w:i/>
          <w:lang w:val="fr-FR"/>
        </w:rPr>
        <w:noBreakHyphen/>
      </w:r>
      <w:r w:rsidR="00F03665" w:rsidRPr="002E7F1E">
        <w:rPr>
          <w:i/>
          <w:lang w:val="fr-FR"/>
        </w:rPr>
        <w:t>Écosse</w:t>
      </w:r>
      <w:proofErr w:type="spellEnd"/>
      <w:r w:rsidR="00F03665" w:rsidRPr="002E7F1E">
        <w:rPr>
          <w:i/>
          <w:lang w:val="fr-FR"/>
        </w:rPr>
        <w:t xml:space="preserve"> c. </w:t>
      </w:r>
      <w:proofErr w:type="spellStart"/>
      <w:r w:rsidR="00F03665" w:rsidRPr="002E7F1E">
        <w:rPr>
          <w:i/>
          <w:lang w:val="fr-FR"/>
        </w:rPr>
        <w:t>MacIntyre</w:t>
      </w:r>
      <w:proofErr w:type="spellEnd"/>
      <w:r w:rsidR="00F03665" w:rsidRPr="002E7F1E">
        <w:rPr>
          <w:lang w:val="fr-FR"/>
        </w:rPr>
        <w:t xml:space="preserve">, [1982] 1 R.C.S. 175; </w:t>
      </w:r>
      <w:r w:rsidR="00F03665" w:rsidRPr="002E7F1E">
        <w:rPr>
          <w:i/>
          <w:lang w:val="fr-FR"/>
        </w:rPr>
        <w:t xml:space="preserve">R. c. Canadian </w:t>
      </w:r>
      <w:proofErr w:type="spellStart"/>
      <w:r w:rsidR="00F03665" w:rsidRPr="002E7F1E">
        <w:rPr>
          <w:i/>
          <w:lang w:val="fr-FR"/>
        </w:rPr>
        <w:t>Broadcasting</w:t>
      </w:r>
      <w:proofErr w:type="spellEnd"/>
      <w:r w:rsidR="00F03665" w:rsidRPr="002E7F1E">
        <w:rPr>
          <w:i/>
          <w:lang w:val="fr-FR"/>
        </w:rPr>
        <w:t xml:space="preserve"> Corporation</w:t>
      </w:r>
      <w:r w:rsidR="00F03665" w:rsidRPr="002E7F1E">
        <w:rPr>
          <w:lang w:val="fr-FR"/>
        </w:rPr>
        <w:t>, 2010 ONCA 726</w:t>
      </w:r>
      <w:r w:rsidR="00922A44" w:rsidRPr="002E7F1E">
        <w:rPr>
          <w:lang w:val="fr-FR"/>
        </w:rPr>
        <w:t xml:space="preserve"> (</w:t>
      </w:r>
      <w:proofErr w:type="spellStart"/>
      <w:r w:rsidR="00922A44" w:rsidRPr="002E7F1E">
        <w:rPr>
          <w:lang w:val="fr-FR"/>
        </w:rPr>
        <w:t>CanLII</w:t>
      </w:r>
      <w:proofErr w:type="spellEnd"/>
      <w:r w:rsidR="00922A44" w:rsidRPr="002E7F1E">
        <w:rPr>
          <w:lang w:val="fr-FR"/>
        </w:rPr>
        <w:t>)</w:t>
      </w:r>
      <w:r w:rsidR="00F03665" w:rsidRPr="002E7F1E">
        <w:rPr>
          <w:lang w:val="fr-FR"/>
        </w:rPr>
        <w:t>;</w:t>
      </w:r>
      <w:r w:rsidR="004049B0" w:rsidRPr="002E7F1E">
        <w:rPr>
          <w:lang w:val="fr-FR"/>
        </w:rPr>
        <w:t xml:space="preserve"> </w:t>
      </w:r>
      <w:r w:rsidR="0012490D" w:rsidRPr="002E7F1E">
        <w:rPr>
          <w:i/>
          <w:lang w:val="fr-FR"/>
        </w:rPr>
        <w:t xml:space="preserve">Société </w:t>
      </w:r>
      <w:proofErr w:type="spellStart"/>
      <w:r w:rsidR="0012490D" w:rsidRPr="002E7F1E">
        <w:rPr>
          <w:i/>
          <w:lang w:val="fr-FR"/>
        </w:rPr>
        <w:t>Radio</w:t>
      </w:r>
      <w:r w:rsidR="0012490D" w:rsidRPr="002E7F1E">
        <w:rPr>
          <w:i/>
          <w:lang w:val="fr-FR"/>
        </w:rPr>
        <w:noBreakHyphen/>
      </w:r>
      <w:r w:rsidR="00F03665" w:rsidRPr="002E7F1E">
        <w:rPr>
          <w:i/>
          <w:lang w:val="fr-FR"/>
        </w:rPr>
        <w:t>Canada</w:t>
      </w:r>
      <w:proofErr w:type="spellEnd"/>
      <w:r w:rsidR="00F03665" w:rsidRPr="002E7F1E">
        <w:rPr>
          <w:i/>
          <w:lang w:val="fr-FR"/>
        </w:rPr>
        <w:t xml:space="preserve"> c. </w:t>
      </w:r>
      <w:proofErr w:type="spellStart"/>
      <w:r w:rsidR="00F03665" w:rsidRPr="002E7F1E">
        <w:rPr>
          <w:i/>
          <w:lang w:val="fr-FR"/>
        </w:rPr>
        <w:t>Bérubé</w:t>
      </w:r>
      <w:proofErr w:type="spellEnd"/>
      <w:r w:rsidR="00F03665" w:rsidRPr="002E7F1E">
        <w:rPr>
          <w:lang w:val="fr-FR"/>
        </w:rPr>
        <w:t xml:space="preserve">, [2005] R.J.Q. 1183; </w:t>
      </w:r>
      <w:r w:rsidR="00F03665" w:rsidRPr="002E7F1E">
        <w:rPr>
          <w:i/>
          <w:lang w:val="fr-FR"/>
        </w:rPr>
        <w:t>R. c. Giroux</w:t>
      </w:r>
      <w:r w:rsidR="00F03665" w:rsidRPr="002E7F1E">
        <w:rPr>
          <w:lang w:val="fr-FR"/>
        </w:rPr>
        <w:t xml:space="preserve">, 2005 </w:t>
      </w:r>
      <w:proofErr w:type="spellStart"/>
      <w:r w:rsidR="00F03665" w:rsidRPr="002E7F1E">
        <w:rPr>
          <w:lang w:val="fr-FR"/>
        </w:rPr>
        <w:t>CanLII</w:t>
      </w:r>
      <w:proofErr w:type="spellEnd"/>
      <w:r w:rsidR="00F03665" w:rsidRPr="002E7F1E">
        <w:rPr>
          <w:lang w:val="fr-FR"/>
        </w:rPr>
        <w:t xml:space="preserve"> 12396; </w:t>
      </w:r>
      <w:r w:rsidR="00F03665" w:rsidRPr="002E7F1E">
        <w:rPr>
          <w:i/>
          <w:lang w:val="fr-FR"/>
        </w:rPr>
        <w:t>Vancouver Sun (</w:t>
      </w:r>
      <w:proofErr w:type="spellStart"/>
      <w:r w:rsidR="00F03665" w:rsidRPr="002E7F1E">
        <w:rPr>
          <w:i/>
          <w:lang w:val="fr-FR"/>
        </w:rPr>
        <w:t>Re</w:t>
      </w:r>
      <w:proofErr w:type="spellEnd"/>
      <w:r w:rsidR="00F03665" w:rsidRPr="002E7F1E">
        <w:rPr>
          <w:i/>
          <w:lang w:val="fr-FR"/>
        </w:rPr>
        <w:t>)</w:t>
      </w:r>
      <w:r w:rsidR="00F03665" w:rsidRPr="002E7F1E">
        <w:rPr>
          <w:lang w:val="fr-FR"/>
        </w:rPr>
        <w:t xml:space="preserve">, 2004 CSC 43, [2004] 2 R.C.S. 332; </w:t>
      </w:r>
      <w:r w:rsidR="004049B0" w:rsidRPr="002E7F1E">
        <w:rPr>
          <w:i/>
          <w:lang w:val="fr-FR"/>
        </w:rPr>
        <w:t xml:space="preserve">Toronto Star </w:t>
      </w:r>
      <w:proofErr w:type="spellStart"/>
      <w:r w:rsidR="004049B0" w:rsidRPr="002E7F1E">
        <w:rPr>
          <w:i/>
          <w:lang w:val="fr-FR"/>
        </w:rPr>
        <w:t>Newspapers</w:t>
      </w:r>
      <w:proofErr w:type="spellEnd"/>
      <w:r w:rsidR="004049B0" w:rsidRPr="002E7F1E">
        <w:rPr>
          <w:i/>
          <w:lang w:val="fr-FR"/>
        </w:rPr>
        <w:t xml:space="preserve"> Ltd.</w:t>
      </w:r>
      <w:r w:rsidR="00917776" w:rsidRPr="002E7F1E">
        <w:rPr>
          <w:i/>
          <w:lang w:val="fr-FR"/>
        </w:rPr>
        <w:t xml:space="preserve"> c. Ontario</w:t>
      </w:r>
      <w:r w:rsidR="004049B0" w:rsidRPr="002E7F1E">
        <w:rPr>
          <w:lang w:val="fr-FR"/>
        </w:rPr>
        <w:t xml:space="preserve">, 2005 CSC 41, [2005] 2 R.C.S. 188; </w:t>
      </w:r>
      <w:r w:rsidR="00F03665" w:rsidRPr="002E7F1E">
        <w:rPr>
          <w:i/>
          <w:lang w:val="fr-FR"/>
        </w:rPr>
        <w:t>Personne désignée c. Vancouver Sun</w:t>
      </w:r>
      <w:r w:rsidR="00F03665" w:rsidRPr="002E7F1E">
        <w:rPr>
          <w:lang w:val="fr-FR"/>
        </w:rPr>
        <w:t xml:space="preserve">, 2007 CSC 43, [2007] 3 R.C.S. 253; </w:t>
      </w:r>
      <w:r w:rsidR="004049B0" w:rsidRPr="002E7F1E">
        <w:rPr>
          <w:i/>
          <w:lang w:val="fr-FR"/>
        </w:rPr>
        <w:t xml:space="preserve">Toronto Star </w:t>
      </w:r>
      <w:proofErr w:type="spellStart"/>
      <w:r w:rsidR="004049B0" w:rsidRPr="002E7F1E">
        <w:rPr>
          <w:i/>
          <w:lang w:val="fr-FR"/>
        </w:rPr>
        <w:t>Newspapers</w:t>
      </w:r>
      <w:proofErr w:type="spellEnd"/>
      <w:r w:rsidR="004049B0" w:rsidRPr="002E7F1E">
        <w:rPr>
          <w:i/>
          <w:lang w:val="fr-FR"/>
        </w:rPr>
        <w:t xml:space="preserve"> Ltd. c. Canada</w:t>
      </w:r>
      <w:r w:rsidR="004049B0" w:rsidRPr="002E7F1E">
        <w:rPr>
          <w:lang w:val="fr-FR"/>
        </w:rPr>
        <w:t>, 2010 CSC 21</w:t>
      </w:r>
      <w:r w:rsidR="0043030F" w:rsidRPr="002E7F1E">
        <w:rPr>
          <w:lang w:val="fr-FR"/>
        </w:rPr>
        <w:t>, [2010] 1 R.C.S. 721</w:t>
      </w:r>
      <w:r w:rsidR="004049B0" w:rsidRPr="002E7F1E">
        <w:rPr>
          <w:lang w:val="fr-FR"/>
        </w:rPr>
        <w:t>.</w:t>
      </w:r>
    </w:p>
    <w:p w:rsidR="00231F3A" w:rsidRPr="002E7F1E" w:rsidRDefault="0043088E" w:rsidP="00C52421">
      <w:pPr>
        <w:pStyle w:val="SCCNormalDoubleSpacing"/>
        <w:keepNext/>
        <w:spacing w:after="480"/>
        <w:rPr>
          <w:b/>
          <w:lang w:val="fr-CA"/>
        </w:rPr>
      </w:pPr>
      <w:r w:rsidRPr="002E7F1E">
        <w:rPr>
          <w:b/>
          <w:lang w:val="fr-CA"/>
        </w:rPr>
        <w:lastRenderedPageBreak/>
        <w:t>Lois</w:t>
      </w:r>
      <w:r w:rsidR="002E6705" w:rsidRPr="002E7F1E">
        <w:rPr>
          <w:b/>
          <w:lang w:val="fr-CA"/>
        </w:rPr>
        <w:t xml:space="preserve"> </w:t>
      </w:r>
      <w:r w:rsidR="008A6558" w:rsidRPr="002E7F1E">
        <w:rPr>
          <w:b/>
          <w:lang w:val="fr-CA"/>
        </w:rPr>
        <w:t>et</w:t>
      </w:r>
      <w:r w:rsidR="002E6705" w:rsidRPr="002E7F1E">
        <w:rPr>
          <w:b/>
          <w:lang w:val="fr-CA"/>
        </w:rPr>
        <w:t xml:space="preserve"> </w:t>
      </w:r>
      <w:r w:rsidRPr="002E7F1E">
        <w:rPr>
          <w:b/>
          <w:lang w:val="fr-CA"/>
        </w:rPr>
        <w:t>rè</w:t>
      </w:r>
      <w:r w:rsidR="002E6705" w:rsidRPr="002E7F1E">
        <w:rPr>
          <w:b/>
          <w:lang w:val="fr-CA"/>
        </w:rPr>
        <w:t>gl</w:t>
      </w:r>
      <w:r w:rsidRPr="002E7F1E">
        <w:rPr>
          <w:b/>
          <w:lang w:val="fr-CA"/>
        </w:rPr>
        <w:t>ements</w:t>
      </w:r>
      <w:r w:rsidR="002E6705" w:rsidRPr="002E7F1E">
        <w:rPr>
          <w:b/>
          <w:lang w:val="fr-CA"/>
        </w:rPr>
        <w:t xml:space="preserve"> </w:t>
      </w:r>
      <w:r w:rsidRPr="002E7F1E">
        <w:rPr>
          <w:b/>
          <w:lang w:val="fr-CA"/>
        </w:rPr>
        <w:t>c</w:t>
      </w:r>
      <w:r w:rsidR="002E6705" w:rsidRPr="002E7F1E">
        <w:rPr>
          <w:b/>
          <w:lang w:val="fr-CA"/>
        </w:rPr>
        <w:t>it</w:t>
      </w:r>
      <w:r w:rsidRPr="002E7F1E">
        <w:rPr>
          <w:b/>
          <w:lang w:val="fr-CA"/>
        </w:rPr>
        <w:t>és</w:t>
      </w:r>
    </w:p>
    <w:p w:rsidR="004049B0" w:rsidRPr="002E7F1E" w:rsidRDefault="004049B0" w:rsidP="00901E3A">
      <w:pPr>
        <w:pStyle w:val="SCCNormalDoubleSpacing"/>
        <w:spacing w:after="240" w:line="240" w:lineRule="auto"/>
        <w:ind w:left="547" w:hanging="547"/>
        <w:rPr>
          <w:lang w:val="fr-CA"/>
        </w:rPr>
      </w:pPr>
      <w:r w:rsidRPr="002E7F1E">
        <w:rPr>
          <w:i/>
          <w:lang w:val="fr-CA"/>
        </w:rPr>
        <w:t>Charte canadienne des droits et libertés</w:t>
      </w:r>
      <w:r w:rsidR="007F71B3" w:rsidRPr="002E7F1E">
        <w:rPr>
          <w:lang w:val="fr-CA"/>
        </w:rPr>
        <w:t xml:space="preserve">, </w:t>
      </w:r>
      <w:r w:rsidR="001D0F8D" w:rsidRPr="002E7F1E">
        <w:rPr>
          <w:lang w:val="fr-CA"/>
        </w:rPr>
        <w:t>art. </w:t>
      </w:r>
      <w:r w:rsidR="007F71B3" w:rsidRPr="002E7F1E">
        <w:rPr>
          <w:lang w:val="fr-CA"/>
        </w:rPr>
        <w:t>2</w:t>
      </w:r>
      <w:r w:rsidR="007F71B3" w:rsidRPr="002E7F1E">
        <w:rPr>
          <w:i/>
          <w:lang w:val="fr-CA"/>
        </w:rPr>
        <w:t>b</w:t>
      </w:r>
      <w:r w:rsidR="007F71B3" w:rsidRPr="002E7F1E">
        <w:rPr>
          <w:lang w:val="fr-CA"/>
        </w:rPr>
        <w:t>).</w:t>
      </w:r>
    </w:p>
    <w:p w:rsidR="004049B0" w:rsidRPr="002E7F1E" w:rsidRDefault="004049B0" w:rsidP="00901E3A">
      <w:pPr>
        <w:pStyle w:val="SCCNormalDoubleSpacing"/>
        <w:spacing w:after="240" w:line="240" w:lineRule="auto"/>
        <w:ind w:left="547" w:hanging="547"/>
        <w:rPr>
          <w:lang w:val="fr-CA"/>
        </w:rPr>
      </w:pPr>
      <w:r w:rsidRPr="002E7F1E">
        <w:rPr>
          <w:i/>
          <w:lang w:val="fr-CA"/>
        </w:rPr>
        <w:t>Code crimin</w:t>
      </w:r>
      <w:r w:rsidR="007F71B3" w:rsidRPr="002E7F1E">
        <w:rPr>
          <w:i/>
          <w:lang w:val="fr-CA"/>
        </w:rPr>
        <w:t>e</w:t>
      </w:r>
      <w:r w:rsidRPr="002E7F1E">
        <w:rPr>
          <w:i/>
          <w:lang w:val="fr-CA"/>
        </w:rPr>
        <w:t>l</w:t>
      </w:r>
      <w:r w:rsidR="001D0F8D" w:rsidRPr="002E7F1E">
        <w:rPr>
          <w:lang w:val="fr-CA"/>
        </w:rPr>
        <w:t>, L.R.C. 1985, ch. </w:t>
      </w:r>
      <w:r w:rsidR="0012490D" w:rsidRPr="002E7F1E">
        <w:rPr>
          <w:lang w:val="fr-CA"/>
        </w:rPr>
        <w:t>C</w:t>
      </w:r>
      <w:r w:rsidR="0012490D" w:rsidRPr="002E7F1E">
        <w:rPr>
          <w:lang w:val="fr-CA"/>
        </w:rPr>
        <w:noBreakHyphen/>
      </w:r>
      <w:r w:rsidR="007F71B3" w:rsidRPr="002E7F1E">
        <w:rPr>
          <w:lang w:val="fr-CA"/>
        </w:rPr>
        <w:t xml:space="preserve">46, </w:t>
      </w:r>
      <w:r w:rsidR="001D0F8D" w:rsidRPr="002E7F1E">
        <w:rPr>
          <w:lang w:val="fr-CA"/>
        </w:rPr>
        <w:t>art. </w:t>
      </w:r>
      <w:r w:rsidR="007F71B3" w:rsidRPr="002E7F1E">
        <w:rPr>
          <w:lang w:val="fr-CA"/>
        </w:rPr>
        <w:t>241</w:t>
      </w:r>
      <w:r w:rsidR="007F71B3" w:rsidRPr="002E7F1E">
        <w:rPr>
          <w:i/>
          <w:lang w:val="fr-CA"/>
        </w:rPr>
        <w:t>b</w:t>
      </w:r>
      <w:r w:rsidR="007F71B3" w:rsidRPr="002E7F1E">
        <w:rPr>
          <w:lang w:val="fr-CA"/>
        </w:rPr>
        <w:t>)</w:t>
      </w:r>
      <w:r w:rsidRPr="002E7F1E">
        <w:rPr>
          <w:lang w:val="fr-CA"/>
        </w:rPr>
        <w:t>.</w:t>
      </w:r>
    </w:p>
    <w:p w:rsidR="00230953" w:rsidRPr="002E7F1E" w:rsidRDefault="00230953" w:rsidP="00901E3A">
      <w:pPr>
        <w:pStyle w:val="SCCNormalDoubleSpacing"/>
        <w:spacing w:after="240" w:line="240" w:lineRule="auto"/>
        <w:ind w:left="547" w:hanging="547"/>
        <w:rPr>
          <w:lang w:val="fr-CA"/>
        </w:rPr>
      </w:pPr>
      <w:r w:rsidRPr="002E7F1E">
        <w:rPr>
          <w:i/>
          <w:lang w:val="fr-CA"/>
        </w:rPr>
        <w:t>Loi sur la Cour suprême</w:t>
      </w:r>
      <w:r w:rsidRPr="002E7F1E">
        <w:rPr>
          <w:lang w:val="fr-CA"/>
        </w:rPr>
        <w:t>, L.R.C. 1985, ch</w:t>
      </w:r>
      <w:r w:rsidR="001D0F8D" w:rsidRPr="002E7F1E">
        <w:rPr>
          <w:lang w:val="fr-CA"/>
        </w:rPr>
        <w:t>. </w:t>
      </w:r>
      <w:r w:rsidR="0012490D" w:rsidRPr="002E7F1E">
        <w:rPr>
          <w:lang w:val="fr-CA"/>
        </w:rPr>
        <w:t>S</w:t>
      </w:r>
      <w:r w:rsidR="0012490D" w:rsidRPr="002E7F1E">
        <w:rPr>
          <w:lang w:val="fr-CA"/>
        </w:rPr>
        <w:noBreakHyphen/>
      </w:r>
      <w:r w:rsidRPr="002E7F1E">
        <w:rPr>
          <w:lang w:val="fr-CA"/>
        </w:rPr>
        <w:t xml:space="preserve">26, </w:t>
      </w:r>
      <w:r w:rsidR="001D0F8D" w:rsidRPr="002E7F1E">
        <w:rPr>
          <w:lang w:val="fr-CA"/>
        </w:rPr>
        <w:t>art. </w:t>
      </w:r>
      <w:r w:rsidRPr="002E7F1E">
        <w:rPr>
          <w:lang w:val="fr-CA"/>
        </w:rPr>
        <w:t>40.</w:t>
      </w:r>
    </w:p>
    <w:p w:rsidR="004049B0" w:rsidRPr="002E7F1E" w:rsidRDefault="004049B0" w:rsidP="00C52421">
      <w:pPr>
        <w:pStyle w:val="SCCNormalDoubleSpacing"/>
        <w:spacing w:after="720" w:line="240" w:lineRule="auto"/>
        <w:ind w:left="547" w:hanging="547"/>
      </w:pPr>
      <w:r w:rsidRPr="002E7F1E">
        <w:rPr>
          <w:i/>
          <w:lang w:val="fr-CA"/>
        </w:rPr>
        <w:t>Règles de procédure de la Cour supérieure</w:t>
      </w:r>
      <w:r w:rsidR="00230953" w:rsidRPr="002E7F1E">
        <w:rPr>
          <w:i/>
          <w:lang w:val="fr-CA"/>
        </w:rPr>
        <w:t xml:space="preserve"> du Québec</w:t>
      </w:r>
      <w:r w:rsidRPr="002E7F1E">
        <w:rPr>
          <w:i/>
          <w:lang w:val="fr-CA"/>
        </w:rPr>
        <w:t xml:space="preserve">, </w:t>
      </w:r>
      <w:r w:rsidR="00230953" w:rsidRPr="002E7F1E">
        <w:rPr>
          <w:i/>
          <w:lang w:val="fr-CA"/>
        </w:rPr>
        <w:t>c</w:t>
      </w:r>
      <w:r w:rsidRPr="002E7F1E">
        <w:rPr>
          <w:i/>
          <w:lang w:val="fr-CA"/>
        </w:rPr>
        <w:t>hambre criminelle (2002)</w:t>
      </w:r>
      <w:r w:rsidRPr="002E7F1E">
        <w:rPr>
          <w:lang w:val="fr-CA"/>
        </w:rPr>
        <w:t xml:space="preserve">, </w:t>
      </w:r>
      <w:r w:rsidR="0012490D" w:rsidRPr="002E7F1E">
        <w:rPr>
          <w:lang w:val="fr-CA"/>
        </w:rPr>
        <w:t>TR/2002</w:t>
      </w:r>
      <w:r w:rsidR="0012490D" w:rsidRPr="002E7F1E">
        <w:rPr>
          <w:lang w:val="fr-CA"/>
        </w:rPr>
        <w:noBreakHyphen/>
      </w:r>
      <w:r w:rsidR="00230953" w:rsidRPr="002E7F1E">
        <w:rPr>
          <w:lang w:val="fr-CA"/>
        </w:rPr>
        <w:t xml:space="preserve">46, </w:t>
      </w:r>
      <w:r w:rsidR="001D0F8D" w:rsidRPr="002E7F1E">
        <w:rPr>
          <w:lang w:val="fr-CA"/>
        </w:rPr>
        <w:t>art. </w:t>
      </w:r>
      <w:r w:rsidR="00230953" w:rsidRPr="002E7F1E">
        <w:rPr>
          <w:lang w:val="fr-CA"/>
        </w:rPr>
        <w:t>8, 8A</w:t>
      </w:r>
      <w:r w:rsidR="00204162" w:rsidRPr="002E7F1E">
        <w:rPr>
          <w:lang w:val="fr-CA"/>
        </w:rPr>
        <w:t xml:space="preserve"> </w:t>
      </w:r>
      <w:r w:rsidR="0012490D" w:rsidRPr="002E7F1E">
        <w:rPr>
          <w:lang w:val="fr-CA"/>
        </w:rPr>
        <w:t>[</w:t>
      </w:r>
      <w:proofErr w:type="spellStart"/>
      <w:r w:rsidR="0098118B" w:rsidRPr="002E7F1E">
        <w:rPr>
          <w:lang w:val="fr-CA"/>
        </w:rPr>
        <w:t>aj</w:t>
      </w:r>
      <w:proofErr w:type="spellEnd"/>
      <w:r w:rsidR="0012490D" w:rsidRPr="002E7F1E">
        <w:rPr>
          <w:lang w:val="fr-CA"/>
        </w:rPr>
        <w:t xml:space="preserve">. </w:t>
      </w:r>
      <w:proofErr w:type="gramStart"/>
      <w:r w:rsidR="0012490D" w:rsidRPr="002E7F1E">
        <w:t>TR/2005</w:t>
      </w:r>
      <w:r w:rsidR="0012490D" w:rsidRPr="002E7F1E">
        <w:noBreakHyphen/>
      </w:r>
      <w:r w:rsidR="00204162" w:rsidRPr="002E7F1E">
        <w:t xml:space="preserve">19, </w:t>
      </w:r>
      <w:r w:rsidR="0098118B" w:rsidRPr="002E7F1E">
        <w:t xml:space="preserve">(2005) 139 Gaz. Can. II, 417, </w:t>
      </w:r>
      <w:r w:rsidR="001D0F8D" w:rsidRPr="002E7F1E">
        <w:t>art.</w:t>
      </w:r>
      <w:proofErr w:type="gramEnd"/>
      <w:r w:rsidR="001D0F8D" w:rsidRPr="002E7F1E">
        <w:t> </w:t>
      </w:r>
      <w:r w:rsidR="00204162" w:rsidRPr="002E7F1E">
        <w:t>1]</w:t>
      </w:r>
      <w:r w:rsidR="00AA5A7A" w:rsidRPr="002E7F1E">
        <w:t>, 8B</w:t>
      </w:r>
      <w:r w:rsidR="00204162" w:rsidRPr="002E7F1E">
        <w:t xml:space="preserve"> [</w:t>
      </w:r>
      <w:r w:rsidR="00204162" w:rsidRPr="002E7F1E">
        <w:rPr>
          <w:i/>
        </w:rPr>
        <w:t>idem</w:t>
      </w:r>
      <w:r w:rsidR="00204162" w:rsidRPr="002E7F1E">
        <w:t>]</w:t>
      </w:r>
      <w:r w:rsidR="00230953" w:rsidRPr="002E7F1E">
        <w:t>.</w:t>
      </w:r>
    </w:p>
    <w:p w:rsidR="002E6705" w:rsidRPr="002E7F1E" w:rsidRDefault="0043088E" w:rsidP="00C52421">
      <w:pPr>
        <w:pStyle w:val="SCCNormalDoubleSpacing"/>
        <w:keepNext/>
        <w:spacing w:after="480"/>
        <w:rPr>
          <w:b/>
        </w:rPr>
      </w:pPr>
      <w:r w:rsidRPr="002E7F1E">
        <w:rPr>
          <w:b/>
        </w:rPr>
        <w:t>Doctrine</w:t>
      </w:r>
      <w:r w:rsidR="002E6705" w:rsidRPr="002E7F1E">
        <w:rPr>
          <w:b/>
        </w:rPr>
        <w:t xml:space="preserve"> </w:t>
      </w:r>
      <w:r w:rsidRPr="002E7F1E">
        <w:rPr>
          <w:b/>
        </w:rPr>
        <w:t>c</w:t>
      </w:r>
      <w:r w:rsidR="002E6705" w:rsidRPr="002E7F1E">
        <w:rPr>
          <w:b/>
        </w:rPr>
        <w:t>it</w:t>
      </w:r>
      <w:r w:rsidRPr="002E7F1E">
        <w:rPr>
          <w:b/>
        </w:rPr>
        <w:t>é</w:t>
      </w:r>
      <w:r w:rsidR="002E6705" w:rsidRPr="002E7F1E">
        <w:rPr>
          <w:b/>
        </w:rPr>
        <w:t>e</w:t>
      </w:r>
    </w:p>
    <w:p w:rsidR="00230953" w:rsidRPr="002E7F1E" w:rsidRDefault="00230953" w:rsidP="001E0DB3">
      <w:pPr>
        <w:pStyle w:val="SCCNormalDoubleSpacing"/>
        <w:spacing w:after="720" w:line="240" w:lineRule="auto"/>
        <w:ind w:left="547" w:hanging="547"/>
        <w:rPr>
          <w:lang w:val="fr-CA"/>
        </w:rPr>
      </w:pPr>
      <w:proofErr w:type="spellStart"/>
      <w:r w:rsidRPr="002E7F1E">
        <w:rPr>
          <w:lang w:val="fr-CA"/>
        </w:rPr>
        <w:t>Béliveau</w:t>
      </w:r>
      <w:proofErr w:type="spellEnd"/>
      <w:r w:rsidRPr="002E7F1E">
        <w:rPr>
          <w:lang w:val="fr-CA"/>
        </w:rPr>
        <w:t xml:space="preserve">, Pierre, et Martin </w:t>
      </w:r>
      <w:proofErr w:type="spellStart"/>
      <w:r w:rsidRPr="002E7F1E">
        <w:rPr>
          <w:lang w:val="fr-CA"/>
        </w:rPr>
        <w:t>Vauclair</w:t>
      </w:r>
      <w:proofErr w:type="spellEnd"/>
      <w:r w:rsidRPr="002E7F1E">
        <w:rPr>
          <w:lang w:val="fr-CA"/>
        </w:rPr>
        <w:t xml:space="preserve">. </w:t>
      </w:r>
      <w:r w:rsidR="00C52421" w:rsidRPr="002E7F1E">
        <w:rPr>
          <w:lang w:val="fr-CA"/>
        </w:rPr>
        <w:t xml:space="preserve"> </w:t>
      </w:r>
      <w:r w:rsidRPr="002E7F1E">
        <w:rPr>
          <w:i/>
          <w:lang w:val="fr-CA"/>
        </w:rPr>
        <w:t xml:space="preserve">Traité général de preuve et de </w:t>
      </w:r>
      <w:proofErr w:type="gramStart"/>
      <w:r w:rsidRPr="002E7F1E">
        <w:rPr>
          <w:i/>
          <w:lang w:val="fr-CA"/>
        </w:rPr>
        <w:t>procédure pénales</w:t>
      </w:r>
      <w:r w:rsidRPr="002E7F1E">
        <w:rPr>
          <w:lang w:val="fr-CA"/>
        </w:rPr>
        <w:t>, 15</w:t>
      </w:r>
      <w:r w:rsidRPr="002E7F1E">
        <w:rPr>
          <w:vertAlign w:val="superscript"/>
          <w:lang w:val="fr-CA"/>
        </w:rPr>
        <w:t>e</w:t>
      </w:r>
      <w:proofErr w:type="gramEnd"/>
      <w:r w:rsidRPr="002E7F1E">
        <w:rPr>
          <w:lang w:val="fr-CA"/>
        </w:rPr>
        <w:t xml:space="preserve"> éd. Montréal : Thémis, 2008.</w:t>
      </w:r>
    </w:p>
    <w:p w:rsidR="00D5435D" w:rsidRPr="002E7F1E" w:rsidRDefault="009D12E2" w:rsidP="00901E3A">
      <w:pPr>
        <w:pStyle w:val="SCCNormalDoubleSpacing"/>
        <w:spacing w:after="480"/>
        <w:rPr>
          <w:lang w:val="fr-CA"/>
        </w:rPr>
      </w:pPr>
      <w:r w:rsidRPr="002E7F1E">
        <w:rPr>
          <w:lang w:val="fr-CA"/>
        </w:rPr>
        <w:tab/>
      </w:r>
      <w:r w:rsidR="009B57B3" w:rsidRPr="002E7F1E">
        <w:rPr>
          <w:lang w:val="fr-CA"/>
        </w:rPr>
        <w:t>P</w:t>
      </w:r>
      <w:r w:rsidR="0043088E" w:rsidRPr="002E7F1E">
        <w:rPr>
          <w:lang w:val="fr-CA"/>
        </w:rPr>
        <w:t xml:space="preserve">OURVOI contre </w:t>
      </w:r>
      <w:r w:rsidR="00EA765F" w:rsidRPr="002E7F1E">
        <w:rPr>
          <w:lang w:val="fr-CA"/>
        </w:rPr>
        <w:t xml:space="preserve">une décision </w:t>
      </w:r>
      <w:r w:rsidR="0043088E" w:rsidRPr="002E7F1E">
        <w:rPr>
          <w:lang w:val="fr-CA"/>
        </w:rPr>
        <w:t>de la</w:t>
      </w:r>
      <w:r w:rsidR="009B57B3" w:rsidRPr="002E7F1E">
        <w:rPr>
          <w:lang w:val="fr-CA"/>
        </w:rPr>
        <w:t xml:space="preserve"> Cour supérieure du Québec</w:t>
      </w:r>
      <w:r w:rsidR="00CB5A66" w:rsidRPr="002E7F1E">
        <w:rPr>
          <w:lang w:val="fr-CA"/>
        </w:rPr>
        <w:t>,</w:t>
      </w:r>
      <w:r w:rsidR="00830BDB" w:rsidRPr="002E7F1E">
        <w:rPr>
          <w:lang w:val="fr-CA"/>
        </w:rPr>
        <w:t xml:space="preserve"> 2008 QCCS 6931,</w:t>
      </w:r>
      <w:r w:rsidR="00CB5A66" w:rsidRPr="002E7F1E">
        <w:rPr>
          <w:lang w:val="fr-CA"/>
        </w:rPr>
        <w:t xml:space="preserve"> </w:t>
      </w:r>
      <w:r w:rsidR="00830BDB" w:rsidRPr="002E7F1E">
        <w:rPr>
          <w:lang w:val="fr-CA"/>
        </w:rPr>
        <w:t>[2008] J.Q. n</w:t>
      </w:r>
      <w:r w:rsidR="00830BDB" w:rsidRPr="002E7F1E">
        <w:rPr>
          <w:vertAlign w:val="superscript"/>
          <w:lang w:val="fr-CA"/>
        </w:rPr>
        <w:t>o</w:t>
      </w:r>
      <w:r w:rsidR="001D0F8D" w:rsidRPr="002E7F1E">
        <w:rPr>
          <w:lang w:val="fr-CA"/>
        </w:rPr>
        <w:t> </w:t>
      </w:r>
      <w:r w:rsidR="00EA765F" w:rsidRPr="002E7F1E">
        <w:rPr>
          <w:lang w:val="fr-CA"/>
        </w:rPr>
        <w:t xml:space="preserve">24110 (QL), </w:t>
      </w:r>
      <w:r w:rsidR="00CB5A66" w:rsidRPr="002E7F1E">
        <w:rPr>
          <w:lang w:val="fr-CA"/>
        </w:rPr>
        <w:t xml:space="preserve">2008 </w:t>
      </w:r>
      <w:proofErr w:type="spellStart"/>
      <w:r w:rsidR="00CB5A66" w:rsidRPr="002E7F1E">
        <w:rPr>
          <w:lang w:val="fr-CA"/>
        </w:rPr>
        <w:t>CarswellQue</w:t>
      </w:r>
      <w:proofErr w:type="spellEnd"/>
      <w:r w:rsidR="00CB5A66" w:rsidRPr="002E7F1E">
        <w:rPr>
          <w:lang w:val="fr-CA"/>
        </w:rPr>
        <w:t xml:space="preserve"> 14365, qui a rejeté une requête </w:t>
      </w:r>
      <w:r w:rsidR="00EA765F" w:rsidRPr="002E7F1E">
        <w:rPr>
          <w:lang w:val="fr-CA"/>
        </w:rPr>
        <w:t xml:space="preserve">visant à obtenir l’autorisation de diffuser une déclaration de l’accusé. </w:t>
      </w:r>
      <w:r w:rsidR="001D0F8D" w:rsidRPr="002E7F1E">
        <w:rPr>
          <w:lang w:val="fr-CA"/>
        </w:rPr>
        <w:t xml:space="preserve"> </w:t>
      </w:r>
      <w:r w:rsidR="00CB5A66" w:rsidRPr="002E7F1E">
        <w:rPr>
          <w:lang w:val="fr-CA"/>
        </w:rPr>
        <w:t xml:space="preserve">Pourvoi </w:t>
      </w:r>
      <w:r w:rsidR="00CD0FE4" w:rsidRPr="002E7F1E">
        <w:rPr>
          <w:lang w:val="fr-CA"/>
        </w:rPr>
        <w:t>rejeté</w:t>
      </w:r>
      <w:r w:rsidR="00CB5A66" w:rsidRPr="002E7F1E">
        <w:rPr>
          <w:lang w:val="fr-CA"/>
        </w:rPr>
        <w:t>.</w:t>
      </w:r>
    </w:p>
    <w:p w:rsidR="00C825CB" w:rsidRPr="002E7F1E" w:rsidRDefault="00F63DE0" w:rsidP="00901E3A">
      <w:pPr>
        <w:pStyle w:val="SCCNormalDoubleSpacing"/>
        <w:spacing w:after="480"/>
        <w:rPr>
          <w:lang w:val="fr-CA"/>
        </w:rPr>
      </w:pPr>
      <w:r w:rsidRPr="002E7F1E">
        <w:rPr>
          <w:rStyle w:val="SCCCounselNameChar"/>
        </w:rPr>
        <w:tab/>
      </w:r>
      <w:r w:rsidR="00961245" w:rsidRPr="002E7F1E">
        <w:rPr>
          <w:rStyle w:val="SCCCounselNameChar"/>
        </w:rPr>
        <w:t xml:space="preserve">Sylvie </w:t>
      </w:r>
      <w:proofErr w:type="spellStart"/>
      <w:r w:rsidR="00961245" w:rsidRPr="002E7F1E">
        <w:rPr>
          <w:rStyle w:val="SCCCounselNameChar"/>
        </w:rPr>
        <w:t>Gadoury</w:t>
      </w:r>
      <w:proofErr w:type="spellEnd"/>
      <w:r w:rsidR="00961245" w:rsidRPr="002E7F1E">
        <w:rPr>
          <w:rStyle w:val="SCCCounselPartyRoleChar"/>
        </w:rPr>
        <w:t xml:space="preserve">, </w:t>
      </w:r>
      <w:r w:rsidRPr="002E7F1E">
        <w:rPr>
          <w:rStyle w:val="SCCCounselNameChar"/>
        </w:rPr>
        <w:t xml:space="preserve">Geneviève </w:t>
      </w:r>
      <w:proofErr w:type="spellStart"/>
      <w:r w:rsidRPr="002E7F1E">
        <w:rPr>
          <w:rStyle w:val="SCCCounselNameChar"/>
        </w:rPr>
        <w:t>McSween</w:t>
      </w:r>
      <w:proofErr w:type="spellEnd"/>
      <w:r w:rsidR="00961245" w:rsidRPr="002E7F1E">
        <w:rPr>
          <w:rStyle w:val="SCCCounselSeparatorChar"/>
        </w:rPr>
        <w:t xml:space="preserve"> et</w:t>
      </w:r>
      <w:r w:rsidRPr="002E7F1E">
        <w:rPr>
          <w:rStyle w:val="SCCCounselSeparatorChar"/>
        </w:rPr>
        <w:t xml:space="preserve"> </w:t>
      </w:r>
      <w:proofErr w:type="spellStart"/>
      <w:r w:rsidRPr="002E7F1E">
        <w:rPr>
          <w:rStyle w:val="SCCCounselNameChar"/>
        </w:rPr>
        <w:t>Anne</w:t>
      </w:r>
      <w:r w:rsidR="0012490D" w:rsidRPr="002E7F1E">
        <w:rPr>
          <w:rStyle w:val="SCCCounselNameChar"/>
        </w:rPr>
        <w:noBreakHyphen/>
      </w:r>
      <w:r w:rsidRPr="002E7F1E">
        <w:rPr>
          <w:rStyle w:val="SCCCounselNameChar"/>
        </w:rPr>
        <w:t>Julie</w:t>
      </w:r>
      <w:proofErr w:type="spellEnd"/>
      <w:r w:rsidRPr="002E7F1E">
        <w:rPr>
          <w:rStyle w:val="SCCCounselNameChar"/>
        </w:rPr>
        <w:t xml:space="preserve"> Perrault</w:t>
      </w:r>
      <w:r w:rsidR="00961245" w:rsidRPr="002E7F1E">
        <w:rPr>
          <w:rStyle w:val="SCCCounselSeparatorChar"/>
        </w:rPr>
        <w:t>,</w:t>
      </w:r>
      <w:r w:rsidRPr="002E7F1E">
        <w:rPr>
          <w:rStyle w:val="SCCCounselSeparatorChar"/>
        </w:rPr>
        <w:t xml:space="preserve"> </w:t>
      </w:r>
      <w:r w:rsidR="009D12E2" w:rsidRPr="002E7F1E">
        <w:rPr>
          <w:rStyle w:val="SCCCounselPartyRoleChar"/>
        </w:rPr>
        <w:t>pour l’</w:t>
      </w:r>
      <w:r w:rsidRPr="002E7F1E">
        <w:rPr>
          <w:rStyle w:val="SCCCounselPartyRoleChar"/>
        </w:rPr>
        <w:t>appelante.</w:t>
      </w:r>
    </w:p>
    <w:p w:rsidR="00C825CB" w:rsidRPr="002E7F1E" w:rsidRDefault="00C52421" w:rsidP="00901E3A">
      <w:pPr>
        <w:pStyle w:val="SCCNormalDoubleSpacing"/>
        <w:spacing w:after="480"/>
        <w:rPr>
          <w:lang w:val="fr-CA"/>
        </w:rPr>
      </w:pPr>
      <w:r w:rsidRPr="002E7F1E">
        <w:rPr>
          <w:rStyle w:val="SCCCounselNameChar"/>
        </w:rPr>
        <w:tab/>
        <w:t>Dominique </w:t>
      </w:r>
      <w:r w:rsidR="00F63DE0" w:rsidRPr="002E7F1E">
        <w:rPr>
          <w:rStyle w:val="SCCCounselNameChar"/>
        </w:rPr>
        <w:t>A. Jobin</w:t>
      </w:r>
      <w:r w:rsidR="00F63DE0" w:rsidRPr="002E7F1E">
        <w:rPr>
          <w:rStyle w:val="SCCCounselSeparatorChar"/>
        </w:rPr>
        <w:t xml:space="preserve"> et </w:t>
      </w:r>
      <w:r w:rsidR="00F63DE0" w:rsidRPr="002E7F1E">
        <w:rPr>
          <w:rStyle w:val="SCCCounselNameChar"/>
        </w:rPr>
        <w:t>Denis Dionne</w:t>
      </w:r>
      <w:r w:rsidR="00F63DE0" w:rsidRPr="002E7F1E">
        <w:rPr>
          <w:rStyle w:val="SCCCounselPartyRoleChar"/>
        </w:rPr>
        <w:t>, pour l</w:t>
      </w:r>
      <w:r w:rsidR="009D12E2" w:rsidRPr="002E7F1E">
        <w:rPr>
          <w:rStyle w:val="SCCCounselPartyRoleChar"/>
        </w:rPr>
        <w:t>’</w:t>
      </w:r>
      <w:r w:rsidR="00F63DE0" w:rsidRPr="002E7F1E">
        <w:rPr>
          <w:rStyle w:val="SCCCounselPartyRoleChar"/>
        </w:rPr>
        <w:t>intimée</w:t>
      </w:r>
      <w:r w:rsidR="009D12E2" w:rsidRPr="002E7F1E">
        <w:rPr>
          <w:rStyle w:val="SCCCounselPartyRoleChar"/>
        </w:rPr>
        <w:t xml:space="preserve"> Sa Majesté la Reine</w:t>
      </w:r>
      <w:r w:rsidR="00961245" w:rsidRPr="002E7F1E">
        <w:rPr>
          <w:rStyle w:val="SCCCounselPartyRoleChar"/>
        </w:rPr>
        <w:t xml:space="preserve"> et l’intervenant le procureur général du Québec</w:t>
      </w:r>
      <w:r w:rsidR="00F63DE0" w:rsidRPr="002E7F1E">
        <w:rPr>
          <w:rStyle w:val="SCCCounselPartyRoleChar"/>
        </w:rPr>
        <w:t>.</w:t>
      </w:r>
    </w:p>
    <w:p w:rsidR="00C825CB" w:rsidRPr="002E7F1E" w:rsidRDefault="00F63DE0" w:rsidP="00901E3A">
      <w:pPr>
        <w:pStyle w:val="SCCNormalDoubleSpacing"/>
        <w:spacing w:after="480"/>
        <w:rPr>
          <w:lang w:val="fr-CA"/>
        </w:rPr>
      </w:pPr>
      <w:r w:rsidRPr="002E7F1E">
        <w:rPr>
          <w:rStyle w:val="SCCCounselNameChar"/>
        </w:rPr>
        <w:lastRenderedPageBreak/>
        <w:tab/>
      </w:r>
      <w:r w:rsidR="00C52421" w:rsidRPr="002E7F1E">
        <w:rPr>
          <w:rStyle w:val="SCCCounselNameChar"/>
        </w:rPr>
        <w:t>Pascale </w:t>
      </w:r>
      <w:r w:rsidR="00961245" w:rsidRPr="002E7F1E">
        <w:rPr>
          <w:rStyle w:val="SCCCounselNameChar"/>
        </w:rPr>
        <w:t>F. Tremblay</w:t>
      </w:r>
      <w:r w:rsidR="00961245" w:rsidRPr="002E7F1E">
        <w:rPr>
          <w:rStyle w:val="SCCCounselSeparatorChar"/>
        </w:rPr>
        <w:t xml:space="preserve"> et</w:t>
      </w:r>
      <w:r w:rsidR="00961245" w:rsidRPr="002E7F1E">
        <w:rPr>
          <w:rStyle w:val="SCCCounselNameChar"/>
        </w:rPr>
        <w:t xml:space="preserve"> </w:t>
      </w:r>
      <w:r w:rsidRPr="002E7F1E">
        <w:rPr>
          <w:rStyle w:val="SCCCounselNameChar"/>
        </w:rPr>
        <w:t xml:space="preserve">Michel </w:t>
      </w:r>
      <w:proofErr w:type="spellStart"/>
      <w:r w:rsidRPr="002E7F1E">
        <w:rPr>
          <w:rStyle w:val="SCCCounselNameChar"/>
        </w:rPr>
        <w:t>Boudreault</w:t>
      </w:r>
      <w:proofErr w:type="spellEnd"/>
      <w:r w:rsidRPr="002E7F1E">
        <w:rPr>
          <w:rStyle w:val="SCCCounselPartyRoleChar"/>
        </w:rPr>
        <w:t>, pour l</w:t>
      </w:r>
      <w:r w:rsidR="009D12E2" w:rsidRPr="002E7F1E">
        <w:rPr>
          <w:rStyle w:val="SCCCounselPartyRoleChar"/>
        </w:rPr>
        <w:t>’</w:t>
      </w:r>
      <w:r w:rsidRPr="002E7F1E">
        <w:rPr>
          <w:rStyle w:val="SCCCounselPartyRoleChar"/>
        </w:rPr>
        <w:t>intimé</w:t>
      </w:r>
      <w:r w:rsidR="009D12E2" w:rsidRPr="002E7F1E">
        <w:rPr>
          <w:rStyle w:val="SCCCounselPartyRoleChar"/>
        </w:rPr>
        <w:t xml:space="preserve"> Stéphan Dufour</w:t>
      </w:r>
      <w:r w:rsidRPr="002E7F1E">
        <w:rPr>
          <w:rStyle w:val="SCCCounselPartyRoleChar"/>
        </w:rPr>
        <w:t>.</w:t>
      </w:r>
    </w:p>
    <w:p w:rsidR="00C825CB" w:rsidRPr="002E7F1E" w:rsidRDefault="00F63DE0" w:rsidP="00901E3A">
      <w:pPr>
        <w:pStyle w:val="SCCNormalDoubleSpacing"/>
        <w:spacing w:after="480"/>
        <w:rPr>
          <w:lang w:val="fr-CA"/>
        </w:rPr>
      </w:pPr>
      <w:r w:rsidRPr="002E7F1E">
        <w:rPr>
          <w:rStyle w:val="SCCCounselNameChar"/>
        </w:rPr>
        <w:tab/>
      </w:r>
      <w:r w:rsidR="00961245" w:rsidRPr="002E7F1E">
        <w:rPr>
          <w:rStyle w:val="SCCCounselNameChar"/>
        </w:rPr>
        <w:t xml:space="preserve">Pierre </w:t>
      </w:r>
      <w:proofErr w:type="spellStart"/>
      <w:r w:rsidR="00961245" w:rsidRPr="002E7F1E">
        <w:rPr>
          <w:rStyle w:val="SCCCounselNameChar"/>
        </w:rPr>
        <w:t>Salois</w:t>
      </w:r>
      <w:proofErr w:type="spellEnd"/>
      <w:r w:rsidR="00961245" w:rsidRPr="002E7F1E">
        <w:rPr>
          <w:rStyle w:val="SCCCounselSeparatorChar"/>
        </w:rPr>
        <w:t xml:space="preserve"> et</w:t>
      </w:r>
      <w:r w:rsidR="00961245" w:rsidRPr="002E7F1E">
        <w:rPr>
          <w:rStyle w:val="SCCCounselNameChar"/>
          <w:i w:val="0"/>
        </w:rPr>
        <w:t xml:space="preserve"> </w:t>
      </w:r>
      <w:r w:rsidRPr="002E7F1E">
        <w:rPr>
          <w:rStyle w:val="SCCCounselNameChar"/>
        </w:rPr>
        <w:t xml:space="preserve">Claude </w:t>
      </w:r>
      <w:proofErr w:type="spellStart"/>
      <w:r w:rsidRPr="002E7F1E">
        <w:rPr>
          <w:rStyle w:val="SCCCounselNameChar"/>
        </w:rPr>
        <w:t>Joyal</w:t>
      </w:r>
      <w:proofErr w:type="spellEnd"/>
      <w:r w:rsidRPr="002E7F1E">
        <w:rPr>
          <w:rStyle w:val="SCCCounselPartyRoleChar"/>
        </w:rPr>
        <w:t>, pour l</w:t>
      </w:r>
      <w:r w:rsidR="009D12E2" w:rsidRPr="002E7F1E">
        <w:rPr>
          <w:rStyle w:val="SCCCounselPartyRoleChar"/>
        </w:rPr>
        <w:t>’</w:t>
      </w:r>
      <w:r w:rsidRPr="002E7F1E">
        <w:rPr>
          <w:rStyle w:val="SCCCounselPartyRoleChar"/>
        </w:rPr>
        <w:t xml:space="preserve">intervenant </w:t>
      </w:r>
      <w:r w:rsidR="009D12E2" w:rsidRPr="002E7F1E">
        <w:rPr>
          <w:rStyle w:val="SCCCounselPartyRoleChar"/>
        </w:rPr>
        <w:t>le p</w:t>
      </w:r>
      <w:r w:rsidRPr="002E7F1E">
        <w:rPr>
          <w:rStyle w:val="SCCCounselPartyRoleChar"/>
        </w:rPr>
        <w:t>rocureur général du Canada.</w:t>
      </w:r>
    </w:p>
    <w:p w:rsidR="00C825CB" w:rsidRPr="002E7F1E" w:rsidRDefault="00F63DE0" w:rsidP="00901E3A">
      <w:pPr>
        <w:pStyle w:val="SCCNormalDoubleSpacing"/>
        <w:spacing w:after="480"/>
        <w:rPr>
          <w:lang w:val="fr-CA"/>
        </w:rPr>
      </w:pPr>
      <w:r w:rsidRPr="002E7F1E">
        <w:rPr>
          <w:rStyle w:val="SCCCounselNameChar"/>
        </w:rPr>
        <w:tab/>
        <w:t>Gaétan Migneault</w:t>
      </w:r>
      <w:r w:rsidRPr="002E7F1E">
        <w:rPr>
          <w:rStyle w:val="SCCCounselPartyRoleChar"/>
        </w:rPr>
        <w:t>, pour l</w:t>
      </w:r>
      <w:r w:rsidR="009D12E2" w:rsidRPr="002E7F1E">
        <w:rPr>
          <w:rStyle w:val="SCCCounselPartyRoleChar"/>
        </w:rPr>
        <w:t>’</w:t>
      </w:r>
      <w:r w:rsidRPr="002E7F1E">
        <w:rPr>
          <w:rStyle w:val="SCCCounselPartyRoleChar"/>
        </w:rPr>
        <w:t>intervenant</w:t>
      </w:r>
      <w:r w:rsidR="009D12E2" w:rsidRPr="002E7F1E">
        <w:rPr>
          <w:rStyle w:val="SCCCounselPartyRoleChar"/>
        </w:rPr>
        <w:t xml:space="preserve"> le</w:t>
      </w:r>
      <w:r w:rsidRPr="002E7F1E">
        <w:rPr>
          <w:rStyle w:val="SCCCounselPartyRoleChar"/>
        </w:rPr>
        <w:t xml:space="preserve"> </w:t>
      </w:r>
      <w:r w:rsidR="009D12E2" w:rsidRPr="002E7F1E">
        <w:rPr>
          <w:rStyle w:val="SCCCounselPartyRoleChar"/>
        </w:rPr>
        <w:t>p</w:t>
      </w:r>
      <w:r w:rsidRPr="002E7F1E">
        <w:rPr>
          <w:rStyle w:val="SCCCounselPartyRoleChar"/>
        </w:rPr>
        <w:t xml:space="preserve">rocureur général du </w:t>
      </w:r>
      <w:proofErr w:type="spellStart"/>
      <w:r w:rsidRPr="002E7F1E">
        <w:rPr>
          <w:rStyle w:val="SCCCounselPartyRoleChar"/>
        </w:rPr>
        <w:t>Nouveau</w:t>
      </w:r>
      <w:r w:rsidR="0012490D" w:rsidRPr="002E7F1E">
        <w:rPr>
          <w:rStyle w:val="SCCCounselPartyRoleChar"/>
        </w:rPr>
        <w:noBreakHyphen/>
      </w:r>
      <w:r w:rsidRPr="002E7F1E">
        <w:rPr>
          <w:rStyle w:val="SCCCounselPartyRoleChar"/>
        </w:rPr>
        <w:t>Brunswick</w:t>
      </w:r>
      <w:proofErr w:type="spellEnd"/>
      <w:r w:rsidRPr="002E7F1E">
        <w:rPr>
          <w:rStyle w:val="SCCCounselPartyRoleChar"/>
        </w:rPr>
        <w:t>.</w:t>
      </w:r>
    </w:p>
    <w:p w:rsidR="00C825CB" w:rsidRPr="002E7F1E" w:rsidRDefault="00C52421" w:rsidP="00901E3A">
      <w:pPr>
        <w:pStyle w:val="SCCNormalDoubleSpacing"/>
        <w:spacing w:after="480"/>
        <w:rPr>
          <w:lang w:val="fr-CA"/>
        </w:rPr>
      </w:pPr>
      <w:r w:rsidRPr="002E7F1E">
        <w:rPr>
          <w:rStyle w:val="SCCCounselNameChar"/>
        </w:rPr>
        <w:tab/>
        <w:t>Donald </w:t>
      </w:r>
      <w:r w:rsidR="00F63DE0" w:rsidRPr="002E7F1E">
        <w:rPr>
          <w:rStyle w:val="SCCCounselNameChar"/>
        </w:rPr>
        <w:t xml:space="preserve">B. </w:t>
      </w:r>
      <w:proofErr w:type="spellStart"/>
      <w:r w:rsidR="00F63DE0" w:rsidRPr="002E7F1E">
        <w:rPr>
          <w:rStyle w:val="SCCCounselNameChar"/>
        </w:rPr>
        <w:t>Padget</w:t>
      </w:r>
      <w:proofErr w:type="spellEnd"/>
      <w:r w:rsidR="00F63DE0" w:rsidRPr="002E7F1E">
        <w:rPr>
          <w:rStyle w:val="SCCCounselPartyRoleChar"/>
        </w:rPr>
        <w:t>, pour l</w:t>
      </w:r>
      <w:r w:rsidR="009D12E2" w:rsidRPr="002E7F1E">
        <w:rPr>
          <w:rStyle w:val="SCCCounselPartyRoleChar"/>
        </w:rPr>
        <w:t>’</w:t>
      </w:r>
      <w:r w:rsidR="00F63DE0" w:rsidRPr="002E7F1E">
        <w:rPr>
          <w:rStyle w:val="SCCCounselPartyRoleChar"/>
        </w:rPr>
        <w:t>intervenant</w:t>
      </w:r>
      <w:r w:rsidR="009D12E2" w:rsidRPr="002E7F1E">
        <w:rPr>
          <w:rStyle w:val="SCCCounselPartyRoleChar"/>
        </w:rPr>
        <w:t xml:space="preserve"> le</w:t>
      </w:r>
      <w:r w:rsidR="00F63DE0" w:rsidRPr="002E7F1E">
        <w:rPr>
          <w:rStyle w:val="SCCCounselPartyRoleChar"/>
        </w:rPr>
        <w:t xml:space="preserve"> </w:t>
      </w:r>
      <w:r w:rsidR="009D12E2" w:rsidRPr="002E7F1E">
        <w:rPr>
          <w:rStyle w:val="SCCCounselPartyRoleChar"/>
        </w:rPr>
        <w:t>p</w:t>
      </w:r>
      <w:r w:rsidR="00961245" w:rsidRPr="002E7F1E">
        <w:rPr>
          <w:rStyle w:val="SCCCounselPartyRoleChar"/>
        </w:rPr>
        <w:t>rocureur général de l’</w:t>
      </w:r>
      <w:r w:rsidR="00F63DE0" w:rsidRPr="002E7F1E">
        <w:rPr>
          <w:rStyle w:val="SCCCounselPartyRoleChar"/>
        </w:rPr>
        <w:t>Alberta.</w:t>
      </w:r>
    </w:p>
    <w:p w:rsidR="00C70A4D" w:rsidRPr="002E7F1E" w:rsidRDefault="00C70A4D" w:rsidP="00901E3A">
      <w:pPr>
        <w:pStyle w:val="SCCNormalDoubleSpacing"/>
        <w:spacing w:after="480"/>
        <w:rPr>
          <w:rStyle w:val="SCCCounselPartyRoleChar"/>
        </w:rPr>
      </w:pPr>
      <w:r w:rsidRPr="002E7F1E">
        <w:rPr>
          <w:rStyle w:val="SCCCounselNameChar"/>
        </w:rPr>
        <w:tab/>
        <w:t>Simon</w:t>
      </w:r>
      <w:r w:rsidR="00C52421" w:rsidRPr="002E7F1E">
        <w:rPr>
          <w:rStyle w:val="SCCCounselNameChar"/>
        </w:rPr>
        <w:t> </w:t>
      </w:r>
      <w:r w:rsidRPr="002E7F1E">
        <w:rPr>
          <w:rStyle w:val="SCCCounselNameChar"/>
        </w:rPr>
        <w:t>V. Potter</w:t>
      </w:r>
      <w:r w:rsidRPr="002E7F1E">
        <w:rPr>
          <w:rStyle w:val="SCCCounselSeparatorChar"/>
        </w:rPr>
        <w:t xml:space="preserve"> et </w:t>
      </w:r>
      <w:r w:rsidR="00621B8D" w:rsidRPr="002E7F1E">
        <w:rPr>
          <w:rStyle w:val="SCCCounselNameChar"/>
        </w:rPr>
        <w:t>Michael </w:t>
      </w:r>
      <w:r w:rsidRPr="002E7F1E">
        <w:rPr>
          <w:rStyle w:val="SCCCounselNameChar"/>
        </w:rPr>
        <w:t xml:space="preserve">A. </w:t>
      </w:r>
      <w:proofErr w:type="spellStart"/>
      <w:r w:rsidRPr="002E7F1E">
        <w:rPr>
          <w:rStyle w:val="SCCCounselNameChar"/>
        </w:rPr>
        <w:t>Feder</w:t>
      </w:r>
      <w:proofErr w:type="spellEnd"/>
      <w:r w:rsidRPr="002E7F1E">
        <w:rPr>
          <w:rStyle w:val="SCCCounselPartyRoleChar"/>
        </w:rPr>
        <w:t>, pour l’intervenante l’Association des libertés civiles de la Colombie</w:t>
      </w:r>
      <w:r w:rsidRPr="002E7F1E">
        <w:rPr>
          <w:rStyle w:val="SCCCounselPartyRoleChar"/>
          <w:rFonts w:ascii="MS Mincho" w:eastAsia="MS Mincho" w:hAnsi="MS Mincho" w:cs="MS Mincho" w:hint="eastAsia"/>
        </w:rPr>
        <w:t>‑</w:t>
      </w:r>
      <w:r w:rsidRPr="002E7F1E">
        <w:rPr>
          <w:rStyle w:val="SCCCounselPartyRoleChar"/>
        </w:rPr>
        <w:t>Britannique.</w:t>
      </w:r>
    </w:p>
    <w:p w:rsidR="00544F90" w:rsidRPr="002E7F1E" w:rsidRDefault="00544F90" w:rsidP="00901E3A">
      <w:pPr>
        <w:pStyle w:val="SCCNormalDoubleSpacing"/>
        <w:spacing w:after="480"/>
        <w:rPr>
          <w:lang w:val="fr-CA"/>
        </w:rPr>
      </w:pPr>
      <w:r w:rsidRPr="002E7F1E">
        <w:rPr>
          <w:rStyle w:val="SCCCounselNameChar"/>
        </w:rPr>
        <w:tab/>
        <w:t>Mahmud Jamal</w:t>
      </w:r>
      <w:r w:rsidRPr="002E7F1E">
        <w:rPr>
          <w:rStyle w:val="SCCCounselSeparatorChar"/>
        </w:rPr>
        <w:t xml:space="preserve"> et </w:t>
      </w:r>
      <w:r w:rsidRPr="002E7F1E">
        <w:rPr>
          <w:rStyle w:val="SCCCounselNameChar"/>
        </w:rPr>
        <w:t xml:space="preserve">Jason </w:t>
      </w:r>
      <w:proofErr w:type="spellStart"/>
      <w:r w:rsidRPr="002E7F1E">
        <w:rPr>
          <w:rStyle w:val="SCCCounselNameChar"/>
        </w:rPr>
        <w:t>MacLean</w:t>
      </w:r>
      <w:proofErr w:type="spellEnd"/>
      <w:r w:rsidRPr="002E7F1E">
        <w:rPr>
          <w:rStyle w:val="SCCCounselPartyRoleChar"/>
        </w:rPr>
        <w:t>, pour l’intervenante l’Association canadienne des libertés civiles.</w:t>
      </w:r>
    </w:p>
    <w:p w:rsidR="003B6430" w:rsidRPr="002E7F1E" w:rsidRDefault="003B6430" w:rsidP="003B6430">
      <w:pPr>
        <w:tabs>
          <w:tab w:val="left" w:pos="-1440"/>
          <w:tab w:val="left" w:pos="-720"/>
          <w:tab w:val="left" w:pos="1170"/>
        </w:tabs>
        <w:spacing w:after="480" w:line="480" w:lineRule="auto"/>
        <w:rPr>
          <w:lang w:val="fr-CA"/>
        </w:rPr>
      </w:pPr>
      <w:r w:rsidRPr="002E7F1E">
        <w:rPr>
          <w:lang w:val="fr-CA"/>
        </w:rPr>
        <w:tab/>
      </w:r>
      <w:r w:rsidR="006F5BE3" w:rsidRPr="002E7F1E">
        <w:rPr>
          <w:lang w:val="fr-CA"/>
        </w:rPr>
        <w:t>Le jugement de la Cour a été rendu par</w:t>
      </w:r>
    </w:p>
    <w:p w:rsidR="003B6430" w:rsidRPr="002E7F1E" w:rsidRDefault="006F5BE3" w:rsidP="00BF65F1">
      <w:pPr>
        <w:pStyle w:val="ReasonsNumbering-AltN"/>
        <w:rPr>
          <w:lang w:val="fr-CA"/>
        </w:rPr>
      </w:pPr>
      <w:r w:rsidRPr="002E7F1E">
        <w:rPr>
          <w:smallCaps/>
          <w:lang w:val="fr-CA"/>
        </w:rPr>
        <w:t>La juge Deschamps</w:t>
      </w:r>
      <w:r w:rsidRPr="002E7F1E">
        <w:rPr>
          <w:lang w:val="fr-CA"/>
        </w:rPr>
        <w:t xml:space="preserve"> — </w:t>
      </w:r>
      <w:r w:rsidR="003B6430" w:rsidRPr="002E7F1E">
        <w:rPr>
          <w:lang w:val="fr-CA"/>
        </w:rPr>
        <w:t xml:space="preserve">Tout comme dans le pourvoi connexe </w:t>
      </w:r>
      <w:r w:rsidR="003B6430" w:rsidRPr="002E7F1E">
        <w:rPr>
          <w:i/>
          <w:lang w:val="fr-CA"/>
        </w:rPr>
        <w:t>Société</w:t>
      </w:r>
      <w:r w:rsidR="003B6430" w:rsidRPr="002E7F1E">
        <w:rPr>
          <w:lang w:val="fr-CA"/>
        </w:rPr>
        <w:t xml:space="preserve"> </w:t>
      </w:r>
      <w:r w:rsidR="003B6430" w:rsidRPr="002E7F1E">
        <w:rPr>
          <w:i/>
          <w:lang w:val="fr-CA"/>
        </w:rPr>
        <w:t>Radio-Canada c. Canada (Procureur général)</w:t>
      </w:r>
      <w:r w:rsidR="003B6430" w:rsidRPr="002E7F1E">
        <w:rPr>
          <w:lang w:val="fr-CA"/>
        </w:rPr>
        <w:t xml:space="preserve">, 2011 CSC 2, </w:t>
      </w:r>
      <w:r w:rsidRPr="002E7F1E">
        <w:rPr>
          <w:lang w:val="fr-CA"/>
        </w:rPr>
        <w:t xml:space="preserve">[2011] 1 R.C.S. 19, </w:t>
      </w:r>
      <w:r w:rsidR="003B6430" w:rsidRPr="002E7F1E">
        <w:rPr>
          <w:lang w:val="fr-CA"/>
        </w:rPr>
        <w:t xml:space="preserve">dans lequel jugement est rendu concurremment, la Cour doit en l’espèce examiner l’interrelation entre la liberté de la presse, le principe de la publicité des débats </w:t>
      </w:r>
      <w:r w:rsidR="003B6430" w:rsidRPr="002E7F1E">
        <w:rPr>
          <w:lang w:val="fr-CA"/>
        </w:rPr>
        <w:lastRenderedPageBreak/>
        <w:t>judiciaires et la nécessité de maintenir une saine administration de la justice.    Dans le pourvoi connexe, ce sont les règles régissant la diffusion des audiences ainsi que la tenue d’entrevues et la prise d’images qui sont contestées.  Le présent dossier porte plutôt sur la diffusion d’un enregistrement vidéo déposé en preuve pendant le procès.</w:t>
      </w:r>
    </w:p>
    <w:p w:rsidR="003B6430" w:rsidRPr="002E7F1E" w:rsidRDefault="003B6430" w:rsidP="006F5BE3">
      <w:pPr>
        <w:tabs>
          <w:tab w:val="left" w:pos="-1440"/>
          <w:tab w:val="left" w:pos="-720"/>
          <w:tab w:val="left" w:pos="0"/>
          <w:tab w:val="left" w:pos="540"/>
          <w:tab w:val="left" w:pos="6480"/>
        </w:tabs>
        <w:spacing w:after="720"/>
        <w:rPr>
          <w:u w:val="single"/>
          <w:lang w:val="fr-CA"/>
        </w:rPr>
      </w:pPr>
      <w:r w:rsidRPr="002E7F1E">
        <w:rPr>
          <w:lang w:val="fr-CA"/>
        </w:rPr>
        <w:t>1.</w:t>
      </w:r>
      <w:r w:rsidR="006F5BE3" w:rsidRPr="002E7F1E">
        <w:rPr>
          <w:lang w:val="fr-CA"/>
        </w:rPr>
        <w:tab/>
      </w:r>
      <w:r w:rsidRPr="002E7F1E">
        <w:rPr>
          <w:u w:val="single"/>
          <w:lang w:val="fr-CA"/>
        </w:rPr>
        <w:t>Faits</w:t>
      </w:r>
    </w:p>
    <w:p w:rsidR="003B6430" w:rsidRPr="002E7F1E" w:rsidRDefault="003B6430" w:rsidP="00BF65F1">
      <w:pPr>
        <w:pStyle w:val="ReasonsNumbering-AltN"/>
        <w:rPr>
          <w:lang w:val="fr-CA"/>
        </w:rPr>
      </w:pPr>
      <w:r w:rsidRPr="002E7F1E">
        <w:rPr>
          <w:lang w:val="fr-CA"/>
        </w:rPr>
        <w:t>Accusé du crime d’aide au suicide prévu à l’al. 241</w:t>
      </w:r>
      <w:r w:rsidRPr="002E7F1E">
        <w:rPr>
          <w:i/>
          <w:lang w:val="fr-CA"/>
        </w:rPr>
        <w:t>b</w:t>
      </w:r>
      <w:r w:rsidRPr="002E7F1E">
        <w:rPr>
          <w:lang w:val="fr-CA"/>
        </w:rPr>
        <w:t xml:space="preserve">) du </w:t>
      </w:r>
      <w:r w:rsidRPr="002E7F1E">
        <w:rPr>
          <w:i/>
          <w:lang w:val="fr-CA"/>
        </w:rPr>
        <w:t>Code criminel</w:t>
      </w:r>
      <w:r w:rsidRPr="002E7F1E">
        <w:rPr>
          <w:lang w:val="fr-CA"/>
        </w:rPr>
        <w:t xml:space="preserve">, L.R.C. 1985, ch. C-46 (« </w:t>
      </w:r>
      <w:r w:rsidRPr="002E7F1E">
        <w:rPr>
          <w:i/>
          <w:lang w:val="fr-CA"/>
        </w:rPr>
        <w:t xml:space="preserve">C. </w:t>
      </w:r>
      <w:proofErr w:type="spellStart"/>
      <w:r w:rsidRPr="002E7F1E">
        <w:rPr>
          <w:i/>
          <w:lang w:val="fr-CA"/>
        </w:rPr>
        <w:t>cr</w:t>
      </w:r>
      <w:proofErr w:type="spellEnd"/>
      <w:r w:rsidRPr="002E7F1E">
        <w:rPr>
          <w:i/>
          <w:lang w:val="fr-CA"/>
        </w:rPr>
        <w:t>.</w:t>
      </w:r>
      <w:r w:rsidRPr="002E7F1E">
        <w:rPr>
          <w:lang w:val="fr-CA"/>
        </w:rPr>
        <w:t xml:space="preserve"> »), l’intimé Stéphan Dufour choisit de subir son procès devant juge et jury.  Le procès débute le 25 novembre 2008 devant le juge Lévesque de la Cour supérieure du Québec. Le 27 novembre 2008, la poursuite dépose comme pièce au procès l’enregistrement vidéo d’une déclaration faite par M. Dufour aux policiers avant sa mise en accusation. Les parties, les jurés et les journalistes sont présents dans la salle d’audience. Aucune restriction générale ou particulière concernant la publicité des débats à l’audience n’est imposée. Le juge Lévesque autorise les médias à visionner la déclaration. À cette fin, des séquences de l’enregistrement de la déclaration sélectionnées par les médias sont présentées dans une autre salle d’audience, où il leur est permis de filmer l’écran sur lequel est diffusée la déclaration. La greffière-</w:t>
      </w:r>
      <w:proofErr w:type="spellStart"/>
      <w:r w:rsidRPr="002E7F1E">
        <w:rPr>
          <w:lang w:val="fr-CA"/>
        </w:rPr>
        <w:t>audiencière</w:t>
      </w:r>
      <w:proofErr w:type="spellEnd"/>
      <w:r w:rsidRPr="002E7F1E">
        <w:rPr>
          <w:lang w:val="fr-CA"/>
        </w:rPr>
        <w:t xml:space="preserve"> et le juge Lévesque précisent aux représentants des médias qu’il leur est cependant interdit de rediffuser l’enregistrement de la déclaration. C’est cette limite à l’utilisation de l’enregistrement qui est à l’origine du présent litige.</w:t>
      </w:r>
    </w:p>
    <w:p w:rsidR="003B6430" w:rsidRPr="002E7F1E" w:rsidRDefault="003B6430" w:rsidP="006F5BE3">
      <w:pPr>
        <w:tabs>
          <w:tab w:val="left" w:pos="-1440"/>
          <w:tab w:val="left" w:pos="-720"/>
          <w:tab w:val="left" w:pos="0"/>
          <w:tab w:val="left" w:pos="540"/>
          <w:tab w:val="left" w:pos="1152"/>
          <w:tab w:val="left" w:pos="1570"/>
          <w:tab w:val="left" w:pos="1843"/>
          <w:tab w:val="left" w:pos="2261"/>
          <w:tab w:val="left" w:pos="6480"/>
        </w:tabs>
        <w:spacing w:after="720"/>
        <w:rPr>
          <w:u w:val="single"/>
          <w:lang w:val="fr-CA"/>
        </w:rPr>
      </w:pPr>
      <w:r w:rsidRPr="002E7F1E">
        <w:rPr>
          <w:lang w:val="fr-CA"/>
        </w:rPr>
        <w:lastRenderedPageBreak/>
        <w:t>2.</w:t>
      </w:r>
      <w:r w:rsidR="006F5BE3" w:rsidRPr="002E7F1E">
        <w:rPr>
          <w:lang w:val="fr-CA"/>
        </w:rPr>
        <w:tab/>
      </w:r>
      <w:r w:rsidRPr="002E7F1E">
        <w:rPr>
          <w:u w:val="single"/>
          <w:lang w:val="fr-CA"/>
        </w:rPr>
        <w:t>Historique judiciaire</w:t>
      </w:r>
    </w:p>
    <w:p w:rsidR="003B6430" w:rsidRPr="002E7F1E" w:rsidRDefault="003B6430" w:rsidP="00BF65F1">
      <w:pPr>
        <w:pStyle w:val="ReasonsNumbering-AltN"/>
        <w:rPr>
          <w:lang w:val="fr-CA"/>
        </w:rPr>
      </w:pPr>
      <w:r w:rsidRPr="002E7F1E">
        <w:rPr>
          <w:lang w:val="fr-CA"/>
        </w:rPr>
        <w:t>Le 1</w:t>
      </w:r>
      <w:r w:rsidRPr="002E7F1E">
        <w:rPr>
          <w:vertAlign w:val="superscript"/>
          <w:lang w:val="fr-CA"/>
        </w:rPr>
        <w:t>er</w:t>
      </w:r>
      <w:r w:rsidRPr="002E7F1E">
        <w:rPr>
          <w:lang w:val="fr-CA"/>
        </w:rPr>
        <w:t xml:space="preserve"> décembre 2008, l’appelante la Société Radio-Canada (« Radio-Canada ») présente au juge Lévesque, conjointement avec le Groupe TVA, une requête afin d’obtenir l’autorisation de diffuser l’enregistrement  vidéo de la déclaration. Cette requête est rejetée </w:t>
      </w:r>
      <w:proofErr w:type="gramStart"/>
      <w:r w:rsidRPr="002E7F1E">
        <w:rPr>
          <w:lang w:val="fr-CA"/>
        </w:rPr>
        <w:t xml:space="preserve">: </w:t>
      </w:r>
      <w:r w:rsidR="0066157D" w:rsidRPr="002E7F1E">
        <w:rPr>
          <w:lang w:val="fr-CA"/>
        </w:rPr>
        <w:t xml:space="preserve"> 2008</w:t>
      </w:r>
      <w:proofErr w:type="gramEnd"/>
      <w:r w:rsidR="0066157D" w:rsidRPr="002E7F1E">
        <w:rPr>
          <w:lang w:val="fr-CA"/>
        </w:rPr>
        <w:t xml:space="preserve"> QCCS 6931 (</w:t>
      </w:r>
      <w:proofErr w:type="spellStart"/>
      <w:r w:rsidR="0066157D" w:rsidRPr="002E7F1E">
        <w:rPr>
          <w:lang w:val="fr-CA"/>
        </w:rPr>
        <w:t>CanLII</w:t>
      </w:r>
      <w:proofErr w:type="spellEnd"/>
      <w:r w:rsidR="0066157D" w:rsidRPr="002E7F1E">
        <w:rPr>
          <w:lang w:val="fr-CA"/>
        </w:rPr>
        <w:t>)</w:t>
      </w:r>
      <w:r w:rsidRPr="002E7F1E">
        <w:rPr>
          <w:lang w:val="fr-CA"/>
        </w:rPr>
        <w:t xml:space="preserve">. Le juge est d’avis que, comme </w:t>
      </w:r>
      <w:proofErr w:type="gramStart"/>
      <w:r w:rsidRPr="002E7F1E">
        <w:rPr>
          <w:lang w:val="fr-CA"/>
        </w:rPr>
        <w:t>les art</w:t>
      </w:r>
      <w:proofErr w:type="gramEnd"/>
      <w:r w:rsidRPr="002E7F1E">
        <w:rPr>
          <w:lang w:val="fr-CA"/>
        </w:rPr>
        <w:t xml:space="preserve">. 8 et 8A des </w:t>
      </w:r>
      <w:r w:rsidRPr="002E7F1E">
        <w:rPr>
          <w:i/>
          <w:lang w:val="fr-CA"/>
        </w:rPr>
        <w:t>Règles de procédure de la Cour supérieure du Québec, chambre criminelle (2002)</w:t>
      </w:r>
      <w:r w:rsidRPr="002E7F1E">
        <w:rPr>
          <w:lang w:val="fr-CA"/>
        </w:rPr>
        <w:t xml:space="preserve">, TR/2002-46, </w:t>
      </w:r>
      <w:proofErr w:type="spellStart"/>
      <w:r w:rsidRPr="002E7F1E">
        <w:rPr>
          <w:lang w:val="fr-CA"/>
        </w:rPr>
        <w:t>mod</w:t>
      </w:r>
      <w:proofErr w:type="spellEnd"/>
      <w:r w:rsidRPr="002E7F1E">
        <w:rPr>
          <w:lang w:val="fr-CA"/>
        </w:rPr>
        <w:t xml:space="preserve">. TR/2005-19, art. 1 (« </w:t>
      </w:r>
      <w:proofErr w:type="spellStart"/>
      <w:r w:rsidRPr="002E7F1E">
        <w:rPr>
          <w:lang w:val="fr-CA"/>
        </w:rPr>
        <w:t>RPCr</w:t>
      </w:r>
      <w:proofErr w:type="spellEnd"/>
      <w:r w:rsidRPr="002E7F1E">
        <w:rPr>
          <w:lang w:val="fr-CA"/>
        </w:rPr>
        <w:t xml:space="preserve"> » ou « Règles de pratique criminelle »)</w:t>
      </w:r>
      <w:r w:rsidR="002E7F1E" w:rsidRPr="002E7F1E">
        <w:rPr>
          <w:lang w:val="fr-CA"/>
        </w:rPr>
        <w:t>,</w:t>
      </w:r>
      <w:r w:rsidRPr="002E7F1E">
        <w:rPr>
          <w:lang w:val="fr-CA"/>
        </w:rPr>
        <w:t xml:space="preserve"> interdisent la diffusion de tout enregistrement sonore des audiences, la diffusion d’un enregistrement vidéo produit en preuve devrait aussi être interdite (par. 21). Selon le juge, conclure autrement « aurait pour effet d’autoriser indirectement ce qu’il est défendu de faire directement » (par. 22). Pour ce qui est de la constitutionnalité </w:t>
      </w:r>
      <w:proofErr w:type="gramStart"/>
      <w:r w:rsidRPr="002E7F1E">
        <w:rPr>
          <w:lang w:val="fr-CA"/>
        </w:rPr>
        <w:t>des art</w:t>
      </w:r>
      <w:proofErr w:type="gramEnd"/>
      <w:r w:rsidRPr="002E7F1E">
        <w:rPr>
          <w:lang w:val="fr-CA"/>
        </w:rPr>
        <w:t xml:space="preserve">. 8, 8A et 8B des Règles de pratique criminelle, le juge Lévesque s’appuie sur le jugement de la Cour d’appel du Québec dans </w:t>
      </w:r>
      <w:r w:rsidRPr="002E7F1E">
        <w:rPr>
          <w:i/>
          <w:lang w:val="fr-CA"/>
        </w:rPr>
        <w:t>Société Radio-Canada c. Québec (Procureur général)</w:t>
      </w:r>
      <w:r w:rsidRPr="002E7F1E">
        <w:rPr>
          <w:lang w:val="fr-CA"/>
        </w:rPr>
        <w:t>, 2008 QCCA 1910, [2008] R.J.Q. 2303.</w:t>
      </w:r>
    </w:p>
    <w:p w:rsidR="003B6430" w:rsidRPr="002E7F1E" w:rsidRDefault="003B6430" w:rsidP="00BF65F1">
      <w:pPr>
        <w:pStyle w:val="ReasonsNumbering-AltN"/>
        <w:rPr>
          <w:lang w:val="fr-CA"/>
        </w:rPr>
      </w:pPr>
      <w:r w:rsidRPr="002E7F1E">
        <w:rPr>
          <w:lang w:val="fr-CA"/>
        </w:rPr>
        <w:t xml:space="preserve">Se fondant sur l’art. 40 de la </w:t>
      </w:r>
      <w:r w:rsidRPr="002E7F1E">
        <w:rPr>
          <w:i/>
          <w:lang w:val="fr-CA"/>
        </w:rPr>
        <w:t>Loi sur la Cour suprême</w:t>
      </w:r>
      <w:r w:rsidRPr="002E7F1E">
        <w:rPr>
          <w:lang w:val="fr-CA"/>
        </w:rPr>
        <w:t>, L.R.C. 1985, ch. S-26, Radio-Canada se pourvoit contre cette ordonnance devant notre Cour.</w:t>
      </w:r>
    </w:p>
    <w:p w:rsidR="003B6430" w:rsidRPr="002E7F1E" w:rsidRDefault="003B6430" w:rsidP="006F5BE3">
      <w:pPr>
        <w:tabs>
          <w:tab w:val="left" w:pos="-1440"/>
          <w:tab w:val="left" w:pos="-720"/>
          <w:tab w:val="left" w:pos="0"/>
          <w:tab w:val="left" w:pos="540"/>
          <w:tab w:val="left" w:pos="1152"/>
          <w:tab w:val="left" w:pos="1570"/>
          <w:tab w:val="left" w:pos="1843"/>
          <w:tab w:val="left" w:pos="2261"/>
          <w:tab w:val="left" w:pos="6480"/>
        </w:tabs>
        <w:spacing w:after="720"/>
        <w:rPr>
          <w:lang w:val="fr-CA"/>
        </w:rPr>
      </w:pPr>
      <w:r w:rsidRPr="002E7F1E">
        <w:rPr>
          <w:lang w:val="fr-CA"/>
        </w:rPr>
        <w:t>3.</w:t>
      </w:r>
      <w:r w:rsidR="006F5BE3" w:rsidRPr="002E7F1E">
        <w:rPr>
          <w:lang w:val="fr-CA"/>
        </w:rPr>
        <w:tab/>
      </w:r>
      <w:r w:rsidRPr="002E7F1E">
        <w:rPr>
          <w:u w:val="single"/>
          <w:lang w:val="fr-CA"/>
        </w:rPr>
        <w:t>Questions en litige</w:t>
      </w:r>
    </w:p>
    <w:p w:rsidR="003B6430" w:rsidRPr="002E7F1E" w:rsidRDefault="003B6430" w:rsidP="00BF65F1">
      <w:pPr>
        <w:pStyle w:val="ReasonsNumbering-AltN"/>
      </w:pPr>
      <w:r w:rsidRPr="002E7F1E">
        <w:rPr>
          <w:lang w:val="fr-CA"/>
        </w:rPr>
        <w:lastRenderedPageBreak/>
        <w:t xml:space="preserve">Le 29 juin 2009, la Juge en chef formule deux questions qui concernent la constitutionnalité </w:t>
      </w:r>
      <w:proofErr w:type="gramStart"/>
      <w:r w:rsidRPr="002E7F1E">
        <w:rPr>
          <w:lang w:val="fr-CA"/>
        </w:rPr>
        <w:t>des art</w:t>
      </w:r>
      <w:proofErr w:type="gramEnd"/>
      <w:r w:rsidRPr="002E7F1E">
        <w:rPr>
          <w:lang w:val="fr-CA"/>
        </w:rPr>
        <w:t xml:space="preserve">. 8 et 8A </w:t>
      </w:r>
      <w:proofErr w:type="spellStart"/>
      <w:r w:rsidRPr="002E7F1E">
        <w:rPr>
          <w:lang w:val="fr-CA"/>
        </w:rPr>
        <w:t>RPCr</w:t>
      </w:r>
      <w:proofErr w:type="spellEnd"/>
      <w:r w:rsidRPr="002E7F1E">
        <w:rPr>
          <w:lang w:val="fr-CA"/>
        </w:rPr>
        <w:t xml:space="preserve"> au regard de l’al. 2</w:t>
      </w:r>
      <w:r w:rsidRPr="002E7F1E">
        <w:rPr>
          <w:i/>
          <w:lang w:val="fr-CA"/>
        </w:rPr>
        <w:t>b</w:t>
      </w:r>
      <w:r w:rsidRPr="002E7F1E">
        <w:rPr>
          <w:lang w:val="fr-CA"/>
        </w:rPr>
        <w:t xml:space="preserve">) de la </w:t>
      </w:r>
      <w:r w:rsidRPr="002E7F1E">
        <w:rPr>
          <w:i/>
          <w:lang w:val="fr-CA"/>
        </w:rPr>
        <w:t xml:space="preserve">Charte canadienne des droits et libertés </w:t>
      </w:r>
      <w:r w:rsidRPr="002E7F1E">
        <w:rPr>
          <w:lang w:val="fr-CA"/>
        </w:rPr>
        <w:t xml:space="preserve">(« </w:t>
      </w:r>
      <w:r w:rsidRPr="002E7F1E">
        <w:rPr>
          <w:i/>
          <w:lang w:val="fr-CA"/>
        </w:rPr>
        <w:t xml:space="preserve">Charte </w:t>
      </w:r>
      <w:r w:rsidRPr="002E7F1E">
        <w:rPr>
          <w:lang w:val="fr-CA"/>
        </w:rPr>
        <w:t>»). Radio-Canada, la poursuite et le procureur général du Québec (« PGQ »), ainsi que Stéphan Dufour et le procureur général du Canada (« PGC »)</w:t>
      </w:r>
      <w:r w:rsidR="002E7F1E" w:rsidRPr="002E7F1E">
        <w:rPr>
          <w:lang w:val="fr-CA"/>
        </w:rPr>
        <w:t>,</w:t>
      </w:r>
      <w:r w:rsidRPr="002E7F1E">
        <w:rPr>
          <w:lang w:val="fr-CA"/>
        </w:rPr>
        <w:t xml:space="preserve"> soutiennent qu’il n’y a pas lieu de répondre à ces questions puisque, selon eux, </w:t>
      </w:r>
      <w:proofErr w:type="gramStart"/>
      <w:r w:rsidRPr="002E7F1E">
        <w:rPr>
          <w:lang w:val="fr-CA"/>
        </w:rPr>
        <w:t>les art</w:t>
      </w:r>
      <w:proofErr w:type="gramEnd"/>
      <w:r w:rsidRPr="002E7F1E">
        <w:rPr>
          <w:lang w:val="fr-CA"/>
        </w:rPr>
        <w:t xml:space="preserve">. 8 et 8A </w:t>
      </w:r>
      <w:proofErr w:type="spellStart"/>
      <w:r w:rsidRPr="002E7F1E">
        <w:rPr>
          <w:lang w:val="fr-CA"/>
        </w:rPr>
        <w:t>RPCr</w:t>
      </w:r>
      <w:proofErr w:type="spellEnd"/>
      <w:r w:rsidRPr="002E7F1E">
        <w:rPr>
          <w:lang w:val="fr-CA"/>
        </w:rPr>
        <w:t xml:space="preserve"> ne sont pas applicables en l’espèce. Comme il sera démontré dans les motifs qui suivent, cette prétention est bien fondée. </w:t>
      </w:r>
      <w:proofErr w:type="spellStart"/>
      <w:r w:rsidRPr="002E7F1E">
        <w:t>Aussi</w:t>
      </w:r>
      <w:proofErr w:type="spellEnd"/>
      <w:r w:rsidRPr="002E7F1E">
        <w:t xml:space="preserve"> </w:t>
      </w:r>
      <w:proofErr w:type="spellStart"/>
      <w:r w:rsidRPr="002E7F1E">
        <w:t>reformulerai</w:t>
      </w:r>
      <w:proofErr w:type="spellEnd"/>
      <w:r w:rsidRPr="002E7F1E">
        <w:t xml:space="preserve">-je les questions en </w:t>
      </w:r>
      <w:proofErr w:type="spellStart"/>
      <w:r w:rsidRPr="002E7F1E">
        <w:t>litige</w:t>
      </w:r>
      <w:proofErr w:type="spellEnd"/>
      <w:r w:rsidRPr="002E7F1E">
        <w:t xml:space="preserve"> </w:t>
      </w:r>
      <w:proofErr w:type="spellStart"/>
      <w:r w:rsidRPr="002E7F1E">
        <w:t>comme</w:t>
      </w:r>
      <w:proofErr w:type="spellEnd"/>
      <w:r w:rsidRPr="002E7F1E">
        <w:t xml:space="preserve"> suit :</w:t>
      </w:r>
    </w:p>
    <w:p w:rsidR="003B6430" w:rsidRPr="002E7F1E" w:rsidRDefault="003B6430" w:rsidP="006F5BE3">
      <w:pPr>
        <w:pStyle w:val="Citation1"/>
        <w:spacing w:after="240" w:line="480" w:lineRule="auto"/>
        <w:ind w:hanging="1166"/>
        <w:contextualSpacing w:val="0"/>
        <w:rPr>
          <w:lang w:val="fr-CA"/>
        </w:rPr>
      </w:pPr>
      <w:r w:rsidRPr="002E7F1E">
        <w:rPr>
          <w:lang w:val="fr-CA"/>
        </w:rPr>
        <w:t>1.</w:t>
      </w:r>
      <w:r w:rsidR="006F5BE3" w:rsidRPr="002E7F1E">
        <w:rPr>
          <w:lang w:val="fr-CA"/>
        </w:rPr>
        <w:tab/>
      </w:r>
      <w:r w:rsidRPr="002E7F1E">
        <w:rPr>
          <w:lang w:val="fr-CA"/>
        </w:rPr>
        <w:t>Les art</w:t>
      </w:r>
      <w:r w:rsidR="006F5BE3" w:rsidRPr="002E7F1E">
        <w:rPr>
          <w:lang w:val="fr-CA"/>
        </w:rPr>
        <w:t>icles</w:t>
      </w:r>
      <w:r w:rsidRPr="002E7F1E">
        <w:rPr>
          <w:lang w:val="fr-CA"/>
        </w:rPr>
        <w:t xml:space="preserve"> 8 et 8A </w:t>
      </w:r>
      <w:proofErr w:type="spellStart"/>
      <w:r w:rsidRPr="002E7F1E">
        <w:rPr>
          <w:lang w:val="fr-CA"/>
        </w:rPr>
        <w:t>RPCr</w:t>
      </w:r>
      <w:proofErr w:type="spellEnd"/>
      <w:r w:rsidRPr="002E7F1E">
        <w:rPr>
          <w:i/>
          <w:lang w:val="fr-CA"/>
        </w:rPr>
        <w:t xml:space="preserve"> </w:t>
      </w:r>
      <w:r w:rsidRPr="002E7F1E">
        <w:rPr>
          <w:lang w:val="fr-CA"/>
        </w:rPr>
        <w:t>interdisent-ils la diffusion de la déclaration?</w:t>
      </w:r>
    </w:p>
    <w:p w:rsidR="003B6430" w:rsidRPr="002E7F1E" w:rsidRDefault="003B6430" w:rsidP="006F5BE3">
      <w:pPr>
        <w:pStyle w:val="Citation1"/>
        <w:spacing w:line="480" w:lineRule="auto"/>
        <w:ind w:hanging="1166"/>
        <w:rPr>
          <w:lang w:val="fr-CA"/>
        </w:rPr>
      </w:pPr>
      <w:r w:rsidRPr="002E7F1E">
        <w:rPr>
          <w:lang w:val="fr-CA"/>
        </w:rPr>
        <w:t>2.</w:t>
      </w:r>
      <w:r w:rsidR="006F5BE3" w:rsidRPr="002E7F1E">
        <w:rPr>
          <w:lang w:val="fr-CA"/>
        </w:rPr>
        <w:tab/>
      </w:r>
      <w:r w:rsidRPr="002E7F1E">
        <w:rPr>
          <w:lang w:val="fr-CA"/>
        </w:rPr>
        <w:t>Dans la négative, quelles sont les règles applicables à la diffusion d’une pièce déposée en preuve au procès?</w:t>
      </w:r>
    </w:p>
    <w:p w:rsidR="003B6430" w:rsidRPr="002E7F1E" w:rsidRDefault="003B6430" w:rsidP="006F5BE3">
      <w:pPr>
        <w:tabs>
          <w:tab w:val="left" w:pos="-1440"/>
          <w:tab w:val="left" w:pos="-720"/>
          <w:tab w:val="left" w:pos="0"/>
          <w:tab w:val="left" w:pos="540"/>
          <w:tab w:val="left" w:pos="1152"/>
          <w:tab w:val="left" w:pos="1570"/>
          <w:tab w:val="left" w:pos="1843"/>
          <w:tab w:val="left" w:pos="2261"/>
          <w:tab w:val="left" w:pos="6480"/>
        </w:tabs>
        <w:spacing w:after="720"/>
        <w:rPr>
          <w:u w:val="single"/>
          <w:lang w:val="fr-CA"/>
        </w:rPr>
      </w:pPr>
      <w:r w:rsidRPr="002E7F1E">
        <w:rPr>
          <w:lang w:val="fr-CA"/>
        </w:rPr>
        <w:t>4.</w:t>
      </w:r>
      <w:r w:rsidR="006F5BE3" w:rsidRPr="002E7F1E">
        <w:rPr>
          <w:lang w:val="fr-CA"/>
        </w:rPr>
        <w:tab/>
      </w:r>
      <w:r w:rsidRPr="002E7F1E">
        <w:rPr>
          <w:u w:val="single"/>
          <w:lang w:val="fr-CA"/>
        </w:rPr>
        <w:t>Analyse</w:t>
      </w:r>
    </w:p>
    <w:p w:rsidR="003B6430" w:rsidRPr="002E7F1E" w:rsidRDefault="003B6430" w:rsidP="00BF65F1">
      <w:pPr>
        <w:pStyle w:val="ReasonsNumbering-AltN"/>
        <w:rPr>
          <w:lang w:val="fr-CA"/>
        </w:rPr>
      </w:pPr>
      <w:r w:rsidRPr="002E7F1E">
        <w:rPr>
          <w:lang w:val="fr-CA"/>
        </w:rPr>
        <w:t xml:space="preserve">Je traiterai d’abord de l’incidence des Règles de pratique criminelle sur la diffusion des pièces déposées en preuve, puis du cadre d’analyse de la validité d’une ordonnance discrétionnaire de non-publication. </w:t>
      </w:r>
    </w:p>
    <w:p w:rsidR="003B6430" w:rsidRPr="002E7F1E" w:rsidRDefault="003B6430" w:rsidP="006F5BE3">
      <w:pPr>
        <w:tabs>
          <w:tab w:val="left" w:pos="-1440"/>
          <w:tab w:val="left" w:pos="-720"/>
          <w:tab w:val="left" w:pos="0"/>
          <w:tab w:val="left" w:pos="540"/>
          <w:tab w:val="left" w:pos="1152"/>
          <w:tab w:val="left" w:pos="1570"/>
          <w:tab w:val="left" w:pos="1843"/>
          <w:tab w:val="left" w:pos="2261"/>
          <w:tab w:val="left" w:pos="6480"/>
        </w:tabs>
        <w:spacing w:after="720"/>
        <w:rPr>
          <w:i/>
          <w:lang w:val="fr-CA"/>
        </w:rPr>
      </w:pPr>
      <w:r w:rsidRPr="002E7F1E">
        <w:rPr>
          <w:lang w:val="fr-CA"/>
        </w:rPr>
        <w:t>4.1</w:t>
      </w:r>
      <w:r w:rsidR="006F5BE3" w:rsidRPr="002E7F1E">
        <w:rPr>
          <w:lang w:val="fr-CA"/>
        </w:rPr>
        <w:tab/>
      </w:r>
      <w:r w:rsidRPr="002E7F1E">
        <w:rPr>
          <w:i/>
          <w:lang w:val="fr-CA"/>
        </w:rPr>
        <w:t xml:space="preserve">Portée </w:t>
      </w:r>
      <w:proofErr w:type="gramStart"/>
      <w:r w:rsidRPr="002E7F1E">
        <w:rPr>
          <w:i/>
          <w:lang w:val="fr-CA"/>
        </w:rPr>
        <w:t>des art</w:t>
      </w:r>
      <w:proofErr w:type="gramEnd"/>
      <w:r w:rsidRPr="002E7F1E">
        <w:rPr>
          <w:i/>
          <w:lang w:val="fr-CA"/>
        </w:rPr>
        <w:t>. 8 et 8A des Règles de pratique criminelle</w:t>
      </w:r>
    </w:p>
    <w:p w:rsidR="003B6430" w:rsidRPr="002E7F1E" w:rsidRDefault="003B6430" w:rsidP="00BF65F1">
      <w:pPr>
        <w:pStyle w:val="ReasonsNumbering-AltN"/>
        <w:rPr>
          <w:lang w:val="fr-CA"/>
        </w:rPr>
      </w:pPr>
      <w:r w:rsidRPr="002E7F1E">
        <w:rPr>
          <w:lang w:val="fr-CA"/>
        </w:rPr>
        <w:t xml:space="preserve">Voici les extraits pertinents </w:t>
      </w:r>
      <w:proofErr w:type="gramStart"/>
      <w:r w:rsidRPr="002E7F1E">
        <w:rPr>
          <w:lang w:val="fr-CA"/>
        </w:rPr>
        <w:t>des art</w:t>
      </w:r>
      <w:proofErr w:type="gramEnd"/>
      <w:r w:rsidRPr="002E7F1E">
        <w:rPr>
          <w:lang w:val="fr-CA"/>
        </w:rPr>
        <w:t xml:space="preserve">. 8 et 8A des Règles de pratique criminelle : </w:t>
      </w:r>
    </w:p>
    <w:p w:rsidR="003B6430" w:rsidRPr="002E7F1E" w:rsidRDefault="006F5BE3" w:rsidP="006F5BE3">
      <w:pPr>
        <w:pStyle w:val="Citation1"/>
        <w:tabs>
          <w:tab w:val="left" w:pos="1440"/>
        </w:tabs>
        <w:spacing w:after="240"/>
        <w:ind w:hanging="1166"/>
        <w:contextualSpacing w:val="0"/>
        <w:rPr>
          <w:lang w:val="fr-CA"/>
        </w:rPr>
      </w:pPr>
      <w:r w:rsidRPr="002E7F1E">
        <w:rPr>
          <w:b/>
          <w:lang w:val="fr-CA"/>
        </w:rPr>
        <w:lastRenderedPageBreak/>
        <w:tab/>
      </w:r>
      <w:r w:rsidRPr="002E7F1E">
        <w:rPr>
          <w:b/>
          <w:lang w:val="fr-CA"/>
        </w:rPr>
        <w:tab/>
      </w:r>
      <w:r w:rsidR="003B6430" w:rsidRPr="002E7F1E">
        <w:rPr>
          <w:b/>
          <w:lang w:val="fr-CA"/>
        </w:rPr>
        <w:t>8.</w:t>
      </w:r>
      <w:r w:rsidR="003B6430" w:rsidRPr="002E7F1E">
        <w:rPr>
          <w:lang w:val="fr-CA"/>
        </w:rPr>
        <w:t xml:space="preserve"> . . .</w:t>
      </w:r>
    </w:p>
    <w:p w:rsidR="003B6430" w:rsidRPr="002E7F1E" w:rsidRDefault="003B6430" w:rsidP="006F5BE3">
      <w:pPr>
        <w:pStyle w:val="Citation1"/>
        <w:spacing w:after="240"/>
        <w:ind w:hanging="1166"/>
        <w:contextualSpacing w:val="0"/>
        <w:jc w:val="center"/>
        <w:rPr>
          <w:lang w:val="fr-CA"/>
        </w:rPr>
      </w:pPr>
      <w:r w:rsidRPr="002E7F1E">
        <w:rPr>
          <w:lang w:val="fr-CA"/>
        </w:rPr>
        <w:t>. . .</w:t>
      </w:r>
    </w:p>
    <w:p w:rsidR="003B6430" w:rsidRPr="002E7F1E" w:rsidRDefault="006F5BE3" w:rsidP="006F5BE3">
      <w:pPr>
        <w:pStyle w:val="Citation1"/>
        <w:tabs>
          <w:tab w:val="left" w:pos="1440"/>
        </w:tabs>
        <w:spacing w:after="240"/>
        <w:ind w:hanging="1166"/>
        <w:contextualSpacing w:val="0"/>
        <w:rPr>
          <w:lang w:val="fr-CA"/>
        </w:rPr>
      </w:pPr>
      <w:r w:rsidRPr="002E7F1E">
        <w:rPr>
          <w:lang w:val="fr-CA"/>
        </w:rPr>
        <w:tab/>
      </w:r>
      <w:r w:rsidRPr="002E7F1E">
        <w:rPr>
          <w:lang w:val="fr-CA"/>
        </w:rPr>
        <w:tab/>
      </w:r>
      <w:r w:rsidR="003B6430" w:rsidRPr="002E7F1E">
        <w:rPr>
          <w:lang w:val="fr-CA"/>
        </w:rPr>
        <w:t xml:space="preserve">L’enregistrement sonore par les médias </w:t>
      </w:r>
      <w:r w:rsidR="003B6430" w:rsidRPr="002E7F1E">
        <w:rPr>
          <w:u w:val="single"/>
          <w:lang w:val="fr-CA"/>
        </w:rPr>
        <w:t>des débats et de la décision</w:t>
      </w:r>
      <w:r w:rsidR="003B6430" w:rsidRPr="002E7F1E">
        <w:rPr>
          <w:lang w:val="fr-CA"/>
        </w:rPr>
        <w:t>, le cas échéant, est permis, sauf interdiction du juge. La diffusion sonore d’un tel enregistrement est interdite.</w:t>
      </w:r>
    </w:p>
    <w:p w:rsidR="003B6430" w:rsidRPr="002E7F1E" w:rsidRDefault="006F5BE3" w:rsidP="006F5BE3">
      <w:pPr>
        <w:pStyle w:val="Citation1"/>
        <w:tabs>
          <w:tab w:val="left" w:pos="1440"/>
        </w:tabs>
        <w:ind w:hanging="1166"/>
        <w:rPr>
          <w:lang w:val="fr-CA"/>
        </w:rPr>
      </w:pPr>
      <w:r w:rsidRPr="002E7F1E">
        <w:rPr>
          <w:b/>
          <w:lang w:val="fr-CA"/>
        </w:rPr>
        <w:tab/>
      </w:r>
      <w:r w:rsidRPr="002E7F1E">
        <w:rPr>
          <w:b/>
          <w:lang w:val="fr-CA"/>
        </w:rPr>
        <w:tab/>
      </w:r>
      <w:r w:rsidR="003B6430" w:rsidRPr="002E7F1E">
        <w:rPr>
          <w:b/>
          <w:lang w:val="fr-CA"/>
        </w:rPr>
        <w:t>8A.</w:t>
      </w:r>
      <w:r w:rsidR="003B6430" w:rsidRPr="002E7F1E">
        <w:rPr>
          <w:lang w:val="fr-CA"/>
        </w:rPr>
        <w:t xml:space="preserve"> La diffusion de l’enregistrement </w:t>
      </w:r>
      <w:r w:rsidR="003B6430" w:rsidRPr="002E7F1E">
        <w:rPr>
          <w:u w:val="single"/>
          <w:lang w:val="fr-CA"/>
        </w:rPr>
        <w:t>d’une audience</w:t>
      </w:r>
      <w:r w:rsidR="003B6430" w:rsidRPr="002E7F1E">
        <w:rPr>
          <w:lang w:val="fr-CA"/>
        </w:rPr>
        <w:t xml:space="preserve"> est interdite. </w:t>
      </w:r>
    </w:p>
    <w:p w:rsidR="003B6430" w:rsidRPr="002E7F1E" w:rsidRDefault="003B6430" w:rsidP="00BF65F1">
      <w:pPr>
        <w:pStyle w:val="ReasonsNumbering-AltN"/>
        <w:rPr>
          <w:lang w:val="fr-CA"/>
        </w:rPr>
      </w:pPr>
      <w:r w:rsidRPr="002E7F1E">
        <w:rPr>
          <w:lang w:val="fr-CA"/>
        </w:rPr>
        <w:t xml:space="preserve">L’interdiction de diffusion prévue </w:t>
      </w:r>
      <w:proofErr w:type="gramStart"/>
      <w:r w:rsidRPr="002E7F1E">
        <w:rPr>
          <w:lang w:val="fr-CA"/>
        </w:rPr>
        <w:t>aux art</w:t>
      </w:r>
      <w:proofErr w:type="gramEnd"/>
      <w:r w:rsidRPr="002E7F1E">
        <w:rPr>
          <w:lang w:val="fr-CA"/>
        </w:rPr>
        <w:t xml:space="preserve">. 8 et 8A </w:t>
      </w:r>
      <w:proofErr w:type="spellStart"/>
      <w:r w:rsidRPr="002E7F1E">
        <w:rPr>
          <w:lang w:val="fr-CA"/>
        </w:rPr>
        <w:t>RPCr</w:t>
      </w:r>
      <w:proofErr w:type="spellEnd"/>
      <w:r w:rsidRPr="002E7F1E">
        <w:rPr>
          <w:lang w:val="fr-CA"/>
        </w:rPr>
        <w:t xml:space="preserve"> vise uniquement les enregistrements des débats, c’est-à-dire des sons (incluant les voix) émis lors des audiences. Les pièces possèdent une existence distincte des audiences. Dès leur dépôt au procès, les pièces font partie des débats judiciaires.  Toutefois, comme leur création est indépendante des débats tenus à l’audience et antérieure à celle-ci, elles ne peuvent pas leur être assimilées. Si les facteurs qui se sont révélés applicables dans l’analyse de la validité constitutionnelle des Règles de pratique criminelle dans le dossier connexe peuvent également être pertinents dans l’analyse de la détermination du droit d’accès de l’appelante aux pièces, il ne s’ensuit pas que ces règles permettent  de répondre au problème qui se pose en l’espèce.  </w:t>
      </w:r>
    </w:p>
    <w:p w:rsidR="003B6430" w:rsidRPr="002E7F1E" w:rsidRDefault="003B6430" w:rsidP="006F5BE3">
      <w:pPr>
        <w:tabs>
          <w:tab w:val="left" w:pos="-1440"/>
          <w:tab w:val="left" w:pos="-720"/>
          <w:tab w:val="left" w:pos="0"/>
          <w:tab w:val="left" w:pos="540"/>
          <w:tab w:val="left" w:pos="1152"/>
          <w:tab w:val="left" w:pos="1570"/>
          <w:tab w:val="left" w:pos="1843"/>
          <w:tab w:val="left" w:pos="2261"/>
          <w:tab w:val="left" w:pos="6480"/>
        </w:tabs>
        <w:spacing w:after="720"/>
        <w:rPr>
          <w:lang w:val="fr-CA"/>
        </w:rPr>
      </w:pPr>
      <w:r w:rsidRPr="002E7F1E">
        <w:rPr>
          <w:lang w:val="fr-CA"/>
        </w:rPr>
        <w:t>4.2</w:t>
      </w:r>
      <w:r w:rsidR="006F5BE3" w:rsidRPr="002E7F1E">
        <w:rPr>
          <w:lang w:val="fr-CA"/>
        </w:rPr>
        <w:tab/>
      </w:r>
      <w:r w:rsidRPr="002E7F1E">
        <w:rPr>
          <w:i/>
          <w:lang w:val="fr-CA"/>
        </w:rPr>
        <w:t>Règles applicables à la diffusion d’une pièce</w:t>
      </w:r>
    </w:p>
    <w:p w:rsidR="003B6430" w:rsidRPr="002E7F1E" w:rsidRDefault="003B6430" w:rsidP="00BF65F1">
      <w:pPr>
        <w:pStyle w:val="ReasonsNumbering-AltN"/>
        <w:rPr>
          <w:lang w:val="fr-CA"/>
        </w:rPr>
      </w:pPr>
      <w:r w:rsidRPr="002E7F1E">
        <w:rPr>
          <w:lang w:val="fr-CA"/>
        </w:rPr>
        <w:t xml:space="preserve">La poursuite et le PGQ prétendent que l’ordonnance du juge Lévesque ne saurait être assimilée à une ordonnance de non-publication.  Tout comme Stéphan Dufour, </w:t>
      </w:r>
      <w:proofErr w:type="gramStart"/>
      <w:r w:rsidRPr="002E7F1E">
        <w:rPr>
          <w:lang w:val="fr-CA"/>
        </w:rPr>
        <w:t>ils soutiennent</w:t>
      </w:r>
      <w:proofErr w:type="gramEnd"/>
      <w:r w:rsidRPr="002E7F1E">
        <w:rPr>
          <w:lang w:val="fr-CA"/>
        </w:rPr>
        <w:t xml:space="preserve"> que la protection de l’al. 2</w:t>
      </w:r>
      <w:r w:rsidRPr="002E7F1E">
        <w:rPr>
          <w:i/>
          <w:lang w:val="fr-CA"/>
        </w:rPr>
        <w:t>b</w:t>
      </w:r>
      <w:r w:rsidRPr="002E7F1E">
        <w:rPr>
          <w:lang w:val="fr-CA"/>
        </w:rPr>
        <w:t xml:space="preserve">) de la </w:t>
      </w:r>
      <w:r w:rsidRPr="002E7F1E">
        <w:rPr>
          <w:i/>
          <w:lang w:val="fr-CA"/>
        </w:rPr>
        <w:t>Charte</w:t>
      </w:r>
      <w:r w:rsidRPr="002E7F1E">
        <w:rPr>
          <w:lang w:val="fr-CA"/>
        </w:rPr>
        <w:t xml:space="preserve"> ne s’étend pas à la diffusion d’une pièce telle une déclaration déposée en preuve.  Pour sa part, Radio-</w:t>
      </w:r>
      <w:r w:rsidRPr="002E7F1E">
        <w:rPr>
          <w:lang w:val="fr-CA"/>
        </w:rPr>
        <w:lastRenderedPageBreak/>
        <w:t>Canada avance au contraire que la diffusion de la déclaration bénéficie de cette garantie constitutionnelle.</w:t>
      </w:r>
    </w:p>
    <w:p w:rsidR="003B6430" w:rsidRPr="002E7F1E" w:rsidRDefault="003B6430" w:rsidP="00BF65F1">
      <w:pPr>
        <w:pStyle w:val="ReasonsNumbering-AltN"/>
        <w:rPr>
          <w:lang w:val="fr-CA"/>
        </w:rPr>
      </w:pPr>
      <w:r w:rsidRPr="002E7F1E">
        <w:rPr>
          <w:lang w:val="fr-CA"/>
        </w:rPr>
        <w:t>Parce que Radio-Canada veut faire connaître à son public le message qui est contenu dans l’enregistrement vidéo, sa diffusion est clairement une activité expressive susceptible de donner ouverture à la protection de l’al. 2</w:t>
      </w:r>
      <w:r w:rsidRPr="002E7F1E">
        <w:rPr>
          <w:i/>
          <w:lang w:val="fr-CA"/>
        </w:rPr>
        <w:t>b</w:t>
      </w:r>
      <w:r w:rsidRPr="002E7F1E">
        <w:rPr>
          <w:lang w:val="fr-CA"/>
        </w:rPr>
        <w:t xml:space="preserve">) de la </w:t>
      </w:r>
      <w:r w:rsidRPr="002E7F1E">
        <w:rPr>
          <w:i/>
          <w:lang w:val="fr-CA"/>
        </w:rPr>
        <w:t xml:space="preserve">Charte </w:t>
      </w:r>
      <w:r w:rsidRPr="002E7F1E">
        <w:rPr>
          <w:lang w:val="fr-CA"/>
        </w:rPr>
        <w:t>(</w:t>
      </w:r>
      <w:r w:rsidRPr="002E7F1E">
        <w:rPr>
          <w:i/>
          <w:iCs/>
          <w:lang w:val="fr-CA"/>
        </w:rPr>
        <w:t xml:space="preserve">Irwin </w:t>
      </w:r>
      <w:proofErr w:type="spellStart"/>
      <w:r w:rsidRPr="002E7F1E">
        <w:rPr>
          <w:i/>
          <w:iCs/>
          <w:lang w:val="fr-CA"/>
        </w:rPr>
        <w:t>Toy</w:t>
      </w:r>
      <w:proofErr w:type="spellEnd"/>
      <w:r w:rsidRPr="002E7F1E">
        <w:rPr>
          <w:i/>
          <w:iCs/>
          <w:lang w:val="fr-CA"/>
        </w:rPr>
        <w:t xml:space="preserve"> Ltd. c. Québec (Procureur général)</w:t>
      </w:r>
      <w:r w:rsidRPr="002E7F1E">
        <w:rPr>
          <w:lang w:val="fr-CA"/>
        </w:rPr>
        <w:t xml:space="preserve">, [1989] 1 R.C.S. 927). </w:t>
      </w:r>
    </w:p>
    <w:p w:rsidR="003B6430" w:rsidRPr="002E7F1E" w:rsidRDefault="003B6430" w:rsidP="00BF65F1">
      <w:pPr>
        <w:pStyle w:val="ReasonsNumbering-AltN"/>
      </w:pPr>
      <w:r w:rsidRPr="002E7F1E">
        <w:rPr>
          <w:lang w:val="fr-CA"/>
        </w:rPr>
        <w:t>Par ailleurs, Stéphan Dufour, la poursuite, le PGQ et le PGC soutiennent que la règle régissant les conditions de diffusion est établie par l’arrêt</w:t>
      </w:r>
      <w:r w:rsidRPr="002E7F1E">
        <w:rPr>
          <w:i/>
          <w:lang w:val="fr-CA"/>
        </w:rPr>
        <w:t xml:space="preserve"> </w:t>
      </w:r>
      <w:proofErr w:type="spellStart"/>
      <w:r w:rsidRPr="002E7F1E">
        <w:rPr>
          <w:i/>
          <w:lang w:val="fr-CA"/>
        </w:rPr>
        <w:t>Vickery</w:t>
      </w:r>
      <w:proofErr w:type="spellEnd"/>
      <w:r w:rsidRPr="002E7F1E">
        <w:rPr>
          <w:i/>
          <w:lang w:val="fr-CA"/>
        </w:rPr>
        <w:t xml:space="preserve"> c. Cour suprême de la Nouvelle-Écosse (Protonotaire)</w:t>
      </w:r>
      <w:r w:rsidRPr="002E7F1E">
        <w:rPr>
          <w:lang w:val="fr-CA"/>
        </w:rPr>
        <w:t>, [1991] 1 R.C.S. 671, et non par les arrêts</w:t>
      </w:r>
      <w:r w:rsidRPr="002E7F1E">
        <w:rPr>
          <w:i/>
          <w:lang w:val="fr-CA"/>
        </w:rPr>
        <w:t xml:space="preserve"> </w:t>
      </w:r>
      <w:proofErr w:type="spellStart"/>
      <w:r w:rsidRPr="002E7F1E">
        <w:rPr>
          <w:i/>
          <w:lang w:val="fr-CA"/>
        </w:rPr>
        <w:t>Dagenais</w:t>
      </w:r>
      <w:proofErr w:type="spellEnd"/>
      <w:r w:rsidRPr="002E7F1E">
        <w:rPr>
          <w:i/>
          <w:lang w:val="fr-CA"/>
        </w:rPr>
        <w:t xml:space="preserve"> c. Société Radio-Canada</w:t>
      </w:r>
      <w:r w:rsidRPr="002E7F1E">
        <w:rPr>
          <w:lang w:val="fr-CA"/>
        </w:rPr>
        <w:t>, [1994] 3 R.C.S. 835, et</w:t>
      </w:r>
      <w:r w:rsidRPr="002E7F1E">
        <w:rPr>
          <w:i/>
          <w:lang w:val="fr-CA"/>
        </w:rPr>
        <w:t xml:space="preserve"> R. c. </w:t>
      </w:r>
      <w:proofErr w:type="spellStart"/>
      <w:r w:rsidRPr="002E7F1E">
        <w:rPr>
          <w:i/>
          <w:lang w:val="fr-CA"/>
        </w:rPr>
        <w:t>Mentuck</w:t>
      </w:r>
      <w:proofErr w:type="spellEnd"/>
      <w:r w:rsidRPr="002E7F1E">
        <w:rPr>
          <w:lang w:val="fr-CA"/>
        </w:rPr>
        <w:t xml:space="preserve">, 2001 CSC 76, [2001] 3 R.C.S. 442. Je ne peux accepter cette position. Si certains aspects de l’arrêt </w:t>
      </w:r>
      <w:proofErr w:type="spellStart"/>
      <w:r w:rsidRPr="002E7F1E">
        <w:rPr>
          <w:i/>
          <w:lang w:val="fr-CA"/>
        </w:rPr>
        <w:t>Vickery</w:t>
      </w:r>
      <w:proofErr w:type="spellEnd"/>
      <w:r w:rsidRPr="002E7F1E">
        <w:rPr>
          <w:lang w:val="fr-CA"/>
        </w:rPr>
        <w:t xml:space="preserve"> conservent leur pertinence, l’arrêt n’est pas déterminant puisque, dans cette affaire, la Cour a refusé de se prononcer sur la protection constitutionnelle de l’accès aux pièces, ce moyen n’ayant pas été avancé dans les instances inférieures. </w:t>
      </w:r>
      <w:proofErr w:type="spellStart"/>
      <w:r w:rsidRPr="002E7F1E">
        <w:t>Toutefois</w:t>
      </w:r>
      <w:proofErr w:type="spellEnd"/>
      <w:r w:rsidRPr="002E7F1E">
        <w:t xml:space="preserve">, </w:t>
      </w:r>
      <w:proofErr w:type="spellStart"/>
      <w:r w:rsidRPr="002E7F1E">
        <w:t>cette</w:t>
      </w:r>
      <w:proofErr w:type="spellEnd"/>
      <w:r w:rsidRPr="002E7F1E">
        <w:t xml:space="preserve"> </w:t>
      </w:r>
      <w:proofErr w:type="spellStart"/>
      <w:r w:rsidRPr="002E7F1E">
        <w:t>garantie</w:t>
      </w:r>
      <w:proofErr w:type="spellEnd"/>
      <w:r w:rsidRPr="002E7F1E">
        <w:t xml:space="preserve"> </w:t>
      </w:r>
      <w:proofErr w:type="spellStart"/>
      <w:r w:rsidRPr="002E7F1E">
        <w:t>constitutionnelle</w:t>
      </w:r>
      <w:proofErr w:type="spellEnd"/>
      <w:r w:rsidRPr="002E7F1E">
        <w:t xml:space="preserve"> </w:t>
      </w:r>
      <w:proofErr w:type="spellStart"/>
      <w:proofErr w:type="gramStart"/>
      <w:r w:rsidRPr="002E7F1E">
        <w:t>est</w:t>
      </w:r>
      <w:proofErr w:type="spellEnd"/>
      <w:proofErr w:type="gramEnd"/>
      <w:r w:rsidRPr="002E7F1E">
        <w:t xml:space="preserve"> </w:t>
      </w:r>
      <w:proofErr w:type="spellStart"/>
      <w:r w:rsidRPr="002E7F1E">
        <w:t>expressément</w:t>
      </w:r>
      <w:proofErr w:type="spellEnd"/>
      <w:r w:rsidRPr="002E7F1E">
        <w:t xml:space="preserve"> </w:t>
      </w:r>
      <w:proofErr w:type="spellStart"/>
      <w:r w:rsidRPr="002E7F1E">
        <w:t>invoquée</w:t>
      </w:r>
      <w:proofErr w:type="spellEnd"/>
      <w:r w:rsidRPr="002E7F1E">
        <w:t xml:space="preserve"> </w:t>
      </w:r>
      <w:proofErr w:type="spellStart"/>
      <w:r w:rsidRPr="002E7F1E">
        <w:t>ici</w:t>
      </w:r>
      <w:proofErr w:type="spellEnd"/>
      <w:r w:rsidRPr="002E7F1E">
        <w:t xml:space="preserve">. </w:t>
      </w:r>
    </w:p>
    <w:p w:rsidR="003B6430" w:rsidRPr="002E7F1E" w:rsidRDefault="003B6430" w:rsidP="00BF65F1">
      <w:pPr>
        <w:pStyle w:val="ReasonsNumbering-AltN"/>
        <w:rPr>
          <w:lang w:val="fr-CA"/>
        </w:rPr>
      </w:pPr>
      <w:r w:rsidRPr="002E7F1E">
        <w:rPr>
          <w:lang w:val="fr-CA"/>
        </w:rPr>
        <w:t xml:space="preserve">L’accès aux pièces est un corollaire du caractère public des débats et, en l’absence de disposition législative applicable, il revient au juge du procès de décider de l’usage qui peut en être fait afin d’assurer la bonne marche du procès.  Cette règle est établie dans notre droit depuis fort longtemps. Déjà dans </w:t>
      </w:r>
      <w:r w:rsidRPr="002E7F1E">
        <w:rPr>
          <w:rStyle w:val="title1"/>
          <w:i/>
          <w:szCs w:val="24"/>
          <w:lang w:val="fr-CA"/>
        </w:rPr>
        <w:t xml:space="preserve">Procureur général de la  </w:t>
      </w:r>
      <w:r w:rsidRPr="002E7F1E">
        <w:rPr>
          <w:rStyle w:val="title1"/>
          <w:i/>
          <w:szCs w:val="24"/>
          <w:lang w:val="fr-CA"/>
        </w:rPr>
        <w:lastRenderedPageBreak/>
        <w:t xml:space="preserve">Nouvelle-Écosse c. </w:t>
      </w:r>
      <w:proofErr w:type="spellStart"/>
      <w:r w:rsidRPr="002E7F1E">
        <w:rPr>
          <w:rStyle w:val="title1"/>
          <w:i/>
          <w:szCs w:val="24"/>
          <w:lang w:val="fr-CA"/>
        </w:rPr>
        <w:t>MacIntyre</w:t>
      </w:r>
      <w:proofErr w:type="spellEnd"/>
      <w:r w:rsidRPr="002E7F1E">
        <w:rPr>
          <w:szCs w:val="24"/>
          <w:lang w:val="fr-CA"/>
        </w:rPr>
        <w:t xml:space="preserve">, </w:t>
      </w:r>
      <w:r w:rsidRPr="002E7F1E">
        <w:rPr>
          <w:rStyle w:val="reportcite"/>
          <w:szCs w:val="24"/>
          <w:lang w:val="fr-CA"/>
        </w:rPr>
        <w:t>[1982] 1 R.C.S. 175, p. 189, le juge Dickson (plus tard Juge en chef) écrivait :</w:t>
      </w:r>
    </w:p>
    <w:p w:rsidR="003B6430" w:rsidRPr="002E7F1E" w:rsidRDefault="006F5BE3" w:rsidP="006F5BE3">
      <w:pPr>
        <w:pStyle w:val="Citation1"/>
        <w:tabs>
          <w:tab w:val="left" w:pos="1440"/>
        </w:tabs>
        <w:ind w:hanging="1166"/>
        <w:rPr>
          <w:lang w:val="fr-CA"/>
        </w:rPr>
      </w:pPr>
      <w:r w:rsidRPr="002E7F1E">
        <w:rPr>
          <w:lang w:val="fr-CA"/>
        </w:rPr>
        <w:tab/>
      </w:r>
      <w:r w:rsidRPr="002E7F1E">
        <w:rPr>
          <w:lang w:val="fr-CA"/>
        </w:rPr>
        <w:tab/>
      </w:r>
      <w:r w:rsidR="003B6430" w:rsidRPr="002E7F1E">
        <w:rPr>
          <w:lang w:val="fr-CA"/>
        </w:rPr>
        <w:t>Il n’y a pas de doute qu’une cour possède le pouvoir de surveiller et de préserver ses propres dossiers. L’accès peut en être interdit lorsque leur divulgation nuirait aux fins de la justice ou si ces dossiers devaient servir à une fin irrégulière.</w:t>
      </w:r>
    </w:p>
    <w:p w:rsidR="003B6430" w:rsidRPr="002E7F1E" w:rsidRDefault="003B6430" w:rsidP="00922315">
      <w:pPr>
        <w:pStyle w:val="SCCNormalDoubleSpacing"/>
        <w:spacing w:after="480"/>
        <w:rPr>
          <w:lang w:val="fr-CA"/>
        </w:rPr>
      </w:pPr>
      <w:r w:rsidRPr="002E7F1E">
        <w:rPr>
          <w:lang w:val="fr-CA"/>
        </w:rPr>
        <w:t>(Voir aussi P. </w:t>
      </w:r>
      <w:proofErr w:type="spellStart"/>
      <w:r w:rsidRPr="002E7F1E">
        <w:rPr>
          <w:lang w:val="fr-CA"/>
        </w:rPr>
        <w:t>Béliveau</w:t>
      </w:r>
      <w:proofErr w:type="spellEnd"/>
      <w:r w:rsidRPr="002E7F1E">
        <w:rPr>
          <w:lang w:val="fr-CA"/>
        </w:rPr>
        <w:t xml:space="preserve"> et M. </w:t>
      </w:r>
      <w:proofErr w:type="spellStart"/>
      <w:r w:rsidRPr="002E7F1E">
        <w:rPr>
          <w:lang w:val="fr-CA"/>
        </w:rPr>
        <w:t>Vauclair</w:t>
      </w:r>
      <w:proofErr w:type="spellEnd"/>
      <w:r w:rsidRPr="002E7F1E">
        <w:rPr>
          <w:lang w:val="fr-CA"/>
        </w:rPr>
        <w:t>, Traité général de preuve et de procédure pénales (15</w:t>
      </w:r>
      <w:r w:rsidRPr="002E7F1E">
        <w:rPr>
          <w:vertAlign w:val="superscript"/>
          <w:lang w:val="fr-CA"/>
        </w:rPr>
        <w:t>e</w:t>
      </w:r>
      <w:r w:rsidRPr="002E7F1E">
        <w:rPr>
          <w:lang w:val="fr-CA"/>
        </w:rPr>
        <w:t xml:space="preserve"> éd. 2008), p. 499-500; R. c. Canadian </w:t>
      </w:r>
      <w:proofErr w:type="spellStart"/>
      <w:r w:rsidRPr="002E7F1E">
        <w:rPr>
          <w:lang w:val="fr-CA"/>
        </w:rPr>
        <w:t>Broadcasting</w:t>
      </w:r>
      <w:proofErr w:type="spellEnd"/>
      <w:r w:rsidRPr="002E7F1E">
        <w:rPr>
          <w:lang w:val="fr-CA"/>
        </w:rPr>
        <w:t xml:space="preserve"> Corporation, 2010 ONCA 726 (</w:t>
      </w:r>
      <w:proofErr w:type="spellStart"/>
      <w:r w:rsidRPr="002E7F1E">
        <w:rPr>
          <w:lang w:val="fr-CA"/>
        </w:rPr>
        <w:t>CanLII</w:t>
      </w:r>
      <w:proofErr w:type="spellEnd"/>
      <w:r w:rsidRPr="002E7F1E">
        <w:rPr>
          <w:lang w:val="fr-CA"/>
        </w:rPr>
        <w:t xml:space="preserve">); Société Radio-Canada c. </w:t>
      </w:r>
      <w:proofErr w:type="spellStart"/>
      <w:r w:rsidRPr="002E7F1E">
        <w:rPr>
          <w:lang w:val="fr-CA"/>
        </w:rPr>
        <w:t>Bérubé</w:t>
      </w:r>
      <w:proofErr w:type="spellEnd"/>
      <w:r w:rsidRPr="002E7F1E">
        <w:rPr>
          <w:lang w:val="fr-CA"/>
        </w:rPr>
        <w:t xml:space="preserve">, [2005] R.J.Q. 1183 (C.S.); R. c. Giroux, 2005 </w:t>
      </w:r>
      <w:proofErr w:type="spellStart"/>
      <w:r w:rsidRPr="002E7F1E">
        <w:rPr>
          <w:lang w:val="fr-CA"/>
        </w:rPr>
        <w:t>CanLII</w:t>
      </w:r>
      <w:proofErr w:type="spellEnd"/>
      <w:r w:rsidRPr="002E7F1E">
        <w:rPr>
          <w:lang w:val="fr-CA"/>
        </w:rPr>
        <w:t xml:space="preserve"> 12396 (C.S.)</w:t>
      </w:r>
      <w:r w:rsidR="002E7F1E">
        <w:rPr>
          <w:lang w:val="fr-CA"/>
        </w:rPr>
        <w:t>.</w:t>
      </w:r>
      <w:r w:rsidRPr="002E7F1E">
        <w:rPr>
          <w:lang w:val="fr-CA"/>
        </w:rPr>
        <w:t xml:space="preserve">) </w:t>
      </w:r>
    </w:p>
    <w:p w:rsidR="003B6430" w:rsidRPr="002E7F1E" w:rsidRDefault="003B6430" w:rsidP="00BF65F1">
      <w:pPr>
        <w:pStyle w:val="ReasonsNumbering-AltN"/>
        <w:rPr>
          <w:lang w:val="fr-CA"/>
        </w:rPr>
      </w:pPr>
      <w:r w:rsidRPr="002E7F1E">
        <w:rPr>
          <w:lang w:val="fr-CA"/>
        </w:rPr>
        <w:t xml:space="preserve">La grille d’analyse établie dans les arrêts </w:t>
      </w:r>
      <w:proofErr w:type="spellStart"/>
      <w:r w:rsidRPr="002E7F1E">
        <w:rPr>
          <w:i/>
          <w:lang w:val="fr-CA"/>
        </w:rPr>
        <w:t>Dagenais</w:t>
      </w:r>
      <w:proofErr w:type="spellEnd"/>
      <w:r w:rsidRPr="002E7F1E">
        <w:rPr>
          <w:lang w:val="fr-CA"/>
        </w:rPr>
        <w:t xml:space="preserve"> et</w:t>
      </w:r>
      <w:r w:rsidRPr="002E7F1E">
        <w:rPr>
          <w:i/>
          <w:lang w:val="fr-CA"/>
        </w:rPr>
        <w:t xml:space="preserve"> </w:t>
      </w:r>
      <w:proofErr w:type="spellStart"/>
      <w:r w:rsidRPr="002E7F1E">
        <w:rPr>
          <w:i/>
          <w:lang w:val="fr-CA"/>
        </w:rPr>
        <w:t>Mentuck</w:t>
      </w:r>
      <w:proofErr w:type="spellEnd"/>
      <w:r w:rsidRPr="002E7F1E">
        <w:rPr>
          <w:i/>
          <w:lang w:val="fr-CA"/>
        </w:rPr>
        <w:t xml:space="preserve"> </w:t>
      </w:r>
      <w:r w:rsidRPr="002E7F1E">
        <w:rPr>
          <w:lang w:val="fr-CA"/>
        </w:rPr>
        <w:t xml:space="preserve">s’applique à toutes les décisions discrétionnaires touchant la publicité des débats. Dans </w:t>
      </w:r>
      <w:r w:rsidRPr="002E7F1E">
        <w:rPr>
          <w:i/>
          <w:lang w:val="fr-CA"/>
        </w:rPr>
        <w:t>Vancouver Sun (</w:t>
      </w:r>
      <w:r w:rsidRPr="002E7F1E">
        <w:rPr>
          <w:i/>
          <w:iCs/>
          <w:lang w:val="fr-CA"/>
        </w:rPr>
        <w:t>Re)</w:t>
      </w:r>
      <w:r w:rsidRPr="002E7F1E">
        <w:rPr>
          <w:lang w:val="fr-CA"/>
        </w:rPr>
        <w:t xml:space="preserve">, 2004 CSC 43, [2004] 2 R.C.S. 332, les juges Iacobucci et Arbour écrivent que </w:t>
      </w:r>
    </w:p>
    <w:p w:rsidR="003B6430" w:rsidRPr="002E7F1E" w:rsidRDefault="006F5BE3" w:rsidP="006F5BE3">
      <w:pPr>
        <w:pStyle w:val="Citation-AltC"/>
        <w:tabs>
          <w:tab w:val="left" w:pos="1440"/>
        </w:tabs>
        <w:ind w:hanging="1166"/>
        <w:rPr>
          <w:lang w:val="fr-CA"/>
        </w:rPr>
      </w:pPr>
      <w:r w:rsidRPr="002E7F1E">
        <w:rPr>
          <w:lang w:val="fr-CA"/>
        </w:rPr>
        <w:tab/>
      </w:r>
      <w:r w:rsidR="003B6430" w:rsidRPr="002E7F1E">
        <w:rPr>
          <w:lang w:val="fr-CA"/>
        </w:rPr>
        <w:tab/>
        <w:t>[</w:t>
      </w:r>
      <w:proofErr w:type="gramStart"/>
      <w:r w:rsidR="003B6430" w:rsidRPr="002E7F1E">
        <w:rPr>
          <w:lang w:val="fr-CA"/>
        </w:rPr>
        <w:t>m]</w:t>
      </w:r>
      <w:proofErr w:type="gramEnd"/>
      <w:r w:rsidR="003B6430" w:rsidRPr="002E7F1E">
        <w:rPr>
          <w:lang w:val="fr-CA"/>
        </w:rPr>
        <w:t>ême si le critère [</w:t>
      </w:r>
      <w:r w:rsidR="003B6430" w:rsidRPr="002E7F1E">
        <w:rPr>
          <w:i/>
          <w:iCs/>
          <w:lang w:val="fr-CA"/>
        </w:rPr>
        <w:t>Dagenais</w:t>
      </w:r>
      <w:r w:rsidR="003B6430" w:rsidRPr="002E7F1E">
        <w:rPr>
          <w:iCs/>
          <w:lang w:val="fr-CA"/>
        </w:rPr>
        <w:t>/</w:t>
      </w:r>
      <w:r w:rsidR="003B6430" w:rsidRPr="002E7F1E">
        <w:rPr>
          <w:i/>
          <w:iCs/>
          <w:lang w:val="fr-CA"/>
        </w:rPr>
        <w:t>Mentuck</w:t>
      </w:r>
      <w:r w:rsidR="003B6430" w:rsidRPr="002E7F1E">
        <w:rPr>
          <w:lang w:val="fr-CA"/>
        </w:rPr>
        <w:t xml:space="preserve">] a été élaboré dans le contexte des interdictions de publication, il s’applique également chaque fois que le juge de première instance exerce son pouvoir discrétionnaire de restreindre la liberté d’expression de la presse durant les procédures judiciaires. Le pouvoir discrétionnaire doit être exercé en conformité avec la </w:t>
      </w:r>
      <w:r w:rsidR="003B6430" w:rsidRPr="002E7F1E">
        <w:rPr>
          <w:i/>
          <w:iCs/>
          <w:lang w:val="fr-CA"/>
        </w:rPr>
        <w:t>Charte</w:t>
      </w:r>
      <w:r w:rsidR="003B6430" w:rsidRPr="002E7F1E">
        <w:rPr>
          <w:lang w:val="fr-CA"/>
        </w:rPr>
        <w:t>, peu importe qu’il soit issu de la common law, comme c’est le cas pour l’interdiction de publication (</w:t>
      </w:r>
      <w:r w:rsidR="003B6430" w:rsidRPr="002E7F1E">
        <w:rPr>
          <w:i/>
          <w:iCs/>
          <w:lang w:val="fr-CA"/>
        </w:rPr>
        <w:t xml:space="preserve">Dagenais </w:t>
      </w:r>
      <w:r w:rsidR="003B6430" w:rsidRPr="002E7F1E">
        <w:rPr>
          <w:lang w:val="fr-CA"/>
        </w:rPr>
        <w:t xml:space="preserve">et </w:t>
      </w:r>
      <w:r w:rsidR="003B6430" w:rsidRPr="002E7F1E">
        <w:rPr>
          <w:i/>
          <w:iCs/>
          <w:lang w:val="fr-CA"/>
        </w:rPr>
        <w:t>Mentuck</w:t>
      </w:r>
      <w:r w:rsidR="003B6430" w:rsidRPr="002E7F1E">
        <w:rPr>
          <w:lang w:val="fr-CA"/>
        </w:rPr>
        <w:t xml:space="preserve">, précités); d’origine législative, par exemple sous le régime du par. 486(1) du </w:t>
      </w:r>
      <w:r w:rsidR="003B6430" w:rsidRPr="002E7F1E">
        <w:rPr>
          <w:i/>
          <w:iCs/>
          <w:lang w:val="fr-CA"/>
        </w:rPr>
        <w:t>Code criminel</w:t>
      </w:r>
      <w:r w:rsidR="003B6430" w:rsidRPr="002E7F1E">
        <w:rPr>
          <w:lang w:val="fr-CA"/>
        </w:rPr>
        <w:t>, lequel permet d’exclure le public des procédures judiciaires dans certains cas (</w:t>
      </w:r>
      <w:r w:rsidR="003B6430" w:rsidRPr="002E7F1E">
        <w:rPr>
          <w:i/>
          <w:iCs/>
          <w:lang w:val="fr-CA"/>
        </w:rPr>
        <w:t>Société Radio-Canada c. Nouveau-Brunswick</w:t>
      </w:r>
      <w:r w:rsidR="003B6430" w:rsidRPr="002E7F1E">
        <w:rPr>
          <w:lang w:val="fr-CA"/>
        </w:rPr>
        <w:t xml:space="preserve"> </w:t>
      </w:r>
      <w:r w:rsidR="003B6430" w:rsidRPr="002E7F1E">
        <w:rPr>
          <w:i/>
          <w:iCs/>
          <w:lang w:val="fr-CA"/>
        </w:rPr>
        <w:t>(Procureur général)</w:t>
      </w:r>
      <w:r w:rsidR="003B6430" w:rsidRPr="002E7F1E">
        <w:rPr>
          <w:lang w:val="fr-CA"/>
        </w:rPr>
        <w:t>, précité, par. 69); ou prévu dans des règles de pratique, par exemple, dans le cas d’une ordonnance de confidentialité (</w:t>
      </w:r>
      <w:r w:rsidR="003B6430" w:rsidRPr="002E7F1E">
        <w:rPr>
          <w:i/>
          <w:iCs/>
          <w:lang w:val="fr-CA"/>
        </w:rPr>
        <w:t xml:space="preserve">Sierra Club du Canada c. Canada (Ministre des </w:t>
      </w:r>
      <w:r w:rsidR="003B6430" w:rsidRPr="002E7F1E">
        <w:rPr>
          <w:i/>
          <w:iCs/>
          <w:lang w:val="fr-CA"/>
        </w:rPr>
        <w:lastRenderedPageBreak/>
        <w:t>Finances)</w:t>
      </w:r>
      <w:r w:rsidR="003B6430" w:rsidRPr="002E7F1E">
        <w:rPr>
          <w:lang w:val="fr-CA"/>
        </w:rPr>
        <w:t>, [2002] 2 R.C.S. 522, 2002 CSC 41).  C’est à la partie qui présente la demande qu’incombe la charge de justifier la dérogation à la règle générale de la publicité des procédures : </w:t>
      </w:r>
      <w:r w:rsidR="003B6430" w:rsidRPr="002E7F1E">
        <w:rPr>
          <w:i/>
          <w:iCs/>
          <w:lang w:val="fr-CA"/>
        </w:rPr>
        <w:t>Société Radio-Canada c. Nouveau-Brunswick (Procureur général)</w:t>
      </w:r>
      <w:r w:rsidR="003B6430" w:rsidRPr="002E7F1E">
        <w:rPr>
          <w:lang w:val="fr-CA"/>
        </w:rPr>
        <w:t>, par. 71. [par. 31]</w:t>
      </w:r>
    </w:p>
    <w:p w:rsidR="003B6430" w:rsidRPr="002E7F1E" w:rsidRDefault="003B6430" w:rsidP="00922315">
      <w:pPr>
        <w:pStyle w:val="SCCNormalDoubleSpacing"/>
        <w:spacing w:after="480"/>
        <w:rPr>
          <w:lang w:val="fr-CA"/>
        </w:rPr>
      </w:pPr>
      <w:r w:rsidRPr="002E7F1E">
        <w:rPr>
          <w:lang w:val="fr-CA"/>
        </w:rPr>
        <w:t xml:space="preserve">(Voir aussi </w:t>
      </w:r>
      <w:r w:rsidRPr="002E7F1E">
        <w:rPr>
          <w:i/>
          <w:lang w:val="fr-CA"/>
        </w:rPr>
        <w:t>Toronto Star Newspapers Ltd. c. Ontario</w:t>
      </w:r>
      <w:r w:rsidRPr="002E7F1E">
        <w:rPr>
          <w:lang w:val="fr-CA"/>
        </w:rPr>
        <w:t xml:space="preserve">, 2005 CSC 41, [2005] 2 R.C.S. 188, par. 7; </w:t>
      </w:r>
      <w:r w:rsidRPr="002E7F1E">
        <w:rPr>
          <w:i/>
          <w:lang w:val="fr-CA"/>
        </w:rPr>
        <w:t>Personne désignée c. Vancouver Sun</w:t>
      </w:r>
      <w:r w:rsidRPr="002E7F1E">
        <w:rPr>
          <w:lang w:val="fr-CA"/>
        </w:rPr>
        <w:t xml:space="preserve">, 2007 CSC 43, [2007] 3 R.C.S. 253, par. 35; </w:t>
      </w:r>
      <w:r w:rsidRPr="002E7F1E">
        <w:rPr>
          <w:i/>
          <w:lang w:val="fr-CA"/>
        </w:rPr>
        <w:t>Toronto Star Newspapers Ltd. c. Canada</w:t>
      </w:r>
      <w:r w:rsidRPr="002E7F1E">
        <w:rPr>
          <w:lang w:val="fr-CA"/>
        </w:rPr>
        <w:t xml:space="preserve">, 2010 CSC 21, [2010] 1 R.C.S. 721, par. 15-16; </w:t>
      </w:r>
      <w:r w:rsidRPr="002E7F1E">
        <w:rPr>
          <w:i/>
          <w:lang w:val="fr-CA"/>
        </w:rPr>
        <w:t>R. c. Canadian Broadcasting Corporation</w:t>
      </w:r>
      <w:r w:rsidRPr="002E7F1E">
        <w:rPr>
          <w:lang w:val="fr-CA"/>
        </w:rPr>
        <w:t>, par. 21</w:t>
      </w:r>
      <w:r w:rsidR="006F5BE3" w:rsidRPr="002E7F1E">
        <w:rPr>
          <w:lang w:val="fr-CA"/>
        </w:rPr>
        <w:t>.</w:t>
      </w:r>
      <w:r w:rsidRPr="002E7F1E">
        <w:rPr>
          <w:lang w:val="fr-CA"/>
        </w:rPr>
        <w:t>)</w:t>
      </w:r>
    </w:p>
    <w:p w:rsidR="003B6430" w:rsidRPr="002E7F1E" w:rsidRDefault="003B6430" w:rsidP="00BF65F1">
      <w:pPr>
        <w:pStyle w:val="ReasonsNumbering-AltN"/>
        <w:rPr>
          <w:lang w:val="fr-CA"/>
        </w:rPr>
      </w:pPr>
      <w:r w:rsidRPr="002E7F1E">
        <w:rPr>
          <w:lang w:val="fr-CA"/>
        </w:rPr>
        <w:t xml:space="preserve">Il n’est donc pas nécessaire de se demander si les faits de l’espèce sont assimilables à ceux des arrêts </w:t>
      </w:r>
      <w:r w:rsidRPr="002E7F1E">
        <w:rPr>
          <w:i/>
          <w:lang w:val="fr-CA"/>
        </w:rPr>
        <w:t xml:space="preserve">Dagenais </w:t>
      </w:r>
      <w:r w:rsidRPr="002E7F1E">
        <w:rPr>
          <w:lang w:val="fr-CA"/>
        </w:rPr>
        <w:t xml:space="preserve">ou </w:t>
      </w:r>
      <w:r w:rsidRPr="002E7F1E">
        <w:rPr>
          <w:i/>
          <w:lang w:val="fr-CA"/>
        </w:rPr>
        <w:t>Mentuck</w:t>
      </w:r>
      <w:r w:rsidRPr="002E7F1E">
        <w:rPr>
          <w:lang w:val="fr-CA"/>
        </w:rPr>
        <w:t>. Il suffit de constater que l’activité en cause bénéficie de la protection de l’al. 2</w:t>
      </w:r>
      <w:r w:rsidRPr="002E7F1E">
        <w:rPr>
          <w:i/>
          <w:lang w:val="fr-CA"/>
        </w:rPr>
        <w:t>b</w:t>
      </w:r>
      <w:r w:rsidRPr="002E7F1E">
        <w:rPr>
          <w:lang w:val="fr-CA"/>
        </w:rPr>
        <w:t xml:space="preserve">) de la </w:t>
      </w:r>
      <w:r w:rsidRPr="002E7F1E">
        <w:rPr>
          <w:i/>
          <w:lang w:val="fr-CA"/>
        </w:rPr>
        <w:t xml:space="preserve">Charte </w:t>
      </w:r>
      <w:r w:rsidRPr="002E7F1E">
        <w:rPr>
          <w:lang w:val="fr-CA"/>
        </w:rPr>
        <w:t xml:space="preserve">et d’observer que l’ordonnance relevait du pouvoir discrétionnaire du juge Lévesque. La question doit donc être décidée en fonction de l’analyse établie dans les arrêts </w:t>
      </w:r>
      <w:r w:rsidRPr="002E7F1E">
        <w:rPr>
          <w:i/>
          <w:lang w:val="fr-CA"/>
        </w:rPr>
        <w:t>Dagenais</w:t>
      </w:r>
      <w:r w:rsidRPr="002E7F1E">
        <w:rPr>
          <w:lang w:val="fr-CA"/>
        </w:rPr>
        <w:t xml:space="preserve"> et </w:t>
      </w:r>
      <w:r w:rsidRPr="002E7F1E">
        <w:rPr>
          <w:i/>
          <w:lang w:val="fr-CA"/>
        </w:rPr>
        <w:t>Mentuck</w:t>
      </w:r>
      <w:r w:rsidRPr="002E7F1E">
        <w:rPr>
          <w:lang w:val="fr-CA"/>
        </w:rPr>
        <w:t xml:space="preserve">. L’obligation faite au juge de procéder à cette analyse ne signifie pas qu’il faille faire appel à une preuve longue ou élaborée, mais il faut tout de même que tous les faits pertinents soient examinés. La responsabilité des juges des procès d’établir les conditions d’accès aux pièces n’est d’ailleurs pas nouvelle. Dans l’exercice de leur discrétion, les juges ont, de tout temps, été appelés à mettre en équilibre des facteurs qui pouvaient être considérés comme pointant dans des directions opposées.  À cet effet, les facteurs énumérés dans l’arrêt </w:t>
      </w:r>
      <w:r w:rsidRPr="002E7F1E">
        <w:rPr>
          <w:i/>
          <w:lang w:val="fr-CA"/>
        </w:rPr>
        <w:t>Vickery</w:t>
      </w:r>
      <w:r w:rsidRPr="002E7F1E">
        <w:rPr>
          <w:lang w:val="fr-CA"/>
        </w:rPr>
        <w:t xml:space="preserve"> demeurent pertinents mais ils doivent s’insérer dans le cadre élaboré par les arrêts </w:t>
      </w:r>
      <w:r w:rsidRPr="002E7F1E">
        <w:rPr>
          <w:i/>
          <w:lang w:val="fr-CA"/>
        </w:rPr>
        <w:t>Dagenais</w:t>
      </w:r>
      <w:r w:rsidRPr="002E7F1E">
        <w:rPr>
          <w:lang w:val="fr-CA"/>
        </w:rPr>
        <w:t xml:space="preserve"> et </w:t>
      </w:r>
      <w:r w:rsidRPr="002E7F1E">
        <w:rPr>
          <w:i/>
          <w:lang w:val="fr-CA"/>
        </w:rPr>
        <w:t>Mentuck</w:t>
      </w:r>
      <w:r w:rsidRPr="002E7F1E">
        <w:rPr>
          <w:lang w:val="fr-CA"/>
        </w:rPr>
        <w:t>.</w:t>
      </w:r>
    </w:p>
    <w:p w:rsidR="003B6430" w:rsidRPr="002E7F1E" w:rsidRDefault="003B6430" w:rsidP="00BF65F1">
      <w:pPr>
        <w:pStyle w:val="ReasonsNumbering-AltN"/>
        <w:rPr>
          <w:lang w:val="fr-CA"/>
        </w:rPr>
      </w:pPr>
      <w:r w:rsidRPr="002E7F1E">
        <w:rPr>
          <w:lang w:val="fr-CA"/>
        </w:rPr>
        <w:lastRenderedPageBreak/>
        <w:t xml:space="preserve">En l’espèce, compte tenu du fait que le juge de première instance a donné une interprétation trop large aux Règles de pratique criminelle, il ne s’est pas penché sur l’examen commandé par les arrêts </w:t>
      </w:r>
      <w:r w:rsidRPr="002E7F1E">
        <w:rPr>
          <w:i/>
          <w:lang w:val="fr-CA"/>
        </w:rPr>
        <w:t>Dagenais</w:t>
      </w:r>
      <w:r w:rsidRPr="002E7F1E">
        <w:rPr>
          <w:lang w:val="fr-CA"/>
        </w:rPr>
        <w:t xml:space="preserve"> et </w:t>
      </w:r>
      <w:r w:rsidRPr="002E7F1E">
        <w:rPr>
          <w:i/>
          <w:lang w:val="fr-CA"/>
        </w:rPr>
        <w:t>Mentuck</w:t>
      </w:r>
      <w:r w:rsidRPr="002E7F1E">
        <w:rPr>
          <w:lang w:val="fr-CA"/>
        </w:rPr>
        <w:t xml:space="preserve">. Si le procès était toujours en cours, il y aurait lieu de lui retourner le dossier pour qu’il se prononce sur les faits pertinents.  Toutefois, non seulement le procès est-il terminé — M. Dufour a été acquitté — mais l’appel formé par la poursuite a été rejeté pendant le délibéré du présent pourvoi. Les circonstances sont donc fondamentalement modifiées et le pourvoi tel que formé est devenu théorique. Cependant, compte tenu de l’intérêt de la question, il y a lieu de signaler quelques considérations qui peuvent s’avérer pertinentes si une requête pour diffusion de la déclaration était présentée malgré la fin du débat judiciaire. </w:t>
      </w:r>
    </w:p>
    <w:p w:rsidR="003B6430" w:rsidRPr="002E7F1E" w:rsidRDefault="003B6430" w:rsidP="00BF65F1">
      <w:pPr>
        <w:pStyle w:val="ReasonsNumbering-AltN"/>
        <w:rPr>
          <w:lang w:val="fr-CA"/>
        </w:rPr>
      </w:pPr>
      <w:r w:rsidRPr="002E7F1E">
        <w:rPr>
          <w:lang w:val="fr-CA"/>
        </w:rPr>
        <w:t xml:space="preserve">La pondération inhérente à l’examen dicté par les arrêts </w:t>
      </w:r>
      <w:r w:rsidRPr="002E7F1E">
        <w:rPr>
          <w:i/>
          <w:lang w:val="fr-CA"/>
        </w:rPr>
        <w:t>Vickery</w:t>
      </w:r>
      <w:r w:rsidRPr="002E7F1E">
        <w:rPr>
          <w:lang w:val="fr-CA"/>
        </w:rPr>
        <w:t xml:space="preserve">, </w:t>
      </w:r>
      <w:r w:rsidRPr="002E7F1E">
        <w:rPr>
          <w:i/>
          <w:lang w:val="fr-CA"/>
        </w:rPr>
        <w:t xml:space="preserve">Dagenais </w:t>
      </w:r>
      <w:r w:rsidRPr="002E7F1E">
        <w:rPr>
          <w:lang w:val="fr-CA"/>
        </w:rPr>
        <w:t>et</w:t>
      </w:r>
      <w:r w:rsidRPr="002E7F1E">
        <w:rPr>
          <w:i/>
          <w:lang w:val="fr-CA"/>
        </w:rPr>
        <w:t xml:space="preserve"> Mentuck </w:t>
      </w:r>
      <w:r w:rsidRPr="002E7F1E">
        <w:rPr>
          <w:lang w:val="fr-CA"/>
        </w:rPr>
        <w:t xml:space="preserve">fait appel à des considérations qui tiennent compte du contexte spécifique de l’affaire dont le juge est saisi. Les faits de l’espèce font voir l’importance cruciale de ce contexte. </w:t>
      </w:r>
    </w:p>
    <w:p w:rsidR="003B6430" w:rsidRPr="002E7F1E" w:rsidRDefault="003B6430" w:rsidP="00BF65F1">
      <w:pPr>
        <w:pStyle w:val="ReasonsNumbering-AltN"/>
        <w:rPr>
          <w:lang w:val="fr-CA"/>
        </w:rPr>
      </w:pPr>
      <w:r w:rsidRPr="002E7F1E">
        <w:rPr>
          <w:lang w:val="fr-CA"/>
        </w:rPr>
        <w:t xml:space="preserve">Le contexte d’une déclaration faite par un accusé ou par un suspect au cours d’une enquête policière est différent de celui d’un témoignage en salle d’audience. En effet, la personne qui témoigne à l’audience le fait généralement sous contrainte légale — celle d’une ordonnance de comparaître.  Le témoin doit, dans la mesure du possible, être protégé contre toute pression extérieure susceptible d’influencer sa déposition. L’environnement contrôlé de la salle d’audience contribue </w:t>
      </w:r>
      <w:r w:rsidRPr="002E7F1E">
        <w:rPr>
          <w:lang w:val="fr-CA"/>
        </w:rPr>
        <w:lastRenderedPageBreak/>
        <w:t xml:space="preserve">à cet objectif.  Les circonstances propres au témoignage sous contrainte ne sont pas présentes dans le cas d’une déclaration hors cour. Par contre, la connaissance par l’auteur de la déclaration du fait que celle-ci fera peut-être la manchette à la télévision locale ou nationale peut favoriser sa réflexion et l’inciter à mûrir sa décision de faire une déclaration. Par conséquent, si la possibilité de voir la déclaration diffusée peut avoir un effet négatif sur la recherche de la vérité, on peut aussi constater un effet bénéfique sur le caractère volontaire de la déclaration et, par voie de conséquence, sur l’administration de la justice. </w:t>
      </w:r>
    </w:p>
    <w:p w:rsidR="003B6430" w:rsidRPr="002E7F1E" w:rsidRDefault="003B6430" w:rsidP="00BF65F1">
      <w:pPr>
        <w:pStyle w:val="ReasonsNumbering-AltN"/>
        <w:rPr>
          <w:lang w:val="fr-CA"/>
        </w:rPr>
      </w:pPr>
      <w:r w:rsidRPr="002E7F1E">
        <w:rPr>
          <w:lang w:val="fr-CA"/>
        </w:rPr>
        <w:t>En outre, comme une pièce est déjà constituée lors de sa production au procès, la décision du juge peut toujours être prise au moment opportun. Saisi d’une demande de diffusion d’une déclaration, le juge du procès pourra donc, avant de prononcer l’ordonnance, soupeser les différents facteurs en jeu et s’assurer que la sérénité des débats, l’équité du procès et une saine administration de la justice sont préservées.</w:t>
      </w:r>
    </w:p>
    <w:p w:rsidR="003B6430" w:rsidRPr="002E7F1E" w:rsidRDefault="003B6430" w:rsidP="00BF65F1">
      <w:pPr>
        <w:pStyle w:val="ReasonsNumbering-AltN"/>
        <w:rPr>
          <w:lang w:val="fr-CA"/>
        </w:rPr>
      </w:pPr>
      <w:r w:rsidRPr="002E7F1E">
        <w:rPr>
          <w:lang w:val="fr-CA"/>
        </w:rPr>
        <w:t xml:space="preserve">Lorsque le procès de la personne qui a fait la déclaration est terminé, le juge peut avoir à évaluer l’incidence de la diffusion de celle-ci sur le procès d’un coaccusé ou sur l’accusé lui-même. À cet égard, M. Dufour fait valoir dans son mémoire qu’il serait particulièrement affecté par la diffusion de la déclaration en raison de sa déficience intellectuelle. </w:t>
      </w:r>
      <w:r w:rsidRPr="002E7F1E">
        <w:rPr>
          <w:szCs w:val="24"/>
          <w:lang w:val="fr-CA"/>
        </w:rPr>
        <w:t>L’acquittement de M. Dufour et sa vulnérabilité particulière sont des facteurs qui donnent tout leur sens aux propos du juge Dickson dans</w:t>
      </w:r>
      <w:r w:rsidRPr="002E7F1E">
        <w:rPr>
          <w:rStyle w:val="title1"/>
          <w:i/>
          <w:szCs w:val="24"/>
          <w:lang w:val="fr-CA"/>
        </w:rPr>
        <w:t xml:space="preserve"> </w:t>
      </w:r>
      <w:proofErr w:type="spellStart"/>
      <w:r w:rsidRPr="002E7F1E">
        <w:rPr>
          <w:rStyle w:val="title1"/>
          <w:i/>
          <w:szCs w:val="24"/>
          <w:lang w:val="fr-CA"/>
        </w:rPr>
        <w:t>MacIntyre</w:t>
      </w:r>
      <w:proofErr w:type="spellEnd"/>
      <w:r w:rsidRPr="002E7F1E">
        <w:rPr>
          <w:szCs w:val="24"/>
          <w:lang w:val="fr-CA"/>
        </w:rPr>
        <w:t>,</w:t>
      </w:r>
      <w:r w:rsidRPr="002E7F1E">
        <w:rPr>
          <w:rStyle w:val="reportcite"/>
          <w:szCs w:val="24"/>
          <w:lang w:val="fr-CA"/>
        </w:rPr>
        <w:t xml:space="preserve"> p. 186-187, lorsqu’il reconnaît que la protection de valeurs sociales </w:t>
      </w:r>
      <w:r w:rsidRPr="002E7F1E">
        <w:rPr>
          <w:rStyle w:val="reportcite"/>
          <w:szCs w:val="24"/>
          <w:lang w:val="fr-CA"/>
        </w:rPr>
        <w:lastRenderedPageBreak/>
        <w:t xml:space="preserve">doit parfois avoir préséance sur la publicité des débats.  La protection des personnes vulnérables et particulièrement lorsqu’elles ont été acquittées me paraît être un tel cas. </w:t>
      </w:r>
    </w:p>
    <w:p w:rsidR="003B6430" w:rsidRPr="002E7F1E" w:rsidRDefault="003B6430" w:rsidP="00BF65F1">
      <w:pPr>
        <w:pStyle w:val="ReasonsNumbering-AltN"/>
        <w:rPr>
          <w:lang w:val="fr-CA"/>
        </w:rPr>
      </w:pPr>
      <w:r w:rsidRPr="002E7F1E">
        <w:rPr>
          <w:lang w:val="fr-CA"/>
        </w:rPr>
        <w:t>Pour ces motifs, je rejetterais  l’appel, mais sans dépens.</w:t>
      </w:r>
    </w:p>
    <w:p w:rsidR="0033393C" w:rsidRPr="002E7F1E" w:rsidRDefault="00CD0FE4" w:rsidP="00901E3A">
      <w:pPr>
        <w:pStyle w:val="SCCNormalDoubleSpacing"/>
        <w:spacing w:after="480"/>
        <w:rPr>
          <w:i/>
          <w:lang w:val="fr-CA"/>
        </w:rPr>
      </w:pPr>
      <w:r w:rsidRPr="002E7F1E">
        <w:rPr>
          <w:lang w:val="fr-CA"/>
        </w:rPr>
        <w:tab/>
      </w:r>
      <w:r w:rsidRPr="002E7F1E">
        <w:rPr>
          <w:i/>
          <w:lang w:val="fr-CA"/>
        </w:rPr>
        <w:t>Pourvoi rejeté.</w:t>
      </w:r>
    </w:p>
    <w:p w:rsidR="004A6262" w:rsidRPr="002E7F1E" w:rsidRDefault="00C52421" w:rsidP="00901E3A">
      <w:pPr>
        <w:pStyle w:val="SCCNormalDoubleSpacing"/>
        <w:spacing w:after="480"/>
        <w:rPr>
          <w:i/>
          <w:lang w:val="fr-CA"/>
        </w:rPr>
      </w:pPr>
      <w:r w:rsidRPr="002E7F1E">
        <w:rPr>
          <w:i/>
          <w:lang w:val="fr-CA"/>
        </w:rPr>
        <w:tab/>
        <w:t>Procureur de l’appelante : </w:t>
      </w:r>
      <w:r w:rsidR="004A6262" w:rsidRPr="002E7F1E">
        <w:rPr>
          <w:i/>
          <w:lang w:val="fr-CA"/>
        </w:rPr>
        <w:t xml:space="preserve">Société </w:t>
      </w:r>
      <w:proofErr w:type="spellStart"/>
      <w:r w:rsidR="004A6262" w:rsidRPr="002E7F1E">
        <w:rPr>
          <w:i/>
          <w:lang w:val="fr-CA"/>
        </w:rPr>
        <w:t>Radio</w:t>
      </w:r>
      <w:r w:rsidR="0012490D" w:rsidRPr="002E7F1E">
        <w:rPr>
          <w:i/>
          <w:lang w:val="fr-CA"/>
        </w:rPr>
        <w:noBreakHyphen/>
      </w:r>
      <w:r w:rsidR="004A6262" w:rsidRPr="002E7F1E">
        <w:rPr>
          <w:i/>
          <w:lang w:val="fr-CA"/>
        </w:rPr>
        <w:t>Canada</w:t>
      </w:r>
      <w:proofErr w:type="spellEnd"/>
      <w:r w:rsidR="004A6262" w:rsidRPr="002E7F1E">
        <w:rPr>
          <w:i/>
          <w:lang w:val="fr-CA"/>
        </w:rPr>
        <w:t>, Montréal.</w:t>
      </w:r>
    </w:p>
    <w:p w:rsidR="004A6262" w:rsidRPr="002E7F1E" w:rsidRDefault="004A6262" w:rsidP="00901E3A">
      <w:pPr>
        <w:pStyle w:val="SCCNormalDoubleSpacing"/>
        <w:spacing w:after="480"/>
        <w:rPr>
          <w:i/>
          <w:lang w:val="fr-CA"/>
        </w:rPr>
      </w:pPr>
      <w:r w:rsidRPr="002E7F1E">
        <w:rPr>
          <w:i/>
          <w:lang w:val="fr-CA"/>
        </w:rPr>
        <w:tab/>
        <w:t xml:space="preserve">Procureur de l’intimée Sa Majesté la Reine et </w:t>
      </w:r>
      <w:r w:rsidR="00EA765F" w:rsidRPr="002E7F1E">
        <w:rPr>
          <w:i/>
          <w:lang w:val="fr-CA"/>
        </w:rPr>
        <w:t xml:space="preserve">de </w:t>
      </w:r>
      <w:r w:rsidRPr="002E7F1E">
        <w:rPr>
          <w:i/>
          <w:lang w:val="fr-CA"/>
        </w:rPr>
        <w:t>l’intervenant l</w:t>
      </w:r>
      <w:r w:rsidR="00C52421" w:rsidRPr="002E7F1E">
        <w:rPr>
          <w:i/>
          <w:lang w:val="fr-CA"/>
        </w:rPr>
        <w:t>e procureur général du Québec : </w:t>
      </w:r>
      <w:r w:rsidRPr="002E7F1E">
        <w:rPr>
          <w:i/>
          <w:lang w:val="fr-CA"/>
        </w:rPr>
        <w:t xml:space="preserve">Procureur général du Québec, </w:t>
      </w:r>
      <w:proofErr w:type="spellStart"/>
      <w:r w:rsidRPr="002E7F1E">
        <w:rPr>
          <w:i/>
          <w:lang w:val="fr-CA"/>
        </w:rPr>
        <w:t>Ste</w:t>
      </w:r>
      <w:r w:rsidR="0012490D" w:rsidRPr="002E7F1E">
        <w:rPr>
          <w:i/>
          <w:lang w:val="fr-CA"/>
        </w:rPr>
        <w:noBreakHyphen/>
      </w:r>
      <w:r w:rsidRPr="002E7F1E">
        <w:rPr>
          <w:i/>
          <w:lang w:val="fr-CA"/>
        </w:rPr>
        <w:t>Foy</w:t>
      </w:r>
      <w:proofErr w:type="spellEnd"/>
      <w:r w:rsidRPr="002E7F1E">
        <w:rPr>
          <w:i/>
          <w:lang w:val="fr-CA"/>
        </w:rPr>
        <w:t>.</w:t>
      </w:r>
    </w:p>
    <w:p w:rsidR="004A6262" w:rsidRPr="002E7F1E" w:rsidRDefault="004A6262" w:rsidP="00901E3A">
      <w:pPr>
        <w:pStyle w:val="SCCNormalDoubleSpacing"/>
        <w:spacing w:after="480"/>
        <w:rPr>
          <w:i/>
          <w:lang w:val="fr-CA"/>
        </w:rPr>
      </w:pPr>
      <w:r w:rsidRPr="002E7F1E">
        <w:rPr>
          <w:i/>
          <w:lang w:val="fr-CA"/>
        </w:rPr>
        <w:tab/>
        <w:t>Procureu</w:t>
      </w:r>
      <w:r w:rsidR="00C52421" w:rsidRPr="002E7F1E">
        <w:rPr>
          <w:i/>
          <w:lang w:val="fr-CA"/>
        </w:rPr>
        <w:t>rs de l’intimé Stéphan Dufour : </w:t>
      </w:r>
      <w:proofErr w:type="spellStart"/>
      <w:r w:rsidRPr="002E7F1E">
        <w:rPr>
          <w:i/>
          <w:lang w:val="fr-CA"/>
        </w:rPr>
        <w:t>Boudreault</w:t>
      </w:r>
      <w:proofErr w:type="spellEnd"/>
      <w:r w:rsidRPr="002E7F1E">
        <w:rPr>
          <w:i/>
          <w:lang w:val="fr-CA"/>
        </w:rPr>
        <w:t xml:space="preserve"> Tourangeau Tremblay, Chicoutimi.</w:t>
      </w:r>
    </w:p>
    <w:p w:rsidR="004A6262" w:rsidRPr="002E7F1E" w:rsidRDefault="004A6262" w:rsidP="00901E3A">
      <w:pPr>
        <w:pStyle w:val="SCCNormalDoubleSpacing"/>
        <w:spacing w:after="480"/>
        <w:rPr>
          <w:i/>
          <w:lang w:val="fr-CA"/>
        </w:rPr>
      </w:pPr>
      <w:r w:rsidRPr="002E7F1E">
        <w:rPr>
          <w:i/>
          <w:lang w:val="fr-CA"/>
        </w:rPr>
        <w:tab/>
        <w:t>Procureur de l’intervenant le proc</w:t>
      </w:r>
      <w:r w:rsidR="00C52421" w:rsidRPr="002E7F1E">
        <w:rPr>
          <w:i/>
          <w:lang w:val="fr-CA"/>
        </w:rPr>
        <w:t>ureur général du Canada : </w:t>
      </w:r>
      <w:r w:rsidRPr="002E7F1E">
        <w:rPr>
          <w:i/>
          <w:lang w:val="fr-CA"/>
        </w:rPr>
        <w:t>Procureur général du Canada, Montréal.</w:t>
      </w:r>
    </w:p>
    <w:p w:rsidR="004A6262" w:rsidRPr="002E7F1E" w:rsidRDefault="004A6262" w:rsidP="00901E3A">
      <w:pPr>
        <w:pStyle w:val="SCCNormalDoubleSpacing"/>
        <w:spacing w:after="480"/>
        <w:rPr>
          <w:i/>
          <w:lang w:val="fr-CA"/>
        </w:rPr>
      </w:pPr>
      <w:r w:rsidRPr="002E7F1E">
        <w:rPr>
          <w:i/>
          <w:lang w:val="fr-CA"/>
        </w:rPr>
        <w:tab/>
        <w:t xml:space="preserve">Procureur de l’intervenant le procureur général du </w:t>
      </w:r>
      <w:proofErr w:type="spellStart"/>
      <w:r w:rsidRPr="002E7F1E">
        <w:rPr>
          <w:i/>
          <w:lang w:val="fr-CA"/>
        </w:rPr>
        <w:t>Nouveau</w:t>
      </w:r>
      <w:r w:rsidR="0012490D" w:rsidRPr="002E7F1E">
        <w:rPr>
          <w:i/>
          <w:lang w:val="fr-CA"/>
        </w:rPr>
        <w:noBreakHyphen/>
      </w:r>
      <w:r w:rsidRPr="002E7F1E">
        <w:rPr>
          <w:i/>
          <w:lang w:val="fr-CA"/>
        </w:rPr>
        <w:t>Brunswick</w:t>
      </w:r>
      <w:proofErr w:type="spellEnd"/>
      <w:r w:rsidRPr="002E7F1E">
        <w:rPr>
          <w:i/>
          <w:lang w:val="fr-CA"/>
        </w:rPr>
        <w:t> :</w:t>
      </w:r>
      <w:r w:rsidR="00C52421" w:rsidRPr="002E7F1E">
        <w:rPr>
          <w:i/>
          <w:lang w:val="fr-CA"/>
        </w:rPr>
        <w:t> </w:t>
      </w:r>
      <w:r w:rsidRPr="002E7F1E">
        <w:rPr>
          <w:i/>
          <w:lang w:val="fr-CA"/>
        </w:rPr>
        <w:t xml:space="preserve">Procureur général du </w:t>
      </w:r>
      <w:proofErr w:type="spellStart"/>
      <w:r w:rsidRPr="002E7F1E">
        <w:rPr>
          <w:i/>
          <w:lang w:val="fr-CA"/>
        </w:rPr>
        <w:t>Nouveau</w:t>
      </w:r>
      <w:r w:rsidR="0012490D" w:rsidRPr="002E7F1E">
        <w:rPr>
          <w:i/>
          <w:lang w:val="fr-CA"/>
        </w:rPr>
        <w:noBreakHyphen/>
      </w:r>
      <w:r w:rsidRPr="002E7F1E">
        <w:rPr>
          <w:i/>
          <w:lang w:val="fr-CA"/>
        </w:rPr>
        <w:t>Brunswick</w:t>
      </w:r>
      <w:proofErr w:type="spellEnd"/>
      <w:r w:rsidRPr="002E7F1E">
        <w:rPr>
          <w:i/>
          <w:lang w:val="fr-CA"/>
        </w:rPr>
        <w:t>, Fredericton.</w:t>
      </w:r>
    </w:p>
    <w:p w:rsidR="004A6262" w:rsidRPr="002E7F1E" w:rsidRDefault="004A6262" w:rsidP="00901E3A">
      <w:pPr>
        <w:pStyle w:val="SCCNormalDoubleSpacing"/>
        <w:spacing w:after="480"/>
        <w:rPr>
          <w:i/>
          <w:lang w:val="fr-CA"/>
        </w:rPr>
      </w:pPr>
      <w:r w:rsidRPr="002E7F1E">
        <w:rPr>
          <w:i/>
          <w:lang w:val="fr-CA"/>
        </w:rPr>
        <w:tab/>
        <w:t>Procureur de l’intervenant le procureur général de l’Alberta :</w:t>
      </w:r>
      <w:r w:rsidR="00C52421" w:rsidRPr="002E7F1E">
        <w:rPr>
          <w:i/>
          <w:lang w:val="fr-CA"/>
        </w:rPr>
        <w:t> </w:t>
      </w:r>
      <w:r w:rsidRPr="002E7F1E">
        <w:rPr>
          <w:i/>
          <w:lang w:val="fr-CA"/>
        </w:rPr>
        <w:t>Procureur général de l’Alberta, Edmonton.</w:t>
      </w:r>
    </w:p>
    <w:p w:rsidR="00C70A4D" w:rsidRPr="002E7F1E" w:rsidRDefault="00C70A4D" w:rsidP="00901E3A">
      <w:pPr>
        <w:pStyle w:val="SCCNormalDoubleSpacing"/>
        <w:spacing w:after="480"/>
        <w:rPr>
          <w:i/>
          <w:lang w:val="fr-CA"/>
        </w:rPr>
      </w:pPr>
      <w:r w:rsidRPr="002E7F1E">
        <w:rPr>
          <w:i/>
          <w:lang w:val="fr-CA"/>
        </w:rPr>
        <w:lastRenderedPageBreak/>
        <w:tab/>
        <w:t xml:space="preserve">Procureurs de l’intervenante l’Association des libertés civiles de la </w:t>
      </w:r>
      <w:proofErr w:type="spellStart"/>
      <w:r w:rsidRPr="002E7F1E">
        <w:rPr>
          <w:i/>
          <w:lang w:val="fr-CA"/>
        </w:rPr>
        <w:t>Colombie</w:t>
      </w:r>
      <w:r w:rsidR="00621B8D" w:rsidRPr="002E7F1E">
        <w:rPr>
          <w:i/>
          <w:lang w:val="fr-CA"/>
        </w:rPr>
        <w:noBreakHyphen/>
      </w:r>
      <w:r w:rsidRPr="002E7F1E">
        <w:rPr>
          <w:i/>
          <w:lang w:val="fr-CA"/>
        </w:rPr>
        <w:t>Britannique</w:t>
      </w:r>
      <w:proofErr w:type="spellEnd"/>
      <w:r w:rsidR="00C52421" w:rsidRPr="002E7F1E">
        <w:rPr>
          <w:i/>
          <w:lang w:val="fr-CA"/>
        </w:rPr>
        <w:t> : </w:t>
      </w:r>
      <w:r w:rsidRPr="002E7F1E">
        <w:rPr>
          <w:i/>
          <w:lang w:val="fr-CA"/>
        </w:rPr>
        <w:t xml:space="preserve">McCarthy </w:t>
      </w:r>
      <w:proofErr w:type="spellStart"/>
      <w:r w:rsidRPr="002E7F1E">
        <w:rPr>
          <w:i/>
          <w:lang w:val="fr-CA"/>
        </w:rPr>
        <w:t>Tetrault</w:t>
      </w:r>
      <w:proofErr w:type="spellEnd"/>
      <w:r w:rsidRPr="002E7F1E">
        <w:rPr>
          <w:i/>
          <w:lang w:val="fr-CA"/>
        </w:rPr>
        <w:t>, Montréal.</w:t>
      </w:r>
    </w:p>
    <w:p w:rsidR="00544F90" w:rsidRPr="002E7F1E" w:rsidRDefault="00544F90" w:rsidP="00A771B6">
      <w:pPr>
        <w:pStyle w:val="SCCNormalDoubleSpacing"/>
        <w:rPr>
          <w:i/>
          <w:lang w:val="fr-CA"/>
        </w:rPr>
      </w:pPr>
      <w:r w:rsidRPr="002E7F1E">
        <w:rPr>
          <w:i/>
          <w:lang w:val="fr-CA"/>
        </w:rPr>
        <w:tab/>
        <w:t>Procureurs de l’intervenante l’Association canadienne des libertés civiles :</w:t>
      </w:r>
      <w:r w:rsidR="00C52421" w:rsidRPr="002E7F1E">
        <w:rPr>
          <w:i/>
          <w:lang w:val="fr-CA"/>
        </w:rPr>
        <w:t> </w:t>
      </w:r>
      <w:r w:rsidRPr="002E7F1E">
        <w:rPr>
          <w:i/>
          <w:lang w:val="fr-CA"/>
        </w:rPr>
        <w:t xml:space="preserve">Osler, </w:t>
      </w:r>
      <w:proofErr w:type="spellStart"/>
      <w:r w:rsidRPr="002E7F1E">
        <w:rPr>
          <w:i/>
          <w:lang w:val="fr-CA"/>
        </w:rPr>
        <w:t>Hoskin</w:t>
      </w:r>
      <w:proofErr w:type="spellEnd"/>
      <w:r w:rsidRPr="002E7F1E">
        <w:rPr>
          <w:i/>
          <w:lang w:val="fr-CA"/>
        </w:rPr>
        <w:t xml:space="preserve"> &amp; Harcourt, Toronto.</w:t>
      </w:r>
    </w:p>
    <w:sectPr w:rsidR="00544F90" w:rsidRPr="002E7F1E" w:rsidSect="003B132F">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FE4" w:rsidRDefault="00CD0FE4">
      <w:r>
        <w:separator/>
      </w:r>
    </w:p>
  </w:endnote>
  <w:endnote w:type="continuationSeparator" w:id="0">
    <w:p w:rsidR="00CD0FE4" w:rsidRDefault="00CD0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E4" w:rsidRDefault="00CD0FE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E4" w:rsidRDefault="00CD0FE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FE4" w:rsidRDefault="00CD0FE4">
      <w:r>
        <w:separator/>
      </w:r>
    </w:p>
  </w:footnote>
  <w:footnote w:type="continuationSeparator" w:id="0">
    <w:p w:rsidR="00CD0FE4" w:rsidRDefault="00CD0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E4" w:rsidRDefault="00CD0FE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0485"/>
      <w:docPartObj>
        <w:docPartGallery w:val="Page Numbers (Top of Page)"/>
        <w:docPartUnique/>
      </w:docPartObj>
    </w:sdtPr>
    <w:sdtContent>
      <w:p w:rsidR="003B132F" w:rsidRDefault="003B132F">
        <w:pPr>
          <w:pStyle w:val="Header"/>
          <w:jc w:val="center"/>
        </w:pPr>
        <w:r>
          <w:t xml:space="preserve">- </w:t>
        </w:r>
        <w:fldSimple w:instr=" PAGE   \* MERGEFORMAT ">
          <w:r w:rsidR="00055FEC">
            <w:rPr>
              <w:noProof/>
            </w:rPr>
            <w:t>2</w:t>
          </w:r>
        </w:fldSimple>
        <w:r>
          <w:t xml:space="preserve"> -</w:t>
        </w:r>
      </w:p>
    </w:sdtContent>
  </w:sdt>
  <w:p w:rsidR="00CD0FE4" w:rsidRDefault="00CD0FE4"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10"/>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rsids>
    <w:rsidRoot w:val="0031414C"/>
    <w:rsid w:val="00025198"/>
    <w:rsid w:val="00035442"/>
    <w:rsid w:val="00055A36"/>
    <w:rsid w:val="00055FEC"/>
    <w:rsid w:val="000578A3"/>
    <w:rsid w:val="00064563"/>
    <w:rsid w:val="000648CC"/>
    <w:rsid w:val="00094DE0"/>
    <w:rsid w:val="000A5321"/>
    <w:rsid w:val="000C59B8"/>
    <w:rsid w:val="001039A2"/>
    <w:rsid w:val="00111DE2"/>
    <w:rsid w:val="00116B38"/>
    <w:rsid w:val="0012490D"/>
    <w:rsid w:val="0013109F"/>
    <w:rsid w:val="00135406"/>
    <w:rsid w:val="00135972"/>
    <w:rsid w:val="00140667"/>
    <w:rsid w:val="001426A9"/>
    <w:rsid w:val="00154D7C"/>
    <w:rsid w:val="001570B0"/>
    <w:rsid w:val="00172A04"/>
    <w:rsid w:val="00175A97"/>
    <w:rsid w:val="00185394"/>
    <w:rsid w:val="001A26A5"/>
    <w:rsid w:val="001A451D"/>
    <w:rsid w:val="001B33E0"/>
    <w:rsid w:val="001B4573"/>
    <w:rsid w:val="001C779F"/>
    <w:rsid w:val="001D0F8D"/>
    <w:rsid w:val="001D2AC1"/>
    <w:rsid w:val="001E0DB3"/>
    <w:rsid w:val="001F7673"/>
    <w:rsid w:val="00204162"/>
    <w:rsid w:val="002135B7"/>
    <w:rsid w:val="00216F91"/>
    <w:rsid w:val="00220FC2"/>
    <w:rsid w:val="00224FC0"/>
    <w:rsid w:val="00225EA4"/>
    <w:rsid w:val="00226EAF"/>
    <w:rsid w:val="0022731D"/>
    <w:rsid w:val="00230953"/>
    <w:rsid w:val="00231F3A"/>
    <w:rsid w:val="002406EE"/>
    <w:rsid w:val="00244843"/>
    <w:rsid w:val="002745CC"/>
    <w:rsid w:val="00292FF2"/>
    <w:rsid w:val="002D39A4"/>
    <w:rsid w:val="002E6705"/>
    <w:rsid w:val="002E7F1E"/>
    <w:rsid w:val="002F696C"/>
    <w:rsid w:val="00302456"/>
    <w:rsid w:val="0030329A"/>
    <w:rsid w:val="00307AFD"/>
    <w:rsid w:val="0031086F"/>
    <w:rsid w:val="00310E05"/>
    <w:rsid w:val="0031414C"/>
    <w:rsid w:val="00314E01"/>
    <w:rsid w:val="0032089D"/>
    <w:rsid w:val="0033393C"/>
    <w:rsid w:val="0034770C"/>
    <w:rsid w:val="0035259D"/>
    <w:rsid w:val="003649F6"/>
    <w:rsid w:val="003866EC"/>
    <w:rsid w:val="00394476"/>
    <w:rsid w:val="00395D1A"/>
    <w:rsid w:val="003A4C70"/>
    <w:rsid w:val="003A4E15"/>
    <w:rsid w:val="003A7999"/>
    <w:rsid w:val="003B132F"/>
    <w:rsid w:val="003B6430"/>
    <w:rsid w:val="003C799C"/>
    <w:rsid w:val="003E1C71"/>
    <w:rsid w:val="003F327B"/>
    <w:rsid w:val="004049B0"/>
    <w:rsid w:val="004059A7"/>
    <w:rsid w:val="00406166"/>
    <w:rsid w:val="00411300"/>
    <w:rsid w:val="00426659"/>
    <w:rsid w:val="0043030F"/>
    <w:rsid w:val="0043088E"/>
    <w:rsid w:val="004439D8"/>
    <w:rsid w:val="00451E18"/>
    <w:rsid w:val="00465132"/>
    <w:rsid w:val="00476E3F"/>
    <w:rsid w:val="00480C90"/>
    <w:rsid w:val="0048396F"/>
    <w:rsid w:val="00493C18"/>
    <w:rsid w:val="00494CDC"/>
    <w:rsid w:val="004A600C"/>
    <w:rsid w:val="004A6262"/>
    <w:rsid w:val="004B61B0"/>
    <w:rsid w:val="004C478D"/>
    <w:rsid w:val="004C483A"/>
    <w:rsid w:val="004D0F6D"/>
    <w:rsid w:val="004D5B3F"/>
    <w:rsid w:val="004E6A2C"/>
    <w:rsid w:val="004E77A7"/>
    <w:rsid w:val="00521AE8"/>
    <w:rsid w:val="00525752"/>
    <w:rsid w:val="00527180"/>
    <w:rsid w:val="00536719"/>
    <w:rsid w:val="00544F90"/>
    <w:rsid w:val="005564A7"/>
    <w:rsid w:val="00572568"/>
    <w:rsid w:val="00580F2C"/>
    <w:rsid w:val="00583677"/>
    <w:rsid w:val="0059298C"/>
    <w:rsid w:val="005C4C6F"/>
    <w:rsid w:val="005E4698"/>
    <w:rsid w:val="005E7289"/>
    <w:rsid w:val="006126B0"/>
    <w:rsid w:val="00616701"/>
    <w:rsid w:val="00621B8D"/>
    <w:rsid w:val="00625C35"/>
    <w:rsid w:val="00634E1B"/>
    <w:rsid w:val="00645057"/>
    <w:rsid w:val="006541B1"/>
    <w:rsid w:val="00654858"/>
    <w:rsid w:val="006565F4"/>
    <w:rsid w:val="0066157D"/>
    <w:rsid w:val="00662B4E"/>
    <w:rsid w:val="00681AD1"/>
    <w:rsid w:val="006A56F1"/>
    <w:rsid w:val="006B5FF5"/>
    <w:rsid w:val="006C5661"/>
    <w:rsid w:val="006D4790"/>
    <w:rsid w:val="006F35AD"/>
    <w:rsid w:val="006F5BE3"/>
    <w:rsid w:val="00701759"/>
    <w:rsid w:val="00702C6F"/>
    <w:rsid w:val="00734D1F"/>
    <w:rsid w:val="00747288"/>
    <w:rsid w:val="00747DD3"/>
    <w:rsid w:val="00752F4E"/>
    <w:rsid w:val="007549C8"/>
    <w:rsid w:val="00762D30"/>
    <w:rsid w:val="00763377"/>
    <w:rsid w:val="00766D14"/>
    <w:rsid w:val="00767A0F"/>
    <w:rsid w:val="007834A8"/>
    <w:rsid w:val="007A05F6"/>
    <w:rsid w:val="007B6F4A"/>
    <w:rsid w:val="007C2E03"/>
    <w:rsid w:val="007E1C47"/>
    <w:rsid w:val="007E337A"/>
    <w:rsid w:val="007E5C70"/>
    <w:rsid w:val="007F2FF5"/>
    <w:rsid w:val="007F6069"/>
    <w:rsid w:val="007F6754"/>
    <w:rsid w:val="007F71B3"/>
    <w:rsid w:val="00817190"/>
    <w:rsid w:val="00830BDB"/>
    <w:rsid w:val="008322BD"/>
    <w:rsid w:val="00855307"/>
    <w:rsid w:val="008577CC"/>
    <w:rsid w:val="00862CF3"/>
    <w:rsid w:val="00864CF8"/>
    <w:rsid w:val="00874914"/>
    <w:rsid w:val="00892E1A"/>
    <w:rsid w:val="008958F5"/>
    <w:rsid w:val="008973D1"/>
    <w:rsid w:val="008A6558"/>
    <w:rsid w:val="008A727C"/>
    <w:rsid w:val="008B7830"/>
    <w:rsid w:val="008C0158"/>
    <w:rsid w:val="008C01DA"/>
    <w:rsid w:val="008C0450"/>
    <w:rsid w:val="008E1359"/>
    <w:rsid w:val="008F16B6"/>
    <w:rsid w:val="008F16D9"/>
    <w:rsid w:val="008F78E9"/>
    <w:rsid w:val="00901E3A"/>
    <w:rsid w:val="00902462"/>
    <w:rsid w:val="00917776"/>
    <w:rsid w:val="00922315"/>
    <w:rsid w:val="00922A44"/>
    <w:rsid w:val="009403F3"/>
    <w:rsid w:val="00957FA2"/>
    <w:rsid w:val="00961245"/>
    <w:rsid w:val="00966913"/>
    <w:rsid w:val="00967374"/>
    <w:rsid w:val="0097543E"/>
    <w:rsid w:val="00980853"/>
    <w:rsid w:val="0098118B"/>
    <w:rsid w:val="00983F3F"/>
    <w:rsid w:val="00985C69"/>
    <w:rsid w:val="0099079B"/>
    <w:rsid w:val="009974FB"/>
    <w:rsid w:val="009A1CFF"/>
    <w:rsid w:val="009B1187"/>
    <w:rsid w:val="009B2F23"/>
    <w:rsid w:val="009B53E2"/>
    <w:rsid w:val="009B57B3"/>
    <w:rsid w:val="009D12E2"/>
    <w:rsid w:val="009D5AEB"/>
    <w:rsid w:val="009E3506"/>
    <w:rsid w:val="009F383F"/>
    <w:rsid w:val="00A05F0E"/>
    <w:rsid w:val="00A21107"/>
    <w:rsid w:val="00A21B90"/>
    <w:rsid w:val="00A24E15"/>
    <w:rsid w:val="00A548CB"/>
    <w:rsid w:val="00A6242E"/>
    <w:rsid w:val="00A643E7"/>
    <w:rsid w:val="00A73C38"/>
    <w:rsid w:val="00A771B6"/>
    <w:rsid w:val="00AA5A7A"/>
    <w:rsid w:val="00AC7437"/>
    <w:rsid w:val="00AC7A44"/>
    <w:rsid w:val="00AF03C5"/>
    <w:rsid w:val="00B000D8"/>
    <w:rsid w:val="00B00F75"/>
    <w:rsid w:val="00B13C0B"/>
    <w:rsid w:val="00B145B6"/>
    <w:rsid w:val="00B50C81"/>
    <w:rsid w:val="00B557F8"/>
    <w:rsid w:val="00B64972"/>
    <w:rsid w:val="00B66DD8"/>
    <w:rsid w:val="00B8145D"/>
    <w:rsid w:val="00B815FC"/>
    <w:rsid w:val="00B93FBC"/>
    <w:rsid w:val="00BC49DB"/>
    <w:rsid w:val="00BD5B30"/>
    <w:rsid w:val="00BF65F1"/>
    <w:rsid w:val="00C02092"/>
    <w:rsid w:val="00C057F7"/>
    <w:rsid w:val="00C23F9B"/>
    <w:rsid w:val="00C24C8C"/>
    <w:rsid w:val="00C24D91"/>
    <w:rsid w:val="00C52421"/>
    <w:rsid w:val="00C52532"/>
    <w:rsid w:val="00C53F14"/>
    <w:rsid w:val="00C55C2E"/>
    <w:rsid w:val="00C600CF"/>
    <w:rsid w:val="00C6084F"/>
    <w:rsid w:val="00C62A66"/>
    <w:rsid w:val="00C62A6F"/>
    <w:rsid w:val="00C67CA5"/>
    <w:rsid w:val="00C70A4D"/>
    <w:rsid w:val="00C71458"/>
    <w:rsid w:val="00C71F58"/>
    <w:rsid w:val="00C77613"/>
    <w:rsid w:val="00C825CB"/>
    <w:rsid w:val="00C828E7"/>
    <w:rsid w:val="00C921DD"/>
    <w:rsid w:val="00CA4D82"/>
    <w:rsid w:val="00CA6391"/>
    <w:rsid w:val="00CB06AB"/>
    <w:rsid w:val="00CB5A66"/>
    <w:rsid w:val="00CD0FE4"/>
    <w:rsid w:val="00CE3171"/>
    <w:rsid w:val="00CF1601"/>
    <w:rsid w:val="00CF69B0"/>
    <w:rsid w:val="00D32086"/>
    <w:rsid w:val="00D37A3F"/>
    <w:rsid w:val="00D45FCF"/>
    <w:rsid w:val="00D4667A"/>
    <w:rsid w:val="00D510BB"/>
    <w:rsid w:val="00D5435D"/>
    <w:rsid w:val="00D74F2E"/>
    <w:rsid w:val="00D95832"/>
    <w:rsid w:val="00DA0590"/>
    <w:rsid w:val="00DC1788"/>
    <w:rsid w:val="00DC2DC5"/>
    <w:rsid w:val="00DE018F"/>
    <w:rsid w:val="00DF0CA8"/>
    <w:rsid w:val="00DF49A7"/>
    <w:rsid w:val="00E01106"/>
    <w:rsid w:val="00E07EE2"/>
    <w:rsid w:val="00E24573"/>
    <w:rsid w:val="00E377A1"/>
    <w:rsid w:val="00E45109"/>
    <w:rsid w:val="00E54B02"/>
    <w:rsid w:val="00E97830"/>
    <w:rsid w:val="00EA03E5"/>
    <w:rsid w:val="00EA765F"/>
    <w:rsid w:val="00EC4AAC"/>
    <w:rsid w:val="00EE0FAF"/>
    <w:rsid w:val="00F00EB7"/>
    <w:rsid w:val="00F03665"/>
    <w:rsid w:val="00F2258E"/>
    <w:rsid w:val="00F25118"/>
    <w:rsid w:val="00F33658"/>
    <w:rsid w:val="00F36AB6"/>
    <w:rsid w:val="00F409CE"/>
    <w:rsid w:val="00F40A69"/>
    <w:rsid w:val="00F63DE0"/>
    <w:rsid w:val="00F84DF4"/>
    <w:rsid w:val="00F853FB"/>
    <w:rsid w:val="00F85C97"/>
    <w:rsid w:val="00FA2FE1"/>
    <w:rsid w:val="00FC606D"/>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74FB"/>
    <w:rPr>
      <w:rFonts w:eastAsia="Times New Roman"/>
      <w:sz w:val="24"/>
      <w:lang w:val="en-CA" w:eastAsia="en-CA"/>
    </w:rPr>
  </w:style>
  <w:style w:type="paragraph" w:styleId="Heading1">
    <w:name w:val="heading 1"/>
    <w:next w:val="ReasonsNumbering-AltN"/>
    <w:link w:val="Heading1Char"/>
    <w:uiPriority w:val="2"/>
    <w:qFormat/>
    <w:rsid w:val="009974FB"/>
    <w:pPr>
      <w:tabs>
        <w:tab w:val="left" w:pos="360"/>
      </w:tabs>
      <w:spacing w:before="480" w:after="480"/>
      <w:ind w:left="360" w:hanging="360"/>
      <w:jc w:val="both"/>
      <w:outlineLvl w:val="0"/>
    </w:pPr>
    <w:rPr>
      <w:rFonts w:eastAsiaTheme="majorEastAsia" w:cstheme="majorBidi"/>
      <w:bCs/>
      <w:sz w:val="24"/>
      <w:szCs w:val="28"/>
      <w:lang w:val="en-CA"/>
    </w:rPr>
  </w:style>
  <w:style w:type="paragraph" w:styleId="Heading2">
    <w:name w:val="heading 2"/>
    <w:basedOn w:val="Normal"/>
    <w:next w:val="Normal"/>
    <w:link w:val="Heading2Char"/>
    <w:uiPriority w:val="9"/>
    <w:semiHidden/>
    <w:unhideWhenUsed/>
    <w:rsid w:val="009974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74FB"/>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A771B6"/>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771B6"/>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9974FB"/>
    <w:rPr>
      <w:color w:val="808080"/>
    </w:rPr>
  </w:style>
  <w:style w:type="paragraph" w:styleId="BalloonText">
    <w:name w:val="Balloon Text"/>
    <w:basedOn w:val="Normal"/>
    <w:link w:val="BalloonTextChar"/>
    <w:uiPriority w:val="99"/>
    <w:semiHidden/>
    <w:unhideWhenUsed/>
    <w:rsid w:val="009974FB"/>
    <w:rPr>
      <w:rFonts w:cs="Tahoma"/>
      <w:sz w:val="28"/>
      <w:szCs w:val="16"/>
    </w:rPr>
  </w:style>
  <w:style w:type="character" w:customStyle="1" w:styleId="BalloonTextChar">
    <w:name w:val="Balloon Text Char"/>
    <w:basedOn w:val="DefaultParagraphFont"/>
    <w:link w:val="BalloonText"/>
    <w:uiPriority w:val="99"/>
    <w:semiHidden/>
    <w:rsid w:val="009974FB"/>
    <w:rPr>
      <w:rFonts w:eastAsia="Times New Roman" w:cs="Tahoma"/>
      <w:sz w:val="28"/>
      <w:szCs w:val="16"/>
      <w:lang w:val="en-CA" w:eastAsia="en-CA"/>
    </w:rPr>
  </w:style>
  <w:style w:type="paragraph" w:styleId="Header">
    <w:name w:val="header"/>
    <w:basedOn w:val="Normal"/>
    <w:link w:val="HeaderChar"/>
    <w:uiPriority w:val="99"/>
    <w:unhideWhenUsed/>
    <w:rsid w:val="009974FB"/>
    <w:pPr>
      <w:tabs>
        <w:tab w:val="center" w:pos="4680"/>
        <w:tab w:val="right" w:pos="9360"/>
      </w:tabs>
    </w:pPr>
  </w:style>
  <w:style w:type="character" w:customStyle="1" w:styleId="HeaderChar">
    <w:name w:val="Header Char"/>
    <w:basedOn w:val="DefaultParagraphFont"/>
    <w:link w:val="Header"/>
    <w:uiPriority w:val="99"/>
    <w:rsid w:val="009974FB"/>
    <w:rPr>
      <w:rFonts w:eastAsia="Times New Roman"/>
      <w:sz w:val="24"/>
      <w:lang w:val="en-CA" w:eastAsia="en-CA"/>
    </w:rPr>
  </w:style>
  <w:style w:type="paragraph" w:styleId="Footer">
    <w:name w:val="footer"/>
    <w:basedOn w:val="Normal"/>
    <w:link w:val="FooterChar"/>
    <w:uiPriority w:val="99"/>
    <w:semiHidden/>
    <w:unhideWhenUsed/>
    <w:rsid w:val="009974FB"/>
    <w:pPr>
      <w:tabs>
        <w:tab w:val="center" w:pos="4680"/>
        <w:tab w:val="right" w:pos="9360"/>
      </w:tabs>
    </w:pPr>
  </w:style>
  <w:style w:type="character" w:customStyle="1" w:styleId="FooterChar">
    <w:name w:val="Footer Char"/>
    <w:basedOn w:val="DefaultParagraphFont"/>
    <w:link w:val="Footer"/>
    <w:uiPriority w:val="99"/>
    <w:semiHidden/>
    <w:rsid w:val="009974FB"/>
    <w:rPr>
      <w:rFonts w:eastAsia="Times New Roman"/>
      <w:sz w:val="24"/>
      <w:lang w:val="en-CA" w:eastAsia="en-CA"/>
    </w:rPr>
  </w:style>
  <w:style w:type="paragraph" w:customStyle="1" w:styleId="SCCLsocParty">
    <w:name w:val="SCC.Lsoc.Party"/>
    <w:basedOn w:val="Normal"/>
    <w:next w:val="Normal"/>
    <w:link w:val="SCCLsocPartyChar"/>
    <w:rsid w:val="009974FB"/>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9974FB"/>
    <w:rPr>
      <w:rFonts w:cstheme="minorBidi"/>
      <w:sz w:val="24"/>
      <w:szCs w:val="22"/>
      <w:lang w:val="en-CA"/>
    </w:rPr>
  </w:style>
  <w:style w:type="paragraph" w:customStyle="1" w:styleId="SCCLsocVersus">
    <w:name w:val="SCC.Lsoc.Versus"/>
    <w:basedOn w:val="Normal"/>
    <w:next w:val="Normal"/>
    <w:link w:val="SCCLsocVersusChar"/>
    <w:rsid w:val="009974FB"/>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9974FB"/>
    <w:rPr>
      <w:rFonts w:cstheme="minorBidi"/>
      <w:sz w:val="24"/>
      <w:szCs w:val="22"/>
      <w:lang w:val="en-CA"/>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9974FB"/>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9974FB"/>
    <w:rPr>
      <w:rFonts w:cstheme="minorBidi"/>
      <w:sz w:val="24"/>
      <w:szCs w:val="22"/>
      <w:lang w:val="en-CA"/>
    </w:rPr>
  </w:style>
  <w:style w:type="paragraph" w:customStyle="1" w:styleId="SCCLsocOtherPartySeparator">
    <w:name w:val="SCC.Lsoc.OtherPartySeparator"/>
    <w:basedOn w:val="Normal"/>
    <w:next w:val="Normal"/>
    <w:link w:val="SCCLsocOtherPartySeparatorChar"/>
    <w:rsid w:val="009974FB"/>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9974FB"/>
    <w:rPr>
      <w:rFonts w:cstheme="minorBidi"/>
      <w:sz w:val="24"/>
      <w:szCs w:val="22"/>
      <w:lang w:val="en-CA"/>
    </w:rPr>
  </w:style>
  <w:style w:type="character" w:customStyle="1" w:styleId="Heading1Char">
    <w:name w:val="Heading 1 Char"/>
    <w:basedOn w:val="DefaultParagraphFont"/>
    <w:link w:val="Heading1"/>
    <w:uiPriority w:val="2"/>
    <w:rsid w:val="009974FB"/>
    <w:rPr>
      <w:rFonts w:eastAsiaTheme="majorEastAsia" w:cstheme="majorBidi"/>
      <w:bCs/>
      <w:sz w:val="24"/>
      <w:szCs w:val="28"/>
      <w:lang w:val="en-CA"/>
    </w:rPr>
  </w:style>
  <w:style w:type="paragraph" w:customStyle="1" w:styleId="SCCBanSummary">
    <w:name w:val="SCC.BanSummary"/>
    <w:basedOn w:val="Normal"/>
    <w:next w:val="Normal"/>
    <w:link w:val="SCCBanSummaryChar"/>
    <w:rsid w:val="009974FB"/>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A771B6"/>
    <w:pPr>
      <w:ind w:left="720"/>
    </w:pPr>
  </w:style>
  <w:style w:type="character" w:customStyle="1" w:styleId="reportcite">
    <w:name w:val="reportcite"/>
    <w:basedOn w:val="DefaultParagraphFont"/>
    <w:rsid w:val="005C4C6F"/>
  </w:style>
  <w:style w:type="paragraph" w:customStyle="1" w:styleId="Citation1">
    <w:name w:val="Citation1"/>
    <w:basedOn w:val="Normal"/>
    <w:qFormat/>
    <w:rsid w:val="00A771B6"/>
    <w:pPr>
      <w:spacing w:after="720"/>
      <w:ind w:left="1166"/>
      <w:contextualSpacing/>
      <w:jc w:val="both"/>
    </w:pPr>
  </w:style>
  <w:style w:type="paragraph" w:customStyle="1" w:styleId="SCCCoram">
    <w:name w:val="SCC.Coram"/>
    <w:basedOn w:val="Normal"/>
    <w:next w:val="Normal"/>
    <w:link w:val="SCCCoramChar"/>
    <w:rsid w:val="009974F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974FB"/>
    <w:rPr>
      <w:rFonts w:cstheme="minorBidi"/>
      <w:sz w:val="24"/>
      <w:szCs w:val="22"/>
      <w:lang w:val="en-CA"/>
    </w:rPr>
  </w:style>
  <w:style w:type="table" w:styleId="TableGrid">
    <w:name w:val="Table Grid"/>
    <w:basedOn w:val="TableNormal"/>
    <w:uiPriority w:val="59"/>
    <w:rsid w:val="009974FB"/>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1">
    <w:name w:val="title1"/>
    <w:basedOn w:val="DefaultParagraphFont"/>
    <w:rsid w:val="003B6430"/>
    <w:rPr>
      <w:i w:val="0"/>
      <w:iCs w:val="0"/>
    </w:rPr>
  </w:style>
  <w:style w:type="paragraph" w:customStyle="1" w:styleId="ContinueReasonsNo-AltP">
    <w:name w:val="Continue Reasons No # - Alt P"/>
    <w:next w:val="ReasonsNumbering-AltN"/>
    <w:uiPriority w:val="1"/>
    <w:qFormat/>
    <w:rsid w:val="009974FB"/>
    <w:pPr>
      <w:spacing w:before="480" w:after="480" w:line="480" w:lineRule="auto"/>
    </w:pPr>
    <w:rPr>
      <w:rFonts w:cstheme="minorBidi"/>
      <w:sz w:val="24"/>
      <w:szCs w:val="22"/>
      <w:lang w:val="en-CA"/>
    </w:rPr>
  </w:style>
  <w:style w:type="paragraph" w:customStyle="1" w:styleId="SCCLsocOtherPartyRoleSeparator">
    <w:name w:val="SCC.Lsoc.OtherPartyRoleSeparator"/>
    <w:basedOn w:val="Normal"/>
    <w:next w:val="Normal"/>
    <w:link w:val="SCCLsocOtherPartyRoleSeparatorChar"/>
    <w:rsid w:val="009974F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974FB"/>
    <w:rPr>
      <w:rFonts w:cstheme="minorBidi"/>
      <w:sz w:val="24"/>
      <w:szCs w:val="22"/>
      <w:lang w:val="en-CA"/>
    </w:rPr>
  </w:style>
  <w:style w:type="character" w:customStyle="1" w:styleId="SCCBanSummaryChar">
    <w:name w:val="SCC.BanSummary Char"/>
    <w:basedOn w:val="DefaultParagraphFont"/>
    <w:link w:val="SCCBanSummary"/>
    <w:rsid w:val="009974FB"/>
    <w:rPr>
      <w:rFonts w:eastAsiaTheme="minorEastAsia"/>
      <w:b/>
      <w:sz w:val="24"/>
      <w:szCs w:val="24"/>
      <w:lang w:val="en-CA" w:eastAsia="en-CA"/>
    </w:rPr>
  </w:style>
  <w:style w:type="paragraph" w:customStyle="1" w:styleId="ReasonsNumbering-AltN">
    <w:name w:val="Reasons Numbering - Alt N"/>
    <w:qFormat/>
    <w:rsid w:val="009974FB"/>
    <w:pPr>
      <w:numPr>
        <w:numId w:val="6"/>
      </w:numPr>
      <w:tabs>
        <w:tab w:val="left" w:pos="1152"/>
      </w:tabs>
      <w:spacing w:after="480" w:line="480" w:lineRule="auto"/>
      <w:ind w:left="0" w:firstLine="0"/>
      <w:jc w:val="both"/>
    </w:pPr>
    <w:rPr>
      <w:rFonts w:cstheme="minorBidi"/>
      <w:sz w:val="24"/>
      <w:szCs w:val="22"/>
      <w:lang w:val="en-CA"/>
    </w:rPr>
  </w:style>
  <w:style w:type="paragraph" w:customStyle="1" w:styleId="Citation-AltC">
    <w:name w:val="Citation - Alt C"/>
    <w:uiPriority w:val="2"/>
    <w:qFormat/>
    <w:rsid w:val="009974FB"/>
    <w:pPr>
      <w:spacing w:after="720"/>
      <w:ind w:left="1166"/>
      <w:contextualSpacing/>
      <w:jc w:val="both"/>
    </w:pPr>
    <w:rPr>
      <w:rFonts w:eastAsia="Times New Roman"/>
      <w:sz w:val="24"/>
      <w:lang w:val="en-CA" w:eastAsia="en-CA"/>
    </w:rPr>
  </w:style>
  <w:style w:type="character" w:styleId="CommentReference">
    <w:name w:val="annotation reference"/>
    <w:basedOn w:val="DefaultParagraphFont"/>
    <w:uiPriority w:val="99"/>
    <w:semiHidden/>
    <w:unhideWhenUsed/>
    <w:rsid w:val="009974FB"/>
    <w:rPr>
      <w:sz w:val="16"/>
      <w:szCs w:val="16"/>
    </w:rPr>
  </w:style>
  <w:style w:type="paragraph" w:styleId="CommentText">
    <w:name w:val="annotation text"/>
    <w:basedOn w:val="Normal"/>
    <w:link w:val="CommentTextChar"/>
    <w:uiPriority w:val="99"/>
    <w:semiHidden/>
    <w:unhideWhenUsed/>
    <w:rsid w:val="009974FB"/>
    <w:rPr>
      <w:sz w:val="20"/>
    </w:rPr>
  </w:style>
  <w:style w:type="character" w:customStyle="1" w:styleId="CommentTextChar">
    <w:name w:val="Comment Text Char"/>
    <w:basedOn w:val="DefaultParagraphFont"/>
    <w:link w:val="CommentText"/>
    <w:uiPriority w:val="99"/>
    <w:semiHidden/>
    <w:rsid w:val="009974FB"/>
    <w:rPr>
      <w:rFonts w:eastAsia="Times New Roman"/>
      <w:lang w:val="en-CA" w:eastAsia="en-CA"/>
    </w:rPr>
  </w:style>
  <w:style w:type="paragraph" w:styleId="CommentSubject">
    <w:name w:val="annotation subject"/>
    <w:basedOn w:val="CommentText"/>
    <w:next w:val="CommentText"/>
    <w:link w:val="CommentSubjectChar"/>
    <w:uiPriority w:val="99"/>
    <w:semiHidden/>
    <w:unhideWhenUsed/>
    <w:rsid w:val="009974FB"/>
    <w:rPr>
      <w:b/>
      <w:bCs/>
    </w:rPr>
  </w:style>
  <w:style w:type="character" w:customStyle="1" w:styleId="CommentSubjectChar">
    <w:name w:val="Comment Subject Char"/>
    <w:basedOn w:val="CommentTextChar"/>
    <w:link w:val="CommentSubject"/>
    <w:uiPriority w:val="99"/>
    <w:semiHidden/>
    <w:rsid w:val="009974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72A0-EBBB-4598-B000-52F9524A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18</Pages>
  <Words>3460</Words>
  <Characters>18801</Characters>
  <Application>Microsoft Office Word</Application>
  <DocSecurity>0</DocSecurity>
  <Lines>156</Lines>
  <Paragraphs>44</Paragraphs>
  <ScaleCrop>false</ScaleCrop>
  <Company/>
  <LinksUpToDate>false</LinksUpToDate>
  <CharactersWithSpaces>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2011-01-28T18:09:00Z</dcterms:created>
  <dcterms:modified xsi:type="dcterms:W3CDTF">2011-06-27T18:22:00Z</dcterms:modified>
</cp:coreProperties>
</file>