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84" w:rsidRPr="00F519F2" w:rsidRDefault="005E6384" w:rsidP="005E6384">
      <w:pPr>
        <w:tabs>
          <w:tab w:val="center" w:pos="4680"/>
          <w:tab w:val="right" w:pos="9360"/>
        </w:tabs>
        <w:rPr>
          <w:rFonts w:cstheme="minorBidi"/>
          <w:szCs w:val="24"/>
          <w:lang w:eastAsia="en-US"/>
        </w:rPr>
      </w:pPr>
      <w:r w:rsidRPr="00F519F2">
        <w:rPr>
          <w:rFonts w:cstheme="minorBidi"/>
          <w:szCs w:val="24"/>
          <w:lang w:eastAsia="en-US"/>
        </w:rPr>
        <w:ptab w:relativeTo="margin" w:alignment="center" w:leader="none"/>
      </w:r>
      <w:r w:rsidRPr="00F519F2">
        <w:rPr>
          <w:rFonts w:cstheme="minorBidi"/>
          <w:szCs w:val="24"/>
          <w:lang w:eastAsia="en-US"/>
        </w:rPr>
        <w:t xml:space="preserve"> </w:t>
      </w:r>
      <w:r w:rsidRPr="00F519F2">
        <w:rPr>
          <w:rFonts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pt;height:64.35pt" o:ole="">
            <v:imagedata r:id="rId8" o:title=""/>
          </v:shape>
          <o:OLEObject Type="Embed" ProgID="Presentations.Drawing.13" ShapeID="_x0000_i1025" DrawAspect="Content" ObjectID="_1370689150" r:id="rId9"/>
        </w:object>
      </w:r>
      <w:r w:rsidRPr="00F519F2">
        <w:rPr>
          <w:rFonts w:cstheme="minorBidi"/>
          <w:szCs w:val="24"/>
          <w:lang w:eastAsia="en-US"/>
        </w:rPr>
        <w:t xml:space="preserve"> </w:t>
      </w:r>
      <w:r w:rsidRPr="00F519F2">
        <w:rPr>
          <w:rFonts w:cstheme="minorBidi"/>
          <w:szCs w:val="24"/>
          <w:lang w:eastAsia="en-US"/>
        </w:rPr>
        <w:ptab w:relativeTo="margin" w:alignment="right" w:leader="none"/>
      </w:r>
    </w:p>
    <w:p w:rsidR="005E6384" w:rsidRPr="00F519F2" w:rsidRDefault="005E6384" w:rsidP="005E6384">
      <w:pPr>
        <w:tabs>
          <w:tab w:val="center" w:pos="4680"/>
          <w:tab w:val="right" w:pos="9360"/>
        </w:tabs>
        <w:rPr>
          <w:rFonts w:cstheme="minorBidi"/>
          <w:szCs w:val="24"/>
          <w:lang w:eastAsia="en-US"/>
        </w:rPr>
      </w:pPr>
    </w:p>
    <w:p w:rsidR="005E6384" w:rsidRPr="00F519F2" w:rsidRDefault="005E6384" w:rsidP="005E6384">
      <w:pPr>
        <w:jc w:val="center"/>
        <w:rPr>
          <w:rFonts w:cstheme="minorBidi"/>
          <w:b/>
          <w:szCs w:val="24"/>
          <w:lang w:eastAsia="en-US"/>
        </w:rPr>
      </w:pPr>
      <w:r w:rsidRPr="00F519F2">
        <w:rPr>
          <w:rFonts w:cstheme="minorBidi"/>
          <w:b/>
          <w:szCs w:val="24"/>
          <w:lang w:eastAsia="en-US"/>
        </w:rPr>
        <w:t>COUR SUPRÊME DU CANADA</w:t>
      </w:r>
    </w:p>
    <w:p w:rsidR="005E6384" w:rsidRPr="00F519F2" w:rsidRDefault="005E6384" w:rsidP="005E6384">
      <w:pPr>
        <w:rPr>
          <w:rFonts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5E6384" w:rsidRPr="00F519F2" w:rsidTr="00F943DD">
        <w:trPr>
          <w:cantSplit/>
        </w:trPr>
        <w:tc>
          <w:tcPr>
            <w:tcW w:w="6768" w:type="dxa"/>
          </w:tcPr>
          <w:p w:rsidR="005E6384" w:rsidRPr="005E6384" w:rsidRDefault="005E6384" w:rsidP="00F943DD">
            <w:pPr>
              <w:rPr>
                <w:lang w:val="fr-CA" w:eastAsia="en-US"/>
              </w:rPr>
            </w:pPr>
            <w:r w:rsidRPr="005E6384">
              <w:rPr>
                <w:b/>
                <w:smallCaps/>
                <w:lang w:val="fr-CA" w:eastAsia="en-US"/>
              </w:rPr>
              <w:t>Référence :</w:t>
            </w:r>
            <w:r w:rsidRPr="005E6384">
              <w:rPr>
                <w:lang w:val="fr-CA" w:eastAsia="en-US"/>
              </w:rPr>
              <w:t xml:space="preserve"> </w:t>
            </w:r>
            <w:r w:rsidRPr="005E6384">
              <w:rPr>
                <w:lang w:val="fr-CA"/>
              </w:rPr>
              <w:t>R.</w:t>
            </w:r>
            <w:r w:rsidRPr="005E6384">
              <w:rPr>
                <w:lang w:val="fr-CA" w:eastAsia="en-US"/>
              </w:rPr>
              <w:t xml:space="preserve"> </w:t>
            </w:r>
            <w:r w:rsidRPr="005E6384">
              <w:rPr>
                <w:i/>
                <w:lang w:val="fr-CA" w:eastAsia="en-US"/>
              </w:rPr>
              <w:t>c.</w:t>
            </w:r>
            <w:r w:rsidRPr="005E6384">
              <w:rPr>
                <w:lang w:val="fr-CA" w:eastAsia="en-US"/>
              </w:rPr>
              <w:t xml:space="preserve"> </w:t>
            </w:r>
            <w:r w:rsidRPr="005E6384">
              <w:rPr>
                <w:lang w:val="fr-CA"/>
              </w:rPr>
              <w:t xml:space="preserve">Caron, </w:t>
            </w:r>
            <w:r w:rsidRPr="00516C7E">
              <w:rPr>
                <w:rStyle w:val="SCCRespondentForIndexChar"/>
                <w:b w:val="0"/>
                <w:lang w:val="fr-CA"/>
              </w:rPr>
              <w:t xml:space="preserve">2011 </w:t>
            </w:r>
            <w:r>
              <w:rPr>
                <w:rStyle w:val="SCCRespondentForIndexChar"/>
                <w:b w:val="0"/>
                <w:lang w:val="fr-CA"/>
              </w:rPr>
              <w:t>C</w:t>
            </w:r>
            <w:r w:rsidRPr="00516C7E">
              <w:rPr>
                <w:rStyle w:val="SCCRespondentForIndexChar"/>
                <w:b w:val="0"/>
                <w:lang w:val="fr-CA"/>
              </w:rPr>
              <w:t xml:space="preserve">SC </w:t>
            </w:r>
            <w:r>
              <w:rPr>
                <w:rStyle w:val="SCCRespondentForIndexChar"/>
                <w:b w:val="0"/>
                <w:lang w:val="fr-CA"/>
              </w:rPr>
              <w:t>5</w:t>
            </w:r>
            <w:r w:rsidRPr="00516C7E">
              <w:rPr>
                <w:rStyle w:val="SCCRespondentForIndexChar"/>
                <w:b w:val="0"/>
                <w:lang w:val="fr-CA"/>
              </w:rPr>
              <w:t xml:space="preserve">, [2011] 1 </w:t>
            </w:r>
            <w:r>
              <w:rPr>
                <w:rStyle w:val="SCCRespondentForIndexChar"/>
                <w:b w:val="0"/>
                <w:lang w:val="fr-CA"/>
              </w:rPr>
              <w:t>R.C.</w:t>
            </w:r>
            <w:r w:rsidRPr="00516C7E">
              <w:rPr>
                <w:rStyle w:val="SCCRespondentForIndexChar"/>
                <w:b w:val="0"/>
                <w:lang w:val="fr-CA"/>
              </w:rPr>
              <w:t xml:space="preserve">S. </w:t>
            </w:r>
            <w:r>
              <w:rPr>
                <w:rStyle w:val="SCCRespondentForIndexChar"/>
                <w:b w:val="0"/>
                <w:lang w:val="fr-CA"/>
              </w:rPr>
              <w:t>78</w:t>
            </w:r>
          </w:p>
        </w:tc>
        <w:tc>
          <w:tcPr>
            <w:tcW w:w="2808" w:type="dxa"/>
          </w:tcPr>
          <w:p w:rsidR="005E6384" w:rsidRPr="00F519F2" w:rsidRDefault="005E6384" w:rsidP="00F943DD">
            <w:pPr>
              <w:rPr>
                <w:lang w:eastAsia="en-US"/>
              </w:rPr>
            </w:pPr>
            <w:r w:rsidRPr="00F519F2">
              <w:rPr>
                <w:b/>
                <w:smallCaps/>
                <w:lang w:eastAsia="en-US"/>
              </w:rPr>
              <w:t>Date :</w:t>
            </w:r>
            <w:r w:rsidRPr="00F519F2">
              <w:rPr>
                <w:lang w:eastAsia="en-US"/>
              </w:rPr>
              <w:t xml:space="preserve"> 20110204</w:t>
            </w:r>
          </w:p>
          <w:p w:rsidR="005E6384" w:rsidRPr="00F519F2" w:rsidRDefault="005E6384" w:rsidP="00F943DD">
            <w:pPr>
              <w:rPr>
                <w:lang w:eastAsia="en-US"/>
              </w:rPr>
            </w:pPr>
            <w:r w:rsidRPr="00F519F2">
              <w:rPr>
                <w:b/>
                <w:smallCaps/>
                <w:lang w:eastAsia="en-US"/>
              </w:rPr>
              <w:t>Dossier :</w:t>
            </w:r>
            <w:r w:rsidRPr="00F519F2">
              <w:rPr>
                <w:lang w:eastAsia="en-US"/>
              </w:rPr>
              <w:t xml:space="preserve"> 33092</w:t>
            </w:r>
          </w:p>
        </w:tc>
      </w:tr>
    </w:tbl>
    <w:p w:rsidR="005E6384" w:rsidRPr="00F519F2" w:rsidRDefault="005E6384" w:rsidP="005E6384">
      <w:pPr>
        <w:rPr>
          <w:rFonts w:cstheme="minorBidi"/>
          <w:szCs w:val="24"/>
          <w:lang w:eastAsia="en-US"/>
        </w:rPr>
      </w:pPr>
    </w:p>
    <w:p w:rsidR="005E6384" w:rsidRPr="00F519F2" w:rsidRDefault="005E6384" w:rsidP="005E6384">
      <w:pPr>
        <w:rPr>
          <w:rFonts w:cstheme="minorBidi"/>
          <w:b/>
          <w:smallCaps/>
          <w:szCs w:val="24"/>
          <w:lang w:eastAsia="en-US"/>
        </w:rPr>
      </w:pPr>
      <w:proofErr w:type="gramStart"/>
      <w:r w:rsidRPr="00F519F2">
        <w:rPr>
          <w:rFonts w:cstheme="minorBidi"/>
          <w:b/>
          <w:smallCaps/>
          <w:szCs w:val="24"/>
          <w:lang w:eastAsia="en-US"/>
        </w:rPr>
        <w:t>Entre :</w:t>
      </w:r>
      <w:proofErr w:type="gramEnd"/>
    </w:p>
    <w:p w:rsidR="005E6384" w:rsidRPr="005E6384" w:rsidRDefault="005E6384" w:rsidP="005E6384">
      <w:pPr>
        <w:jc w:val="center"/>
        <w:rPr>
          <w:rFonts w:cstheme="minorBidi"/>
          <w:b/>
          <w:szCs w:val="24"/>
          <w:lang w:val="fr-CA" w:eastAsia="en-US"/>
        </w:rPr>
      </w:pPr>
      <w:r w:rsidRPr="005E6384">
        <w:rPr>
          <w:rFonts w:cstheme="minorBidi"/>
          <w:b/>
          <w:szCs w:val="24"/>
          <w:lang w:val="fr-CA" w:eastAsia="en-US"/>
        </w:rPr>
        <w:t>Sa Majesté la Reine du chef de la province de l’Alberta</w:t>
      </w:r>
    </w:p>
    <w:p w:rsidR="005E6384" w:rsidRPr="005E6384" w:rsidRDefault="005E6384" w:rsidP="005E6384">
      <w:pPr>
        <w:jc w:val="center"/>
        <w:rPr>
          <w:rFonts w:cstheme="minorBidi"/>
          <w:szCs w:val="24"/>
          <w:lang w:val="fr-CA" w:eastAsia="en-US"/>
        </w:rPr>
      </w:pPr>
      <w:r w:rsidRPr="005E6384">
        <w:rPr>
          <w:rFonts w:cstheme="minorBidi"/>
          <w:szCs w:val="24"/>
          <w:lang w:val="fr-CA" w:eastAsia="en-US"/>
        </w:rPr>
        <w:t>Appelante</w:t>
      </w:r>
    </w:p>
    <w:p w:rsidR="005E6384" w:rsidRPr="005E6384" w:rsidRDefault="005E6384" w:rsidP="005E6384">
      <w:pPr>
        <w:jc w:val="center"/>
        <w:rPr>
          <w:rFonts w:cstheme="minorBidi"/>
          <w:szCs w:val="24"/>
          <w:lang w:val="fr-CA" w:eastAsia="en-US"/>
        </w:rPr>
      </w:pPr>
      <w:proofErr w:type="gramStart"/>
      <w:r w:rsidRPr="005E6384">
        <w:rPr>
          <w:rFonts w:cstheme="minorBidi"/>
          <w:szCs w:val="24"/>
          <w:lang w:val="fr-CA" w:eastAsia="en-US"/>
        </w:rPr>
        <w:t>et</w:t>
      </w:r>
      <w:proofErr w:type="gramEnd"/>
    </w:p>
    <w:p w:rsidR="005E6384" w:rsidRPr="005E6384" w:rsidRDefault="005E6384" w:rsidP="005E6384">
      <w:pPr>
        <w:jc w:val="center"/>
        <w:rPr>
          <w:rFonts w:cstheme="minorBidi"/>
          <w:b/>
          <w:szCs w:val="24"/>
          <w:lang w:val="fr-CA" w:eastAsia="en-US"/>
        </w:rPr>
      </w:pPr>
      <w:r w:rsidRPr="005E6384">
        <w:rPr>
          <w:rFonts w:cstheme="minorBidi"/>
          <w:b/>
          <w:szCs w:val="24"/>
          <w:lang w:val="fr-CA" w:eastAsia="en-US"/>
        </w:rPr>
        <w:t>Gilles Caron</w:t>
      </w:r>
    </w:p>
    <w:p w:rsidR="005E6384" w:rsidRPr="005E6384" w:rsidRDefault="005E6384" w:rsidP="005E6384">
      <w:pPr>
        <w:jc w:val="center"/>
        <w:rPr>
          <w:rFonts w:cstheme="minorBidi"/>
          <w:szCs w:val="24"/>
          <w:lang w:val="fr-CA" w:eastAsia="en-US"/>
        </w:rPr>
      </w:pPr>
      <w:r w:rsidRPr="005E6384">
        <w:rPr>
          <w:rFonts w:cstheme="minorBidi"/>
          <w:szCs w:val="24"/>
          <w:lang w:val="fr-CA" w:eastAsia="en-US"/>
        </w:rPr>
        <w:t>Intimé</w:t>
      </w:r>
    </w:p>
    <w:p w:rsidR="005E6384" w:rsidRPr="005E6384" w:rsidRDefault="005E6384" w:rsidP="005E6384">
      <w:pPr>
        <w:jc w:val="center"/>
        <w:rPr>
          <w:rFonts w:cstheme="minorBidi"/>
          <w:szCs w:val="24"/>
          <w:lang w:val="fr-CA" w:eastAsia="en-US"/>
        </w:rPr>
      </w:pPr>
      <w:r w:rsidRPr="005E6384">
        <w:rPr>
          <w:rFonts w:cstheme="minorBidi"/>
          <w:szCs w:val="24"/>
          <w:lang w:val="fr-CA" w:eastAsia="en-US"/>
        </w:rPr>
        <w:t>- et -</w:t>
      </w:r>
    </w:p>
    <w:p w:rsidR="005E6384" w:rsidRPr="005E6384" w:rsidRDefault="005E6384" w:rsidP="005E6384">
      <w:pPr>
        <w:jc w:val="center"/>
        <w:rPr>
          <w:rFonts w:cstheme="minorBidi"/>
          <w:b/>
          <w:szCs w:val="24"/>
          <w:lang w:val="fr-CA" w:eastAsia="en-US"/>
        </w:rPr>
      </w:pPr>
      <w:r w:rsidRPr="005E6384">
        <w:rPr>
          <w:rFonts w:cstheme="minorBidi"/>
          <w:b/>
          <w:szCs w:val="24"/>
          <w:lang w:val="fr-CA" w:eastAsia="en-US"/>
        </w:rPr>
        <w:t xml:space="preserve">Commissaire aux langues officielles du Canada, Association canadienne des </w:t>
      </w:r>
    </w:p>
    <w:p w:rsidR="005E6384" w:rsidRPr="005E6384" w:rsidRDefault="005E6384" w:rsidP="005E6384">
      <w:pPr>
        <w:jc w:val="center"/>
        <w:rPr>
          <w:rFonts w:cstheme="minorBidi"/>
          <w:b/>
          <w:szCs w:val="24"/>
          <w:lang w:val="fr-CA" w:eastAsia="en-US"/>
        </w:rPr>
      </w:pPr>
      <w:proofErr w:type="gramStart"/>
      <w:r w:rsidRPr="005E6384">
        <w:rPr>
          <w:rFonts w:cstheme="minorBidi"/>
          <w:b/>
          <w:szCs w:val="24"/>
          <w:lang w:val="fr-CA" w:eastAsia="en-US"/>
        </w:rPr>
        <w:t>libertés</w:t>
      </w:r>
      <w:proofErr w:type="gramEnd"/>
      <w:r w:rsidRPr="005E6384">
        <w:rPr>
          <w:rFonts w:cstheme="minorBidi"/>
          <w:b/>
          <w:szCs w:val="24"/>
          <w:lang w:val="fr-CA" w:eastAsia="en-US"/>
        </w:rPr>
        <w:t xml:space="preserve"> civiles, Conseil des Canadiens avec déficiences, Comité de la Charte et des questions de pauvreté, </w:t>
      </w:r>
      <w:proofErr w:type="spellStart"/>
      <w:r w:rsidRPr="005E6384">
        <w:rPr>
          <w:rFonts w:cstheme="minorBidi"/>
          <w:b/>
          <w:szCs w:val="24"/>
          <w:lang w:val="fr-CA" w:eastAsia="en-US"/>
        </w:rPr>
        <w:t>Poverty</w:t>
      </w:r>
      <w:proofErr w:type="spellEnd"/>
      <w:r w:rsidRPr="005E6384">
        <w:rPr>
          <w:rFonts w:cstheme="minorBidi"/>
          <w:b/>
          <w:szCs w:val="24"/>
          <w:lang w:val="fr-CA" w:eastAsia="en-US"/>
        </w:rPr>
        <w:t xml:space="preserve"> and </w:t>
      </w:r>
      <w:proofErr w:type="spellStart"/>
      <w:r w:rsidRPr="005E6384">
        <w:rPr>
          <w:rFonts w:cstheme="minorBidi"/>
          <w:b/>
          <w:szCs w:val="24"/>
          <w:lang w:val="fr-CA" w:eastAsia="en-US"/>
        </w:rPr>
        <w:t>Human</w:t>
      </w:r>
      <w:proofErr w:type="spellEnd"/>
      <w:r w:rsidRPr="005E6384">
        <w:rPr>
          <w:rFonts w:cstheme="minorBidi"/>
          <w:b/>
          <w:szCs w:val="24"/>
          <w:lang w:val="fr-CA" w:eastAsia="en-US"/>
        </w:rPr>
        <w:t xml:space="preserve"> </w:t>
      </w:r>
      <w:proofErr w:type="spellStart"/>
      <w:r w:rsidRPr="005E6384">
        <w:rPr>
          <w:rFonts w:cstheme="minorBidi"/>
          <w:b/>
          <w:szCs w:val="24"/>
          <w:lang w:val="fr-CA" w:eastAsia="en-US"/>
        </w:rPr>
        <w:t>Rights</w:t>
      </w:r>
      <w:proofErr w:type="spellEnd"/>
      <w:r w:rsidRPr="005E6384">
        <w:rPr>
          <w:rFonts w:cstheme="minorBidi"/>
          <w:b/>
          <w:szCs w:val="24"/>
          <w:lang w:val="fr-CA" w:eastAsia="en-US"/>
        </w:rPr>
        <w:t xml:space="preserve"> Centre, Fonds d’action et d’éducation juridiques pour les femmes, Association canadienne-française de l’Alberta et </w:t>
      </w:r>
    </w:p>
    <w:p w:rsidR="005E6384" w:rsidRPr="00F519F2" w:rsidRDefault="005E6384" w:rsidP="005E6384">
      <w:pPr>
        <w:jc w:val="center"/>
        <w:rPr>
          <w:rFonts w:cstheme="minorBidi"/>
          <w:b/>
          <w:szCs w:val="24"/>
          <w:lang w:val="en-US" w:eastAsia="en-US"/>
        </w:rPr>
      </w:pPr>
      <w:r w:rsidRPr="00F519F2">
        <w:rPr>
          <w:rFonts w:cstheme="minorBidi"/>
          <w:b/>
          <w:szCs w:val="24"/>
          <w:lang w:val="en-US" w:eastAsia="en-US"/>
        </w:rPr>
        <w:t xml:space="preserve">David </w:t>
      </w:r>
      <w:proofErr w:type="spellStart"/>
      <w:r w:rsidRPr="00F519F2">
        <w:rPr>
          <w:rFonts w:cstheme="minorBidi"/>
          <w:b/>
          <w:szCs w:val="24"/>
          <w:lang w:val="en-US" w:eastAsia="en-US"/>
        </w:rPr>
        <w:t>Asper</w:t>
      </w:r>
      <w:proofErr w:type="spellEnd"/>
      <w:r w:rsidRPr="00F519F2">
        <w:rPr>
          <w:rFonts w:cstheme="minorBidi"/>
          <w:b/>
          <w:szCs w:val="24"/>
          <w:lang w:val="en-US" w:eastAsia="en-US"/>
        </w:rPr>
        <w:t xml:space="preserve"> Centre for Constitutional Rights</w:t>
      </w:r>
    </w:p>
    <w:p w:rsidR="005E6384" w:rsidRPr="005E6384" w:rsidRDefault="005E6384" w:rsidP="005E6384">
      <w:pPr>
        <w:jc w:val="center"/>
        <w:rPr>
          <w:rFonts w:cstheme="minorBidi"/>
          <w:szCs w:val="24"/>
          <w:lang w:val="fr-CA" w:eastAsia="en-US"/>
        </w:rPr>
      </w:pPr>
      <w:r w:rsidRPr="005E6384">
        <w:rPr>
          <w:rFonts w:cstheme="minorBidi"/>
          <w:szCs w:val="24"/>
          <w:lang w:val="fr-CA" w:eastAsia="en-US"/>
        </w:rPr>
        <w:t>Intervenants</w:t>
      </w:r>
    </w:p>
    <w:p w:rsidR="005E6384" w:rsidRPr="005E6384" w:rsidRDefault="005E6384" w:rsidP="005E6384">
      <w:pPr>
        <w:rPr>
          <w:rFonts w:cstheme="minorBidi"/>
          <w:szCs w:val="24"/>
          <w:lang w:val="fr-CA" w:eastAsia="en-US"/>
        </w:rPr>
      </w:pPr>
    </w:p>
    <w:p w:rsidR="005E6384" w:rsidRPr="005E6384" w:rsidRDefault="005E6384" w:rsidP="005E6384">
      <w:pPr>
        <w:rPr>
          <w:rFonts w:cstheme="minorBidi"/>
          <w:szCs w:val="24"/>
          <w:lang w:val="fr-CA" w:eastAsia="en-US"/>
        </w:rPr>
      </w:pPr>
    </w:p>
    <w:p w:rsidR="005E6384" w:rsidRPr="005E6384" w:rsidRDefault="005E6384" w:rsidP="005E6384">
      <w:pPr>
        <w:jc w:val="center"/>
        <w:rPr>
          <w:rFonts w:cstheme="minorBidi"/>
          <w:b/>
          <w:smallCaps/>
          <w:szCs w:val="24"/>
          <w:lang w:val="fr-CA" w:eastAsia="en-US"/>
        </w:rPr>
      </w:pPr>
      <w:r w:rsidRPr="005E6384">
        <w:rPr>
          <w:rFonts w:cstheme="minorBidi"/>
          <w:b/>
          <w:smallCaps/>
          <w:szCs w:val="24"/>
          <w:lang w:val="fr-CA" w:eastAsia="en-US"/>
        </w:rPr>
        <w:t>Traduction française officielle</w:t>
      </w:r>
    </w:p>
    <w:p w:rsidR="005E6384" w:rsidRPr="005E6384" w:rsidRDefault="005E6384" w:rsidP="005E6384">
      <w:pPr>
        <w:rPr>
          <w:rFonts w:cstheme="minorBidi"/>
          <w:szCs w:val="24"/>
          <w:lang w:val="fr-CA" w:eastAsia="en-US"/>
        </w:rPr>
      </w:pPr>
    </w:p>
    <w:p w:rsidR="005E6384" w:rsidRPr="005E6384" w:rsidRDefault="005E6384" w:rsidP="005E6384">
      <w:pPr>
        <w:rPr>
          <w:rFonts w:cstheme="minorBidi"/>
          <w:szCs w:val="24"/>
          <w:lang w:val="fr-CA" w:eastAsia="en-US"/>
        </w:rPr>
      </w:pPr>
      <w:r w:rsidRPr="005E6384">
        <w:rPr>
          <w:rFonts w:cstheme="minorBidi"/>
          <w:b/>
          <w:smallCaps/>
          <w:szCs w:val="24"/>
          <w:lang w:val="fr-CA" w:eastAsia="en-US"/>
        </w:rPr>
        <w:t>Coram :</w:t>
      </w:r>
      <w:r w:rsidRPr="005E6384">
        <w:rPr>
          <w:rFonts w:cstheme="minorBidi"/>
          <w:szCs w:val="24"/>
          <w:lang w:val="fr-CA" w:eastAsia="en-US"/>
        </w:rPr>
        <w:t xml:space="preserve"> La juge en chef </w:t>
      </w:r>
      <w:proofErr w:type="spellStart"/>
      <w:r w:rsidRPr="005E6384">
        <w:rPr>
          <w:rFonts w:cstheme="minorBidi"/>
          <w:szCs w:val="24"/>
          <w:lang w:val="fr-CA" w:eastAsia="en-US"/>
        </w:rPr>
        <w:t>McLachlin</w:t>
      </w:r>
      <w:proofErr w:type="spellEnd"/>
      <w:r w:rsidRPr="005E6384">
        <w:rPr>
          <w:rFonts w:cstheme="minorBidi"/>
          <w:szCs w:val="24"/>
          <w:lang w:val="fr-CA" w:eastAsia="en-US"/>
        </w:rPr>
        <w:t xml:space="preserve"> et les juges </w:t>
      </w:r>
      <w:proofErr w:type="spellStart"/>
      <w:r w:rsidRPr="005E6384">
        <w:rPr>
          <w:rFonts w:cstheme="minorBidi"/>
          <w:szCs w:val="24"/>
          <w:lang w:val="fr-CA" w:eastAsia="en-US"/>
        </w:rPr>
        <w:t>Binnie</w:t>
      </w:r>
      <w:proofErr w:type="spellEnd"/>
      <w:r w:rsidRPr="005E6384">
        <w:rPr>
          <w:rFonts w:cstheme="minorBidi"/>
          <w:szCs w:val="24"/>
          <w:lang w:val="fr-CA" w:eastAsia="en-US"/>
        </w:rPr>
        <w:t xml:space="preserve">, </w:t>
      </w:r>
      <w:proofErr w:type="spellStart"/>
      <w:r w:rsidRPr="005E6384">
        <w:rPr>
          <w:rFonts w:cstheme="minorBidi"/>
          <w:szCs w:val="24"/>
          <w:lang w:val="fr-CA" w:eastAsia="en-US"/>
        </w:rPr>
        <w:t>LeBel</w:t>
      </w:r>
      <w:proofErr w:type="spellEnd"/>
      <w:r w:rsidRPr="005E6384">
        <w:rPr>
          <w:rFonts w:cstheme="minorBidi"/>
          <w:szCs w:val="24"/>
          <w:lang w:val="fr-CA" w:eastAsia="en-US"/>
        </w:rPr>
        <w:t xml:space="preserve">, Deschamps, Fish, Abella, Charron, </w:t>
      </w:r>
      <w:proofErr w:type="spellStart"/>
      <w:r w:rsidRPr="005E6384">
        <w:rPr>
          <w:rFonts w:cstheme="minorBidi"/>
          <w:szCs w:val="24"/>
          <w:lang w:val="fr-CA" w:eastAsia="en-US"/>
        </w:rPr>
        <w:t>Rothstein</w:t>
      </w:r>
      <w:proofErr w:type="spellEnd"/>
      <w:r w:rsidRPr="005E6384">
        <w:rPr>
          <w:rFonts w:cstheme="minorBidi"/>
          <w:szCs w:val="24"/>
          <w:lang w:val="fr-CA" w:eastAsia="en-US"/>
        </w:rPr>
        <w:t xml:space="preserve"> et Cromwell</w:t>
      </w:r>
    </w:p>
    <w:p w:rsidR="005E6384" w:rsidRPr="005E6384" w:rsidRDefault="005E6384" w:rsidP="005E6384">
      <w:pPr>
        <w:rPr>
          <w:rFonts w:cstheme="minorBidi"/>
          <w:szCs w:val="24"/>
          <w:lang w:val="fr-CA"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5E6384" w:rsidRPr="00F519F2" w:rsidTr="00F943DD">
        <w:trPr>
          <w:cantSplit/>
        </w:trPr>
        <w:tc>
          <w:tcPr>
            <w:tcW w:w="3618" w:type="dxa"/>
          </w:tcPr>
          <w:p w:rsidR="005E6384" w:rsidRPr="005E6384" w:rsidRDefault="005E6384" w:rsidP="00F943DD">
            <w:pPr>
              <w:rPr>
                <w:b/>
                <w:smallCaps/>
                <w:lang w:val="fr-CA" w:eastAsia="en-US"/>
              </w:rPr>
            </w:pPr>
            <w:r w:rsidRPr="005E6384">
              <w:rPr>
                <w:b/>
                <w:smallCaps/>
                <w:lang w:val="fr-CA" w:eastAsia="en-US"/>
              </w:rPr>
              <w:t>Motifs de jugement :</w:t>
            </w:r>
          </w:p>
          <w:p w:rsidR="005E6384" w:rsidRPr="005E6384" w:rsidRDefault="005E6384" w:rsidP="00F943DD">
            <w:pPr>
              <w:rPr>
                <w:lang w:val="fr-CA" w:eastAsia="en-US"/>
              </w:rPr>
            </w:pPr>
            <w:r w:rsidRPr="005E6384">
              <w:rPr>
                <w:lang w:val="fr-CA" w:eastAsia="en-US"/>
              </w:rPr>
              <w:t>(par. 1 à 49)</w:t>
            </w:r>
          </w:p>
          <w:p w:rsidR="005E6384" w:rsidRPr="005E6384" w:rsidRDefault="005E6384" w:rsidP="00F943DD">
            <w:pPr>
              <w:rPr>
                <w:lang w:val="fr-CA" w:eastAsia="en-US"/>
              </w:rPr>
            </w:pPr>
          </w:p>
          <w:p w:rsidR="005E6384" w:rsidRPr="00F519F2" w:rsidRDefault="005E6384" w:rsidP="00F943DD">
            <w:pPr>
              <w:rPr>
                <w:b/>
                <w:smallCaps/>
                <w:lang w:eastAsia="en-US"/>
              </w:rPr>
            </w:pPr>
            <w:r w:rsidRPr="00F519F2">
              <w:rPr>
                <w:b/>
                <w:smallCaps/>
                <w:lang w:eastAsia="en-US"/>
              </w:rPr>
              <w:t xml:space="preserve">Motifs </w:t>
            </w:r>
            <w:proofErr w:type="spellStart"/>
            <w:r w:rsidRPr="00F519F2">
              <w:rPr>
                <w:b/>
                <w:smallCaps/>
                <w:lang w:eastAsia="en-US"/>
              </w:rPr>
              <w:t>concordants</w:t>
            </w:r>
            <w:proofErr w:type="spellEnd"/>
            <w:r w:rsidRPr="00F519F2">
              <w:rPr>
                <w:b/>
                <w:smallCaps/>
                <w:lang w:eastAsia="en-US"/>
              </w:rPr>
              <w:t> :</w:t>
            </w:r>
          </w:p>
          <w:p w:rsidR="005E6384" w:rsidRPr="00F519F2" w:rsidRDefault="005E6384" w:rsidP="00F943DD">
            <w:pPr>
              <w:rPr>
                <w:b/>
                <w:smallCaps/>
                <w:lang w:eastAsia="en-US"/>
              </w:rPr>
            </w:pPr>
            <w:r w:rsidRPr="00F519F2">
              <w:rPr>
                <w:lang w:eastAsia="en-US"/>
              </w:rPr>
              <w:t>(par. 50 à 55)</w:t>
            </w:r>
          </w:p>
        </w:tc>
        <w:tc>
          <w:tcPr>
            <w:tcW w:w="5958" w:type="dxa"/>
          </w:tcPr>
          <w:p w:rsidR="005E6384" w:rsidRPr="005E6384" w:rsidRDefault="005E6384" w:rsidP="00F943DD">
            <w:pPr>
              <w:rPr>
                <w:lang w:val="fr-CA" w:eastAsia="en-US"/>
              </w:rPr>
            </w:pPr>
            <w:r w:rsidRPr="005E6384">
              <w:rPr>
                <w:lang w:val="fr-CA" w:eastAsia="en-US"/>
              </w:rPr>
              <w:t xml:space="preserve">Le juge </w:t>
            </w:r>
            <w:proofErr w:type="spellStart"/>
            <w:r w:rsidRPr="005E6384">
              <w:rPr>
                <w:lang w:val="fr-CA" w:eastAsia="en-US"/>
              </w:rPr>
              <w:t>Binnie</w:t>
            </w:r>
            <w:proofErr w:type="spellEnd"/>
            <w:r w:rsidRPr="005E6384">
              <w:rPr>
                <w:lang w:val="fr-CA" w:eastAsia="en-US"/>
              </w:rPr>
              <w:t xml:space="preserve"> (avec l’accord de la juge en chef </w:t>
            </w:r>
            <w:proofErr w:type="spellStart"/>
            <w:r w:rsidRPr="005E6384">
              <w:rPr>
                <w:lang w:val="fr-CA" w:eastAsia="en-US"/>
              </w:rPr>
              <w:t>McLachlin</w:t>
            </w:r>
            <w:proofErr w:type="spellEnd"/>
            <w:r w:rsidRPr="005E6384">
              <w:rPr>
                <w:lang w:val="fr-CA" w:eastAsia="en-US"/>
              </w:rPr>
              <w:t xml:space="preserve"> et des juges </w:t>
            </w:r>
            <w:proofErr w:type="spellStart"/>
            <w:r w:rsidRPr="005E6384">
              <w:rPr>
                <w:lang w:val="fr-CA" w:eastAsia="en-US"/>
              </w:rPr>
              <w:t>LeBel</w:t>
            </w:r>
            <w:proofErr w:type="spellEnd"/>
            <w:r w:rsidRPr="005E6384">
              <w:rPr>
                <w:lang w:val="fr-CA" w:eastAsia="en-US"/>
              </w:rPr>
              <w:t xml:space="preserve">, Deschamps, Fish, Charron, </w:t>
            </w:r>
            <w:proofErr w:type="spellStart"/>
            <w:r w:rsidRPr="005E6384">
              <w:rPr>
                <w:lang w:val="fr-CA" w:eastAsia="en-US"/>
              </w:rPr>
              <w:t>Rothstein</w:t>
            </w:r>
            <w:proofErr w:type="spellEnd"/>
            <w:r w:rsidRPr="005E6384">
              <w:rPr>
                <w:lang w:val="fr-CA" w:eastAsia="en-US"/>
              </w:rPr>
              <w:t xml:space="preserve"> et Cromwell)</w:t>
            </w:r>
          </w:p>
          <w:p w:rsidR="005E6384" w:rsidRPr="005E6384" w:rsidRDefault="005E6384" w:rsidP="00F943DD">
            <w:pPr>
              <w:rPr>
                <w:lang w:val="fr-CA" w:eastAsia="en-US"/>
              </w:rPr>
            </w:pPr>
          </w:p>
          <w:p w:rsidR="005E6384" w:rsidRPr="00F519F2" w:rsidRDefault="005E6384" w:rsidP="00F943DD">
            <w:pPr>
              <w:rPr>
                <w:lang w:eastAsia="en-US"/>
              </w:rPr>
            </w:pPr>
            <w:r w:rsidRPr="00F519F2">
              <w:rPr>
                <w:lang w:eastAsia="en-US"/>
              </w:rPr>
              <w:t xml:space="preserve">La </w:t>
            </w:r>
            <w:proofErr w:type="spellStart"/>
            <w:r w:rsidRPr="00F519F2">
              <w:rPr>
                <w:lang w:eastAsia="en-US"/>
              </w:rPr>
              <w:t>juge</w:t>
            </w:r>
            <w:proofErr w:type="spellEnd"/>
            <w:r w:rsidRPr="00F519F2">
              <w:rPr>
                <w:lang w:eastAsia="en-US"/>
              </w:rPr>
              <w:t xml:space="preserve"> </w:t>
            </w:r>
            <w:proofErr w:type="spellStart"/>
            <w:r w:rsidRPr="00F519F2">
              <w:rPr>
                <w:lang w:eastAsia="en-US"/>
              </w:rPr>
              <w:t>Abella</w:t>
            </w:r>
            <w:proofErr w:type="spellEnd"/>
          </w:p>
        </w:tc>
      </w:tr>
    </w:tbl>
    <w:p w:rsidR="005E6384" w:rsidRPr="00F519F2" w:rsidRDefault="005E6384" w:rsidP="005E6384">
      <w:pPr>
        <w:rPr>
          <w:rFonts w:cstheme="minorBidi"/>
          <w:szCs w:val="24"/>
          <w:lang w:eastAsia="en-US"/>
        </w:rPr>
      </w:pPr>
    </w:p>
    <w:p w:rsidR="005E6384" w:rsidRPr="005E6384" w:rsidRDefault="005E6384" w:rsidP="005E6384">
      <w:pPr>
        <w:rPr>
          <w:rFonts w:cstheme="minorBidi"/>
          <w:szCs w:val="24"/>
          <w:lang w:val="fr-CA" w:eastAsia="en-US"/>
        </w:rPr>
      </w:pPr>
      <w:r>
        <w:rPr>
          <w:rFonts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5E6384" w:rsidRPr="005E6384" w:rsidRDefault="005E6384" w:rsidP="005E6384">
      <w:pPr>
        <w:rPr>
          <w:rStyle w:val="SCCAppellantForRunningHeadChar"/>
          <w:lang w:val="fr-CA"/>
        </w:rPr>
        <w:sectPr w:rsidR="005E6384" w:rsidRPr="005E6384" w:rsidSect="0039214E">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titlePg/>
          <w:docGrid w:linePitch="326"/>
        </w:sectPr>
      </w:pPr>
    </w:p>
    <w:p w:rsidR="008322BD" w:rsidRPr="00E31014" w:rsidRDefault="007B3CA1" w:rsidP="00140667">
      <w:pPr>
        <w:spacing w:line="480" w:lineRule="auto"/>
        <w:jc w:val="both"/>
        <w:rPr>
          <w:lang w:val="fr-CA"/>
        </w:rPr>
      </w:pPr>
      <w:r w:rsidRPr="007B3CA1">
        <w:rPr>
          <w:rStyle w:val="SCCAppellantForIndexChar"/>
          <w:b w:val="0"/>
          <w:lang w:val="fr-CA"/>
        </w:rPr>
        <w:lastRenderedPageBreak/>
        <w:t>R.</w:t>
      </w:r>
      <w:r w:rsidRPr="007B3CA1">
        <w:rPr>
          <w:lang w:val="fr-CA"/>
        </w:rPr>
        <w:t xml:space="preserve"> </w:t>
      </w:r>
      <w:r w:rsidRPr="007B3CA1">
        <w:rPr>
          <w:i/>
          <w:lang w:val="fr-CA"/>
        </w:rPr>
        <w:t>c.</w:t>
      </w:r>
      <w:r w:rsidRPr="007B3CA1">
        <w:rPr>
          <w:lang w:val="fr-CA"/>
        </w:rPr>
        <w:t xml:space="preserve"> </w:t>
      </w:r>
      <w:r w:rsidRPr="007B3CA1">
        <w:rPr>
          <w:rStyle w:val="SCCRespondentForIndexChar"/>
          <w:b w:val="0"/>
          <w:lang w:val="fr-CA"/>
        </w:rPr>
        <w:t>Caron</w:t>
      </w:r>
      <w:r>
        <w:rPr>
          <w:rStyle w:val="SCCRespondentForRunningHeadChar"/>
          <w:lang w:val="fr-CA"/>
        </w:rPr>
        <w:t xml:space="preserve">, </w:t>
      </w:r>
      <w:r w:rsidRPr="00516C7E">
        <w:rPr>
          <w:rStyle w:val="SCCRespondentForIndexChar"/>
          <w:b w:val="0"/>
          <w:lang w:val="fr-CA"/>
        </w:rPr>
        <w:t xml:space="preserve">2011 </w:t>
      </w:r>
      <w:r>
        <w:rPr>
          <w:rStyle w:val="SCCRespondentForIndexChar"/>
          <w:b w:val="0"/>
          <w:lang w:val="fr-CA"/>
        </w:rPr>
        <w:t>C</w:t>
      </w:r>
      <w:r w:rsidRPr="00516C7E">
        <w:rPr>
          <w:rStyle w:val="SCCRespondentForIndexChar"/>
          <w:b w:val="0"/>
          <w:lang w:val="fr-CA"/>
        </w:rPr>
        <w:t xml:space="preserve">SC </w:t>
      </w:r>
      <w:r>
        <w:rPr>
          <w:rStyle w:val="SCCRespondentForIndexChar"/>
          <w:b w:val="0"/>
          <w:lang w:val="fr-CA"/>
        </w:rPr>
        <w:t>5</w:t>
      </w:r>
      <w:r w:rsidRPr="00516C7E">
        <w:rPr>
          <w:rStyle w:val="SCCRespondentForIndexChar"/>
          <w:b w:val="0"/>
          <w:lang w:val="fr-CA"/>
        </w:rPr>
        <w:t xml:space="preserve">, [2011] 1 </w:t>
      </w:r>
      <w:r>
        <w:rPr>
          <w:rStyle w:val="SCCRespondentForIndexChar"/>
          <w:b w:val="0"/>
          <w:lang w:val="fr-CA"/>
        </w:rPr>
        <w:t>R.C.</w:t>
      </w:r>
      <w:r w:rsidRPr="00516C7E">
        <w:rPr>
          <w:rStyle w:val="SCCRespondentForIndexChar"/>
          <w:b w:val="0"/>
          <w:lang w:val="fr-CA"/>
        </w:rPr>
        <w:t xml:space="preserve">S. </w:t>
      </w:r>
      <w:r>
        <w:rPr>
          <w:rStyle w:val="SCCRespondentForIndexChar"/>
          <w:b w:val="0"/>
          <w:lang w:val="fr-CA"/>
        </w:rPr>
        <w:t>78</w:t>
      </w:r>
    </w:p>
    <w:p w:rsidR="00766D14" w:rsidRPr="00E31014" w:rsidRDefault="00766D14" w:rsidP="00D74F2E">
      <w:pPr>
        <w:jc w:val="both"/>
        <w:rPr>
          <w:lang w:val="fr-CA"/>
        </w:rPr>
      </w:pPr>
    </w:p>
    <w:p w:rsidR="00B83158" w:rsidRDefault="007E7A84" w:rsidP="00AC0926">
      <w:pPr>
        <w:pStyle w:val="SCCLsocParty"/>
        <w:tabs>
          <w:tab w:val="right" w:pos="8190"/>
        </w:tabs>
        <w:rPr>
          <w:i/>
          <w:lang w:val="fr-CA"/>
        </w:rPr>
      </w:pPr>
      <w:r w:rsidRPr="00E31014">
        <w:rPr>
          <w:b/>
          <w:lang w:val="fr-CA"/>
        </w:rPr>
        <w:t>Sa Majesté la Re</w:t>
      </w:r>
      <w:r w:rsidR="00702968" w:rsidRPr="00E31014">
        <w:rPr>
          <w:b/>
          <w:lang w:val="fr-CA"/>
        </w:rPr>
        <w:t>ine du chef de la province de l’</w:t>
      </w:r>
      <w:r w:rsidRPr="00E31014">
        <w:rPr>
          <w:b/>
          <w:lang w:val="fr-CA"/>
        </w:rPr>
        <w:t>Alberta</w:t>
      </w:r>
      <w:r w:rsidR="00AC0926">
        <w:rPr>
          <w:b/>
          <w:lang w:val="fr-CA"/>
        </w:rPr>
        <w:tab/>
      </w:r>
      <w:r w:rsidR="00AC0926" w:rsidRPr="00AC0926">
        <w:rPr>
          <w:i/>
          <w:lang w:val="fr-CA"/>
        </w:rPr>
        <w:t>Appelante</w:t>
      </w:r>
    </w:p>
    <w:p w:rsidR="00AC0926" w:rsidRPr="00AC0926" w:rsidRDefault="00AC0926" w:rsidP="00AC0926">
      <w:pPr>
        <w:rPr>
          <w:lang w:val="fr-CA" w:eastAsia="en-US"/>
        </w:rPr>
      </w:pPr>
    </w:p>
    <w:p w:rsidR="00B83158" w:rsidRPr="00E31014" w:rsidRDefault="007E7A84">
      <w:pPr>
        <w:pStyle w:val="SCCLsocVersus"/>
        <w:rPr>
          <w:i/>
          <w:lang w:val="fr-CA"/>
        </w:rPr>
      </w:pPr>
      <w:proofErr w:type="gramStart"/>
      <w:r w:rsidRPr="00E31014">
        <w:rPr>
          <w:i/>
          <w:lang w:val="fr-CA"/>
        </w:rPr>
        <w:t>c</w:t>
      </w:r>
      <w:proofErr w:type="gramEnd"/>
      <w:r w:rsidRPr="00E31014">
        <w:rPr>
          <w:i/>
          <w:lang w:val="fr-CA"/>
        </w:rPr>
        <w:t>.</w:t>
      </w:r>
      <w:r w:rsidRPr="00E31014">
        <w:rPr>
          <w:i/>
          <w:lang w:val="fr-CA"/>
        </w:rPr>
        <w:br/>
      </w:r>
    </w:p>
    <w:p w:rsidR="00B83158" w:rsidRPr="00E31014" w:rsidRDefault="007E7A84" w:rsidP="00AC0926">
      <w:pPr>
        <w:pStyle w:val="SCCLsocParty"/>
        <w:tabs>
          <w:tab w:val="right" w:pos="8190"/>
        </w:tabs>
        <w:rPr>
          <w:b/>
          <w:lang w:val="fr-CA"/>
        </w:rPr>
      </w:pPr>
      <w:r w:rsidRPr="00E31014">
        <w:rPr>
          <w:b/>
          <w:lang w:val="fr-CA"/>
        </w:rPr>
        <w:t>Gilles Caron</w:t>
      </w:r>
      <w:r w:rsidR="00AC0926">
        <w:rPr>
          <w:b/>
          <w:lang w:val="fr-CA"/>
        </w:rPr>
        <w:tab/>
      </w:r>
      <w:r w:rsidR="00AC0926" w:rsidRPr="00AC0926">
        <w:rPr>
          <w:i/>
          <w:lang w:val="fr-CA"/>
        </w:rPr>
        <w:t>Intimé</w:t>
      </w:r>
    </w:p>
    <w:p w:rsidR="00AC0926" w:rsidRDefault="00AC0926">
      <w:pPr>
        <w:pStyle w:val="SCCLsocOtherPartySeparator"/>
        <w:rPr>
          <w:lang w:val="fr-CA"/>
        </w:rPr>
      </w:pPr>
    </w:p>
    <w:p w:rsidR="00B83158" w:rsidRPr="00E31014" w:rsidRDefault="007E7A84">
      <w:pPr>
        <w:pStyle w:val="SCCLsocOtherPartySeparator"/>
        <w:rPr>
          <w:lang w:val="fr-CA"/>
        </w:rPr>
      </w:pPr>
      <w:proofErr w:type="gramStart"/>
      <w:r w:rsidRPr="00E31014">
        <w:rPr>
          <w:lang w:val="fr-CA"/>
        </w:rPr>
        <w:t>et</w:t>
      </w:r>
      <w:proofErr w:type="gramEnd"/>
      <w:r w:rsidRPr="00E31014">
        <w:rPr>
          <w:lang w:val="fr-CA"/>
        </w:rPr>
        <w:br/>
      </w:r>
    </w:p>
    <w:p w:rsidR="00702968" w:rsidRPr="00E31014" w:rsidRDefault="00702968" w:rsidP="00E31014">
      <w:pPr>
        <w:pStyle w:val="SCCLsocParty"/>
        <w:spacing w:after="0"/>
        <w:rPr>
          <w:b/>
          <w:lang w:val="fr-CA"/>
        </w:rPr>
      </w:pPr>
      <w:r w:rsidRPr="00E31014">
        <w:rPr>
          <w:b/>
          <w:lang w:val="fr-CA"/>
        </w:rPr>
        <w:t xml:space="preserve">Commissaire aux langues officielles du Canada, </w:t>
      </w:r>
    </w:p>
    <w:p w:rsidR="00B83158" w:rsidRPr="00E31014" w:rsidRDefault="007E7A84" w:rsidP="00E31014">
      <w:pPr>
        <w:pStyle w:val="SCCLsocParty"/>
        <w:spacing w:after="0"/>
        <w:rPr>
          <w:b/>
          <w:lang w:val="fr-CA"/>
        </w:rPr>
      </w:pPr>
      <w:r w:rsidRPr="00E31014">
        <w:rPr>
          <w:b/>
          <w:lang w:val="fr-CA"/>
        </w:rPr>
        <w:t xml:space="preserve">Association canadienne des libertés civiles, </w:t>
      </w:r>
    </w:p>
    <w:p w:rsidR="00B83158" w:rsidRPr="00E31014" w:rsidRDefault="007E7A84" w:rsidP="00E31014">
      <w:pPr>
        <w:pStyle w:val="SCCLsocParty"/>
        <w:spacing w:after="0"/>
        <w:rPr>
          <w:b/>
          <w:lang w:val="fr-CA"/>
        </w:rPr>
      </w:pPr>
      <w:r w:rsidRPr="00E31014">
        <w:rPr>
          <w:b/>
          <w:lang w:val="fr-CA"/>
        </w:rPr>
        <w:t xml:space="preserve">Conseil des Canadiens avec déficiences, </w:t>
      </w:r>
    </w:p>
    <w:p w:rsidR="00702968" w:rsidRPr="00E31014" w:rsidRDefault="007E7A84" w:rsidP="00E31014">
      <w:pPr>
        <w:pStyle w:val="SCCLsocParty"/>
        <w:spacing w:after="0"/>
        <w:rPr>
          <w:b/>
          <w:lang w:val="fr-CA"/>
        </w:rPr>
      </w:pPr>
      <w:r w:rsidRPr="00E31014">
        <w:rPr>
          <w:b/>
          <w:lang w:val="fr-CA"/>
        </w:rPr>
        <w:t xml:space="preserve">Comité de la Charte et des questions de pauvreté, </w:t>
      </w:r>
    </w:p>
    <w:p w:rsidR="00702968" w:rsidRPr="00E31014" w:rsidRDefault="00702968" w:rsidP="00E31014">
      <w:pPr>
        <w:pStyle w:val="SCCLsocParty"/>
        <w:spacing w:after="0"/>
        <w:rPr>
          <w:b/>
          <w:lang w:val="en-US"/>
        </w:rPr>
      </w:pPr>
      <w:r w:rsidRPr="00E31014">
        <w:rPr>
          <w:b/>
          <w:lang w:val="en-US"/>
        </w:rPr>
        <w:t>Poverty and Human Rights Centre,</w:t>
      </w:r>
      <w:r w:rsidR="007E7A84" w:rsidRPr="00E31014">
        <w:rPr>
          <w:b/>
          <w:lang w:val="en-US"/>
        </w:rPr>
        <w:t xml:space="preserve"> </w:t>
      </w:r>
    </w:p>
    <w:p w:rsidR="00B83158" w:rsidRPr="00E31014" w:rsidRDefault="00702968" w:rsidP="00E31014">
      <w:pPr>
        <w:pStyle w:val="SCCLsocParty"/>
        <w:spacing w:after="0"/>
        <w:rPr>
          <w:b/>
          <w:lang w:val="fr-CA"/>
        </w:rPr>
      </w:pPr>
      <w:r w:rsidRPr="00E31014">
        <w:rPr>
          <w:b/>
          <w:lang w:val="fr-CA"/>
        </w:rPr>
        <w:t>Fonds d’action et d’</w:t>
      </w:r>
      <w:r w:rsidR="007E7A84" w:rsidRPr="00E31014">
        <w:rPr>
          <w:b/>
          <w:lang w:val="fr-CA"/>
        </w:rPr>
        <w:t xml:space="preserve">éducation juridiques pour les femmes, </w:t>
      </w:r>
    </w:p>
    <w:p w:rsidR="00B83158" w:rsidRPr="00E31014" w:rsidRDefault="00EA67CE" w:rsidP="00E31014">
      <w:pPr>
        <w:pStyle w:val="SCCLsocParty"/>
        <w:spacing w:after="0"/>
        <w:rPr>
          <w:b/>
          <w:lang w:val="fr-CA"/>
        </w:rPr>
      </w:pPr>
      <w:r w:rsidRPr="00E31014">
        <w:rPr>
          <w:b/>
          <w:lang w:val="fr-CA"/>
        </w:rPr>
        <w:t xml:space="preserve">Association </w:t>
      </w:r>
      <w:proofErr w:type="spellStart"/>
      <w:r w:rsidRPr="00E31014">
        <w:rPr>
          <w:b/>
          <w:lang w:val="fr-CA"/>
        </w:rPr>
        <w:t>canadienne</w:t>
      </w:r>
      <w:r w:rsidRPr="00E31014">
        <w:rPr>
          <w:b/>
          <w:lang w:val="fr-CA"/>
        </w:rPr>
        <w:noBreakHyphen/>
      </w:r>
      <w:r w:rsidR="00702968" w:rsidRPr="00E31014">
        <w:rPr>
          <w:b/>
          <w:lang w:val="fr-CA"/>
        </w:rPr>
        <w:t>française</w:t>
      </w:r>
      <w:proofErr w:type="spellEnd"/>
      <w:r w:rsidR="00702968" w:rsidRPr="00E31014">
        <w:rPr>
          <w:b/>
          <w:lang w:val="fr-CA"/>
        </w:rPr>
        <w:t xml:space="preserve"> de l’Alberta et</w:t>
      </w:r>
      <w:r w:rsidR="007E7A84" w:rsidRPr="00E31014">
        <w:rPr>
          <w:b/>
          <w:lang w:val="fr-CA"/>
        </w:rPr>
        <w:t xml:space="preserve"> </w:t>
      </w:r>
    </w:p>
    <w:p w:rsidR="00B83158" w:rsidRPr="00AC0926" w:rsidRDefault="007E7A84" w:rsidP="00AC0926">
      <w:pPr>
        <w:pStyle w:val="SCCLsocParty"/>
        <w:tabs>
          <w:tab w:val="right" w:pos="8190"/>
        </w:tabs>
        <w:spacing w:after="0"/>
        <w:rPr>
          <w:b/>
          <w:lang w:val="en-US"/>
        </w:rPr>
      </w:pPr>
      <w:r w:rsidRPr="00E31014">
        <w:rPr>
          <w:b/>
          <w:lang w:val="en-US"/>
        </w:rPr>
        <w:t xml:space="preserve">David </w:t>
      </w:r>
      <w:proofErr w:type="spellStart"/>
      <w:r w:rsidRPr="00E31014">
        <w:rPr>
          <w:b/>
          <w:lang w:val="en-US"/>
        </w:rPr>
        <w:t>Asper</w:t>
      </w:r>
      <w:proofErr w:type="spellEnd"/>
      <w:r w:rsidRPr="00E31014">
        <w:rPr>
          <w:b/>
          <w:lang w:val="en-US"/>
        </w:rPr>
        <w:t xml:space="preserve"> Centre for Constitutional Rights</w:t>
      </w:r>
      <w:r w:rsidR="00AC0926">
        <w:rPr>
          <w:b/>
          <w:lang w:val="en-US"/>
        </w:rPr>
        <w:tab/>
      </w:r>
      <w:proofErr w:type="spellStart"/>
      <w:r w:rsidR="00AC0926" w:rsidRPr="00AC0926">
        <w:rPr>
          <w:i/>
          <w:lang w:val="en-US"/>
        </w:rPr>
        <w:t>Intervenants</w:t>
      </w:r>
      <w:proofErr w:type="spellEnd"/>
    </w:p>
    <w:p w:rsidR="00B83158" w:rsidRPr="00AC0926" w:rsidRDefault="00B83158">
      <w:pPr>
        <w:pStyle w:val="SCCLsocPartyRole"/>
        <w:rPr>
          <w:lang w:val="en-US"/>
        </w:rPr>
      </w:pPr>
    </w:p>
    <w:p w:rsidR="00766D14" w:rsidRPr="00AC0926" w:rsidRDefault="00766D14" w:rsidP="00D74F2E">
      <w:pPr>
        <w:jc w:val="both"/>
        <w:rPr>
          <w:lang w:val="en-US"/>
        </w:rPr>
      </w:pPr>
    </w:p>
    <w:p w:rsidR="007834A8" w:rsidRPr="00AC0926" w:rsidRDefault="007834A8" w:rsidP="00D74F2E">
      <w:pPr>
        <w:jc w:val="both"/>
        <w:rPr>
          <w:lang w:val="en-US"/>
        </w:rPr>
      </w:pPr>
    </w:p>
    <w:p w:rsidR="007834A8" w:rsidRPr="00AC0926" w:rsidRDefault="007834A8" w:rsidP="00D74F2E">
      <w:pPr>
        <w:jc w:val="both"/>
        <w:rPr>
          <w:lang w:val="en-US"/>
        </w:rPr>
      </w:pPr>
    </w:p>
    <w:p w:rsidR="00426659" w:rsidRPr="00E31014" w:rsidRDefault="0043088E" w:rsidP="00D74F2E">
      <w:pPr>
        <w:jc w:val="both"/>
        <w:rPr>
          <w:b/>
          <w:lang w:val="fr-CA"/>
        </w:rPr>
      </w:pPr>
      <w:r w:rsidRPr="00E31014">
        <w:rPr>
          <w:b/>
          <w:lang w:val="fr-CA"/>
        </w:rPr>
        <w:t>Répertorié</w:t>
      </w:r>
      <w:r w:rsidR="00C67CA5" w:rsidRPr="00E31014">
        <w:rPr>
          <w:b/>
          <w:lang w:val="fr-CA"/>
        </w:rPr>
        <w:t> </w:t>
      </w:r>
      <w:r w:rsidR="00426659" w:rsidRPr="00E31014">
        <w:rPr>
          <w:b/>
          <w:lang w:val="fr-CA"/>
        </w:rPr>
        <w:t>:</w:t>
      </w:r>
      <w:r w:rsidR="00C67CA5" w:rsidRPr="00E31014">
        <w:rPr>
          <w:b/>
          <w:lang w:val="fr-CA"/>
        </w:rPr>
        <w:t> </w:t>
      </w:r>
      <w:r w:rsidRPr="00E31014">
        <w:rPr>
          <w:rStyle w:val="SCCAppellantForIndexChar"/>
          <w:lang w:val="fr-CA"/>
        </w:rPr>
        <w:t>R.</w:t>
      </w:r>
      <w:r w:rsidR="00426659" w:rsidRPr="00E31014">
        <w:rPr>
          <w:b/>
          <w:lang w:val="fr-CA"/>
        </w:rPr>
        <w:t xml:space="preserve"> </w:t>
      </w:r>
      <w:r w:rsidR="00645057" w:rsidRPr="00E31014">
        <w:rPr>
          <w:b/>
          <w:i/>
          <w:lang w:val="fr-CA"/>
        </w:rPr>
        <w:t>c</w:t>
      </w:r>
      <w:r w:rsidR="00426659" w:rsidRPr="00E31014">
        <w:rPr>
          <w:b/>
          <w:i/>
          <w:lang w:val="fr-CA"/>
        </w:rPr>
        <w:t>.</w:t>
      </w:r>
      <w:r w:rsidR="00426659" w:rsidRPr="00E31014">
        <w:rPr>
          <w:b/>
          <w:lang w:val="fr-CA"/>
        </w:rPr>
        <w:t xml:space="preserve"> </w:t>
      </w:r>
      <w:r w:rsidRPr="00E31014">
        <w:rPr>
          <w:rStyle w:val="SCCRespondentForIndexChar"/>
          <w:lang w:val="fr-CA"/>
        </w:rPr>
        <w:t>Caron</w:t>
      </w:r>
    </w:p>
    <w:p w:rsidR="00426659" w:rsidRPr="00E31014" w:rsidRDefault="00426659" w:rsidP="00D74F2E">
      <w:pPr>
        <w:jc w:val="both"/>
        <w:rPr>
          <w:lang w:val="fr-CA"/>
        </w:rPr>
      </w:pPr>
    </w:p>
    <w:p w:rsidR="007834A8" w:rsidRPr="00E31014" w:rsidRDefault="007834A8" w:rsidP="00D74F2E">
      <w:pPr>
        <w:jc w:val="both"/>
        <w:rPr>
          <w:lang w:val="fr-CA"/>
        </w:rPr>
      </w:pPr>
    </w:p>
    <w:p w:rsidR="007834A8" w:rsidRPr="00E31014" w:rsidRDefault="007834A8" w:rsidP="00D74F2E">
      <w:pPr>
        <w:jc w:val="both"/>
        <w:rPr>
          <w:lang w:val="fr-CA"/>
        </w:rPr>
      </w:pPr>
    </w:p>
    <w:p w:rsidR="00426659" w:rsidRPr="00E31014" w:rsidRDefault="00F853FB" w:rsidP="00D74F2E">
      <w:pPr>
        <w:pStyle w:val="SCCSystemYear"/>
        <w:jc w:val="both"/>
        <w:rPr>
          <w:lang w:val="fr-CA"/>
        </w:rPr>
      </w:pPr>
      <w:r w:rsidRPr="00E31014">
        <w:rPr>
          <w:lang w:val="fr-CA"/>
        </w:rPr>
        <w:t>201</w:t>
      </w:r>
      <w:r w:rsidR="000A72A5" w:rsidRPr="00E31014">
        <w:rPr>
          <w:lang w:val="fr-CA"/>
        </w:rPr>
        <w:t>1</w:t>
      </w:r>
      <w:r w:rsidR="00D63FED" w:rsidRPr="00E31014">
        <w:rPr>
          <w:lang w:val="fr-CA"/>
        </w:rPr>
        <w:t> </w:t>
      </w:r>
      <w:r w:rsidR="00C71F58" w:rsidRPr="00E31014">
        <w:rPr>
          <w:lang w:val="fr-CA"/>
        </w:rPr>
        <w:t>C</w:t>
      </w:r>
      <w:r w:rsidR="00426659" w:rsidRPr="00E31014">
        <w:rPr>
          <w:lang w:val="fr-CA"/>
        </w:rPr>
        <w:t>SC </w:t>
      </w:r>
      <w:r w:rsidR="00AC5E94" w:rsidRPr="00E31014">
        <w:rPr>
          <w:lang w:val="fr-CA"/>
        </w:rPr>
        <w:t>5</w:t>
      </w:r>
    </w:p>
    <w:p w:rsidR="00426659" w:rsidRPr="00E31014" w:rsidRDefault="00426659" w:rsidP="00D74F2E">
      <w:pPr>
        <w:jc w:val="both"/>
        <w:rPr>
          <w:lang w:val="fr-CA"/>
        </w:rPr>
      </w:pPr>
    </w:p>
    <w:p w:rsidR="007834A8" w:rsidRPr="00E31014" w:rsidRDefault="007834A8" w:rsidP="00D74F2E">
      <w:pPr>
        <w:jc w:val="both"/>
        <w:rPr>
          <w:lang w:val="fr-CA"/>
        </w:rPr>
      </w:pPr>
    </w:p>
    <w:p w:rsidR="007834A8" w:rsidRPr="00E31014" w:rsidRDefault="007834A8" w:rsidP="00D74F2E">
      <w:pPr>
        <w:jc w:val="both"/>
        <w:rPr>
          <w:lang w:val="fr-CA"/>
        </w:rPr>
      </w:pPr>
    </w:p>
    <w:p w:rsidR="008322BD" w:rsidRPr="00E31014" w:rsidRDefault="009B57B3" w:rsidP="00D74F2E">
      <w:pPr>
        <w:jc w:val="both"/>
        <w:rPr>
          <w:lang w:val="fr-CA"/>
        </w:rPr>
      </w:pPr>
      <w:r w:rsidRPr="00E31014">
        <w:rPr>
          <w:lang w:val="fr-CA"/>
        </w:rPr>
        <w:t>N</w:t>
      </w:r>
      <w:r w:rsidRPr="00E31014">
        <w:rPr>
          <w:vertAlign w:val="superscript"/>
          <w:lang w:val="fr-CA"/>
        </w:rPr>
        <w:t>o</w:t>
      </w:r>
      <w:r w:rsidR="0043088E" w:rsidRPr="00E31014">
        <w:rPr>
          <w:lang w:val="fr-CA"/>
        </w:rPr>
        <w:t xml:space="preserve"> du greffe</w:t>
      </w:r>
      <w:r w:rsidR="00C67CA5" w:rsidRPr="00E31014">
        <w:rPr>
          <w:lang w:val="fr-CA"/>
        </w:rPr>
        <w:t> </w:t>
      </w:r>
      <w:r w:rsidRPr="00E31014">
        <w:rPr>
          <w:lang w:val="fr-CA"/>
        </w:rPr>
        <w:t>:</w:t>
      </w:r>
      <w:r w:rsidR="00C67CA5" w:rsidRPr="00E31014">
        <w:rPr>
          <w:lang w:val="fr-CA"/>
        </w:rPr>
        <w:t> </w:t>
      </w:r>
      <w:r w:rsidRPr="00E31014">
        <w:rPr>
          <w:lang w:val="fr-CA"/>
        </w:rPr>
        <w:t>33092.</w:t>
      </w:r>
    </w:p>
    <w:p w:rsidR="00E97830" w:rsidRPr="00E31014" w:rsidRDefault="00E97830" w:rsidP="00D74F2E">
      <w:pPr>
        <w:jc w:val="both"/>
        <w:rPr>
          <w:lang w:val="fr-CA"/>
        </w:rPr>
      </w:pPr>
    </w:p>
    <w:p w:rsidR="007834A8" w:rsidRPr="00E31014" w:rsidRDefault="007834A8" w:rsidP="00D74F2E">
      <w:pPr>
        <w:jc w:val="both"/>
        <w:rPr>
          <w:lang w:val="fr-CA"/>
        </w:rPr>
      </w:pPr>
    </w:p>
    <w:p w:rsidR="007834A8" w:rsidRPr="00E31014" w:rsidRDefault="007834A8" w:rsidP="00D74F2E">
      <w:pPr>
        <w:jc w:val="both"/>
        <w:rPr>
          <w:lang w:val="fr-CA"/>
        </w:rPr>
      </w:pPr>
    </w:p>
    <w:p w:rsidR="008322BD" w:rsidRPr="00E31014" w:rsidRDefault="00F853FB" w:rsidP="00D74F2E">
      <w:pPr>
        <w:jc w:val="both"/>
        <w:rPr>
          <w:lang w:val="fr-CA"/>
        </w:rPr>
      </w:pPr>
      <w:r w:rsidRPr="00E31014">
        <w:rPr>
          <w:lang w:val="fr-CA"/>
        </w:rPr>
        <w:t>2010</w:t>
      </w:r>
      <w:r w:rsidR="00463939" w:rsidRPr="00E31014">
        <w:rPr>
          <w:lang w:val="fr-CA"/>
        </w:rPr>
        <w:t> :</w:t>
      </w:r>
      <w:r w:rsidR="00D63FED" w:rsidRPr="00E31014">
        <w:rPr>
          <w:lang w:val="fr-CA"/>
        </w:rPr>
        <w:t> 13 </w:t>
      </w:r>
      <w:r w:rsidRPr="00E31014">
        <w:rPr>
          <w:lang w:val="fr-CA"/>
        </w:rPr>
        <w:t>avril</w:t>
      </w:r>
      <w:r w:rsidR="009B57B3" w:rsidRPr="00E31014">
        <w:rPr>
          <w:lang w:val="fr-CA"/>
        </w:rPr>
        <w:t xml:space="preserve">; </w:t>
      </w:r>
      <w:r w:rsidR="00463939" w:rsidRPr="00E31014">
        <w:rPr>
          <w:lang w:val="fr-CA"/>
        </w:rPr>
        <w:t>2011 :</w:t>
      </w:r>
      <w:r w:rsidR="00D63FED" w:rsidRPr="00E31014">
        <w:rPr>
          <w:lang w:val="fr-CA"/>
        </w:rPr>
        <w:t> 4 </w:t>
      </w:r>
      <w:r w:rsidR="000B4C35" w:rsidRPr="00E31014">
        <w:rPr>
          <w:lang w:val="fr-CA"/>
        </w:rPr>
        <w:t>février</w:t>
      </w:r>
      <w:r w:rsidR="009B57B3" w:rsidRPr="00E31014">
        <w:rPr>
          <w:lang w:val="fr-CA"/>
        </w:rPr>
        <w:t>.</w:t>
      </w:r>
    </w:p>
    <w:p w:rsidR="00E97830" w:rsidRPr="00E31014" w:rsidRDefault="00E97830" w:rsidP="00D74F2E">
      <w:pPr>
        <w:jc w:val="both"/>
        <w:rPr>
          <w:lang w:val="fr-CA"/>
        </w:rPr>
      </w:pPr>
    </w:p>
    <w:p w:rsidR="007834A8" w:rsidRPr="00E31014" w:rsidRDefault="007834A8" w:rsidP="00D74F2E">
      <w:pPr>
        <w:jc w:val="both"/>
        <w:rPr>
          <w:lang w:val="fr-CA"/>
        </w:rPr>
      </w:pPr>
    </w:p>
    <w:p w:rsidR="007834A8" w:rsidRPr="00E31014" w:rsidRDefault="007834A8" w:rsidP="00D74F2E">
      <w:pPr>
        <w:jc w:val="both"/>
        <w:rPr>
          <w:lang w:val="fr-CA"/>
        </w:rPr>
      </w:pPr>
    </w:p>
    <w:p w:rsidR="008322BD" w:rsidRPr="00E31014" w:rsidRDefault="009B57B3" w:rsidP="00D74F2E">
      <w:pPr>
        <w:jc w:val="both"/>
        <w:rPr>
          <w:lang w:val="fr-CA"/>
        </w:rPr>
      </w:pPr>
      <w:r w:rsidRPr="00E31014">
        <w:rPr>
          <w:lang w:val="fr-CA"/>
        </w:rPr>
        <w:t>Pr</w:t>
      </w:r>
      <w:r w:rsidR="0043088E" w:rsidRPr="00E31014">
        <w:rPr>
          <w:lang w:val="fr-CA"/>
        </w:rPr>
        <w:t>é</w:t>
      </w:r>
      <w:r w:rsidRPr="00E31014">
        <w:rPr>
          <w:lang w:val="fr-CA"/>
        </w:rPr>
        <w:t>sent</w:t>
      </w:r>
      <w:r w:rsidR="008A6558" w:rsidRPr="00E31014">
        <w:rPr>
          <w:lang w:val="fr-CA"/>
        </w:rPr>
        <w:t>s</w:t>
      </w:r>
      <w:r w:rsidR="00C67CA5" w:rsidRPr="00E31014">
        <w:rPr>
          <w:lang w:val="fr-CA"/>
        </w:rPr>
        <w:t> </w:t>
      </w:r>
      <w:r w:rsidRPr="00E31014">
        <w:rPr>
          <w:lang w:val="fr-CA"/>
        </w:rPr>
        <w:t>:</w:t>
      </w:r>
      <w:r w:rsidR="00C67CA5" w:rsidRPr="00E31014">
        <w:rPr>
          <w:lang w:val="fr-CA"/>
        </w:rPr>
        <w:t> </w:t>
      </w:r>
      <w:r w:rsidRPr="00E31014">
        <w:rPr>
          <w:lang w:val="fr-CA"/>
        </w:rPr>
        <w:t xml:space="preserve">La juge en chef </w:t>
      </w:r>
      <w:proofErr w:type="spellStart"/>
      <w:r w:rsidRPr="00E31014">
        <w:rPr>
          <w:lang w:val="fr-CA"/>
        </w:rPr>
        <w:t>McLachlin</w:t>
      </w:r>
      <w:proofErr w:type="spellEnd"/>
      <w:r w:rsidRPr="00E31014">
        <w:rPr>
          <w:lang w:val="fr-CA"/>
        </w:rPr>
        <w:t xml:space="preserve"> et les juges </w:t>
      </w:r>
      <w:proofErr w:type="spellStart"/>
      <w:r w:rsidRPr="00E31014">
        <w:rPr>
          <w:lang w:val="fr-CA"/>
        </w:rPr>
        <w:t>Binnie</w:t>
      </w:r>
      <w:proofErr w:type="spellEnd"/>
      <w:r w:rsidRPr="00E31014">
        <w:rPr>
          <w:lang w:val="fr-CA"/>
        </w:rPr>
        <w:t xml:space="preserve">, </w:t>
      </w:r>
      <w:proofErr w:type="spellStart"/>
      <w:r w:rsidRPr="00E31014">
        <w:rPr>
          <w:lang w:val="fr-CA"/>
        </w:rPr>
        <w:t>LeBel</w:t>
      </w:r>
      <w:proofErr w:type="spellEnd"/>
      <w:r w:rsidRPr="00E31014">
        <w:rPr>
          <w:lang w:val="fr-CA"/>
        </w:rPr>
        <w:t xml:space="preserve">, Deschamps, Fish, Abella, Charron, </w:t>
      </w:r>
      <w:proofErr w:type="spellStart"/>
      <w:r w:rsidRPr="00E31014">
        <w:rPr>
          <w:lang w:val="fr-CA"/>
        </w:rPr>
        <w:t>Rothstein</w:t>
      </w:r>
      <w:proofErr w:type="spellEnd"/>
      <w:r w:rsidRPr="00E31014">
        <w:rPr>
          <w:lang w:val="fr-CA"/>
        </w:rPr>
        <w:t xml:space="preserve"> et Cromwell.</w:t>
      </w:r>
    </w:p>
    <w:p w:rsidR="00E97830" w:rsidRPr="00E31014" w:rsidRDefault="00E97830" w:rsidP="00D74F2E">
      <w:pPr>
        <w:jc w:val="both"/>
        <w:rPr>
          <w:lang w:val="fr-CA"/>
        </w:rPr>
      </w:pPr>
    </w:p>
    <w:p w:rsidR="007834A8" w:rsidRPr="00E31014" w:rsidRDefault="007834A8" w:rsidP="00D74F2E">
      <w:pPr>
        <w:jc w:val="both"/>
        <w:rPr>
          <w:lang w:val="fr-CA"/>
        </w:rPr>
      </w:pPr>
    </w:p>
    <w:p w:rsidR="007834A8" w:rsidRPr="00E31014" w:rsidRDefault="007834A8" w:rsidP="00D74F2E">
      <w:pPr>
        <w:jc w:val="both"/>
        <w:rPr>
          <w:lang w:val="fr-CA"/>
        </w:rPr>
      </w:pPr>
    </w:p>
    <w:p w:rsidR="008322BD" w:rsidRPr="00E31014" w:rsidRDefault="00AC7437" w:rsidP="00D63FED">
      <w:pPr>
        <w:pStyle w:val="SCCLowerCourtNameLowercase"/>
        <w:spacing w:after="480"/>
        <w:rPr>
          <w:lang w:val="fr-CA"/>
        </w:rPr>
      </w:pPr>
      <w:r w:rsidRPr="00E31014">
        <w:rPr>
          <w:lang w:val="fr-CA"/>
        </w:rPr>
        <w:t>e</w:t>
      </w:r>
      <w:r w:rsidR="00855307" w:rsidRPr="00E31014">
        <w:rPr>
          <w:lang w:val="fr-CA"/>
        </w:rPr>
        <w:t>n</w:t>
      </w:r>
      <w:r w:rsidR="00224FC0" w:rsidRPr="00E31014">
        <w:rPr>
          <w:lang w:val="fr-CA"/>
        </w:rPr>
        <w:t xml:space="preserve"> </w:t>
      </w:r>
      <w:r w:rsidR="00855307" w:rsidRPr="00E31014">
        <w:rPr>
          <w:lang w:val="fr-CA"/>
        </w:rPr>
        <w:t>appel</w:t>
      </w:r>
      <w:r w:rsidR="00224FC0" w:rsidRPr="00E31014">
        <w:rPr>
          <w:lang w:val="fr-CA"/>
        </w:rPr>
        <w:t xml:space="preserve"> </w:t>
      </w:r>
      <w:r w:rsidR="00855307" w:rsidRPr="00E31014">
        <w:rPr>
          <w:lang w:val="fr-CA"/>
        </w:rPr>
        <w:t>de</w:t>
      </w:r>
      <w:r w:rsidR="0043088E" w:rsidRPr="00E31014">
        <w:rPr>
          <w:lang w:val="fr-CA"/>
        </w:rPr>
        <w:t xml:space="preserve"> </w:t>
      </w:r>
      <w:r w:rsidR="00855307" w:rsidRPr="00E31014">
        <w:rPr>
          <w:lang w:val="fr-CA"/>
        </w:rPr>
        <w:t>la</w:t>
      </w:r>
      <w:r w:rsidR="00224FC0" w:rsidRPr="00E31014">
        <w:rPr>
          <w:lang w:val="fr-CA"/>
        </w:rPr>
        <w:t xml:space="preserve"> </w:t>
      </w:r>
      <w:r w:rsidR="00702968" w:rsidRPr="00E31014">
        <w:rPr>
          <w:lang w:val="fr-CA"/>
        </w:rPr>
        <w:t>cour d’</w:t>
      </w:r>
      <w:r w:rsidR="009B57B3" w:rsidRPr="00E31014">
        <w:rPr>
          <w:lang w:val="fr-CA"/>
        </w:rPr>
        <w:t>appel de l’</w:t>
      </w:r>
      <w:proofErr w:type="spellStart"/>
      <w:r w:rsidR="009B57B3" w:rsidRPr="00E31014">
        <w:rPr>
          <w:lang w:val="fr-CA"/>
        </w:rPr>
        <w:t>alberta</w:t>
      </w:r>
      <w:proofErr w:type="spellEnd"/>
    </w:p>
    <w:p w:rsidR="000B4C35" w:rsidRPr="00E31014" w:rsidRDefault="009B57B3" w:rsidP="00CD4256">
      <w:pPr>
        <w:pStyle w:val="SCCNormalDoubleSpacing"/>
        <w:spacing w:after="480"/>
        <w:rPr>
          <w:i/>
          <w:lang w:val="fr-CA"/>
        </w:rPr>
      </w:pPr>
      <w:r w:rsidRPr="00E31014">
        <w:rPr>
          <w:i/>
          <w:lang w:val="fr-CA"/>
        </w:rPr>
        <w:tab/>
      </w:r>
      <w:r w:rsidR="000B4C35" w:rsidRPr="00E31014">
        <w:rPr>
          <w:i/>
          <w:lang w:val="fr-CA"/>
        </w:rPr>
        <w:t xml:space="preserve">Tribunaux </w:t>
      </w:r>
      <w:r w:rsidR="006151A8" w:rsidRPr="00E31014">
        <w:rPr>
          <w:i/>
          <w:lang w:val="fr-CA"/>
        </w:rPr>
        <w:t xml:space="preserve">— </w:t>
      </w:r>
      <w:r w:rsidR="000B4C35" w:rsidRPr="00E31014">
        <w:rPr>
          <w:i/>
          <w:lang w:val="fr-CA"/>
        </w:rPr>
        <w:t xml:space="preserve">Compétence </w:t>
      </w:r>
      <w:r w:rsidR="006151A8" w:rsidRPr="00E31014">
        <w:rPr>
          <w:i/>
          <w:lang w:val="fr-CA"/>
        </w:rPr>
        <w:t xml:space="preserve">— </w:t>
      </w:r>
      <w:r w:rsidR="000B4C35" w:rsidRPr="00E31014">
        <w:rPr>
          <w:i/>
          <w:lang w:val="fr-CA"/>
        </w:rPr>
        <w:t xml:space="preserve">Provisions pour frais </w:t>
      </w:r>
      <w:r w:rsidR="006151A8" w:rsidRPr="00E31014">
        <w:rPr>
          <w:i/>
          <w:lang w:val="fr-CA"/>
        </w:rPr>
        <w:t xml:space="preserve">— </w:t>
      </w:r>
      <w:r w:rsidR="000B4C35" w:rsidRPr="00E31014">
        <w:rPr>
          <w:i/>
          <w:lang w:val="fr-CA"/>
        </w:rPr>
        <w:t>Importante question constitutionnelle</w:t>
      </w:r>
      <w:r w:rsidR="00946689" w:rsidRPr="00E31014">
        <w:rPr>
          <w:i/>
          <w:lang w:val="fr-CA"/>
        </w:rPr>
        <w:t xml:space="preserve"> soulevée en cour provinciale</w:t>
      </w:r>
      <w:r w:rsidR="000B4C35" w:rsidRPr="00E31014">
        <w:rPr>
          <w:i/>
          <w:lang w:val="fr-CA"/>
        </w:rPr>
        <w:t xml:space="preserve"> </w:t>
      </w:r>
      <w:r w:rsidR="006151A8" w:rsidRPr="00E31014">
        <w:rPr>
          <w:i/>
          <w:lang w:val="fr-CA"/>
        </w:rPr>
        <w:t>—</w:t>
      </w:r>
      <w:r w:rsidR="00D22AF6" w:rsidRPr="00E31014">
        <w:rPr>
          <w:i/>
          <w:lang w:val="fr-CA"/>
        </w:rPr>
        <w:t xml:space="preserve"> </w:t>
      </w:r>
      <w:r w:rsidR="00465E97" w:rsidRPr="00E31014">
        <w:rPr>
          <w:i/>
          <w:lang w:val="fr-CA"/>
        </w:rPr>
        <w:t>O</w:t>
      </w:r>
      <w:r w:rsidR="00FB10CB" w:rsidRPr="00E31014">
        <w:rPr>
          <w:i/>
          <w:lang w:val="fr-CA"/>
        </w:rPr>
        <w:t>rdonnance de provision pour frais</w:t>
      </w:r>
      <w:r w:rsidR="00465E97" w:rsidRPr="00E31014">
        <w:rPr>
          <w:i/>
          <w:lang w:val="fr-CA"/>
        </w:rPr>
        <w:t xml:space="preserve"> rendue par la cour supérieure</w:t>
      </w:r>
      <w:r w:rsidR="00D22AF6" w:rsidRPr="00E31014">
        <w:rPr>
          <w:i/>
          <w:lang w:val="fr-CA"/>
        </w:rPr>
        <w:t xml:space="preserve"> dans </w:t>
      </w:r>
      <w:r w:rsidR="00946689" w:rsidRPr="00E31014">
        <w:rPr>
          <w:i/>
          <w:lang w:val="fr-CA"/>
        </w:rPr>
        <w:t>l’</w:t>
      </w:r>
      <w:r w:rsidR="00D22AF6" w:rsidRPr="00E31014">
        <w:rPr>
          <w:i/>
          <w:lang w:val="fr-CA"/>
        </w:rPr>
        <w:t>instance</w:t>
      </w:r>
      <w:r w:rsidR="00946689" w:rsidRPr="00E31014">
        <w:rPr>
          <w:i/>
          <w:lang w:val="fr-CA"/>
        </w:rPr>
        <w:t xml:space="preserve"> </w:t>
      </w:r>
      <w:r w:rsidR="008A622A">
        <w:rPr>
          <w:i/>
          <w:lang w:val="fr-CA"/>
        </w:rPr>
        <w:t>devant</w:t>
      </w:r>
      <w:r w:rsidR="00946689" w:rsidRPr="00E31014">
        <w:rPr>
          <w:i/>
          <w:lang w:val="fr-CA"/>
        </w:rPr>
        <w:t xml:space="preserve"> </w:t>
      </w:r>
      <w:r w:rsidR="00D22AF6" w:rsidRPr="00E31014">
        <w:rPr>
          <w:i/>
          <w:lang w:val="fr-CA"/>
        </w:rPr>
        <w:t>la cour provinciale</w:t>
      </w:r>
      <w:r w:rsidR="00FB10CB" w:rsidRPr="00E31014">
        <w:rPr>
          <w:i/>
          <w:lang w:val="fr-CA"/>
        </w:rPr>
        <w:t xml:space="preserve"> </w:t>
      </w:r>
      <w:r w:rsidR="006151A8" w:rsidRPr="00E31014">
        <w:rPr>
          <w:i/>
          <w:lang w:val="fr-CA"/>
        </w:rPr>
        <w:t xml:space="preserve">— </w:t>
      </w:r>
      <w:r w:rsidR="000314DA" w:rsidRPr="00E31014">
        <w:rPr>
          <w:i/>
          <w:lang w:val="fr-CA"/>
        </w:rPr>
        <w:t xml:space="preserve">La cour supérieure </w:t>
      </w:r>
      <w:proofErr w:type="spellStart"/>
      <w:r w:rsidR="000314DA" w:rsidRPr="00E31014">
        <w:rPr>
          <w:i/>
          <w:lang w:val="fr-CA"/>
        </w:rPr>
        <w:t>a</w:t>
      </w:r>
      <w:r w:rsidR="00EA67CE" w:rsidRPr="00E31014">
        <w:rPr>
          <w:i/>
          <w:lang w:val="fr-CA"/>
        </w:rPr>
        <w:noBreakHyphen/>
      </w:r>
      <w:r w:rsidR="000314DA" w:rsidRPr="00E31014">
        <w:rPr>
          <w:i/>
          <w:lang w:val="fr-CA"/>
        </w:rPr>
        <w:t>t</w:t>
      </w:r>
      <w:r w:rsidR="00EA67CE" w:rsidRPr="00E31014">
        <w:rPr>
          <w:i/>
          <w:lang w:val="fr-CA"/>
        </w:rPr>
        <w:noBreakHyphen/>
      </w:r>
      <w:r w:rsidR="000314DA" w:rsidRPr="00E31014">
        <w:rPr>
          <w:i/>
          <w:lang w:val="fr-CA"/>
        </w:rPr>
        <w:t>elle</w:t>
      </w:r>
      <w:proofErr w:type="spellEnd"/>
      <w:r w:rsidR="000314DA" w:rsidRPr="00E31014">
        <w:rPr>
          <w:i/>
          <w:lang w:val="fr-CA"/>
        </w:rPr>
        <w:t xml:space="preserve"> la compétence inhérente nécessaire pour accorder une provision pour frais dans un litige devant la cour provinciale</w:t>
      </w:r>
      <w:r w:rsidR="00167F21" w:rsidRPr="00E31014">
        <w:rPr>
          <w:i/>
          <w:lang w:val="fr-CA"/>
        </w:rPr>
        <w:t>?</w:t>
      </w:r>
      <w:r w:rsidR="000B4C35" w:rsidRPr="00E31014">
        <w:rPr>
          <w:i/>
          <w:lang w:val="fr-CA"/>
        </w:rPr>
        <w:t xml:space="preserve"> </w:t>
      </w:r>
      <w:r w:rsidR="006151A8" w:rsidRPr="00E31014">
        <w:rPr>
          <w:i/>
          <w:lang w:val="fr-CA"/>
        </w:rPr>
        <w:t xml:space="preserve">— </w:t>
      </w:r>
      <w:r w:rsidR="00167F21" w:rsidRPr="00E31014">
        <w:rPr>
          <w:i/>
          <w:lang w:val="fr-CA"/>
        </w:rPr>
        <w:t>Dans l’affirmative, les conditions auxquelles est assujettie l’attribution d’une provision pour fr</w:t>
      </w:r>
      <w:r w:rsidR="00EA67CE" w:rsidRPr="00E31014">
        <w:rPr>
          <w:i/>
          <w:lang w:val="fr-CA"/>
        </w:rPr>
        <w:t xml:space="preserve">ais </w:t>
      </w:r>
      <w:proofErr w:type="spellStart"/>
      <w:r w:rsidR="00EA67CE" w:rsidRPr="00E31014">
        <w:rPr>
          <w:i/>
          <w:lang w:val="fr-CA"/>
        </w:rPr>
        <w:t>ont</w:t>
      </w:r>
      <w:r w:rsidR="00EA67CE" w:rsidRPr="00E31014">
        <w:rPr>
          <w:i/>
          <w:lang w:val="fr-CA"/>
        </w:rPr>
        <w:noBreakHyphen/>
      </w:r>
      <w:r w:rsidR="00167F21" w:rsidRPr="00E31014">
        <w:rPr>
          <w:i/>
          <w:lang w:val="fr-CA"/>
        </w:rPr>
        <w:t>elles</w:t>
      </w:r>
      <w:proofErr w:type="spellEnd"/>
      <w:r w:rsidR="00167F21" w:rsidRPr="00E31014">
        <w:rPr>
          <w:i/>
          <w:lang w:val="fr-CA"/>
        </w:rPr>
        <w:t xml:space="preserve"> été remplies?</w:t>
      </w:r>
    </w:p>
    <w:p w:rsidR="008322BD" w:rsidRPr="00807721" w:rsidRDefault="000B4C35" w:rsidP="00CD4256">
      <w:pPr>
        <w:pStyle w:val="SCCNormalDoubleSpacing"/>
        <w:spacing w:after="480"/>
        <w:rPr>
          <w:i/>
          <w:lang w:val="fr-FR"/>
        </w:rPr>
      </w:pPr>
      <w:r w:rsidRPr="00E31014">
        <w:rPr>
          <w:i/>
          <w:lang w:val="fr-CA"/>
        </w:rPr>
        <w:tab/>
      </w:r>
      <w:r w:rsidR="000314DA" w:rsidRPr="00807721">
        <w:rPr>
          <w:i/>
          <w:lang w:val="fr-FR"/>
        </w:rPr>
        <w:t>Dépens</w:t>
      </w:r>
      <w:r w:rsidRPr="00807721">
        <w:rPr>
          <w:i/>
          <w:lang w:val="fr-FR"/>
        </w:rPr>
        <w:t xml:space="preserve"> </w:t>
      </w:r>
      <w:r w:rsidR="006151A8" w:rsidRPr="00E31014">
        <w:rPr>
          <w:i/>
          <w:lang w:val="fr-CA"/>
        </w:rPr>
        <w:t xml:space="preserve">— </w:t>
      </w:r>
      <w:r w:rsidR="000314DA" w:rsidRPr="00807721">
        <w:rPr>
          <w:i/>
          <w:lang w:val="fr-FR"/>
        </w:rPr>
        <w:t>Provisions pour frais</w:t>
      </w:r>
      <w:r w:rsidRPr="00807721">
        <w:rPr>
          <w:i/>
          <w:lang w:val="fr-FR"/>
        </w:rPr>
        <w:t xml:space="preserve"> </w:t>
      </w:r>
      <w:r w:rsidR="006151A8" w:rsidRPr="00E31014">
        <w:rPr>
          <w:i/>
          <w:lang w:val="fr-CA"/>
        </w:rPr>
        <w:t>—</w:t>
      </w:r>
      <w:r w:rsidR="008F1440" w:rsidRPr="00807721">
        <w:rPr>
          <w:i/>
          <w:lang w:val="fr-FR"/>
        </w:rPr>
        <w:t xml:space="preserve"> </w:t>
      </w:r>
      <w:r w:rsidR="00EA67CE" w:rsidRPr="00E31014">
        <w:rPr>
          <w:i/>
          <w:lang w:val="fr-CA"/>
        </w:rPr>
        <w:t xml:space="preserve">La cour supérieure </w:t>
      </w:r>
      <w:proofErr w:type="spellStart"/>
      <w:r w:rsidR="00EA67CE" w:rsidRPr="00E31014">
        <w:rPr>
          <w:i/>
          <w:lang w:val="fr-CA"/>
        </w:rPr>
        <w:t>a</w:t>
      </w:r>
      <w:r w:rsidR="00EA67CE" w:rsidRPr="00E31014">
        <w:rPr>
          <w:i/>
          <w:lang w:val="fr-CA"/>
        </w:rPr>
        <w:noBreakHyphen/>
      </w:r>
      <w:r w:rsidR="008F1440" w:rsidRPr="00E31014">
        <w:rPr>
          <w:i/>
          <w:lang w:val="fr-CA"/>
        </w:rPr>
        <w:t>t</w:t>
      </w:r>
      <w:r w:rsidR="00EA67CE" w:rsidRPr="00E31014">
        <w:rPr>
          <w:i/>
          <w:lang w:val="fr-CA"/>
        </w:rPr>
        <w:noBreakHyphen/>
      </w:r>
      <w:r w:rsidR="008F1440" w:rsidRPr="00E31014">
        <w:rPr>
          <w:i/>
          <w:lang w:val="fr-CA"/>
        </w:rPr>
        <w:t>elle</w:t>
      </w:r>
      <w:proofErr w:type="spellEnd"/>
      <w:r w:rsidR="008F1440" w:rsidRPr="00E31014">
        <w:rPr>
          <w:i/>
          <w:lang w:val="fr-CA"/>
        </w:rPr>
        <w:t xml:space="preserve"> la compétence inhérente nécessaire pour accorder une provision pour frais dans un litige devant la cour provinciale? </w:t>
      </w:r>
      <w:r w:rsidR="006151A8" w:rsidRPr="00E31014">
        <w:rPr>
          <w:i/>
          <w:lang w:val="fr-CA"/>
        </w:rPr>
        <w:t xml:space="preserve">— </w:t>
      </w:r>
      <w:r w:rsidR="008F1440" w:rsidRPr="00E31014">
        <w:rPr>
          <w:i/>
          <w:lang w:val="fr-CA"/>
        </w:rPr>
        <w:t xml:space="preserve">Dans l’affirmative, les conditions auxquelles est assujettie l’attribution d’une provision pour frais </w:t>
      </w:r>
      <w:proofErr w:type="spellStart"/>
      <w:r w:rsidR="008F1440" w:rsidRPr="00E31014">
        <w:rPr>
          <w:i/>
          <w:lang w:val="fr-CA"/>
        </w:rPr>
        <w:t>ont</w:t>
      </w:r>
      <w:r w:rsidR="00807721" w:rsidRPr="00E31014">
        <w:rPr>
          <w:i/>
          <w:lang w:val="fr-CA"/>
        </w:rPr>
        <w:noBreakHyphen/>
      </w:r>
      <w:r w:rsidR="008F1440" w:rsidRPr="00E31014">
        <w:rPr>
          <w:i/>
          <w:lang w:val="fr-CA"/>
        </w:rPr>
        <w:t>elles</w:t>
      </w:r>
      <w:proofErr w:type="spellEnd"/>
      <w:r w:rsidR="008F1440" w:rsidRPr="00E31014">
        <w:rPr>
          <w:i/>
          <w:lang w:val="fr-CA"/>
        </w:rPr>
        <w:t xml:space="preserve"> été remplies?</w:t>
      </w:r>
      <w:r w:rsidRPr="00807721">
        <w:rPr>
          <w:i/>
          <w:lang w:val="fr-FR"/>
        </w:rPr>
        <w:t xml:space="preserve"> </w:t>
      </w:r>
    </w:p>
    <w:p w:rsidR="008322BD" w:rsidRPr="00807721" w:rsidRDefault="009B57B3" w:rsidP="00CD4256">
      <w:pPr>
        <w:pStyle w:val="SCCNormalDoubleSpacing"/>
        <w:spacing w:after="480"/>
        <w:rPr>
          <w:lang w:val="fr-FR"/>
        </w:rPr>
      </w:pPr>
      <w:r w:rsidRPr="00807721">
        <w:rPr>
          <w:lang w:val="fr-FR"/>
        </w:rPr>
        <w:tab/>
      </w:r>
      <w:r w:rsidR="001E6F5B" w:rsidRPr="00807721">
        <w:rPr>
          <w:lang w:val="fr-FR"/>
        </w:rPr>
        <w:t xml:space="preserve">Au cours d’une poursuite de routine relative à une infraction mineure au code de la route, l’accusé C a prétendu </w:t>
      </w:r>
      <w:r w:rsidR="00D1028C" w:rsidRPr="00807721">
        <w:rPr>
          <w:lang w:val="fr-FR"/>
        </w:rPr>
        <w:t>que la procédure était entachée de nullité parce que les documents de la cour étaient rédigés uniquement en anglais.  Il a soutenu avec insistance qu’il avait le</w:t>
      </w:r>
      <w:r w:rsidR="00807721" w:rsidRPr="00807721">
        <w:rPr>
          <w:lang w:val="fr-FR"/>
        </w:rPr>
        <w:t xml:space="preserve"> droit d’utiliser le français </w:t>
      </w:r>
      <w:r w:rsidR="008A622A">
        <w:rPr>
          <w:lang w:val="fr-FR"/>
        </w:rPr>
        <w:t xml:space="preserve">dans </w:t>
      </w:r>
      <w:r w:rsidR="00807721" w:rsidRPr="00807721">
        <w:rPr>
          <w:lang w:val="fr-FR"/>
        </w:rPr>
        <w:t>« </w:t>
      </w:r>
      <w:r w:rsidR="00D1028C" w:rsidRPr="00807721">
        <w:rPr>
          <w:lang w:val="fr-FR"/>
        </w:rPr>
        <w:t xml:space="preserve">les procédures devant les </w:t>
      </w:r>
      <w:r w:rsidR="008A622A">
        <w:rPr>
          <w:lang w:val="fr-FR"/>
        </w:rPr>
        <w:t>cours</w:t>
      </w:r>
      <w:r w:rsidR="00807721" w:rsidRPr="00807721">
        <w:rPr>
          <w:lang w:val="fr-FR"/>
        </w:rPr>
        <w:t> </w:t>
      </w:r>
      <w:r w:rsidR="00D1028C" w:rsidRPr="00807721">
        <w:rPr>
          <w:lang w:val="fr-FR"/>
        </w:rPr>
        <w:t>» de l’</w:t>
      </w:r>
      <w:r w:rsidR="001E6F5B" w:rsidRPr="00807721">
        <w:rPr>
          <w:lang w:val="fr-FR"/>
        </w:rPr>
        <w:t>Alberta</w:t>
      </w:r>
      <w:r w:rsidR="00D1028C" w:rsidRPr="00807721">
        <w:rPr>
          <w:lang w:val="fr-FR"/>
        </w:rPr>
        <w:t>, droit qui lui est garanti depuis 1886 par l’</w:t>
      </w:r>
      <w:r w:rsidR="00807721">
        <w:rPr>
          <w:i/>
          <w:lang w:val="fr-FR"/>
        </w:rPr>
        <w:t xml:space="preserve">Acte des </w:t>
      </w:r>
      <w:r w:rsidR="00807721">
        <w:rPr>
          <w:i/>
          <w:lang w:val="fr-FR"/>
        </w:rPr>
        <w:lastRenderedPageBreak/>
        <w:t xml:space="preserve">territoires du </w:t>
      </w:r>
      <w:proofErr w:type="spellStart"/>
      <w:r w:rsidR="00807721">
        <w:rPr>
          <w:i/>
          <w:lang w:val="fr-FR"/>
        </w:rPr>
        <w:t>Nord</w:t>
      </w:r>
      <w:r w:rsidR="00807721">
        <w:rPr>
          <w:i/>
          <w:lang w:val="fr-FR"/>
        </w:rPr>
        <w:noBreakHyphen/>
      </w:r>
      <w:r w:rsidR="00D1028C" w:rsidRPr="00807721">
        <w:rPr>
          <w:i/>
          <w:lang w:val="fr-FR"/>
        </w:rPr>
        <w:t>Ouest</w:t>
      </w:r>
      <w:proofErr w:type="spellEnd"/>
      <w:r w:rsidR="001E6F5B" w:rsidRPr="00807721">
        <w:rPr>
          <w:lang w:val="fr-FR"/>
        </w:rPr>
        <w:t xml:space="preserve">, </w:t>
      </w:r>
      <w:r w:rsidR="00807721">
        <w:rPr>
          <w:lang w:val="fr-FR"/>
        </w:rPr>
        <w:t>S.R.C. 1886, ch. </w:t>
      </w:r>
      <w:r w:rsidR="00D1028C" w:rsidRPr="00807721">
        <w:rPr>
          <w:lang w:val="fr-FR"/>
        </w:rPr>
        <w:t xml:space="preserve">50, et par la </w:t>
      </w:r>
      <w:r w:rsidR="00D1028C" w:rsidRPr="00807721">
        <w:rPr>
          <w:i/>
          <w:lang w:val="fr-FR"/>
        </w:rPr>
        <w:t>Proclamation royale de 1869</w:t>
      </w:r>
      <w:r w:rsidR="001E6F5B" w:rsidRPr="00807721">
        <w:rPr>
          <w:lang w:val="fr-FR"/>
        </w:rPr>
        <w:t xml:space="preserve">, </w:t>
      </w:r>
      <w:r w:rsidR="00D1028C" w:rsidRPr="00807721">
        <w:rPr>
          <w:lang w:val="fr-FR"/>
        </w:rPr>
        <w:t xml:space="preserve">soutenant que la </w:t>
      </w:r>
      <w:r w:rsidR="001E6F5B" w:rsidRPr="00807721">
        <w:rPr>
          <w:lang w:val="fr-FR"/>
        </w:rPr>
        <w:t>province</w:t>
      </w:r>
      <w:r w:rsidR="00D1028C" w:rsidRPr="00807721">
        <w:rPr>
          <w:lang w:val="fr-FR"/>
        </w:rPr>
        <w:t xml:space="preserve"> ne pouvait pas abroger les droits linguistiques de la minorité francophone</w:t>
      </w:r>
      <w:r w:rsidR="001E6F5B" w:rsidRPr="00807721">
        <w:rPr>
          <w:lang w:val="fr-FR"/>
        </w:rPr>
        <w:t xml:space="preserve"> </w:t>
      </w:r>
      <w:r w:rsidR="00D1028C" w:rsidRPr="00807721">
        <w:rPr>
          <w:lang w:val="fr-FR"/>
        </w:rPr>
        <w:t xml:space="preserve">et que la </w:t>
      </w:r>
      <w:r w:rsidR="00D1028C" w:rsidRPr="00807721">
        <w:rPr>
          <w:i/>
          <w:lang w:val="fr-FR"/>
        </w:rPr>
        <w:t xml:space="preserve">Loi linguistique </w:t>
      </w:r>
      <w:r w:rsidR="00D1028C" w:rsidRPr="00807721">
        <w:rPr>
          <w:lang w:val="fr-FR"/>
        </w:rPr>
        <w:t>de l’</w:t>
      </w:r>
      <w:r w:rsidR="001E6F5B" w:rsidRPr="00807721">
        <w:rPr>
          <w:lang w:val="fr-FR"/>
        </w:rPr>
        <w:t>Alberta, R.S.A. 2000, c</w:t>
      </w:r>
      <w:r w:rsidR="00D1028C" w:rsidRPr="00807721">
        <w:rPr>
          <w:lang w:val="fr-FR"/>
        </w:rPr>
        <w:t>h</w:t>
      </w:r>
      <w:r w:rsidR="00807721">
        <w:rPr>
          <w:lang w:val="fr-FR"/>
        </w:rPr>
        <w:t>. L</w:t>
      </w:r>
      <w:r w:rsidR="00807721">
        <w:rPr>
          <w:lang w:val="fr-FR"/>
        </w:rPr>
        <w:noBreakHyphen/>
      </w:r>
      <w:r w:rsidR="001E6F5B" w:rsidRPr="00807721">
        <w:rPr>
          <w:lang w:val="fr-FR"/>
        </w:rPr>
        <w:t xml:space="preserve">6, </w:t>
      </w:r>
      <w:r w:rsidR="00D1028C" w:rsidRPr="00807721">
        <w:rPr>
          <w:lang w:val="fr-FR"/>
        </w:rPr>
        <w:t>qui vise à abolir ces droits, était par conséquent inconstitutionnelle</w:t>
      </w:r>
      <w:r w:rsidR="001E6F5B" w:rsidRPr="00807721">
        <w:rPr>
          <w:lang w:val="fr-FR"/>
        </w:rPr>
        <w:t xml:space="preserve">. </w:t>
      </w:r>
    </w:p>
    <w:p w:rsidR="005F5627" w:rsidRPr="00807721" w:rsidRDefault="00D1028C" w:rsidP="00CD4256">
      <w:pPr>
        <w:pStyle w:val="SCCNormalDoubleSpacing"/>
        <w:spacing w:after="480"/>
        <w:rPr>
          <w:lang w:val="fr-FR"/>
        </w:rPr>
      </w:pPr>
      <w:r w:rsidRPr="00807721">
        <w:rPr>
          <w:lang w:val="fr-FR"/>
        </w:rPr>
        <w:tab/>
      </w:r>
      <w:r w:rsidR="00CB72CA" w:rsidRPr="00807721">
        <w:rPr>
          <w:lang w:val="fr-FR"/>
        </w:rPr>
        <w:t xml:space="preserve">En l’espèce, le litige porte sur </w:t>
      </w:r>
      <w:r w:rsidR="00670C7D" w:rsidRPr="00807721">
        <w:rPr>
          <w:lang w:val="fr-FR"/>
        </w:rPr>
        <w:t xml:space="preserve">la validité </w:t>
      </w:r>
      <w:r w:rsidR="000D46BE" w:rsidRPr="00807721">
        <w:rPr>
          <w:lang w:val="fr-FR"/>
        </w:rPr>
        <w:t>d’ordonnance</w:t>
      </w:r>
      <w:r w:rsidR="004B1752" w:rsidRPr="00807721">
        <w:rPr>
          <w:lang w:val="fr-FR"/>
        </w:rPr>
        <w:t>s</w:t>
      </w:r>
      <w:r w:rsidR="000D46BE" w:rsidRPr="00807721">
        <w:rPr>
          <w:lang w:val="fr-FR"/>
        </w:rPr>
        <w:t xml:space="preserve"> de provision pour frais </w:t>
      </w:r>
      <w:r w:rsidR="005F5627" w:rsidRPr="00807721">
        <w:rPr>
          <w:lang w:val="fr-FR"/>
        </w:rPr>
        <w:t xml:space="preserve">rendues par </w:t>
      </w:r>
      <w:r w:rsidR="000D46BE" w:rsidRPr="00807721">
        <w:rPr>
          <w:lang w:val="fr-FR"/>
        </w:rPr>
        <w:t>la Cour du Banc de la Reine</w:t>
      </w:r>
      <w:r w:rsidR="004E3425" w:rsidRPr="00807721">
        <w:rPr>
          <w:lang w:val="fr-FR"/>
        </w:rPr>
        <w:t xml:space="preserve"> de l’Alberta</w:t>
      </w:r>
      <w:r w:rsidR="005F5627" w:rsidRPr="00807721">
        <w:rPr>
          <w:lang w:val="fr-FR"/>
        </w:rPr>
        <w:t xml:space="preserve"> </w:t>
      </w:r>
      <w:r w:rsidR="005F5627" w:rsidRPr="00E31014">
        <w:rPr>
          <w:lang w:val="fr-CA"/>
        </w:rPr>
        <w:t xml:space="preserve">— une cour </w:t>
      </w:r>
      <w:r w:rsidR="005F5627" w:rsidRPr="00E31014">
        <w:rPr>
          <w:i/>
          <w:lang w:val="fr-CA"/>
        </w:rPr>
        <w:t>supérieure </w:t>
      </w:r>
      <w:r w:rsidR="005F5627" w:rsidRPr="00E31014">
        <w:rPr>
          <w:lang w:val="fr-CA"/>
        </w:rPr>
        <w:t xml:space="preserve">— </w:t>
      </w:r>
      <w:r w:rsidR="005F5627" w:rsidRPr="00807721">
        <w:rPr>
          <w:lang w:val="fr-FR"/>
        </w:rPr>
        <w:t xml:space="preserve"> pour financer la défense d’un accusé poursuivi pour une infraction réglementaire devant la cour </w:t>
      </w:r>
      <w:r w:rsidR="005F5627" w:rsidRPr="00807721">
        <w:rPr>
          <w:i/>
          <w:lang w:val="fr-FR"/>
        </w:rPr>
        <w:t>provinciale</w:t>
      </w:r>
      <w:r w:rsidR="00670C7D" w:rsidRPr="00807721">
        <w:rPr>
          <w:lang w:val="fr-FR"/>
        </w:rPr>
        <w:t xml:space="preserve">. </w:t>
      </w:r>
      <w:r w:rsidR="00807721">
        <w:rPr>
          <w:lang w:val="fr-FR"/>
        </w:rPr>
        <w:t xml:space="preserve"> </w:t>
      </w:r>
      <w:r w:rsidR="005F5627" w:rsidRPr="00807721">
        <w:rPr>
          <w:lang w:val="fr-FR"/>
        </w:rPr>
        <w:t>Le ministère public appelant affirme que la cour supérieure n’avait pas compétence pour rendre une ordonnance de provision pour frais et que</w:t>
      </w:r>
      <w:r w:rsidR="00CB72CA" w:rsidRPr="00807721">
        <w:rPr>
          <w:lang w:val="fr-FR"/>
        </w:rPr>
        <w:t>,</w:t>
      </w:r>
      <w:r w:rsidR="005F5627" w:rsidRPr="00807721">
        <w:rPr>
          <w:lang w:val="fr-FR"/>
        </w:rPr>
        <w:t xml:space="preserve"> même si elle possédait la compétence requise, cette ordonnance était, de toute façon, irrégulière.</w:t>
      </w:r>
    </w:p>
    <w:p w:rsidR="00D1028C" w:rsidRPr="00807721" w:rsidRDefault="00670C7D" w:rsidP="00CD4256">
      <w:pPr>
        <w:pStyle w:val="SCCNormalDoubleSpacing"/>
        <w:spacing w:after="480"/>
        <w:ind w:firstLine="720"/>
        <w:rPr>
          <w:lang w:val="fr-FR"/>
        </w:rPr>
      </w:pPr>
      <w:r w:rsidRPr="00807721">
        <w:rPr>
          <w:lang w:val="fr-FR"/>
        </w:rPr>
        <w:t>C a demandé</w:t>
      </w:r>
      <w:r w:rsidR="004E3425" w:rsidRPr="00807721">
        <w:rPr>
          <w:lang w:val="fr-FR"/>
        </w:rPr>
        <w:t xml:space="preserve"> à la cour provinciale</w:t>
      </w:r>
      <w:r w:rsidRPr="00807721">
        <w:rPr>
          <w:lang w:val="fr-FR"/>
        </w:rPr>
        <w:t xml:space="preserve"> une provision pour frais à une étape tardive de son procès après que le ministère public eut déposé en </w:t>
      </w:r>
      <w:proofErr w:type="spellStart"/>
      <w:r w:rsidR="00807721">
        <w:rPr>
          <w:lang w:val="fr-FR"/>
        </w:rPr>
        <w:t>contre</w:t>
      </w:r>
      <w:r w:rsidR="00807721">
        <w:rPr>
          <w:lang w:val="fr-FR"/>
        </w:rPr>
        <w:noBreakHyphen/>
      </w:r>
      <w:r w:rsidRPr="00807721">
        <w:rPr>
          <w:lang w:val="fr-FR"/>
        </w:rPr>
        <w:t>preuve</w:t>
      </w:r>
      <w:proofErr w:type="spellEnd"/>
      <w:r w:rsidRPr="00807721">
        <w:rPr>
          <w:lang w:val="fr-FR"/>
        </w:rPr>
        <w:t xml:space="preserve"> </w:t>
      </w:r>
      <w:r w:rsidR="004E3425" w:rsidRPr="00807721">
        <w:rPr>
          <w:lang w:val="fr-FR"/>
        </w:rPr>
        <w:t>une « </w:t>
      </w:r>
      <w:r w:rsidR="005F5627" w:rsidRPr="00807721">
        <w:rPr>
          <w:lang w:val="fr-FR"/>
        </w:rPr>
        <w:t>montagne</w:t>
      </w:r>
      <w:r w:rsidR="00807721">
        <w:rPr>
          <w:lang w:val="fr-FR"/>
        </w:rPr>
        <w:t> </w:t>
      </w:r>
      <w:r w:rsidR="005F5627" w:rsidRPr="00807721">
        <w:rPr>
          <w:lang w:val="fr-FR"/>
        </w:rPr>
        <w:t xml:space="preserve">» </w:t>
      </w:r>
      <w:r w:rsidRPr="00807721">
        <w:rPr>
          <w:lang w:val="fr-FR"/>
        </w:rPr>
        <w:t xml:space="preserve">d’éléments de preuve historique. </w:t>
      </w:r>
      <w:r w:rsidR="00807721">
        <w:rPr>
          <w:lang w:val="fr-FR"/>
        </w:rPr>
        <w:t xml:space="preserve"> </w:t>
      </w:r>
      <w:r w:rsidRPr="00807721">
        <w:rPr>
          <w:lang w:val="fr-FR"/>
        </w:rPr>
        <w:t xml:space="preserve">C a </w:t>
      </w:r>
      <w:r w:rsidR="004E3425" w:rsidRPr="00807721">
        <w:rPr>
          <w:lang w:val="fr-FR"/>
        </w:rPr>
        <w:t xml:space="preserve">convaincu </w:t>
      </w:r>
      <w:r w:rsidR="00BB6C66" w:rsidRPr="00807721">
        <w:rPr>
          <w:lang w:val="fr-FR"/>
        </w:rPr>
        <w:t>la cour provinciale q</w:t>
      </w:r>
      <w:r w:rsidRPr="00807721">
        <w:rPr>
          <w:lang w:val="fr-FR"/>
        </w:rPr>
        <w:t>u’il était incapable d</w:t>
      </w:r>
      <w:r w:rsidR="00807721">
        <w:rPr>
          <w:lang w:val="fr-FR"/>
        </w:rPr>
        <w:t xml:space="preserve">’assumer les frais de la </w:t>
      </w:r>
      <w:proofErr w:type="spellStart"/>
      <w:r w:rsidR="00807721">
        <w:rPr>
          <w:lang w:val="fr-FR"/>
        </w:rPr>
        <w:t>contre</w:t>
      </w:r>
      <w:r w:rsidR="00807721">
        <w:rPr>
          <w:lang w:val="fr-FR"/>
        </w:rPr>
        <w:noBreakHyphen/>
      </w:r>
      <w:r w:rsidRPr="00807721">
        <w:rPr>
          <w:lang w:val="fr-FR"/>
        </w:rPr>
        <w:t>preuve</w:t>
      </w:r>
      <w:proofErr w:type="spellEnd"/>
      <w:r w:rsidRPr="00807721">
        <w:rPr>
          <w:lang w:val="fr-FR"/>
        </w:rPr>
        <w:t xml:space="preserve"> nécessaire au dé</w:t>
      </w:r>
      <w:r w:rsidR="00CF35FE" w:rsidRPr="00807721">
        <w:rPr>
          <w:lang w:val="fr-FR"/>
        </w:rPr>
        <w:t>n</w:t>
      </w:r>
      <w:r w:rsidRPr="00807721">
        <w:rPr>
          <w:lang w:val="fr-FR"/>
        </w:rPr>
        <w:t>ouement du procès</w:t>
      </w:r>
      <w:r w:rsidR="005F5627" w:rsidRPr="00807721">
        <w:rPr>
          <w:lang w:val="fr-FR"/>
        </w:rPr>
        <w:t xml:space="preserve">. </w:t>
      </w:r>
      <w:r w:rsidR="00807721">
        <w:rPr>
          <w:lang w:val="fr-FR"/>
        </w:rPr>
        <w:t xml:space="preserve"> </w:t>
      </w:r>
      <w:r w:rsidR="001B597D" w:rsidRPr="00807721">
        <w:rPr>
          <w:lang w:val="fr-FR"/>
        </w:rPr>
        <w:t>Malgré l’objection du ministère public</w:t>
      </w:r>
      <w:r w:rsidRPr="00807721">
        <w:rPr>
          <w:lang w:val="fr-FR"/>
        </w:rPr>
        <w:t>,</w:t>
      </w:r>
      <w:r w:rsidR="001B597D" w:rsidRPr="00807721">
        <w:rPr>
          <w:lang w:val="fr-FR"/>
        </w:rPr>
        <w:t xml:space="preserve"> la cour provinciale a</w:t>
      </w:r>
      <w:r w:rsidR="00DA3361">
        <w:rPr>
          <w:lang w:val="fr-FR"/>
        </w:rPr>
        <w:t xml:space="preserve"> ordonné le paiement des honoraires de l’avocat et des témoins experts de C en application du par. 24(1) de la </w:t>
      </w:r>
      <w:r w:rsidR="00DA3361" w:rsidRPr="003B1792">
        <w:rPr>
          <w:i/>
          <w:lang w:val="fr-FR"/>
        </w:rPr>
        <w:t>Chart</w:t>
      </w:r>
      <w:r w:rsidR="003B1792">
        <w:rPr>
          <w:i/>
          <w:lang w:val="fr-FR"/>
        </w:rPr>
        <w:t>e canadienn</w:t>
      </w:r>
      <w:r w:rsidR="00DA3361" w:rsidRPr="003B1792">
        <w:rPr>
          <w:i/>
          <w:lang w:val="fr-FR"/>
        </w:rPr>
        <w:t>e</w:t>
      </w:r>
      <w:r w:rsidR="003B1792">
        <w:rPr>
          <w:i/>
          <w:lang w:val="fr-FR"/>
        </w:rPr>
        <w:t xml:space="preserve"> des droits et libertés</w:t>
      </w:r>
      <w:r w:rsidR="00DA3361">
        <w:rPr>
          <w:lang w:val="fr-FR"/>
        </w:rPr>
        <w:t xml:space="preserve">.  </w:t>
      </w:r>
      <w:r w:rsidR="00502128" w:rsidRPr="00807721">
        <w:rPr>
          <w:lang w:val="fr-FR"/>
        </w:rPr>
        <w:t>Par la suite, la Cour du Banc de la Reine de l’Alberta a annulé l’ordonnance de la cour provinciale</w:t>
      </w:r>
      <w:r w:rsidR="00DA3361">
        <w:rPr>
          <w:lang w:val="fr-FR"/>
        </w:rPr>
        <w:t xml:space="preserve">; </w:t>
      </w:r>
      <w:r w:rsidR="000D46BE" w:rsidRPr="00807721">
        <w:rPr>
          <w:lang w:val="fr-FR"/>
        </w:rPr>
        <w:t xml:space="preserve">aucun appel n’a été formé contre cette </w:t>
      </w:r>
      <w:r w:rsidRPr="00807721">
        <w:rPr>
          <w:lang w:val="fr-FR"/>
        </w:rPr>
        <w:t>d</w:t>
      </w:r>
      <w:r w:rsidR="000D46BE" w:rsidRPr="00807721">
        <w:rPr>
          <w:lang w:val="fr-FR"/>
        </w:rPr>
        <w:t>é</w:t>
      </w:r>
      <w:r w:rsidRPr="00807721">
        <w:rPr>
          <w:lang w:val="fr-FR"/>
        </w:rPr>
        <w:t>cision.</w:t>
      </w:r>
      <w:r w:rsidR="000D46BE" w:rsidRPr="00807721">
        <w:rPr>
          <w:lang w:val="fr-FR"/>
        </w:rPr>
        <w:t xml:space="preserve"> </w:t>
      </w:r>
      <w:r w:rsidR="00807721">
        <w:rPr>
          <w:lang w:val="fr-FR"/>
        </w:rPr>
        <w:t xml:space="preserve"> </w:t>
      </w:r>
      <w:r w:rsidR="000D46BE" w:rsidRPr="00807721">
        <w:rPr>
          <w:lang w:val="fr-FR"/>
        </w:rPr>
        <w:t xml:space="preserve">La Cour du Banc de la Reine a </w:t>
      </w:r>
      <w:r w:rsidR="00DA3361">
        <w:rPr>
          <w:lang w:val="fr-FR"/>
        </w:rPr>
        <w:t xml:space="preserve">subséquemment </w:t>
      </w:r>
      <w:r w:rsidR="000D46BE" w:rsidRPr="00807721">
        <w:rPr>
          <w:lang w:val="fr-FR"/>
        </w:rPr>
        <w:t>conclu</w:t>
      </w:r>
      <w:r w:rsidR="00502128" w:rsidRPr="00807721">
        <w:rPr>
          <w:lang w:val="fr-FR"/>
        </w:rPr>
        <w:t xml:space="preserve"> </w:t>
      </w:r>
      <w:r w:rsidR="00DA3361">
        <w:rPr>
          <w:lang w:val="fr-FR"/>
        </w:rPr>
        <w:t xml:space="preserve">aussi </w:t>
      </w:r>
      <w:r w:rsidR="00807721">
        <w:rPr>
          <w:lang w:val="fr-FR"/>
        </w:rPr>
        <w:t xml:space="preserve">qu’elle pouvait </w:t>
      </w:r>
      <w:proofErr w:type="spellStart"/>
      <w:r w:rsidR="00807721">
        <w:rPr>
          <w:lang w:val="fr-FR"/>
        </w:rPr>
        <w:t>elle</w:t>
      </w:r>
      <w:r w:rsidR="00807721">
        <w:rPr>
          <w:lang w:val="fr-FR"/>
        </w:rPr>
        <w:noBreakHyphen/>
      </w:r>
      <w:r w:rsidR="000D46BE" w:rsidRPr="00807721">
        <w:rPr>
          <w:lang w:val="fr-FR"/>
        </w:rPr>
        <w:t>même</w:t>
      </w:r>
      <w:proofErr w:type="spellEnd"/>
      <w:r w:rsidR="000D46BE" w:rsidRPr="00807721">
        <w:rPr>
          <w:lang w:val="fr-FR"/>
        </w:rPr>
        <w:t xml:space="preserve"> accorder une provision pour </w:t>
      </w:r>
      <w:r w:rsidR="000D46BE" w:rsidRPr="00807721">
        <w:rPr>
          <w:lang w:val="fr-FR"/>
        </w:rPr>
        <w:lastRenderedPageBreak/>
        <w:t>frais</w:t>
      </w:r>
      <w:r w:rsidR="00502128" w:rsidRPr="00807721">
        <w:rPr>
          <w:lang w:val="fr-FR"/>
        </w:rPr>
        <w:t xml:space="preserve"> à l’égard de la procédure devant la cour provinciale</w:t>
      </w:r>
      <w:r w:rsidR="000D46BE" w:rsidRPr="00807721">
        <w:rPr>
          <w:lang w:val="fr-FR"/>
        </w:rPr>
        <w:t xml:space="preserve"> </w:t>
      </w:r>
      <w:r w:rsidR="000D46BE" w:rsidRPr="00E31014">
        <w:rPr>
          <w:lang w:val="fr-CA"/>
        </w:rPr>
        <w:t xml:space="preserve">— ce qu’elle a d’ailleurs fait. </w:t>
      </w:r>
      <w:r w:rsidR="00807721" w:rsidRPr="00E31014">
        <w:rPr>
          <w:lang w:val="fr-CA"/>
        </w:rPr>
        <w:t xml:space="preserve"> </w:t>
      </w:r>
      <w:r w:rsidR="000D46BE" w:rsidRPr="00807721">
        <w:rPr>
          <w:lang w:val="fr-FR"/>
        </w:rPr>
        <w:t xml:space="preserve">Cette décision a été </w:t>
      </w:r>
      <w:r w:rsidR="005557BF" w:rsidRPr="00807721">
        <w:rPr>
          <w:lang w:val="fr-FR"/>
        </w:rPr>
        <w:t>confirmée en appel</w:t>
      </w:r>
      <w:r w:rsidRPr="00807721">
        <w:rPr>
          <w:lang w:val="fr-FR"/>
        </w:rPr>
        <w:t>.</w:t>
      </w:r>
      <w:r w:rsidR="00B57AF0" w:rsidRPr="00807721">
        <w:rPr>
          <w:lang w:val="fr-FR"/>
        </w:rPr>
        <w:t xml:space="preserve"> </w:t>
      </w:r>
      <w:r w:rsidR="005557BF" w:rsidRPr="00807721">
        <w:rPr>
          <w:lang w:val="fr-FR"/>
        </w:rPr>
        <w:t>Le ministère public sollicite non seulement l’annulation de</w:t>
      </w:r>
      <w:r w:rsidR="008E614A" w:rsidRPr="00807721">
        <w:rPr>
          <w:lang w:val="fr-FR"/>
        </w:rPr>
        <w:t xml:space="preserve"> l’</w:t>
      </w:r>
      <w:r w:rsidR="004B1752" w:rsidRPr="00807721">
        <w:rPr>
          <w:lang w:val="fr-FR"/>
        </w:rPr>
        <w:t>o</w:t>
      </w:r>
      <w:r w:rsidR="005557BF" w:rsidRPr="00807721">
        <w:rPr>
          <w:lang w:val="fr-FR"/>
        </w:rPr>
        <w:t xml:space="preserve">rdonnance de provision pour frais de la Cour du Banc de la Reine, mais aussi le remboursement des fonds déjà versés conformément à cette ordonnance. </w:t>
      </w:r>
    </w:p>
    <w:p w:rsidR="008322BD" w:rsidRPr="00E31014" w:rsidRDefault="009B57B3" w:rsidP="00CD4256">
      <w:pPr>
        <w:pStyle w:val="SCCNormalDoubleSpacing"/>
        <w:spacing w:after="480"/>
        <w:rPr>
          <w:lang w:val="fr-CA"/>
        </w:rPr>
      </w:pPr>
      <w:r w:rsidRPr="00807721">
        <w:rPr>
          <w:lang w:val="fr-FR"/>
        </w:rPr>
        <w:tab/>
      </w:r>
      <w:r w:rsidR="0043088E" w:rsidRPr="00E31014">
        <w:rPr>
          <w:i/>
          <w:lang w:val="fr-CA"/>
        </w:rPr>
        <w:t>Arrêt</w:t>
      </w:r>
      <w:r w:rsidR="00807721" w:rsidRPr="00E31014">
        <w:rPr>
          <w:lang w:val="fr-CA"/>
        </w:rPr>
        <w:t> </w:t>
      </w:r>
      <w:r w:rsidRPr="00807721">
        <w:rPr>
          <w:rStyle w:val="QuoteChar"/>
          <w:i w:val="0"/>
          <w:color w:val="auto"/>
          <w:lang w:val="fr-CA"/>
        </w:rPr>
        <w:t>:</w:t>
      </w:r>
      <w:r w:rsidRPr="00E31014">
        <w:rPr>
          <w:lang w:val="fr-CA"/>
        </w:rPr>
        <w:t xml:space="preserve"> </w:t>
      </w:r>
      <w:r w:rsidR="0043088E" w:rsidRPr="00E31014">
        <w:rPr>
          <w:lang w:val="fr-CA"/>
        </w:rPr>
        <w:t>Le pourvoi est</w:t>
      </w:r>
      <w:r w:rsidR="005557BF" w:rsidRPr="00E31014">
        <w:rPr>
          <w:lang w:val="fr-CA"/>
        </w:rPr>
        <w:t xml:space="preserve"> rejeté.</w:t>
      </w:r>
    </w:p>
    <w:p w:rsidR="00D73F52" w:rsidRPr="00E31014" w:rsidRDefault="009B57B3" w:rsidP="00CD4256">
      <w:pPr>
        <w:pStyle w:val="SCCNormalDoubleSpacing"/>
        <w:spacing w:after="480"/>
        <w:rPr>
          <w:lang w:val="fr-CA"/>
        </w:rPr>
      </w:pPr>
      <w:r w:rsidRPr="00E31014">
        <w:rPr>
          <w:lang w:val="fr-CA"/>
        </w:rPr>
        <w:tab/>
      </w:r>
      <w:r w:rsidR="00B941F6" w:rsidRPr="00E31014">
        <w:rPr>
          <w:i/>
          <w:lang w:val="fr-CA"/>
        </w:rPr>
        <w:t>La</w:t>
      </w:r>
      <w:r w:rsidR="00B941F6" w:rsidRPr="00E31014">
        <w:rPr>
          <w:lang w:val="fr-CA"/>
        </w:rPr>
        <w:t xml:space="preserve"> juge en chef</w:t>
      </w:r>
      <w:r w:rsidR="004B1752" w:rsidRPr="00E31014">
        <w:rPr>
          <w:lang w:val="fr-CA"/>
        </w:rPr>
        <w:t xml:space="preserve"> </w:t>
      </w:r>
      <w:proofErr w:type="spellStart"/>
      <w:r w:rsidR="004B1752" w:rsidRPr="00E31014">
        <w:rPr>
          <w:lang w:val="fr-CA"/>
        </w:rPr>
        <w:t>McLachlin</w:t>
      </w:r>
      <w:proofErr w:type="spellEnd"/>
      <w:r w:rsidR="004B1752" w:rsidRPr="00E31014">
        <w:rPr>
          <w:lang w:val="fr-CA"/>
        </w:rPr>
        <w:t xml:space="preserve"> </w:t>
      </w:r>
      <w:r w:rsidR="00B941F6" w:rsidRPr="00E31014">
        <w:rPr>
          <w:lang w:val="fr-CA"/>
        </w:rPr>
        <w:t xml:space="preserve">et les juges </w:t>
      </w:r>
      <w:proofErr w:type="spellStart"/>
      <w:r w:rsidR="004B1752" w:rsidRPr="008A622A">
        <w:rPr>
          <w:lang w:val="fr-CA"/>
        </w:rPr>
        <w:t>Binnie</w:t>
      </w:r>
      <w:proofErr w:type="spellEnd"/>
      <w:r w:rsidR="004B1752" w:rsidRPr="008A622A">
        <w:rPr>
          <w:lang w:val="fr-CA"/>
        </w:rPr>
        <w:t>,</w:t>
      </w:r>
      <w:r w:rsidR="004B1752" w:rsidRPr="00E31014">
        <w:rPr>
          <w:lang w:val="fr-CA"/>
        </w:rPr>
        <w:t xml:space="preserve"> </w:t>
      </w:r>
      <w:proofErr w:type="spellStart"/>
      <w:r w:rsidR="004B1752" w:rsidRPr="00E31014">
        <w:rPr>
          <w:lang w:val="fr-CA"/>
        </w:rPr>
        <w:t>LeBel</w:t>
      </w:r>
      <w:proofErr w:type="spellEnd"/>
      <w:r w:rsidR="004B1752" w:rsidRPr="00E31014">
        <w:rPr>
          <w:lang w:val="fr-CA"/>
        </w:rPr>
        <w:t xml:space="preserve">, Deschamps, Fish, Charron, </w:t>
      </w:r>
      <w:proofErr w:type="spellStart"/>
      <w:r w:rsidR="004B1752" w:rsidRPr="00E31014">
        <w:rPr>
          <w:lang w:val="fr-CA"/>
        </w:rPr>
        <w:t>Rothstein</w:t>
      </w:r>
      <w:proofErr w:type="spellEnd"/>
      <w:r w:rsidR="004B1752" w:rsidRPr="00E31014">
        <w:rPr>
          <w:lang w:val="fr-CA"/>
        </w:rPr>
        <w:t xml:space="preserve"> </w:t>
      </w:r>
      <w:r w:rsidR="00B941F6" w:rsidRPr="00E31014">
        <w:rPr>
          <w:lang w:val="fr-CA"/>
        </w:rPr>
        <w:t xml:space="preserve">et </w:t>
      </w:r>
      <w:r w:rsidR="000E6992" w:rsidRPr="00E31014">
        <w:rPr>
          <w:lang w:val="fr-CA"/>
        </w:rPr>
        <w:t xml:space="preserve">Cromwell : </w:t>
      </w:r>
      <w:r w:rsidR="00DF1E0F" w:rsidRPr="00E31014">
        <w:rPr>
          <w:lang w:val="fr-CA"/>
        </w:rPr>
        <w:t>La cour provinciale se heurtait à un éventuel déni de justice une fois les ressources financières de C épuisées en raison de la durée inattendue du procès.</w:t>
      </w:r>
      <w:r w:rsidR="00807721" w:rsidRPr="00E31014">
        <w:rPr>
          <w:lang w:val="fr-CA"/>
        </w:rPr>
        <w:t xml:space="preserve"> </w:t>
      </w:r>
      <w:r w:rsidR="00DF1E0F" w:rsidRPr="00E31014">
        <w:rPr>
          <w:lang w:val="fr-CA"/>
        </w:rPr>
        <w:t xml:space="preserve"> À ce stade, le procès avait déjà absorbé beaucoup de temps et de dépenses, notamment la somme d’argent considérable provenant du Programme de contestation judiciaire. </w:t>
      </w:r>
      <w:r w:rsidR="00807721" w:rsidRPr="00E31014">
        <w:rPr>
          <w:lang w:val="fr-CA"/>
        </w:rPr>
        <w:t xml:space="preserve"> </w:t>
      </w:r>
      <w:r w:rsidR="00DF1E0F" w:rsidRPr="00E31014">
        <w:rPr>
          <w:lang w:val="fr-CA"/>
        </w:rPr>
        <w:t>Le ministère public tenait à ce que la poursuite suive son cours devant la cour provinciale</w:t>
      </w:r>
      <w:r w:rsidR="007B0EEC" w:rsidRPr="00E31014">
        <w:rPr>
          <w:lang w:val="fr-CA"/>
        </w:rPr>
        <w:t xml:space="preserve">, et C tenait à faire valoir sa défense fondée sur ses droits linguistiques. </w:t>
      </w:r>
      <w:r w:rsidR="00807721" w:rsidRPr="00E31014">
        <w:rPr>
          <w:lang w:val="fr-CA"/>
        </w:rPr>
        <w:t xml:space="preserve"> </w:t>
      </w:r>
      <w:r w:rsidR="007B0EEC" w:rsidRPr="00E31014">
        <w:rPr>
          <w:lang w:val="fr-CA"/>
        </w:rPr>
        <w:t>Ni l’une ni l’autre des parties ne souhaitait une suspension d’instance.</w:t>
      </w:r>
      <w:r w:rsidR="00D73F52" w:rsidRPr="00E31014">
        <w:rPr>
          <w:lang w:val="fr-CA"/>
        </w:rPr>
        <w:t xml:space="preserve">  </w:t>
      </w:r>
      <w:r w:rsidR="007B0EEC" w:rsidRPr="00E31014">
        <w:rPr>
          <w:lang w:val="fr-CA"/>
        </w:rPr>
        <w:t>Les tribunaux de l’</w:t>
      </w:r>
      <w:r w:rsidR="00D73F52" w:rsidRPr="00E31014">
        <w:rPr>
          <w:lang w:val="fr-CA"/>
        </w:rPr>
        <w:t>Alberta</w:t>
      </w:r>
      <w:r w:rsidR="007B0EEC" w:rsidRPr="00E31014">
        <w:rPr>
          <w:lang w:val="fr-CA"/>
        </w:rPr>
        <w:t xml:space="preserve"> craignaient de toute évidence que le ministère public obtienne, en persistant à continuer la poursuite devant la cour </w:t>
      </w:r>
      <w:r w:rsidR="00D73F52" w:rsidRPr="00E31014">
        <w:rPr>
          <w:lang w:val="fr-CA"/>
        </w:rPr>
        <w:t>provincial</w:t>
      </w:r>
      <w:r w:rsidR="007B0EEC" w:rsidRPr="00E31014">
        <w:rPr>
          <w:lang w:val="fr-CA"/>
        </w:rPr>
        <w:t xml:space="preserve">e, un avantage indu par rapport à l’accusé en ce qui concerne la </w:t>
      </w:r>
      <w:r w:rsidR="00D24D21" w:rsidRPr="00E31014">
        <w:rPr>
          <w:lang w:val="fr-CA"/>
        </w:rPr>
        <w:t xml:space="preserve">constitution d’un dossier factuel crucial en vue de trancher une importante question constitutionnelle. </w:t>
      </w:r>
      <w:r w:rsidR="00807721" w:rsidRPr="00E31014">
        <w:rPr>
          <w:lang w:val="fr-CA"/>
        </w:rPr>
        <w:t xml:space="preserve"> </w:t>
      </w:r>
      <w:r w:rsidR="0038669D" w:rsidRPr="00E31014">
        <w:rPr>
          <w:lang w:val="fr-CA"/>
        </w:rPr>
        <w:t>Une décision fondée sur un dossier incomplet n’aurait pas permis de trancher la question linguistique de façon définitive.</w:t>
      </w:r>
      <w:r w:rsidR="00807721" w:rsidRPr="00E31014">
        <w:rPr>
          <w:lang w:val="fr-CA"/>
        </w:rPr>
        <w:t xml:space="preserve"> </w:t>
      </w:r>
      <w:r w:rsidR="0038669D" w:rsidRPr="00E31014">
        <w:rPr>
          <w:lang w:val="fr-CA"/>
        </w:rPr>
        <w:t xml:space="preserve"> Les tribunaux d’instance inférieure ont jugé valable la contestation </w:t>
      </w:r>
      <w:r w:rsidR="0015437F" w:rsidRPr="00E31014">
        <w:rPr>
          <w:lang w:val="fr-CA"/>
        </w:rPr>
        <w:t xml:space="preserve">constitutionnelle </w:t>
      </w:r>
      <w:r w:rsidR="0038669D" w:rsidRPr="00E31014">
        <w:rPr>
          <w:lang w:val="fr-CA"/>
        </w:rPr>
        <w:t>de</w:t>
      </w:r>
      <w:r w:rsidR="00D73F52" w:rsidRPr="00E31014">
        <w:rPr>
          <w:lang w:val="fr-CA"/>
        </w:rPr>
        <w:t xml:space="preserve"> C</w:t>
      </w:r>
      <w:r w:rsidR="0038669D" w:rsidRPr="00E31014">
        <w:rPr>
          <w:lang w:val="fr-CA"/>
        </w:rPr>
        <w:t xml:space="preserve"> et, selon eux, il était dans l’intérêt de tous les </w:t>
      </w:r>
      <w:r w:rsidR="0038669D" w:rsidRPr="00E31014">
        <w:rPr>
          <w:lang w:val="fr-CA"/>
        </w:rPr>
        <w:lastRenderedPageBreak/>
        <w:t>Albertains qu’elle</w:t>
      </w:r>
      <w:r w:rsidR="0015437F" w:rsidRPr="00E31014">
        <w:rPr>
          <w:lang w:val="fr-CA"/>
        </w:rPr>
        <w:t xml:space="preserve"> soit suffisamment financée et</w:t>
      </w:r>
      <w:r w:rsidR="0038669D" w:rsidRPr="00E31014">
        <w:rPr>
          <w:lang w:val="fr-CA"/>
        </w:rPr>
        <w:t xml:space="preserve"> fasse l’objet d’un examen plus adéquat.</w:t>
      </w:r>
    </w:p>
    <w:p w:rsidR="004B1752" w:rsidRPr="00E31014" w:rsidRDefault="008A622A" w:rsidP="008A622A">
      <w:pPr>
        <w:pStyle w:val="SCCNormalDoubleSpacing"/>
        <w:spacing w:after="480"/>
        <w:rPr>
          <w:lang w:val="fr-CA"/>
        </w:rPr>
      </w:pPr>
      <w:r>
        <w:rPr>
          <w:lang w:val="fr-CA"/>
        </w:rPr>
        <w:tab/>
      </w:r>
      <w:r w:rsidR="004E1163" w:rsidRPr="00E31014">
        <w:rPr>
          <w:lang w:val="fr-CA"/>
        </w:rPr>
        <w:t xml:space="preserve">Les cours supérieures possèdent le pouvoir inhérent </w:t>
      </w:r>
      <w:r w:rsidR="002B2D65" w:rsidRPr="00E31014">
        <w:rPr>
          <w:lang w:val="fr-CA"/>
        </w:rPr>
        <w:t xml:space="preserve">de venir en aide aux tribunaux d’instance inférieure en vue de leur permettre d’administrer </w:t>
      </w:r>
      <w:r w:rsidR="007E3554" w:rsidRPr="00E31014">
        <w:rPr>
          <w:lang w:val="fr-CA"/>
        </w:rPr>
        <w:t>ple</w:t>
      </w:r>
      <w:r w:rsidR="002B2D65" w:rsidRPr="00E31014">
        <w:rPr>
          <w:lang w:val="fr-CA"/>
        </w:rPr>
        <w:t>in</w:t>
      </w:r>
      <w:r w:rsidR="007E3554" w:rsidRPr="00E31014">
        <w:rPr>
          <w:lang w:val="fr-CA"/>
        </w:rPr>
        <w:t xml:space="preserve">ement </w:t>
      </w:r>
      <w:r w:rsidR="002B2D65" w:rsidRPr="00E31014">
        <w:rPr>
          <w:lang w:val="fr-CA"/>
        </w:rPr>
        <w:t>et efficacement la justice</w:t>
      </w:r>
      <w:r w:rsidR="004B1752" w:rsidRPr="00E31014">
        <w:rPr>
          <w:lang w:val="fr-CA"/>
        </w:rPr>
        <w:t xml:space="preserve">, </w:t>
      </w:r>
      <w:r w:rsidR="002B2D65" w:rsidRPr="00E31014">
        <w:rPr>
          <w:lang w:val="fr-CA"/>
        </w:rPr>
        <w:t xml:space="preserve">mais elles peuvent le faire dans les seuls cas où </w:t>
      </w:r>
      <w:r w:rsidR="002C078F" w:rsidRPr="00E31014">
        <w:rPr>
          <w:lang w:val="fr-CA"/>
        </w:rPr>
        <w:t>ils n’ont pas les pouvoirs nécessaires pour intervenir et où il est essentiel de prévenir une</w:t>
      </w:r>
      <w:r w:rsidR="00072B8A" w:rsidRPr="00E31014">
        <w:rPr>
          <w:lang w:val="fr-CA"/>
        </w:rPr>
        <w:t xml:space="preserve"> grave</w:t>
      </w:r>
      <w:r w:rsidR="002C078F" w:rsidRPr="00E31014">
        <w:rPr>
          <w:lang w:val="fr-CA"/>
        </w:rPr>
        <w:t xml:space="preserve"> injustice</w:t>
      </w:r>
      <w:r w:rsidR="00072B8A" w:rsidRPr="00E31014">
        <w:rPr>
          <w:lang w:val="fr-CA"/>
        </w:rPr>
        <w:t xml:space="preserve"> qui va à l’encontre de l’intérêt public</w:t>
      </w:r>
      <w:r w:rsidR="002C078F" w:rsidRPr="00E31014">
        <w:rPr>
          <w:lang w:val="fr-CA"/>
        </w:rPr>
        <w:t>.</w:t>
      </w:r>
      <w:r w:rsidR="00807721" w:rsidRPr="00E31014">
        <w:rPr>
          <w:lang w:val="fr-CA"/>
        </w:rPr>
        <w:t xml:space="preserve"> </w:t>
      </w:r>
      <w:r w:rsidR="002C078F" w:rsidRPr="00E31014">
        <w:rPr>
          <w:lang w:val="fr-CA"/>
        </w:rPr>
        <w:t xml:space="preserve"> Vu son ampleur, </w:t>
      </w:r>
      <w:r w:rsidR="00072B8A" w:rsidRPr="00E31014">
        <w:rPr>
          <w:lang w:val="fr-CA"/>
        </w:rPr>
        <w:t>cette</w:t>
      </w:r>
      <w:r w:rsidR="002C078F" w:rsidRPr="00E31014">
        <w:rPr>
          <w:lang w:val="fr-CA"/>
        </w:rPr>
        <w:t xml:space="preserve"> compétence inhérente doit être exercée avec circonspection. </w:t>
      </w:r>
      <w:r w:rsidR="00807721" w:rsidRPr="00E31014">
        <w:rPr>
          <w:lang w:val="fr-CA"/>
        </w:rPr>
        <w:t xml:space="preserve"> </w:t>
      </w:r>
      <w:r w:rsidR="005B4B46" w:rsidRPr="00E31014">
        <w:rPr>
          <w:lang w:val="fr-CA"/>
        </w:rPr>
        <w:t>Cela dit, le caractère apparemment inédit de l</w:t>
      </w:r>
      <w:r w:rsidR="003E1962" w:rsidRPr="00E31014">
        <w:rPr>
          <w:lang w:val="fr-CA"/>
        </w:rPr>
        <w:t>’ordonnance de provision pour frais</w:t>
      </w:r>
      <w:r w:rsidR="005B4B46" w:rsidRPr="00E31014">
        <w:rPr>
          <w:lang w:val="fr-CA"/>
        </w:rPr>
        <w:t xml:space="preserve"> ne lui est pas fatal. </w:t>
      </w:r>
      <w:r w:rsidR="00807721" w:rsidRPr="00E31014">
        <w:rPr>
          <w:lang w:val="fr-CA"/>
        </w:rPr>
        <w:t xml:space="preserve"> </w:t>
      </w:r>
      <w:r w:rsidR="00FA4873" w:rsidRPr="00E31014">
        <w:rPr>
          <w:lang w:val="fr-CA"/>
        </w:rPr>
        <w:t>En effet, la cour</w:t>
      </w:r>
      <w:r w:rsidR="005B4B46" w:rsidRPr="00E31014">
        <w:rPr>
          <w:lang w:val="fr-CA"/>
        </w:rPr>
        <w:t xml:space="preserve"> supérieure</w:t>
      </w:r>
      <w:r w:rsidR="00FA4873" w:rsidRPr="00E31014">
        <w:rPr>
          <w:lang w:val="fr-CA"/>
        </w:rPr>
        <w:t xml:space="preserve"> peut exercer sa compétence inhérente même à l’égard de questions qui sont régies par une loi ou par une règle de la cour, à condition qu’elle puisse le faire sans enfreindre une disposition législative.</w:t>
      </w:r>
    </w:p>
    <w:p w:rsidR="00330737" w:rsidRPr="00E31014" w:rsidRDefault="008A622A" w:rsidP="004911DA">
      <w:pPr>
        <w:pStyle w:val="SCCNormalDoubleSpacing"/>
        <w:spacing w:after="480"/>
        <w:rPr>
          <w:lang w:val="fr-CA"/>
        </w:rPr>
      </w:pPr>
      <w:r>
        <w:rPr>
          <w:lang w:val="fr-CA"/>
        </w:rPr>
        <w:tab/>
      </w:r>
      <w:r w:rsidR="00330737" w:rsidRPr="00AC0926">
        <w:rPr>
          <w:lang w:val="fr-CA"/>
        </w:rPr>
        <w:t xml:space="preserve">L’objet </w:t>
      </w:r>
      <w:r w:rsidR="00F929A1" w:rsidRPr="00AC0926">
        <w:rPr>
          <w:lang w:val="fr-CA"/>
        </w:rPr>
        <w:t>fo</w:t>
      </w:r>
      <w:r w:rsidR="00330737" w:rsidRPr="00AC0926">
        <w:rPr>
          <w:lang w:val="fr-CA"/>
        </w:rPr>
        <w:t xml:space="preserve">ndamental de l’intervention judiciaire (et du même coup sa limite) </w:t>
      </w:r>
      <w:r w:rsidR="00367CC3" w:rsidRPr="00AC0926">
        <w:rPr>
          <w:lang w:val="fr-CA"/>
        </w:rPr>
        <w:t xml:space="preserve">consiste à faire uniquement ce qui est nécessaire pour éviter une </w:t>
      </w:r>
      <w:r w:rsidR="005B4B46" w:rsidRPr="00AC0926">
        <w:rPr>
          <w:lang w:val="fr-CA"/>
        </w:rPr>
        <w:t xml:space="preserve">grave </w:t>
      </w:r>
      <w:r w:rsidR="00367CC3" w:rsidRPr="00AC0926">
        <w:rPr>
          <w:lang w:val="fr-CA"/>
        </w:rPr>
        <w:t xml:space="preserve">injustice. </w:t>
      </w:r>
      <w:r w:rsidR="00807721" w:rsidRPr="00AC0926">
        <w:rPr>
          <w:lang w:val="fr-CA"/>
        </w:rPr>
        <w:t xml:space="preserve"> </w:t>
      </w:r>
      <w:r w:rsidR="005B4B46" w:rsidRPr="00AC0926">
        <w:rPr>
          <w:lang w:val="fr-CA"/>
        </w:rPr>
        <w:t>À cet égard, l</w:t>
      </w:r>
      <w:r w:rsidR="00367CC3" w:rsidRPr="00AC0926">
        <w:rPr>
          <w:lang w:val="fr-CA"/>
        </w:rPr>
        <w:t xml:space="preserve">es conditions formulées dans </w:t>
      </w:r>
      <w:proofErr w:type="spellStart"/>
      <w:r w:rsidR="00330737" w:rsidRPr="00AC0926">
        <w:rPr>
          <w:i/>
          <w:lang w:val="fr-CA"/>
        </w:rPr>
        <w:t>Col</w:t>
      </w:r>
      <w:r w:rsidR="00367CC3" w:rsidRPr="00AC0926">
        <w:rPr>
          <w:i/>
          <w:lang w:val="fr-CA"/>
        </w:rPr>
        <w:t>o</w:t>
      </w:r>
      <w:r w:rsidR="00330737" w:rsidRPr="00AC0926">
        <w:rPr>
          <w:i/>
          <w:lang w:val="fr-CA"/>
        </w:rPr>
        <w:t>mbi</w:t>
      </w:r>
      <w:r w:rsidR="00EA67CE" w:rsidRPr="00AC0926">
        <w:rPr>
          <w:i/>
          <w:lang w:val="fr-CA"/>
        </w:rPr>
        <w:t>e</w:t>
      </w:r>
      <w:r w:rsidR="00EA67CE" w:rsidRPr="00AC0926">
        <w:rPr>
          <w:i/>
          <w:lang w:val="fr-CA"/>
        </w:rPr>
        <w:noBreakHyphen/>
      </w:r>
      <w:r w:rsidR="00367CC3" w:rsidRPr="00AC0926">
        <w:rPr>
          <w:i/>
          <w:lang w:val="fr-CA"/>
        </w:rPr>
        <w:t>Britannique</w:t>
      </w:r>
      <w:proofErr w:type="spellEnd"/>
      <w:r w:rsidR="00330737" w:rsidRPr="00AC0926">
        <w:rPr>
          <w:i/>
          <w:lang w:val="fr-CA"/>
        </w:rPr>
        <w:t xml:space="preserve"> (Ministr</w:t>
      </w:r>
      <w:r w:rsidR="00367CC3" w:rsidRPr="00AC0926">
        <w:rPr>
          <w:i/>
          <w:lang w:val="fr-CA"/>
        </w:rPr>
        <w:t>e des Forêts</w:t>
      </w:r>
      <w:r w:rsidR="00330737" w:rsidRPr="00AC0926">
        <w:rPr>
          <w:i/>
          <w:lang w:val="fr-CA"/>
        </w:rPr>
        <w:t xml:space="preserve">) </w:t>
      </w:r>
      <w:r w:rsidR="00367CC3" w:rsidRPr="00AC0926">
        <w:rPr>
          <w:i/>
          <w:lang w:val="fr-CA"/>
        </w:rPr>
        <w:t>c</w:t>
      </w:r>
      <w:r w:rsidR="00330737" w:rsidRPr="00AC0926">
        <w:rPr>
          <w:i/>
          <w:lang w:val="fr-CA"/>
        </w:rPr>
        <w:t>.</w:t>
      </w:r>
      <w:r w:rsidR="00367CC3" w:rsidRPr="00AC0926">
        <w:rPr>
          <w:i/>
          <w:lang w:val="fr-CA"/>
        </w:rPr>
        <w:t xml:space="preserve"> Bande indienne</w:t>
      </w:r>
      <w:r w:rsidR="00330737" w:rsidRPr="00AC0926">
        <w:rPr>
          <w:i/>
          <w:lang w:val="fr-CA"/>
        </w:rPr>
        <w:t xml:space="preserve"> </w:t>
      </w:r>
      <w:proofErr w:type="spellStart"/>
      <w:r w:rsidR="00330737" w:rsidRPr="00AC0926">
        <w:rPr>
          <w:i/>
          <w:lang w:val="fr-CA"/>
        </w:rPr>
        <w:t>Okanagan</w:t>
      </w:r>
      <w:proofErr w:type="spellEnd"/>
      <w:r w:rsidR="00330737" w:rsidRPr="00AC0926">
        <w:rPr>
          <w:i/>
          <w:lang w:val="fr-CA"/>
        </w:rPr>
        <w:t xml:space="preserve"> </w:t>
      </w:r>
      <w:r w:rsidR="00367CC3" w:rsidRPr="00AC0926">
        <w:rPr>
          <w:lang w:val="fr-CA"/>
        </w:rPr>
        <w:t xml:space="preserve">et </w:t>
      </w:r>
      <w:proofErr w:type="spellStart"/>
      <w:r w:rsidR="00330737" w:rsidRPr="00AC0926">
        <w:rPr>
          <w:i/>
          <w:lang w:val="fr-CA"/>
        </w:rPr>
        <w:t>Little</w:t>
      </w:r>
      <w:proofErr w:type="spellEnd"/>
      <w:r w:rsidR="00330737" w:rsidRPr="00AC0926">
        <w:rPr>
          <w:i/>
          <w:lang w:val="fr-CA"/>
        </w:rPr>
        <w:t xml:space="preserve"> </w:t>
      </w:r>
      <w:proofErr w:type="spellStart"/>
      <w:r w:rsidR="00330737" w:rsidRPr="00AC0926">
        <w:rPr>
          <w:i/>
          <w:lang w:val="fr-CA"/>
        </w:rPr>
        <w:t>Sisters</w:t>
      </w:r>
      <w:proofErr w:type="spellEnd"/>
      <w:r w:rsidR="00330737" w:rsidRPr="00AC0926">
        <w:rPr>
          <w:i/>
          <w:lang w:val="fr-CA"/>
        </w:rPr>
        <w:t xml:space="preserve"> Book and Art Emporium </w:t>
      </w:r>
      <w:r w:rsidR="00367CC3" w:rsidRPr="00AC0926">
        <w:rPr>
          <w:i/>
          <w:lang w:val="fr-CA"/>
        </w:rPr>
        <w:t>c</w:t>
      </w:r>
      <w:r w:rsidR="00330737" w:rsidRPr="00AC0926">
        <w:rPr>
          <w:i/>
          <w:lang w:val="fr-CA"/>
        </w:rPr>
        <w:t>. Canada (Commiss</w:t>
      </w:r>
      <w:r w:rsidR="00367CC3" w:rsidRPr="00AC0926">
        <w:rPr>
          <w:i/>
          <w:lang w:val="fr-CA"/>
        </w:rPr>
        <w:t xml:space="preserve">aire des Douanes et du </w:t>
      </w:r>
      <w:r w:rsidR="00330737" w:rsidRPr="00AC0926">
        <w:rPr>
          <w:i/>
          <w:lang w:val="fr-CA"/>
        </w:rPr>
        <w:t>Revenu)</w:t>
      </w:r>
      <w:r w:rsidR="00330737" w:rsidRPr="00AC0926">
        <w:rPr>
          <w:lang w:val="fr-CA"/>
        </w:rPr>
        <w:t xml:space="preserve"> (</w:t>
      </w:r>
      <w:proofErr w:type="spellStart"/>
      <w:r w:rsidR="00367CC3" w:rsidRPr="00AC0926">
        <w:rPr>
          <w:i/>
          <w:lang w:val="fr-CA"/>
        </w:rPr>
        <w:t>Little</w:t>
      </w:r>
      <w:proofErr w:type="spellEnd"/>
      <w:r w:rsidR="00367CC3" w:rsidRPr="00AC0926">
        <w:rPr>
          <w:i/>
          <w:lang w:val="fr-CA"/>
        </w:rPr>
        <w:t xml:space="preserve"> </w:t>
      </w:r>
      <w:proofErr w:type="spellStart"/>
      <w:r w:rsidR="00367CC3" w:rsidRPr="00AC0926">
        <w:rPr>
          <w:i/>
          <w:lang w:val="fr-CA"/>
        </w:rPr>
        <w:t>Sisters</w:t>
      </w:r>
      <w:proofErr w:type="spellEnd"/>
      <w:r w:rsidR="00367CC3" w:rsidRPr="00AC0926">
        <w:rPr>
          <w:i/>
          <w:lang w:val="fr-CA"/>
        </w:rPr>
        <w:t xml:space="preserve"> </w:t>
      </w:r>
      <w:r>
        <w:rPr>
          <w:i/>
          <w:lang w:val="fr-CA"/>
        </w:rPr>
        <w:t>(</w:t>
      </w:r>
      <w:r w:rsidR="00367CC3" w:rsidRPr="00AC0926">
        <w:rPr>
          <w:i/>
          <w:lang w:val="fr-CA"/>
        </w:rPr>
        <w:t>n</w:t>
      </w:r>
      <w:r w:rsidR="00367CC3" w:rsidRPr="00AC0926">
        <w:rPr>
          <w:i/>
          <w:vertAlign w:val="superscript"/>
          <w:lang w:val="fr-CA"/>
        </w:rPr>
        <w:t>o</w:t>
      </w:r>
      <w:r w:rsidR="00807721" w:rsidRPr="00AC0926">
        <w:rPr>
          <w:i/>
          <w:lang w:val="fr-CA"/>
        </w:rPr>
        <w:t> </w:t>
      </w:r>
      <w:r w:rsidR="00330737" w:rsidRPr="00AC0926">
        <w:rPr>
          <w:i/>
          <w:lang w:val="fr-CA"/>
        </w:rPr>
        <w:t>2</w:t>
      </w:r>
      <w:r>
        <w:rPr>
          <w:i/>
          <w:lang w:val="fr-CA"/>
        </w:rPr>
        <w:t>)</w:t>
      </w:r>
      <w:r w:rsidR="00330737" w:rsidRPr="00AC0926">
        <w:rPr>
          <w:lang w:val="fr-CA"/>
        </w:rPr>
        <w:t xml:space="preserve">) </w:t>
      </w:r>
      <w:r w:rsidR="00367CC3" w:rsidRPr="00AC0926">
        <w:rPr>
          <w:lang w:val="fr-CA"/>
        </w:rPr>
        <w:t>s’appliquent lorsqu’il s’agit de déterminer si l’</w:t>
      </w:r>
      <w:r w:rsidR="00072B8A" w:rsidRPr="00AC0926">
        <w:rPr>
          <w:lang w:val="fr-CA"/>
        </w:rPr>
        <w:t xml:space="preserve">intervention </w:t>
      </w:r>
      <w:r w:rsidR="00367CC3" w:rsidRPr="00AC0926">
        <w:rPr>
          <w:lang w:val="fr-CA"/>
        </w:rPr>
        <w:t xml:space="preserve">de la Cour du Banc de la Reine était </w:t>
      </w:r>
      <w:r w:rsidR="00F929A1" w:rsidRPr="00AC0926">
        <w:rPr>
          <w:lang w:val="fr-CA"/>
        </w:rPr>
        <w:t>nécessaire pour perm</w:t>
      </w:r>
      <w:r w:rsidR="005B4B46" w:rsidRPr="00AC0926">
        <w:rPr>
          <w:lang w:val="fr-CA"/>
        </w:rPr>
        <w:t>ettre à la cour provinciale d’« </w:t>
      </w:r>
      <w:r w:rsidR="00330737" w:rsidRPr="00AC0926">
        <w:rPr>
          <w:lang w:val="fr-CA"/>
        </w:rPr>
        <w:t>administr</w:t>
      </w:r>
      <w:r w:rsidR="00F929A1" w:rsidRPr="00AC0926">
        <w:rPr>
          <w:lang w:val="fr-CA"/>
        </w:rPr>
        <w:t xml:space="preserve">er </w:t>
      </w:r>
      <w:r w:rsidR="007E3554" w:rsidRPr="00AC0926">
        <w:rPr>
          <w:lang w:val="fr-CA"/>
        </w:rPr>
        <w:t xml:space="preserve">pleinement </w:t>
      </w:r>
      <w:r w:rsidR="00807721" w:rsidRPr="00AC0926">
        <w:rPr>
          <w:lang w:val="fr-CA"/>
        </w:rPr>
        <w:t>et efficacement la justice </w:t>
      </w:r>
      <w:r w:rsidR="00F929A1" w:rsidRPr="00AC0926">
        <w:rPr>
          <w:lang w:val="fr-CA"/>
        </w:rPr>
        <w:t>»</w:t>
      </w:r>
      <w:r w:rsidR="005B4B46" w:rsidRPr="00AC0926">
        <w:rPr>
          <w:lang w:val="fr-CA"/>
        </w:rPr>
        <w:t xml:space="preserve">. </w:t>
      </w:r>
      <w:r w:rsidR="00F929A1" w:rsidRPr="00AC0926">
        <w:rPr>
          <w:lang w:val="fr-CA"/>
        </w:rPr>
        <w:t>Ce</w:t>
      </w:r>
      <w:r w:rsidR="00807721" w:rsidRPr="00AC0926">
        <w:rPr>
          <w:lang w:val="fr-CA"/>
        </w:rPr>
        <w:t>s conditions sont les suivantes </w:t>
      </w:r>
      <w:proofErr w:type="gramStart"/>
      <w:r w:rsidR="00807721" w:rsidRPr="00AC0926">
        <w:rPr>
          <w:lang w:val="fr-CA"/>
        </w:rPr>
        <w:t>:  (</w:t>
      </w:r>
      <w:proofErr w:type="gramEnd"/>
      <w:r w:rsidR="00807721" w:rsidRPr="00AC0926">
        <w:rPr>
          <w:lang w:val="fr-CA"/>
        </w:rPr>
        <w:t>1) </w:t>
      </w:r>
      <w:r w:rsidR="00F929A1" w:rsidRPr="00AC0926">
        <w:rPr>
          <w:lang w:val="fr-CA"/>
        </w:rPr>
        <w:t>la partie qui demande une provision pour frais serait incapable d’agir en justice sans l’ordonnance</w:t>
      </w:r>
      <w:r w:rsidR="00807721" w:rsidRPr="00AC0926">
        <w:rPr>
          <w:lang w:val="fr-CA"/>
        </w:rPr>
        <w:t>; (2) </w:t>
      </w:r>
      <w:r w:rsidR="00D63345" w:rsidRPr="00AC0926">
        <w:rPr>
          <w:lang w:val="fr-CA"/>
        </w:rPr>
        <w:t xml:space="preserve">la </w:t>
      </w:r>
      <w:r w:rsidR="00D63345" w:rsidRPr="00AC0926">
        <w:rPr>
          <w:lang w:val="fr-CA"/>
        </w:rPr>
        <w:lastRenderedPageBreak/>
        <w:t xml:space="preserve">demande vaut </w:t>
      </w:r>
      <w:r w:rsidR="00D63345" w:rsidRPr="00AC0926">
        <w:rPr>
          <w:i/>
          <w:lang w:val="fr-CA"/>
        </w:rPr>
        <w:t xml:space="preserve">prima </w:t>
      </w:r>
      <w:proofErr w:type="spellStart"/>
      <w:r w:rsidR="00D63345" w:rsidRPr="00AC0926">
        <w:rPr>
          <w:i/>
          <w:lang w:val="fr-CA"/>
        </w:rPr>
        <w:t>facie</w:t>
      </w:r>
      <w:proofErr w:type="spellEnd"/>
      <w:r w:rsidR="00D63345" w:rsidRPr="00AC0926">
        <w:rPr>
          <w:lang w:val="fr-CA"/>
        </w:rPr>
        <w:t xml:space="preserve"> d’être instruite; </w:t>
      </w:r>
      <w:r w:rsidR="00807721" w:rsidRPr="00AC0926">
        <w:rPr>
          <w:lang w:val="fr-CA"/>
        </w:rPr>
        <w:t>(3) </w:t>
      </w:r>
      <w:r w:rsidR="00D63345" w:rsidRPr="00AC0926">
        <w:rPr>
          <w:lang w:val="fr-CA"/>
        </w:rPr>
        <w:t>les questions soulevées dépassent le cadre des intérêts du plaideur, revêtent une importance pour le public et n’ont pas encore été tranchées.</w:t>
      </w:r>
      <w:r w:rsidR="00807721" w:rsidRPr="00AC0926">
        <w:rPr>
          <w:lang w:val="fr-CA"/>
        </w:rPr>
        <w:t xml:space="preserve"> </w:t>
      </w:r>
      <w:r w:rsidR="00D63345" w:rsidRPr="00AC0926">
        <w:rPr>
          <w:lang w:val="fr-CA"/>
        </w:rPr>
        <w:t xml:space="preserve"> </w:t>
      </w:r>
      <w:r w:rsidR="000A2F6F" w:rsidRPr="00E31014">
        <w:rPr>
          <w:lang w:val="fr-CA"/>
        </w:rPr>
        <w:t xml:space="preserve">La </w:t>
      </w:r>
      <w:r w:rsidR="005B4B46" w:rsidRPr="00E31014">
        <w:rPr>
          <w:lang w:val="fr-CA"/>
        </w:rPr>
        <w:t>c</w:t>
      </w:r>
      <w:r w:rsidR="000A2F6F" w:rsidRPr="00E31014">
        <w:rPr>
          <w:lang w:val="fr-CA"/>
        </w:rPr>
        <w:t>our</w:t>
      </w:r>
      <w:r w:rsidR="005B4B46" w:rsidRPr="00E31014">
        <w:rPr>
          <w:lang w:val="fr-CA"/>
        </w:rPr>
        <w:t xml:space="preserve"> supérieure</w:t>
      </w:r>
      <w:r w:rsidR="000A2F6F" w:rsidRPr="00E31014">
        <w:rPr>
          <w:lang w:val="fr-CA"/>
        </w:rPr>
        <w:t xml:space="preserve"> doit décider, eu égard à toutes les circonstances, si l’affaire est si particulière qu’il serait contraire</w:t>
      </w:r>
      <w:r w:rsidR="00330737" w:rsidRPr="00E31014">
        <w:rPr>
          <w:lang w:val="fr-CA"/>
        </w:rPr>
        <w:t xml:space="preserve"> </w:t>
      </w:r>
      <w:r w:rsidR="00077927" w:rsidRPr="00E31014">
        <w:rPr>
          <w:lang w:val="fr-CA"/>
        </w:rPr>
        <w:t>aux intérêts de la justice de rejeter la demand</w:t>
      </w:r>
      <w:r w:rsidR="005B4B46" w:rsidRPr="00E31014">
        <w:rPr>
          <w:lang w:val="fr-CA"/>
        </w:rPr>
        <w:t xml:space="preserve">e de provision pour frais, ou si elle </w:t>
      </w:r>
      <w:r w:rsidR="00077927" w:rsidRPr="00E31014">
        <w:rPr>
          <w:lang w:val="fr-CA"/>
        </w:rPr>
        <w:t>devrait envisager d’autres moyens</w:t>
      </w:r>
      <w:r w:rsidR="00330737" w:rsidRPr="00E31014">
        <w:rPr>
          <w:lang w:val="fr-CA"/>
        </w:rPr>
        <w:t xml:space="preserve"> </w:t>
      </w:r>
      <w:r w:rsidR="00077927" w:rsidRPr="00E31014">
        <w:rPr>
          <w:lang w:val="fr-CA"/>
        </w:rPr>
        <w:t xml:space="preserve">de faciliter l’audition de l’affaire. </w:t>
      </w:r>
      <w:r w:rsidR="00807721" w:rsidRPr="00E31014">
        <w:rPr>
          <w:lang w:val="fr-CA"/>
        </w:rPr>
        <w:t xml:space="preserve"> </w:t>
      </w:r>
      <w:r w:rsidR="008E614A" w:rsidRPr="00E31014">
        <w:rPr>
          <w:lang w:val="fr-CA"/>
        </w:rPr>
        <w:t xml:space="preserve">La cour doit </w:t>
      </w:r>
      <w:r w:rsidR="005B4B46" w:rsidRPr="00E31014">
        <w:rPr>
          <w:lang w:val="fr-CA"/>
        </w:rPr>
        <w:t xml:space="preserve">tenir compte </w:t>
      </w:r>
      <w:r w:rsidR="00077927" w:rsidRPr="00E31014">
        <w:rPr>
          <w:lang w:val="fr-CA"/>
        </w:rPr>
        <w:t>de tous les facteurs pertinents qui émanent des faits.</w:t>
      </w:r>
    </w:p>
    <w:p w:rsidR="0056210C" w:rsidRPr="00807721" w:rsidRDefault="0056210C" w:rsidP="004911DA">
      <w:pPr>
        <w:pStyle w:val="SCCNormalDoubleSpacing"/>
        <w:spacing w:after="480"/>
        <w:rPr>
          <w:lang w:val="fr-FR"/>
        </w:rPr>
      </w:pPr>
      <w:r w:rsidRPr="00807721">
        <w:rPr>
          <w:lang w:val="fr-FR"/>
        </w:rPr>
        <w:tab/>
        <w:t>En l’espèce, la cour provinciale était a</w:t>
      </w:r>
      <w:r w:rsidR="00051278" w:rsidRPr="00807721">
        <w:rPr>
          <w:lang w:val="fr-FR"/>
        </w:rPr>
        <w:t>ux prises avec un litige relatif</w:t>
      </w:r>
      <w:r w:rsidRPr="00807721">
        <w:rPr>
          <w:lang w:val="fr-FR"/>
        </w:rPr>
        <w:t xml:space="preserve"> aux droits linguistiques </w:t>
      </w:r>
      <w:r w:rsidR="00FE0D90" w:rsidRPr="00807721">
        <w:rPr>
          <w:lang w:val="fr-FR"/>
        </w:rPr>
        <w:t xml:space="preserve">qui revêtait une grande importance et qui, après des mois de procès, risquait fort de ne pas aboutir. </w:t>
      </w:r>
      <w:r w:rsidR="00807721">
        <w:rPr>
          <w:lang w:val="fr-FR"/>
        </w:rPr>
        <w:t xml:space="preserve"> </w:t>
      </w:r>
      <w:r w:rsidR="00FE0D90" w:rsidRPr="00807721">
        <w:rPr>
          <w:lang w:val="fr-FR"/>
        </w:rPr>
        <w:t>L’intervention de la cour supé</w:t>
      </w:r>
      <w:r w:rsidRPr="00807721">
        <w:rPr>
          <w:lang w:val="fr-FR"/>
        </w:rPr>
        <w:t>ri</w:t>
      </w:r>
      <w:r w:rsidR="00FE0D90" w:rsidRPr="00807721">
        <w:rPr>
          <w:lang w:val="fr-FR"/>
        </w:rPr>
        <w:t>eu</w:t>
      </w:r>
      <w:r w:rsidRPr="00807721">
        <w:rPr>
          <w:lang w:val="fr-FR"/>
        </w:rPr>
        <w:t>r</w:t>
      </w:r>
      <w:r w:rsidR="00FE0D90" w:rsidRPr="00807721">
        <w:rPr>
          <w:lang w:val="fr-FR"/>
        </w:rPr>
        <w:t xml:space="preserve">e n’était pas une intervention habituelle. </w:t>
      </w:r>
      <w:r w:rsidR="00807721">
        <w:rPr>
          <w:lang w:val="fr-FR"/>
        </w:rPr>
        <w:t xml:space="preserve"> </w:t>
      </w:r>
      <w:r w:rsidR="006D1905" w:rsidRPr="00807721">
        <w:rPr>
          <w:lang w:val="fr-FR"/>
        </w:rPr>
        <w:t>Elle s’inscrivait dans une opération de sauvetage visant à éviter que des mois d’efforts ainsi que les frais engagés et les ressources judiciaires mises à contribution à ce jour soient gaspillés.</w:t>
      </w:r>
      <w:r w:rsidR="00807721">
        <w:rPr>
          <w:lang w:val="fr-FR"/>
        </w:rPr>
        <w:t xml:space="preserve"> </w:t>
      </w:r>
      <w:r w:rsidR="006D1905" w:rsidRPr="00807721">
        <w:rPr>
          <w:lang w:val="fr-FR"/>
        </w:rPr>
        <w:t xml:space="preserve"> Il serait contraire à l’intérêt de la justice que le litige ne soit pas tranché de façon adéquate sur le fond parce que C </w:t>
      </w:r>
      <w:r w:rsidRPr="00807721">
        <w:rPr>
          <w:lang w:val="fr-FR"/>
        </w:rPr>
        <w:t xml:space="preserve">— </w:t>
      </w:r>
      <w:r w:rsidR="006D1905" w:rsidRPr="00807721">
        <w:rPr>
          <w:lang w:val="fr-FR"/>
        </w:rPr>
        <w:t xml:space="preserve">le </w:t>
      </w:r>
      <w:proofErr w:type="spellStart"/>
      <w:r w:rsidR="006D1905" w:rsidRPr="00807721">
        <w:rPr>
          <w:lang w:val="fr-FR"/>
        </w:rPr>
        <w:t>po</w:t>
      </w:r>
      <w:r w:rsidR="00EA67CE">
        <w:rPr>
          <w:lang w:val="fr-FR"/>
        </w:rPr>
        <w:t>rte</w:t>
      </w:r>
      <w:r w:rsidR="00EA67CE">
        <w:rPr>
          <w:lang w:val="fr-FR"/>
        </w:rPr>
        <w:noBreakHyphen/>
      </w:r>
      <w:r w:rsidR="00807721">
        <w:rPr>
          <w:lang w:val="fr-FR"/>
        </w:rPr>
        <w:t>étendard</w:t>
      </w:r>
      <w:proofErr w:type="spellEnd"/>
      <w:r w:rsidR="00807721">
        <w:rPr>
          <w:lang w:val="fr-FR"/>
        </w:rPr>
        <w:t xml:space="preserve"> présumé des </w:t>
      </w:r>
      <w:proofErr w:type="spellStart"/>
      <w:r w:rsidR="00807721">
        <w:rPr>
          <w:lang w:val="fr-FR"/>
        </w:rPr>
        <w:t>Franco</w:t>
      </w:r>
      <w:r w:rsidR="00807721">
        <w:rPr>
          <w:lang w:val="fr-FR"/>
        </w:rPr>
        <w:noBreakHyphen/>
      </w:r>
      <w:r w:rsidR="006D1905" w:rsidRPr="00807721">
        <w:rPr>
          <w:lang w:val="fr-FR"/>
        </w:rPr>
        <w:t>Albertains</w:t>
      </w:r>
      <w:proofErr w:type="spellEnd"/>
      <w:r w:rsidR="006D1905" w:rsidRPr="00807721">
        <w:rPr>
          <w:lang w:val="fr-FR"/>
        </w:rPr>
        <w:t xml:space="preserve"> dans la présente affaire — ne disposait pas des ressources financières nécessaires pour terminer ce qu’il a commencé. </w:t>
      </w:r>
    </w:p>
    <w:p w:rsidR="00DC41C6" w:rsidRPr="00E31014" w:rsidRDefault="006D1905" w:rsidP="004911DA">
      <w:pPr>
        <w:pStyle w:val="SCCNormalDoubleSpacing"/>
        <w:spacing w:after="480"/>
        <w:rPr>
          <w:lang w:val="fr-CA"/>
        </w:rPr>
      </w:pPr>
      <w:r w:rsidRPr="00807721">
        <w:rPr>
          <w:lang w:val="fr-FR"/>
        </w:rPr>
        <w:tab/>
      </w:r>
      <w:r w:rsidR="0018206D" w:rsidRPr="00807721">
        <w:rPr>
          <w:lang w:val="fr-FR"/>
        </w:rPr>
        <w:t>L</w:t>
      </w:r>
      <w:r w:rsidR="00DC41C6" w:rsidRPr="00AC0926">
        <w:rPr>
          <w:lang w:val="fr-CA"/>
        </w:rPr>
        <w:t xml:space="preserve">es juridictions inférieures n’ont commis aucune erreur manifeste en concluant que l’accusé </w:t>
      </w:r>
      <w:r w:rsidR="009B6764" w:rsidRPr="00AC0926">
        <w:rPr>
          <w:lang w:val="fr-CA"/>
        </w:rPr>
        <w:t xml:space="preserve">avait </w:t>
      </w:r>
      <w:proofErr w:type="gramStart"/>
      <w:r w:rsidR="009B6764" w:rsidRPr="00AC0926">
        <w:rPr>
          <w:lang w:val="fr-CA"/>
        </w:rPr>
        <w:t>épuisé</w:t>
      </w:r>
      <w:proofErr w:type="gramEnd"/>
      <w:r w:rsidR="009B6764" w:rsidRPr="00AC0926">
        <w:rPr>
          <w:lang w:val="fr-CA"/>
        </w:rPr>
        <w:t xml:space="preserve"> ses ressources et </w:t>
      </w:r>
      <w:r w:rsidR="00DC41C6" w:rsidRPr="00AC0926">
        <w:rPr>
          <w:lang w:val="fr-CA"/>
        </w:rPr>
        <w:t xml:space="preserve">n’avait pas véritablement les moyens de payer les frais </w:t>
      </w:r>
      <w:r w:rsidR="009B6764" w:rsidRPr="00AC0926">
        <w:rPr>
          <w:lang w:val="fr-CA"/>
        </w:rPr>
        <w:t xml:space="preserve">supplémentaires </w:t>
      </w:r>
      <w:r w:rsidR="00DC41C6" w:rsidRPr="00AC0926">
        <w:rPr>
          <w:lang w:val="fr-CA"/>
        </w:rPr>
        <w:t xml:space="preserve">occasionnés par </w:t>
      </w:r>
      <w:r w:rsidR="009B6764" w:rsidRPr="00AC0926">
        <w:rPr>
          <w:lang w:val="fr-CA"/>
        </w:rPr>
        <w:t xml:space="preserve">la poursuite de </w:t>
      </w:r>
      <w:r w:rsidR="00DC41C6" w:rsidRPr="00AC0926">
        <w:rPr>
          <w:lang w:val="fr-CA"/>
        </w:rPr>
        <w:t>ce litige</w:t>
      </w:r>
      <w:r w:rsidR="009B6764" w:rsidRPr="00AC0926">
        <w:rPr>
          <w:lang w:val="fr-CA"/>
        </w:rPr>
        <w:t xml:space="preserve">. </w:t>
      </w:r>
      <w:r w:rsidR="00807721" w:rsidRPr="00AC0926">
        <w:rPr>
          <w:lang w:val="fr-CA"/>
        </w:rPr>
        <w:t xml:space="preserve"> </w:t>
      </w:r>
      <w:r w:rsidR="009B6764" w:rsidRPr="00807721">
        <w:rPr>
          <w:lang w:val="fr-FR"/>
        </w:rPr>
        <w:t xml:space="preserve">Toutes les </w:t>
      </w:r>
      <w:r w:rsidR="00DC41C6" w:rsidRPr="00807721">
        <w:rPr>
          <w:lang w:val="fr-FR"/>
        </w:rPr>
        <w:t xml:space="preserve">autres possibilités de financement </w:t>
      </w:r>
      <w:r w:rsidR="00562790" w:rsidRPr="00807721">
        <w:rPr>
          <w:lang w:val="fr-FR"/>
        </w:rPr>
        <w:t xml:space="preserve">avaient été épuisées. </w:t>
      </w:r>
      <w:r w:rsidR="00807721">
        <w:rPr>
          <w:lang w:val="fr-FR"/>
        </w:rPr>
        <w:t xml:space="preserve"> </w:t>
      </w:r>
      <w:r w:rsidR="00562790" w:rsidRPr="00807721">
        <w:rPr>
          <w:lang w:val="fr-FR"/>
        </w:rPr>
        <w:t>Le juge de la Cour du Banc de la Reine a été impressi</w:t>
      </w:r>
      <w:r w:rsidR="00807721">
        <w:rPr>
          <w:lang w:val="fr-FR"/>
        </w:rPr>
        <w:t>onné par la « façon responsable </w:t>
      </w:r>
      <w:r w:rsidR="00562790" w:rsidRPr="00807721">
        <w:rPr>
          <w:lang w:val="fr-FR"/>
        </w:rPr>
        <w:t xml:space="preserve">» dont C s’y est </w:t>
      </w:r>
      <w:r w:rsidR="00562790" w:rsidRPr="00807721">
        <w:rPr>
          <w:lang w:val="fr-FR"/>
        </w:rPr>
        <w:lastRenderedPageBreak/>
        <w:t xml:space="preserve">pris pour rassembler des fonds en vue de ce qui risquait d’être un long procès, ponctué de remises imprévues. </w:t>
      </w:r>
      <w:r w:rsidR="00807721">
        <w:rPr>
          <w:lang w:val="fr-FR"/>
        </w:rPr>
        <w:t xml:space="preserve"> </w:t>
      </w:r>
      <w:r w:rsidR="00051278" w:rsidRPr="00807721">
        <w:rPr>
          <w:lang w:val="fr-FR"/>
        </w:rPr>
        <w:t>L</w:t>
      </w:r>
      <w:r w:rsidR="00562790" w:rsidRPr="00807721">
        <w:rPr>
          <w:lang w:val="fr-FR"/>
        </w:rPr>
        <w:t>a prétention</w:t>
      </w:r>
      <w:r w:rsidR="00051278" w:rsidRPr="00807721">
        <w:rPr>
          <w:lang w:val="fr-FR"/>
        </w:rPr>
        <w:t xml:space="preserve"> de C</w:t>
      </w:r>
      <w:r w:rsidR="00562790" w:rsidRPr="00807721">
        <w:rPr>
          <w:lang w:val="fr-FR"/>
        </w:rPr>
        <w:t xml:space="preserve"> était valable à première vue</w:t>
      </w:r>
      <w:r w:rsidR="00051278" w:rsidRPr="00807721">
        <w:rPr>
          <w:lang w:val="fr-FR"/>
        </w:rPr>
        <w:t xml:space="preserve">. </w:t>
      </w:r>
      <w:r w:rsidR="00807721">
        <w:rPr>
          <w:lang w:val="fr-FR"/>
        </w:rPr>
        <w:t xml:space="preserve"> </w:t>
      </w:r>
      <w:r w:rsidR="00263DF5" w:rsidRPr="00807721">
        <w:rPr>
          <w:lang w:val="fr-FR"/>
        </w:rPr>
        <w:t>Enfin, l’affaire revêt une importance pour le public</w:t>
      </w:r>
      <w:r w:rsidR="00E924AF" w:rsidRPr="00807721">
        <w:rPr>
          <w:lang w:val="fr-FR"/>
        </w:rPr>
        <w:t xml:space="preserve">. </w:t>
      </w:r>
      <w:r w:rsidR="00807721">
        <w:rPr>
          <w:lang w:val="fr-FR"/>
        </w:rPr>
        <w:t xml:space="preserve"> </w:t>
      </w:r>
      <w:r w:rsidR="00E924AF" w:rsidRPr="00807721">
        <w:rPr>
          <w:lang w:val="fr-FR"/>
        </w:rPr>
        <w:t xml:space="preserve">Elle valait </w:t>
      </w:r>
      <w:r w:rsidR="00E924AF" w:rsidRPr="00807721">
        <w:rPr>
          <w:i/>
          <w:lang w:val="fr-FR"/>
        </w:rPr>
        <w:t xml:space="preserve">prima </w:t>
      </w:r>
      <w:proofErr w:type="spellStart"/>
      <w:r w:rsidR="00E924AF" w:rsidRPr="00807721">
        <w:rPr>
          <w:i/>
          <w:lang w:val="fr-FR"/>
        </w:rPr>
        <w:t>facie</w:t>
      </w:r>
      <w:proofErr w:type="spellEnd"/>
      <w:r w:rsidR="00263DF5" w:rsidRPr="00807721">
        <w:rPr>
          <w:lang w:val="fr-FR"/>
        </w:rPr>
        <w:t xml:space="preserve"> </w:t>
      </w:r>
      <w:r w:rsidR="00E924AF" w:rsidRPr="00807721">
        <w:rPr>
          <w:lang w:val="fr-FR"/>
        </w:rPr>
        <w:t xml:space="preserve">d’être instruite </w:t>
      </w:r>
      <w:r w:rsidR="00263DF5" w:rsidRPr="00807721">
        <w:rPr>
          <w:lang w:val="fr-FR"/>
        </w:rPr>
        <w:t>en tant que contestation</w:t>
      </w:r>
      <w:r w:rsidR="00E924AF" w:rsidRPr="00807721">
        <w:rPr>
          <w:lang w:val="fr-FR"/>
        </w:rPr>
        <w:t xml:space="preserve"> visant tout le corpus des textes juridiques unilingues de l’Alberta. </w:t>
      </w:r>
      <w:r w:rsidR="00807721">
        <w:rPr>
          <w:lang w:val="fr-FR"/>
        </w:rPr>
        <w:t xml:space="preserve"> </w:t>
      </w:r>
      <w:r w:rsidR="00970165" w:rsidRPr="00807721">
        <w:rPr>
          <w:lang w:val="fr-FR"/>
        </w:rPr>
        <w:t>I</w:t>
      </w:r>
      <w:r w:rsidR="00051278" w:rsidRPr="00807721">
        <w:rPr>
          <w:lang w:val="fr-FR"/>
        </w:rPr>
        <w:t>l est dans l’intérêt</w:t>
      </w:r>
      <w:r w:rsidR="00DC41C6" w:rsidRPr="00807721">
        <w:rPr>
          <w:lang w:val="fr-FR"/>
        </w:rPr>
        <w:t xml:space="preserve"> public</w:t>
      </w:r>
      <w:r w:rsidR="00051278" w:rsidRPr="00807721">
        <w:rPr>
          <w:lang w:val="fr-FR"/>
        </w:rPr>
        <w:t xml:space="preserve"> que l’affaire soit instruite dès maintenant. Elle es</w:t>
      </w:r>
      <w:r w:rsidR="00807721">
        <w:rPr>
          <w:lang w:val="fr-FR"/>
        </w:rPr>
        <w:t>t « </w:t>
      </w:r>
      <w:r w:rsidR="00051278" w:rsidRPr="00807721">
        <w:rPr>
          <w:lang w:val="fr-FR"/>
        </w:rPr>
        <w:t>suffisamment particulière</w:t>
      </w:r>
      <w:r w:rsidR="00807721">
        <w:rPr>
          <w:lang w:val="fr-FR"/>
        </w:rPr>
        <w:t> </w:t>
      </w:r>
      <w:r w:rsidR="00051278" w:rsidRPr="00807721">
        <w:rPr>
          <w:lang w:val="fr-FR"/>
        </w:rPr>
        <w:t>» au sens</w:t>
      </w:r>
      <w:r w:rsidR="006D6D8B" w:rsidRPr="00807721">
        <w:rPr>
          <w:lang w:val="fr-FR"/>
        </w:rPr>
        <w:t xml:space="preserve"> des arrêts</w:t>
      </w:r>
      <w:r w:rsidR="00E924AF" w:rsidRPr="00807721">
        <w:rPr>
          <w:lang w:val="fr-FR"/>
        </w:rPr>
        <w:t xml:space="preserve"> </w:t>
      </w:r>
      <w:proofErr w:type="spellStart"/>
      <w:r w:rsidR="00DC41C6" w:rsidRPr="00807721">
        <w:rPr>
          <w:i/>
          <w:lang w:val="fr-FR"/>
        </w:rPr>
        <w:t>Okanagan</w:t>
      </w:r>
      <w:proofErr w:type="spellEnd"/>
      <w:r w:rsidR="006D6D8B" w:rsidRPr="00807721">
        <w:rPr>
          <w:i/>
          <w:lang w:val="fr-FR"/>
        </w:rPr>
        <w:t xml:space="preserve"> </w:t>
      </w:r>
      <w:r w:rsidR="006D6D8B" w:rsidRPr="00807721">
        <w:rPr>
          <w:lang w:val="fr-FR"/>
        </w:rPr>
        <w:t xml:space="preserve">et </w:t>
      </w:r>
      <w:proofErr w:type="spellStart"/>
      <w:r w:rsidR="00DC41C6" w:rsidRPr="00807721">
        <w:rPr>
          <w:i/>
          <w:lang w:val="fr-FR"/>
        </w:rPr>
        <w:t>Little</w:t>
      </w:r>
      <w:proofErr w:type="spellEnd"/>
      <w:r w:rsidR="00DC41C6" w:rsidRPr="00807721">
        <w:rPr>
          <w:i/>
          <w:lang w:val="fr-FR"/>
        </w:rPr>
        <w:t xml:space="preserve"> </w:t>
      </w:r>
      <w:proofErr w:type="spellStart"/>
      <w:r w:rsidR="00DC41C6" w:rsidRPr="00807721">
        <w:rPr>
          <w:i/>
          <w:lang w:val="fr-FR"/>
        </w:rPr>
        <w:t>Sisters</w:t>
      </w:r>
      <w:proofErr w:type="spellEnd"/>
      <w:r w:rsidR="00DC41C6" w:rsidRPr="00807721">
        <w:rPr>
          <w:i/>
          <w:lang w:val="fr-FR"/>
        </w:rPr>
        <w:t xml:space="preserve"> (</w:t>
      </w:r>
      <w:r w:rsidR="006D6D8B" w:rsidRPr="00807721">
        <w:rPr>
          <w:i/>
          <w:lang w:val="fr-FR"/>
        </w:rPr>
        <w:t>n</w:t>
      </w:r>
      <w:r w:rsidR="006D6D8B" w:rsidRPr="00807721">
        <w:rPr>
          <w:i/>
          <w:vertAlign w:val="superscript"/>
          <w:lang w:val="fr-FR"/>
        </w:rPr>
        <w:t>o</w:t>
      </w:r>
      <w:r w:rsidR="00807721">
        <w:rPr>
          <w:i/>
          <w:vertAlign w:val="superscript"/>
          <w:lang w:val="fr-FR"/>
        </w:rPr>
        <w:t> </w:t>
      </w:r>
      <w:r w:rsidR="00DC41C6" w:rsidRPr="00807721">
        <w:rPr>
          <w:i/>
          <w:lang w:val="fr-FR"/>
        </w:rPr>
        <w:t>2)</w:t>
      </w:r>
      <w:r w:rsidR="00DC41C6" w:rsidRPr="00807721">
        <w:rPr>
          <w:lang w:val="fr-FR"/>
        </w:rPr>
        <w:t>.</w:t>
      </w:r>
    </w:p>
    <w:p w:rsidR="006D6D8B" w:rsidRPr="00807721" w:rsidRDefault="006D6D8B" w:rsidP="00816B1B">
      <w:pPr>
        <w:pStyle w:val="SCCNormalDoubleSpacing"/>
        <w:spacing w:after="480"/>
        <w:rPr>
          <w:lang w:val="fr-FR"/>
        </w:rPr>
      </w:pPr>
      <w:r w:rsidRPr="00807721">
        <w:rPr>
          <w:lang w:val="fr-FR"/>
        </w:rPr>
        <w:tab/>
      </w:r>
      <w:r w:rsidR="00061F0F" w:rsidRPr="00807721">
        <w:rPr>
          <w:i/>
          <w:lang w:val="fr-FR"/>
        </w:rPr>
        <w:t>La</w:t>
      </w:r>
      <w:r w:rsidR="00061F0F" w:rsidRPr="00807721">
        <w:rPr>
          <w:lang w:val="fr-FR"/>
        </w:rPr>
        <w:t xml:space="preserve"> juge </w:t>
      </w:r>
      <w:r w:rsidR="00061F0F" w:rsidRPr="008A622A">
        <w:rPr>
          <w:lang w:val="fr-FR"/>
        </w:rPr>
        <w:t>Abella</w:t>
      </w:r>
      <w:r w:rsidR="000E6992" w:rsidRPr="00807721">
        <w:rPr>
          <w:b/>
          <w:lang w:val="fr-FR"/>
        </w:rPr>
        <w:t> </w:t>
      </w:r>
      <w:r w:rsidR="000E6992" w:rsidRPr="00807721">
        <w:rPr>
          <w:lang w:val="fr-FR"/>
        </w:rPr>
        <w:t xml:space="preserve">: </w:t>
      </w:r>
      <w:r w:rsidR="00061F0F" w:rsidRPr="00807721">
        <w:rPr>
          <w:lang w:val="fr-FR"/>
        </w:rPr>
        <w:t xml:space="preserve">Les circonstances exceptionnelles de la présente affaire justifient à bon droit l’octroi d’une provision pour frais dans l’intérêt public en fonction des principes établis dans </w:t>
      </w:r>
      <w:proofErr w:type="spellStart"/>
      <w:r w:rsidR="00061F0F" w:rsidRPr="00807721">
        <w:rPr>
          <w:i/>
          <w:lang w:val="fr-FR"/>
        </w:rPr>
        <w:t>Okanagan</w:t>
      </w:r>
      <w:proofErr w:type="spellEnd"/>
      <w:r w:rsidR="00061F0F" w:rsidRPr="00807721">
        <w:rPr>
          <w:i/>
          <w:lang w:val="fr-FR"/>
        </w:rPr>
        <w:t xml:space="preserve"> </w:t>
      </w:r>
      <w:r w:rsidR="00061F0F" w:rsidRPr="00807721">
        <w:rPr>
          <w:lang w:val="fr-FR"/>
        </w:rPr>
        <w:t xml:space="preserve">et </w:t>
      </w:r>
      <w:proofErr w:type="spellStart"/>
      <w:r w:rsidR="00061F0F" w:rsidRPr="00807721">
        <w:rPr>
          <w:i/>
          <w:lang w:val="fr-FR"/>
        </w:rPr>
        <w:t>Little</w:t>
      </w:r>
      <w:proofErr w:type="spellEnd"/>
      <w:r w:rsidR="00061F0F" w:rsidRPr="00807721">
        <w:rPr>
          <w:i/>
          <w:lang w:val="fr-FR"/>
        </w:rPr>
        <w:t xml:space="preserve"> </w:t>
      </w:r>
      <w:proofErr w:type="spellStart"/>
      <w:r w:rsidR="00061F0F" w:rsidRPr="00807721">
        <w:rPr>
          <w:i/>
          <w:lang w:val="fr-FR"/>
        </w:rPr>
        <w:t>Sisters</w:t>
      </w:r>
      <w:proofErr w:type="spellEnd"/>
      <w:r w:rsidR="00061F0F" w:rsidRPr="00807721">
        <w:rPr>
          <w:lang w:val="fr-FR"/>
        </w:rPr>
        <w:t xml:space="preserve"> </w:t>
      </w:r>
      <w:r w:rsidR="00061F0F" w:rsidRPr="00807721">
        <w:rPr>
          <w:i/>
          <w:lang w:val="fr-FR"/>
        </w:rPr>
        <w:t>(n</w:t>
      </w:r>
      <w:r w:rsidR="00061F0F" w:rsidRPr="00807721">
        <w:rPr>
          <w:i/>
          <w:vertAlign w:val="superscript"/>
          <w:lang w:val="fr-FR"/>
        </w:rPr>
        <w:t>o</w:t>
      </w:r>
      <w:r w:rsidR="00807721">
        <w:rPr>
          <w:i/>
          <w:lang w:val="fr-FR"/>
        </w:rPr>
        <w:t> </w:t>
      </w:r>
      <w:r w:rsidR="00061F0F" w:rsidRPr="00807721">
        <w:rPr>
          <w:i/>
          <w:lang w:val="fr-FR"/>
        </w:rPr>
        <w:t>2)</w:t>
      </w:r>
      <w:r w:rsidR="00061F0F" w:rsidRPr="00807721">
        <w:rPr>
          <w:lang w:val="fr-FR"/>
        </w:rPr>
        <w:t xml:space="preserve">. </w:t>
      </w:r>
      <w:r w:rsidR="00807721">
        <w:rPr>
          <w:lang w:val="fr-FR"/>
        </w:rPr>
        <w:t xml:space="preserve"> </w:t>
      </w:r>
      <w:r w:rsidR="00061F0F" w:rsidRPr="00807721">
        <w:rPr>
          <w:lang w:val="fr-FR"/>
        </w:rPr>
        <w:t xml:space="preserve">Il importe toutefois de signaler </w:t>
      </w:r>
      <w:r w:rsidR="00B972A6" w:rsidRPr="00807721">
        <w:rPr>
          <w:lang w:val="fr-FR"/>
        </w:rPr>
        <w:t xml:space="preserve">que nous n’étions pas saisis de la question de la compétence des cours provinciales d’octroyer des provisions pour frais. </w:t>
      </w:r>
      <w:r w:rsidR="00807721">
        <w:rPr>
          <w:lang w:val="fr-FR"/>
        </w:rPr>
        <w:t xml:space="preserve"> </w:t>
      </w:r>
      <w:r w:rsidR="00B972A6" w:rsidRPr="00807721">
        <w:rPr>
          <w:lang w:val="fr-FR"/>
        </w:rPr>
        <w:t>Il ne faut donc pas voir le présent arrêt comme transformant de manière indue la compétence inhérente d’une cour supérieure en un plein pouvoir «</w:t>
      </w:r>
      <w:r w:rsidR="00807721">
        <w:rPr>
          <w:lang w:val="fr-FR"/>
        </w:rPr>
        <w:t> d’assistance </w:t>
      </w:r>
      <w:r w:rsidR="00B972A6" w:rsidRPr="00807721">
        <w:rPr>
          <w:lang w:val="fr-FR"/>
        </w:rPr>
        <w:t xml:space="preserve">». </w:t>
      </w:r>
      <w:r w:rsidR="00807721">
        <w:rPr>
          <w:lang w:val="fr-FR"/>
        </w:rPr>
        <w:t xml:space="preserve"> </w:t>
      </w:r>
      <w:r w:rsidR="00B972A6" w:rsidRPr="00807721">
        <w:rPr>
          <w:lang w:val="fr-FR"/>
        </w:rPr>
        <w:t xml:space="preserve">Il faut plutôt interpréter </w:t>
      </w:r>
      <w:r w:rsidR="00883A13" w:rsidRPr="00807721">
        <w:rPr>
          <w:lang w:val="fr-FR"/>
        </w:rPr>
        <w:t>cette</w:t>
      </w:r>
      <w:r w:rsidR="00B972A6" w:rsidRPr="00807721">
        <w:rPr>
          <w:lang w:val="fr-FR"/>
        </w:rPr>
        <w:t xml:space="preserve"> compétence inhérente</w:t>
      </w:r>
      <w:r w:rsidR="00883A13" w:rsidRPr="00807721">
        <w:rPr>
          <w:lang w:val="fr-FR"/>
        </w:rPr>
        <w:t xml:space="preserve"> </w:t>
      </w:r>
      <w:r w:rsidR="00B972A6" w:rsidRPr="00807721">
        <w:rPr>
          <w:lang w:val="fr-FR"/>
        </w:rPr>
        <w:t xml:space="preserve">conformément à l’évolution de la jurisprudence de cette Cour au sujet du rôle, du pouvoir et du mandat des cours de justice d’origine législative et des tribunaux administratifs. </w:t>
      </w:r>
      <w:r w:rsidR="00807721">
        <w:rPr>
          <w:lang w:val="fr-FR"/>
        </w:rPr>
        <w:t xml:space="preserve"> </w:t>
      </w:r>
      <w:r w:rsidR="00B972A6" w:rsidRPr="00807721">
        <w:rPr>
          <w:lang w:val="fr-FR"/>
        </w:rPr>
        <w:t>Lors de l’examen des limites dont devrait être assortie la compétence inhérente d’une cour supérieure</w:t>
      </w:r>
      <w:r w:rsidR="007D5609" w:rsidRPr="00807721">
        <w:rPr>
          <w:lang w:val="fr-FR"/>
        </w:rPr>
        <w:t xml:space="preserve"> sur des questions soumises à une cour de justice d’origine législative ou à un tribunal administratif, il faut concilier </w:t>
      </w:r>
      <w:r w:rsidR="00883A13" w:rsidRPr="00807721">
        <w:rPr>
          <w:lang w:val="fr-FR"/>
        </w:rPr>
        <w:t xml:space="preserve">la portée de cette compétence en </w:t>
      </w:r>
      <w:proofErr w:type="spellStart"/>
      <w:r w:rsidR="00061F0F" w:rsidRPr="00807721">
        <w:rPr>
          <w:lang w:val="fr-FR"/>
        </w:rPr>
        <w:t>common</w:t>
      </w:r>
      <w:proofErr w:type="spellEnd"/>
      <w:r w:rsidR="00061F0F" w:rsidRPr="00807721">
        <w:rPr>
          <w:lang w:val="fr-FR"/>
        </w:rPr>
        <w:t xml:space="preserve"> </w:t>
      </w:r>
      <w:proofErr w:type="spellStart"/>
      <w:r w:rsidR="00061F0F" w:rsidRPr="00807721">
        <w:rPr>
          <w:lang w:val="fr-FR"/>
        </w:rPr>
        <w:t>law</w:t>
      </w:r>
      <w:proofErr w:type="spellEnd"/>
      <w:r w:rsidR="00883A13" w:rsidRPr="00807721">
        <w:rPr>
          <w:lang w:val="fr-FR"/>
        </w:rPr>
        <w:t xml:space="preserve"> et le mandat que la loi lui confie implicitement de faire respecter sa propre procédure dans la mesure nécessaire</w:t>
      </w:r>
      <w:r w:rsidR="00061F0F" w:rsidRPr="00807721">
        <w:rPr>
          <w:lang w:val="fr-FR"/>
        </w:rPr>
        <w:t xml:space="preserve"> </w:t>
      </w:r>
      <w:r w:rsidR="00883A13" w:rsidRPr="00807721">
        <w:rPr>
          <w:lang w:val="fr-FR"/>
        </w:rPr>
        <w:t xml:space="preserve">pour éviter une </w:t>
      </w:r>
      <w:r w:rsidR="00061F0F" w:rsidRPr="00807721">
        <w:rPr>
          <w:lang w:val="fr-FR"/>
        </w:rPr>
        <w:t xml:space="preserve">injustice </w:t>
      </w:r>
      <w:r w:rsidR="00883A13" w:rsidRPr="00807721">
        <w:rPr>
          <w:lang w:val="fr-FR"/>
        </w:rPr>
        <w:t>et atteindre les objectif</w:t>
      </w:r>
      <w:r w:rsidR="00807721">
        <w:rPr>
          <w:lang w:val="fr-FR"/>
        </w:rPr>
        <w:t>s fixés par la loi à son égard.</w:t>
      </w:r>
    </w:p>
    <w:p w:rsidR="007E1C47" w:rsidRPr="00E31014" w:rsidRDefault="0043088E" w:rsidP="00CD4256">
      <w:pPr>
        <w:pStyle w:val="SCCNormalDoubleSpacing"/>
        <w:keepNext/>
        <w:keepLines/>
        <w:spacing w:after="480"/>
        <w:rPr>
          <w:b/>
          <w:lang w:val="fr-CA"/>
        </w:rPr>
      </w:pPr>
      <w:r w:rsidRPr="00E31014">
        <w:rPr>
          <w:b/>
          <w:lang w:val="fr-CA"/>
        </w:rPr>
        <w:lastRenderedPageBreak/>
        <w:t>Jurisprudence</w:t>
      </w:r>
    </w:p>
    <w:p w:rsidR="000450D1" w:rsidRPr="00E31014" w:rsidRDefault="000450D1" w:rsidP="00CD4256">
      <w:pPr>
        <w:pStyle w:val="SCCNormalDoubleSpacing"/>
        <w:spacing w:after="480"/>
        <w:rPr>
          <w:lang w:val="fr-CA"/>
        </w:rPr>
      </w:pPr>
      <w:r w:rsidRPr="00E31014">
        <w:rPr>
          <w:lang w:val="fr-CA"/>
        </w:rPr>
        <w:t xml:space="preserve">Citée par le juge </w:t>
      </w:r>
      <w:proofErr w:type="spellStart"/>
      <w:r w:rsidRPr="00E31014">
        <w:rPr>
          <w:lang w:val="fr-CA"/>
        </w:rPr>
        <w:t>Binnie</w:t>
      </w:r>
      <w:proofErr w:type="spellEnd"/>
    </w:p>
    <w:p w:rsidR="000450D1" w:rsidRPr="00807721" w:rsidRDefault="002E6705" w:rsidP="00CD4256">
      <w:pPr>
        <w:pStyle w:val="SCCNormalDoubleSpacing"/>
        <w:spacing w:after="480"/>
        <w:rPr>
          <w:lang w:val="fr-FR"/>
        </w:rPr>
      </w:pPr>
      <w:r w:rsidRPr="00807721">
        <w:rPr>
          <w:lang w:val="fr-FR"/>
        </w:rPr>
        <w:tab/>
      </w:r>
      <w:r w:rsidR="0043088E" w:rsidRPr="00807721">
        <w:rPr>
          <w:b/>
          <w:lang w:val="fr-FR"/>
        </w:rPr>
        <w:t xml:space="preserve">Arrêts </w:t>
      </w:r>
      <w:r w:rsidR="00F04C0E" w:rsidRPr="00807721">
        <w:rPr>
          <w:b/>
          <w:lang w:val="fr-FR"/>
        </w:rPr>
        <w:t>appliqués</w:t>
      </w:r>
      <w:r w:rsidR="004911DA">
        <w:rPr>
          <w:b/>
          <w:lang w:val="fr-FR"/>
        </w:rPr>
        <w:t> </w:t>
      </w:r>
      <w:r w:rsidRPr="00807721">
        <w:rPr>
          <w:b/>
          <w:lang w:val="fr-FR"/>
        </w:rPr>
        <w:t>:</w:t>
      </w:r>
      <w:r w:rsidR="00172A04" w:rsidRPr="00807721">
        <w:rPr>
          <w:lang w:val="fr-FR"/>
        </w:rPr>
        <w:t xml:space="preserve"> </w:t>
      </w:r>
      <w:proofErr w:type="spellStart"/>
      <w:r w:rsidR="0055214C" w:rsidRPr="00807721">
        <w:rPr>
          <w:i/>
          <w:szCs w:val="24"/>
          <w:lang w:val="fr-FR"/>
        </w:rPr>
        <w:t>Colombie</w:t>
      </w:r>
      <w:r w:rsidR="00EA67CE">
        <w:rPr>
          <w:i/>
          <w:szCs w:val="24"/>
          <w:lang w:val="fr-FR"/>
        </w:rPr>
        <w:noBreakHyphen/>
      </w:r>
      <w:r w:rsidR="0055214C" w:rsidRPr="00807721">
        <w:rPr>
          <w:i/>
          <w:szCs w:val="24"/>
          <w:lang w:val="fr-FR"/>
        </w:rPr>
        <w:t>Britannique</w:t>
      </w:r>
      <w:proofErr w:type="spellEnd"/>
      <w:r w:rsidR="0055214C" w:rsidRPr="00807721">
        <w:rPr>
          <w:i/>
          <w:szCs w:val="24"/>
          <w:lang w:val="fr-FR"/>
        </w:rPr>
        <w:t xml:space="preserve"> (Ministre des Forêts) c. Bande indienne </w:t>
      </w:r>
      <w:proofErr w:type="spellStart"/>
      <w:r w:rsidR="0055214C" w:rsidRPr="00807721">
        <w:rPr>
          <w:i/>
          <w:szCs w:val="24"/>
          <w:lang w:val="fr-FR"/>
        </w:rPr>
        <w:t>Okanagan</w:t>
      </w:r>
      <w:proofErr w:type="spellEnd"/>
      <w:r w:rsidR="0055214C" w:rsidRPr="00807721">
        <w:rPr>
          <w:szCs w:val="24"/>
          <w:lang w:val="fr-FR"/>
        </w:rPr>
        <w:t xml:space="preserve">, 2003 CSC 71, [2003] 3 R.C.S. 371; </w:t>
      </w:r>
      <w:proofErr w:type="spellStart"/>
      <w:r w:rsidR="0055214C" w:rsidRPr="00807721">
        <w:rPr>
          <w:i/>
          <w:szCs w:val="24"/>
          <w:lang w:val="fr-FR"/>
        </w:rPr>
        <w:t>Little</w:t>
      </w:r>
      <w:proofErr w:type="spellEnd"/>
      <w:r w:rsidR="0055214C" w:rsidRPr="00807721">
        <w:rPr>
          <w:i/>
          <w:szCs w:val="24"/>
          <w:lang w:val="fr-FR"/>
        </w:rPr>
        <w:t xml:space="preserve"> </w:t>
      </w:r>
      <w:proofErr w:type="spellStart"/>
      <w:r w:rsidR="0055214C" w:rsidRPr="00807721">
        <w:rPr>
          <w:i/>
          <w:szCs w:val="24"/>
          <w:lang w:val="fr-FR"/>
        </w:rPr>
        <w:t>Sisters</w:t>
      </w:r>
      <w:proofErr w:type="spellEnd"/>
      <w:r w:rsidR="0055214C" w:rsidRPr="00807721">
        <w:rPr>
          <w:i/>
          <w:szCs w:val="24"/>
          <w:lang w:val="fr-FR"/>
        </w:rPr>
        <w:t xml:space="preserve"> Book and Art Emporium c. Canada (Commissaire des Douanes et du Revenu)</w:t>
      </w:r>
      <w:r w:rsidR="0055214C" w:rsidRPr="00807721">
        <w:rPr>
          <w:szCs w:val="24"/>
          <w:lang w:val="fr-FR"/>
        </w:rPr>
        <w:t xml:space="preserve">, 2007 CSC 2, [2007] 1 R.C.S. 38; </w:t>
      </w:r>
      <w:r w:rsidR="0055214C" w:rsidRPr="00807721">
        <w:rPr>
          <w:b/>
          <w:szCs w:val="24"/>
          <w:lang w:val="fr-FR"/>
        </w:rPr>
        <w:t>arrêts mentionnés :</w:t>
      </w:r>
      <w:r w:rsidR="0055214C" w:rsidRPr="00807721">
        <w:rPr>
          <w:szCs w:val="24"/>
          <w:lang w:val="fr-FR"/>
        </w:rPr>
        <w:t xml:space="preserve"> </w:t>
      </w:r>
      <w:r w:rsidR="000450D1" w:rsidRPr="00807721">
        <w:rPr>
          <w:i/>
          <w:szCs w:val="24"/>
          <w:lang w:val="fr-FR"/>
        </w:rPr>
        <w:t xml:space="preserve">R. </w:t>
      </w:r>
      <w:r w:rsidR="00954E59" w:rsidRPr="00807721">
        <w:rPr>
          <w:i/>
          <w:szCs w:val="24"/>
          <w:lang w:val="fr-FR"/>
        </w:rPr>
        <w:t>c</w:t>
      </w:r>
      <w:r w:rsidR="000450D1" w:rsidRPr="00807721">
        <w:rPr>
          <w:i/>
          <w:szCs w:val="24"/>
          <w:lang w:val="fr-FR"/>
        </w:rPr>
        <w:t xml:space="preserve">. </w:t>
      </w:r>
      <w:proofErr w:type="spellStart"/>
      <w:r w:rsidR="000450D1" w:rsidRPr="00807721">
        <w:rPr>
          <w:i/>
          <w:szCs w:val="24"/>
          <w:lang w:val="fr-FR"/>
        </w:rPr>
        <w:t>Rowbotham</w:t>
      </w:r>
      <w:proofErr w:type="spellEnd"/>
      <w:r w:rsidR="000450D1" w:rsidRPr="00807721">
        <w:rPr>
          <w:szCs w:val="24"/>
          <w:lang w:val="fr-FR"/>
        </w:rPr>
        <w:t xml:space="preserve"> (1988), 41 C.C.C. (3d) 1; </w:t>
      </w:r>
      <w:r w:rsidR="000450D1" w:rsidRPr="00807721">
        <w:rPr>
          <w:i/>
          <w:szCs w:val="24"/>
          <w:lang w:val="fr-FR"/>
        </w:rPr>
        <w:t xml:space="preserve">R. </w:t>
      </w:r>
      <w:r w:rsidR="00954E59" w:rsidRPr="00807721">
        <w:rPr>
          <w:i/>
          <w:szCs w:val="24"/>
          <w:lang w:val="fr-FR"/>
        </w:rPr>
        <w:t>c</w:t>
      </w:r>
      <w:r w:rsidR="000450D1" w:rsidRPr="00807721">
        <w:rPr>
          <w:i/>
          <w:szCs w:val="24"/>
          <w:lang w:val="fr-FR"/>
        </w:rPr>
        <w:t xml:space="preserve">. </w:t>
      </w:r>
      <w:proofErr w:type="spellStart"/>
      <w:r w:rsidR="000450D1" w:rsidRPr="00807721">
        <w:rPr>
          <w:i/>
          <w:szCs w:val="24"/>
          <w:lang w:val="fr-FR"/>
        </w:rPr>
        <w:t>Rain</w:t>
      </w:r>
      <w:proofErr w:type="spellEnd"/>
      <w:r w:rsidR="000450D1" w:rsidRPr="00807721">
        <w:rPr>
          <w:szCs w:val="24"/>
          <w:lang w:val="fr-FR"/>
        </w:rPr>
        <w:t xml:space="preserve"> (1998), 223 A.R. 359; </w:t>
      </w:r>
      <w:r w:rsidR="000450D1" w:rsidRPr="00807721">
        <w:rPr>
          <w:i/>
          <w:szCs w:val="24"/>
          <w:lang w:val="fr-FR"/>
        </w:rPr>
        <w:t xml:space="preserve">R. </w:t>
      </w:r>
      <w:r w:rsidR="00954E59" w:rsidRPr="00807721">
        <w:rPr>
          <w:i/>
          <w:szCs w:val="24"/>
          <w:lang w:val="fr-FR"/>
        </w:rPr>
        <w:t>c</w:t>
      </w:r>
      <w:r w:rsidR="000450D1" w:rsidRPr="00807721">
        <w:rPr>
          <w:i/>
          <w:szCs w:val="24"/>
          <w:lang w:val="fr-FR"/>
        </w:rPr>
        <w:t>. Mercure</w:t>
      </w:r>
      <w:r w:rsidR="000450D1" w:rsidRPr="00807721">
        <w:rPr>
          <w:szCs w:val="24"/>
          <w:lang w:val="fr-FR"/>
        </w:rPr>
        <w:t>,</w:t>
      </w:r>
      <w:r w:rsidR="000450D1" w:rsidRPr="00807721">
        <w:rPr>
          <w:i/>
          <w:szCs w:val="24"/>
          <w:lang w:val="fr-FR"/>
        </w:rPr>
        <w:t xml:space="preserve"> </w:t>
      </w:r>
      <w:r w:rsidR="000450D1" w:rsidRPr="00807721">
        <w:rPr>
          <w:szCs w:val="24"/>
          <w:lang w:val="fr-FR"/>
        </w:rPr>
        <w:t xml:space="preserve">[1988] 1 </w:t>
      </w:r>
      <w:r w:rsidR="00954E59" w:rsidRPr="00807721">
        <w:rPr>
          <w:szCs w:val="24"/>
          <w:lang w:val="fr-FR"/>
        </w:rPr>
        <w:t>R.C.</w:t>
      </w:r>
      <w:r w:rsidR="000450D1" w:rsidRPr="00807721">
        <w:rPr>
          <w:szCs w:val="24"/>
          <w:lang w:val="fr-FR"/>
        </w:rPr>
        <w:t xml:space="preserve">S. 234; </w:t>
      </w:r>
      <w:r w:rsidR="000450D1" w:rsidRPr="00807721">
        <w:rPr>
          <w:i/>
          <w:szCs w:val="24"/>
          <w:lang w:val="fr-FR"/>
        </w:rPr>
        <w:t xml:space="preserve">R. </w:t>
      </w:r>
      <w:r w:rsidR="00954E59" w:rsidRPr="00807721">
        <w:rPr>
          <w:i/>
          <w:szCs w:val="24"/>
          <w:lang w:val="fr-FR"/>
        </w:rPr>
        <w:t>c</w:t>
      </w:r>
      <w:r w:rsidR="000450D1" w:rsidRPr="00807721">
        <w:rPr>
          <w:i/>
          <w:szCs w:val="24"/>
          <w:lang w:val="fr-FR"/>
        </w:rPr>
        <w:t>. Paquette</w:t>
      </w:r>
      <w:r w:rsidR="000450D1" w:rsidRPr="00807721">
        <w:rPr>
          <w:szCs w:val="24"/>
          <w:lang w:val="fr-FR"/>
        </w:rPr>
        <w:t xml:space="preserve">, [1990] 2 </w:t>
      </w:r>
      <w:r w:rsidR="00954E59" w:rsidRPr="00807721">
        <w:rPr>
          <w:szCs w:val="24"/>
          <w:lang w:val="fr-FR"/>
        </w:rPr>
        <w:t>R.C.</w:t>
      </w:r>
      <w:r w:rsidR="000450D1" w:rsidRPr="00807721">
        <w:rPr>
          <w:szCs w:val="24"/>
          <w:lang w:val="fr-FR"/>
        </w:rPr>
        <w:t>S. 1103;</w:t>
      </w:r>
      <w:r w:rsidR="00F01544" w:rsidRPr="00807721">
        <w:rPr>
          <w:szCs w:val="24"/>
          <w:lang w:val="fr-FR"/>
        </w:rPr>
        <w:t xml:space="preserve"> </w:t>
      </w:r>
      <w:r w:rsidR="00F01544" w:rsidRPr="00807721">
        <w:rPr>
          <w:i/>
          <w:lang w:val="fr-FR"/>
        </w:rPr>
        <w:t xml:space="preserve">R. </w:t>
      </w:r>
      <w:r w:rsidR="0055214C" w:rsidRPr="00807721">
        <w:rPr>
          <w:i/>
          <w:lang w:val="fr-FR"/>
        </w:rPr>
        <w:t>c</w:t>
      </w:r>
      <w:r w:rsidR="00F01544" w:rsidRPr="00807721">
        <w:rPr>
          <w:i/>
          <w:lang w:val="fr-FR"/>
        </w:rPr>
        <w:t>. Caron</w:t>
      </w:r>
      <w:r w:rsidR="00F01544" w:rsidRPr="00807721">
        <w:rPr>
          <w:lang w:val="fr-FR"/>
        </w:rPr>
        <w:t>,</w:t>
      </w:r>
      <w:r w:rsidR="00F01544" w:rsidRPr="00807721">
        <w:rPr>
          <w:i/>
          <w:lang w:val="fr-FR"/>
        </w:rPr>
        <w:t xml:space="preserve"> </w:t>
      </w:r>
      <w:r w:rsidR="00F01544" w:rsidRPr="00807721">
        <w:rPr>
          <w:lang w:val="fr-FR"/>
        </w:rPr>
        <w:t xml:space="preserve">2008 ABPC 232, 95 Alta. L.R. (4th) 307; </w:t>
      </w:r>
      <w:r w:rsidR="00F01544" w:rsidRPr="00807721">
        <w:rPr>
          <w:i/>
          <w:lang w:val="fr-FR"/>
        </w:rPr>
        <w:t xml:space="preserve">R. </w:t>
      </w:r>
      <w:r w:rsidR="0055214C" w:rsidRPr="00807721">
        <w:rPr>
          <w:i/>
          <w:lang w:val="fr-FR"/>
        </w:rPr>
        <w:t>c</w:t>
      </w:r>
      <w:r w:rsidR="00F01544" w:rsidRPr="00807721">
        <w:rPr>
          <w:i/>
          <w:lang w:val="fr-FR"/>
        </w:rPr>
        <w:t>. Caron</w:t>
      </w:r>
      <w:r w:rsidR="00F01544" w:rsidRPr="00807721">
        <w:rPr>
          <w:lang w:val="fr-FR"/>
        </w:rPr>
        <w:t xml:space="preserve">, 2009 ABQB 745, </w:t>
      </w:r>
      <w:r w:rsidR="003B1792">
        <w:rPr>
          <w:lang w:val="fr-FR"/>
        </w:rPr>
        <w:t xml:space="preserve">2009 </w:t>
      </w:r>
      <w:proofErr w:type="spellStart"/>
      <w:r w:rsidR="003B1792">
        <w:rPr>
          <w:lang w:val="fr-FR"/>
        </w:rPr>
        <w:t>CarswellAlta</w:t>
      </w:r>
      <w:proofErr w:type="spellEnd"/>
      <w:r w:rsidR="003B1792">
        <w:rPr>
          <w:lang w:val="fr-FR"/>
        </w:rPr>
        <w:t xml:space="preserve"> 2189</w:t>
      </w:r>
      <w:r w:rsidR="008C51C1" w:rsidRPr="00807721">
        <w:rPr>
          <w:lang w:val="fr-FR"/>
        </w:rPr>
        <w:t>,</w:t>
      </w:r>
      <w:r w:rsidR="008C51C1" w:rsidRPr="00E31014">
        <w:rPr>
          <w:lang w:val="fr-CA"/>
        </w:rPr>
        <w:t xml:space="preserve"> </w:t>
      </w:r>
      <w:r w:rsidR="005E7D88" w:rsidRPr="00E31014">
        <w:rPr>
          <w:lang w:val="fr-CA"/>
        </w:rPr>
        <w:t>autorisation d</w:t>
      </w:r>
      <w:r w:rsidR="003B1792">
        <w:rPr>
          <w:lang w:val="fr-CA"/>
        </w:rPr>
        <w:t>’appel</w:t>
      </w:r>
      <w:r w:rsidR="005E7D88" w:rsidRPr="00E31014">
        <w:rPr>
          <w:lang w:val="fr-CA"/>
        </w:rPr>
        <w:t xml:space="preserve"> accordée en partie</w:t>
      </w:r>
      <w:r w:rsidR="008C51C1" w:rsidRPr="00E31014">
        <w:rPr>
          <w:lang w:val="fr-CA"/>
        </w:rPr>
        <w:t>, 2010 ABCA 343</w:t>
      </w:r>
      <w:r w:rsidR="003B1792">
        <w:rPr>
          <w:lang w:val="fr-CA"/>
        </w:rPr>
        <w:t xml:space="preserve">, [2010] A.J. </w:t>
      </w:r>
      <w:r w:rsidR="006B2926">
        <w:rPr>
          <w:lang w:val="fr-CA"/>
        </w:rPr>
        <w:t>No.</w:t>
      </w:r>
      <w:r w:rsidR="003B1792">
        <w:rPr>
          <w:lang w:val="fr-CA"/>
        </w:rPr>
        <w:t xml:space="preserve"> 1303 (QL)</w:t>
      </w:r>
      <w:r w:rsidR="00F01544" w:rsidRPr="00807721">
        <w:rPr>
          <w:lang w:val="fr-FR"/>
        </w:rPr>
        <w:t>;</w:t>
      </w:r>
      <w:r w:rsidR="000450D1" w:rsidRPr="00807721">
        <w:rPr>
          <w:szCs w:val="24"/>
          <w:lang w:val="fr-FR"/>
        </w:rPr>
        <w:t xml:space="preserve"> </w:t>
      </w:r>
      <w:r w:rsidR="000450D1" w:rsidRPr="00807721">
        <w:rPr>
          <w:i/>
          <w:szCs w:val="24"/>
          <w:lang w:val="fr-FR"/>
        </w:rPr>
        <w:t>Re</w:t>
      </w:r>
      <w:r w:rsidR="00390422" w:rsidRPr="00807721">
        <w:rPr>
          <w:i/>
          <w:szCs w:val="24"/>
          <w:lang w:val="fr-FR"/>
        </w:rPr>
        <w:t>nvoi relatif aux droits linguistiques au</w:t>
      </w:r>
      <w:r w:rsidR="000450D1" w:rsidRPr="00807721">
        <w:rPr>
          <w:i/>
          <w:szCs w:val="24"/>
          <w:lang w:val="fr-FR"/>
        </w:rPr>
        <w:t xml:space="preserve"> Manitoba</w:t>
      </w:r>
      <w:r w:rsidR="000450D1" w:rsidRPr="00807721">
        <w:rPr>
          <w:szCs w:val="24"/>
          <w:lang w:val="fr-FR"/>
        </w:rPr>
        <w:t xml:space="preserve">, </w:t>
      </w:r>
      <w:r w:rsidR="008A622A">
        <w:rPr>
          <w:szCs w:val="24"/>
          <w:lang w:val="fr-FR"/>
        </w:rPr>
        <w:t xml:space="preserve">[1985] 1 R.C.S. 721, et </w:t>
      </w:r>
      <w:r w:rsidR="000450D1" w:rsidRPr="00807721">
        <w:rPr>
          <w:szCs w:val="24"/>
          <w:lang w:val="fr-FR"/>
        </w:rPr>
        <w:t xml:space="preserve">[1992] 1 </w:t>
      </w:r>
      <w:r w:rsidR="00954E59" w:rsidRPr="00807721">
        <w:rPr>
          <w:szCs w:val="24"/>
          <w:lang w:val="fr-FR"/>
        </w:rPr>
        <w:t>R.C.</w:t>
      </w:r>
      <w:r w:rsidR="000450D1" w:rsidRPr="00807721">
        <w:rPr>
          <w:szCs w:val="24"/>
          <w:lang w:val="fr-FR"/>
        </w:rPr>
        <w:t xml:space="preserve">S. 212; </w:t>
      </w:r>
      <w:r w:rsidR="00390422" w:rsidRPr="00807721">
        <w:rPr>
          <w:i/>
          <w:szCs w:val="24"/>
          <w:lang w:val="fr-FR"/>
        </w:rPr>
        <w:t>Procureur gé</w:t>
      </w:r>
      <w:r w:rsidR="000450D1" w:rsidRPr="00807721">
        <w:rPr>
          <w:i/>
          <w:szCs w:val="24"/>
          <w:lang w:val="fr-FR"/>
        </w:rPr>
        <w:t>n</w:t>
      </w:r>
      <w:r w:rsidR="00390422" w:rsidRPr="00807721">
        <w:rPr>
          <w:i/>
          <w:szCs w:val="24"/>
          <w:lang w:val="fr-FR"/>
        </w:rPr>
        <w:t>é</w:t>
      </w:r>
      <w:r w:rsidR="000450D1" w:rsidRPr="00807721">
        <w:rPr>
          <w:i/>
          <w:szCs w:val="24"/>
          <w:lang w:val="fr-FR"/>
        </w:rPr>
        <w:t xml:space="preserve">ral </w:t>
      </w:r>
      <w:r w:rsidR="00390422" w:rsidRPr="00807721">
        <w:rPr>
          <w:i/>
          <w:szCs w:val="24"/>
          <w:lang w:val="fr-FR"/>
        </w:rPr>
        <w:t>du</w:t>
      </w:r>
      <w:r w:rsidR="000450D1" w:rsidRPr="00807721">
        <w:rPr>
          <w:i/>
          <w:szCs w:val="24"/>
          <w:lang w:val="fr-FR"/>
        </w:rPr>
        <w:t xml:space="preserve"> Manitoba </w:t>
      </w:r>
      <w:r w:rsidR="00954E59" w:rsidRPr="00807721">
        <w:rPr>
          <w:i/>
          <w:szCs w:val="24"/>
          <w:lang w:val="fr-FR"/>
        </w:rPr>
        <w:t>c</w:t>
      </w:r>
      <w:r w:rsidR="000450D1" w:rsidRPr="00807721">
        <w:rPr>
          <w:i/>
          <w:szCs w:val="24"/>
          <w:lang w:val="fr-FR"/>
        </w:rPr>
        <w:t>. Forest</w:t>
      </w:r>
      <w:r w:rsidR="000450D1" w:rsidRPr="00807721">
        <w:rPr>
          <w:szCs w:val="24"/>
          <w:lang w:val="fr-FR"/>
        </w:rPr>
        <w:t xml:space="preserve">, [1979] 2 </w:t>
      </w:r>
      <w:r w:rsidR="00954E59" w:rsidRPr="00807721">
        <w:rPr>
          <w:szCs w:val="24"/>
          <w:lang w:val="fr-FR"/>
        </w:rPr>
        <w:t>R.C.</w:t>
      </w:r>
      <w:r w:rsidR="000450D1" w:rsidRPr="00807721">
        <w:rPr>
          <w:szCs w:val="24"/>
          <w:lang w:val="fr-FR"/>
        </w:rPr>
        <w:t xml:space="preserve">S. 1032; </w:t>
      </w:r>
      <w:r w:rsidR="000450D1" w:rsidRPr="00807721">
        <w:rPr>
          <w:i/>
          <w:szCs w:val="24"/>
          <w:lang w:val="fr-FR"/>
        </w:rPr>
        <w:t xml:space="preserve">Bilodeau </w:t>
      </w:r>
      <w:r w:rsidR="00954E59" w:rsidRPr="00807721">
        <w:rPr>
          <w:i/>
          <w:szCs w:val="24"/>
          <w:lang w:val="fr-FR"/>
        </w:rPr>
        <w:t>c</w:t>
      </w:r>
      <w:r w:rsidR="000450D1" w:rsidRPr="00807721">
        <w:rPr>
          <w:i/>
          <w:szCs w:val="24"/>
          <w:lang w:val="fr-FR"/>
        </w:rPr>
        <w:t xml:space="preserve">. </w:t>
      </w:r>
      <w:r w:rsidR="00390422" w:rsidRPr="00807721">
        <w:rPr>
          <w:i/>
          <w:szCs w:val="24"/>
          <w:lang w:val="fr-FR"/>
        </w:rPr>
        <w:t>Procureur gé</w:t>
      </w:r>
      <w:r w:rsidR="000450D1" w:rsidRPr="00807721">
        <w:rPr>
          <w:i/>
          <w:szCs w:val="24"/>
          <w:lang w:val="fr-FR"/>
        </w:rPr>
        <w:t>n</w:t>
      </w:r>
      <w:r w:rsidR="00390422" w:rsidRPr="00807721">
        <w:rPr>
          <w:i/>
          <w:szCs w:val="24"/>
          <w:lang w:val="fr-FR"/>
        </w:rPr>
        <w:t>é</w:t>
      </w:r>
      <w:r w:rsidR="000450D1" w:rsidRPr="00807721">
        <w:rPr>
          <w:i/>
          <w:szCs w:val="24"/>
          <w:lang w:val="fr-FR"/>
        </w:rPr>
        <w:t xml:space="preserve">ral </w:t>
      </w:r>
      <w:r w:rsidR="00390422" w:rsidRPr="00807721">
        <w:rPr>
          <w:i/>
          <w:szCs w:val="24"/>
          <w:lang w:val="fr-FR"/>
        </w:rPr>
        <w:t>du</w:t>
      </w:r>
      <w:r w:rsidR="000450D1" w:rsidRPr="00807721">
        <w:rPr>
          <w:i/>
          <w:szCs w:val="24"/>
          <w:lang w:val="fr-FR"/>
        </w:rPr>
        <w:t xml:space="preserve"> Manitoba</w:t>
      </w:r>
      <w:r w:rsidR="000450D1" w:rsidRPr="00807721">
        <w:rPr>
          <w:szCs w:val="24"/>
          <w:lang w:val="fr-FR"/>
        </w:rPr>
        <w:t xml:space="preserve">, [1986] 1 </w:t>
      </w:r>
      <w:r w:rsidR="00954E59" w:rsidRPr="00807721">
        <w:rPr>
          <w:szCs w:val="24"/>
          <w:lang w:val="fr-FR"/>
        </w:rPr>
        <w:t>R.C.</w:t>
      </w:r>
      <w:r w:rsidR="000450D1" w:rsidRPr="00807721">
        <w:rPr>
          <w:szCs w:val="24"/>
          <w:lang w:val="fr-FR"/>
        </w:rPr>
        <w:t xml:space="preserve">S. 449; </w:t>
      </w:r>
      <w:r w:rsidR="000450D1" w:rsidRPr="00807721">
        <w:rPr>
          <w:i/>
          <w:szCs w:val="24"/>
          <w:lang w:val="fr-FR"/>
        </w:rPr>
        <w:t xml:space="preserve">MacDonald </w:t>
      </w:r>
      <w:r w:rsidR="00954E59" w:rsidRPr="00807721">
        <w:rPr>
          <w:i/>
          <w:szCs w:val="24"/>
          <w:lang w:val="fr-FR"/>
        </w:rPr>
        <w:t>c</w:t>
      </w:r>
      <w:r w:rsidR="000450D1" w:rsidRPr="00807721">
        <w:rPr>
          <w:i/>
          <w:szCs w:val="24"/>
          <w:lang w:val="fr-FR"/>
        </w:rPr>
        <w:t xml:space="preserve">. </w:t>
      </w:r>
      <w:r w:rsidR="00954E59" w:rsidRPr="00807721">
        <w:rPr>
          <w:i/>
          <w:szCs w:val="24"/>
          <w:lang w:val="fr-FR"/>
        </w:rPr>
        <w:t>Ville de</w:t>
      </w:r>
      <w:r w:rsidR="000450D1" w:rsidRPr="00807721">
        <w:rPr>
          <w:i/>
          <w:szCs w:val="24"/>
          <w:lang w:val="fr-FR"/>
        </w:rPr>
        <w:t xml:space="preserve"> Montr</w:t>
      </w:r>
      <w:r w:rsidR="00954E59" w:rsidRPr="00807721">
        <w:rPr>
          <w:i/>
          <w:szCs w:val="24"/>
          <w:lang w:val="fr-FR"/>
        </w:rPr>
        <w:t>é</w:t>
      </w:r>
      <w:r w:rsidR="000450D1" w:rsidRPr="00807721">
        <w:rPr>
          <w:i/>
          <w:szCs w:val="24"/>
          <w:lang w:val="fr-FR"/>
        </w:rPr>
        <w:t>al</w:t>
      </w:r>
      <w:r w:rsidR="000450D1" w:rsidRPr="00807721">
        <w:rPr>
          <w:szCs w:val="24"/>
          <w:lang w:val="fr-FR"/>
        </w:rPr>
        <w:t xml:space="preserve">, [1986] 1 </w:t>
      </w:r>
      <w:r w:rsidR="00954E59" w:rsidRPr="00807721">
        <w:rPr>
          <w:szCs w:val="24"/>
          <w:lang w:val="fr-FR"/>
        </w:rPr>
        <w:t>R.C.</w:t>
      </w:r>
      <w:r w:rsidR="000450D1" w:rsidRPr="00807721">
        <w:rPr>
          <w:szCs w:val="24"/>
          <w:lang w:val="fr-FR"/>
        </w:rPr>
        <w:t xml:space="preserve">S. 460; </w:t>
      </w:r>
      <w:r w:rsidR="000450D1" w:rsidRPr="00807721">
        <w:rPr>
          <w:i/>
          <w:szCs w:val="24"/>
          <w:lang w:val="fr-FR"/>
        </w:rPr>
        <w:t>Société des Ac</w:t>
      </w:r>
      <w:r w:rsidR="00EA67CE">
        <w:rPr>
          <w:i/>
          <w:szCs w:val="24"/>
          <w:lang w:val="fr-FR"/>
        </w:rPr>
        <w:t xml:space="preserve">adiens et Acadiennes du </w:t>
      </w:r>
      <w:proofErr w:type="spellStart"/>
      <w:r w:rsidR="00EA67CE">
        <w:rPr>
          <w:i/>
          <w:szCs w:val="24"/>
          <w:lang w:val="fr-FR"/>
        </w:rPr>
        <w:t>Nouveau</w:t>
      </w:r>
      <w:r w:rsidR="00EA67CE">
        <w:rPr>
          <w:i/>
          <w:szCs w:val="24"/>
          <w:lang w:val="fr-FR"/>
        </w:rPr>
        <w:noBreakHyphen/>
      </w:r>
      <w:r w:rsidR="000450D1" w:rsidRPr="00807721">
        <w:rPr>
          <w:i/>
          <w:szCs w:val="24"/>
          <w:lang w:val="fr-FR"/>
        </w:rPr>
        <w:t>Brunswick</w:t>
      </w:r>
      <w:proofErr w:type="spellEnd"/>
      <w:r w:rsidR="000450D1" w:rsidRPr="00807721">
        <w:rPr>
          <w:i/>
          <w:szCs w:val="24"/>
          <w:lang w:val="fr-FR"/>
        </w:rPr>
        <w:t xml:space="preserve"> Inc. </w:t>
      </w:r>
      <w:r w:rsidR="00954E59" w:rsidRPr="00807721">
        <w:rPr>
          <w:i/>
          <w:szCs w:val="24"/>
          <w:lang w:val="fr-FR"/>
        </w:rPr>
        <w:t>c</w:t>
      </w:r>
      <w:r w:rsidR="000450D1" w:rsidRPr="00807721">
        <w:rPr>
          <w:i/>
          <w:szCs w:val="24"/>
          <w:lang w:val="fr-FR"/>
        </w:rPr>
        <w:t>. Canada</w:t>
      </w:r>
      <w:r w:rsidR="000450D1" w:rsidRPr="00807721">
        <w:rPr>
          <w:szCs w:val="24"/>
          <w:lang w:val="fr-FR"/>
        </w:rPr>
        <w:t xml:space="preserve">, 2008 </w:t>
      </w:r>
      <w:r w:rsidR="00954E59" w:rsidRPr="00807721">
        <w:rPr>
          <w:szCs w:val="24"/>
          <w:lang w:val="fr-FR"/>
        </w:rPr>
        <w:t>C</w:t>
      </w:r>
      <w:r w:rsidR="000450D1" w:rsidRPr="00807721">
        <w:rPr>
          <w:szCs w:val="24"/>
          <w:lang w:val="fr-FR"/>
        </w:rPr>
        <w:t xml:space="preserve">SC 15, [2008] 1 </w:t>
      </w:r>
      <w:r w:rsidR="00954E59" w:rsidRPr="00807721">
        <w:rPr>
          <w:szCs w:val="24"/>
          <w:lang w:val="fr-FR"/>
        </w:rPr>
        <w:t>R.C.</w:t>
      </w:r>
      <w:r w:rsidR="000450D1" w:rsidRPr="00807721">
        <w:rPr>
          <w:szCs w:val="24"/>
          <w:lang w:val="fr-FR"/>
        </w:rPr>
        <w:t xml:space="preserve">S. 383; </w:t>
      </w:r>
      <w:r w:rsidR="000450D1" w:rsidRPr="00807721">
        <w:rPr>
          <w:i/>
          <w:szCs w:val="24"/>
          <w:lang w:val="fr-FR"/>
        </w:rPr>
        <w:t xml:space="preserve">Lefebvre </w:t>
      </w:r>
      <w:r w:rsidR="00954E59" w:rsidRPr="00807721">
        <w:rPr>
          <w:i/>
          <w:szCs w:val="24"/>
          <w:lang w:val="fr-FR"/>
        </w:rPr>
        <w:t>c</w:t>
      </w:r>
      <w:r w:rsidR="000450D1" w:rsidRPr="00807721">
        <w:rPr>
          <w:i/>
          <w:szCs w:val="24"/>
          <w:lang w:val="fr-FR"/>
        </w:rPr>
        <w:t xml:space="preserve">. Alberta </w:t>
      </w:r>
      <w:r w:rsidR="000450D1" w:rsidRPr="00807721">
        <w:rPr>
          <w:szCs w:val="24"/>
          <w:lang w:val="fr-FR"/>
        </w:rPr>
        <w:t xml:space="preserve">(1993), 135 A.R. 338, </w:t>
      </w:r>
      <w:r w:rsidR="00F05444" w:rsidRPr="00807721">
        <w:rPr>
          <w:szCs w:val="24"/>
          <w:lang w:val="fr-FR"/>
        </w:rPr>
        <w:t>autorisation d</w:t>
      </w:r>
      <w:r w:rsidR="003B1792">
        <w:rPr>
          <w:szCs w:val="24"/>
          <w:lang w:val="fr-FR"/>
        </w:rPr>
        <w:t>’appel</w:t>
      </w:r>
      <w:r w:rsidR="00F05444" w:rsidRPr="00807721">
        <w:rPr>
          <w:szCs w:val="24"/>
          <w:lang w:val="fr-FR"/>
        </w:rPr>
        <w:t xml:space="preserve"> refusée</w:t>
      </w:r>
      <w:r w:rsidR="000450D1" w:rsidRPr="00807721">
        <w:rPr>
          <w:szCs w:val="24"/>
          <w:lang w:val="fr-FR"/>
        </w:rPr>
        <w:t xml:space="preserve">, [1993] 3 </w:t>
      </w:r>
      <w:r w:rsidR="00954E59" w:rsidRPr="00807721">
        <w:rPr>
          <w:szCs w:val="24"/>
          <w:lang w:val="fr-FR"/>
        </w:rPr>
        <w:t>R.C.</w:t>
      </w:r>
      <w:r w:rsidR="000450D1" w:rsidRPr="00807721">
        <w:rPr>
          <w:szCs w:val="24"/>
          <w:lang w:val="fr-FR"/>
        </w:rPr>
        <w:t xml:space="preserve">S. vii; </w:t>
      </w:r>
      <w:r w:rsidR="000450D1" w:rsidRPr="00807721">
        <w:rPr>
          <w:i/>
          <w:szCs w:val="24"/>
          <w:lang w:val="fr-FR"/>
        </w:rPr>
        <w:t xml:space="preserve">R. </w:t>
      </w:r>
      <w:r w:rsidR="00954E59" w:rsidRPr="00807721">
        <w:rPr>
          <w:i/>
          <w:szCs w:val="24"/>
          <w:lang w:val="fr-FR"/>
        </w:rPr>
        <w:t>c</w:t>
      </w:r>
      <w:r w:rsidR="000450D1" w:rsidRPr="00807721">
        <w:rPr>
          <w:i/>
          <w:szCs w:val="24"/>
          <w:lang w:val="fr-FR"/>
        </w:rPr>
        <w:t xml:space="preserve">. </w:t>
      </w:r>
      <w:proofErr w:type="spellStart"/>
      <w:r w:rsidR="000450D1" w:rsidRPr="00807721">
        <w:rPr>
          <w:i/>
          <w:szCs w:val="24"/>
          <w:lang w:val="fr-FR"/>
        </w:rPr>
        <w:t>Rémillard</w:t>
      </w:r>
      <w:proofErr w:type="spellEnd"/>
      <w:r w:rsidR="000450D1" w:rsidRPr="00807721">
        <w:rPr>
          <w:szCs w:val="24"/>
          <w:lang w:val="fr-FR"/>
        </w:rPr>
        <w:t>, 2009 MBCA 112, 249 C.C.C. (3d) 44;</w:t>
      </w:r>
      <w:r w:rsidR="00F01544" w:rsidRPr="00807721">
        <w:rPr>
          <w:lang w:val="fr-FR"/>
        </w:rPr>
        <w:t xml:space="preserve"> </w:t>
      </w:r>
      <w:r w:rsidR="00F01544" w:rsidRPr="00807721">
        <w:rPr>
          <w:i/>
          <w:lang w:val="fr-FR"/>
        </w:rPr>
        <w:t xml:space="preserve">R. </w:t>
      </w:r>
      <w:r w:rsidR="0055214C" w:rsidRPr="00807721">
        <w:rPr>
          <w:i/>
          <w:lang w:val="fr-FR"/>
        </w:rPr>
        <w:t>c</w:t>
      </w:r>
      <w:r w:rsidR="00F01544" w:rsidRPr="00807721">
        <w:rPr>
          <w:i/>
          <w:lang w:val="fr-FR"/>
        </w:rPr>
        <w:t>. Caron</w:t>
      </w:r>
      <w:r w:rsidR="00F01544" w:rsidRPr="00807721">
        <w:rPr>
          <w:lang w:val="fr-FR"/>
        </w:rPr>
        <w:t xml:space="preserve">, 2007 ABQB 262, 75 Alta. L.R. (4th) 287; </w:t>
      </w:r>
      <w:r w:rsidR="00F01544" w:rsidRPr="00807721">
        <w:rPr>
          <w:i/>
          <w:lang w:val="fr-FR"/>
        </w:rPr>
        <w:t>R. c. Marshall</w:t>
      </w:r>
      <w:r w:rsidR="00F01544" w:rsidRPr="00807721">
        <w:rPr>
          <w:lang w:val="fr-FR"/>
        </w:rPr>
        <w:t>, 2005 CSC 43, [2005] 2 R.C.S. 220;</w:t>
      </w:r>
      <w:r w:rsidR="000450D1" w:rsidRPr="00807721">
        <w:rPr>
          <w:szCs w:val="24"/>
          <w:lang w:val="fr-FR"/>
        </w:rPr>
        <w:t xml:space="preserve"> </w:t>
      </w:r>
      <w:proofErr w:type="spellStart"/>
      <w:r w:rsidR="000450D1" w:rsidRPr="00807721">
        <w:rPr>
          <w:i/>
          <w:szCs w:val="24"/>
          <w:lang w:val="fr-FR"/>
        </w:rPr>
        <w:t>MacMillan</w:t>
      </w:r>
      <w:proofErr w:type="spellEnd"/>
      <w:r w:rsidR="000450D1" w:rsidRPr="00807721">
        <w:rPr>
          <w:i/>
          <w:szCs w:val="24"/>
          <w:lang w:val="fr-FR"/>
        </w:rPr>
        <w:t xml:space="preserve"> </w:t>
      </w:r>
      <w:proofErr w:type="spellStart"/>
      <w:r w:rsidR="000450D1" w:rsidRPr="00807721">
        <w:rPr>
          <w:i/>
          <w:szCs w:val="24"/>
          <w:lang w:val="fr-FR"/>
        </w:rPr>
        <w:t>Bloedel</w:t>
      </w:r>
      <w:proofErr w:type="spellEnd"/>
      <w:r w:rsidR="000450D1" w:rsidRPr="00807721">
        <w:rPr>
          <w:i/>
          <w:szCs w:val="24"/>
          <w:lang w:val="fr-FR"/>
        </w:rPr>
        <w:t xml:space="preserve"> Ltd. </w:t>
      </w:r>
      <w:r w:rsidR="00954E59" w:rsidRPr="00807721">
        <w:rPr>
          <w:i/>
          <w:szCs w:val="24"/>
          <w:lang w:val="fr-FR"/>
        </w:rPr>
        <w:t>c</w:t>
      </w:r>
      <w:r w:rsidR="000450D1" w:rsidRPr="00807721">
        <w:rPr>
          <w:i/>
          <w:szCs w:val="24"/>
          <w:lang w:val="fr-FR"/>
        </w:rPr>
        <w:t>. Simpson</w:t>
      </w:r>
      <w:r w:rsidR="000450D1" w:rsidRPr="00807721">
        <w:rPr>
          <w:szCs w:val="24"/>
          <w:lang w:val="fr-FR"/>
        </w:rPr>
        <w:t xml:space="preserve">, [1995] 4 </w:t>
      </w:r>
      <w:r w:rsidR="00954E59" w:rsidRPr="00807721">
        <w:rPr>
          <w:szCs w:val="24"/>
          <w:lang w:val="fr-FR"/>
        </w:rPr>
        <w:t>R.C.</w:t>
      </w:r>
      <w:r w:rsidR="000450D1" w:rsidRPr="00807721">
        <w:rPr>
          <w:szCs w:val="24"/>
          <w:lang w:val="fr-FR"/>
        </w:rPr>
        <w:t xml:space="preserve">S. 725; </w:t>
      </w:r>
      <w:r w:rsidR="000450D1" w:rsidRPr="00807721">
        <w:rPr>
          <w:i/>
          <w:szCs w:val="24"/>
          <w:lang w:val="fr-FR"/>
        </w:rPr>
        <w:t xml:space="preserve">R. </w:t>
      </w:r>
      <w:r w:rsidR="00954E59" w:rsidRPr="00807721">
        <w:rPr>
          <w:i/>
          <w:szCs w:val="24"/>
          <w:lang w:val="fr-FR"/>
        </w:rPr>
        <w:t>c</w:t>
      </w:r>
      <w:r w:rsidR="000450D1" w:rsidRPr="00807721">
        <w:rPr>
          <w:i/>
          <w:szCs w:val="24"/>
          <w:lang w:val="fr-FR"/>
        </w:rPr>
        <w:t>. Cunningham</w:t>
      </w:r>
      <w:r w:rsidR="000450D1" w:rsidRPr="00807721">
        <w:rPr>
          <w:szCs w:val="24"/>
          <w:lang w:val="fr-FR"/>
        </w:rPr>
        <w:t xml:space="preserve">, 2010 </w:t>
      </w:r>
      <w:r w:rsidR="00954E59" w:rsidRPr="00807721">
        <w:rPr>
          <w:szCs w:val="24"/>
          <w:lang w:val="fr-FR"/>
        </w:rPr>
        <w:t>C</w:t>
      </w:r>
      <w:r w:rsidR="000450D1" w:rsidRPr="00807721">
        <w:rPr>
          <w:szCs w:val="24"/>
          <w:lang w:val="fr-FR"/>
        </w:rPr>
        <w:t xml:space="preserve">SC 10, [2010] 1 </w:t>
      </w:r>
      <w:r w:rsidR="00954E59" w:rsidRPr="00807721">
        <w:rPr>
          <w:szCs w:val="24"/>
          <w:lang w:val="fr-FR"/>
        </w:rPr>
        <w:t>R.C.</w:t>
      </w:r>
      <w:r w:rsidR="000450D1" w:rsidRPr="00807721">
        <w:rPr>
          <w:szCs w:val="24"/>
          <w:lang w:val="fr-FR"/>
        </w:rPr>
        <w:t>S. 331;</w:t>
      </w:r>
      <w:r w:rsidR="00F01544" w:rsidRPr="00807721">
        <w:rPr>
          <w:szCs w:val="24"/>
          <w:lang w:val="fr-FR"/>
        </w:rPr>
        <w:t xml:space="preserve"> </w:t>
      </w:r>
      <w:r w:rsidR="00F01544" w:rsidRPr="00807721">
        <w:rPr>
          <w:i/>
          <w:szCs w:val="24"/>
          <w:lang w:val="fr-FR"/>
        </w:rPr>
        <w:t>Canada (Commission des droits de la personne) c. Canadian Liberty Net</w:t>
      </w:r>
      <w:r w:rsidR="00F01544" w:rsidRPr="00807721">
        <w:rPr>
          <w:szCs w:val="24"/>
          <w:lang w:val="fr-FR"/>
        </w:rPr>
        <w:t xml:space="preserve">, [1998] 1 R.C.S. 626; </w:t>
      </w:r>
      <w:r w:rsidR="000450D1" w:rsidRPr="00807721">
        <w:rPr>
          <w:i/>
          <w:iCs/>
          <w:szCs w:val="24"/>
          <w:lang w:val="fr-FR"/>
        </w:rPr>
        <w:t xml:space="preserve">R. </w:t>
      </w:r>
      <w:r w:rsidR="00954E59" w:rsidRPr="00807721">
        <w:rPr>
          <w:i/>
          <w:iCs/>
          <w:szCs w:val="24"/>
          <w:lang w:val="fr-FR"/>
        </w:rPr>
        <w:t>c</w:t>
      </w:r>
      <w:r w:rsidR="000450D1" w:rsidRPr="00807721">
        <w:rPr>
          <w:i/>
          <w:iCs/>
          <w:szCs w:val="24"/>
          <w:lang w:val="fr-FR"/>
        </w:rPr>
        <w:t xml:space="preserve">. Peel </w:t>
      </w:r>
      <w:proofErr w:type="spellStart"/>
      <w:r w:rsidR="000450D1" w:rsidRPr="00807721">
        <w:rPr>
          <w:i/>
          <w:iCs/>
          <w:szCs w:val="24"/>
          <w:lang w:val="fr-FR"/>
        </w:rPr>
        <w:t>Regional</w:t>
      </w:r>
      <w:proofErr w:type="spellEnd"/>
      <w:r w:rsidR="000450D1" w:rsidRPr="00807721">
        <w:rPr>
          <w:i/>
          <w:iCs/>
          <w:szCs w:val="24"/>
          <w:lang w:val="fr-FR"/>
        </w:rPr>
        <w:t xml:space="preserve"> Police Service</w:t>
      </w:r>
      <w:r w:rsidR="000450D1" w:rsidRPr="00807721">
        <w:rPr>
          <w:szCs w:val="24"/>
          <w:lang w:val="fr-FR"/>
        </w:rPr>
        <w:t xml:space="preserve"> (2000), 149 C.C.C. (3d) 356; </w:t>
      </w:r>
      <w:r w:rsidR="000450D1" w:rsidRPr="00807721">
        <w:rPr>
          <w:i/>
          <w:szCs w:val="24"/>
          <w:lang w:val="fr-FR"/>
        </w:rPr>
        <w:t xml:space="preserve">United Nurses of Alberta </w:t>
      </w:r>
      <w:r w:rsidR="00954E59" w:rsidRPr="00807721">
        <w:rPr>
          <w:i/>
          <w:szCs w:val="24"/>
          <w:lang w:val="fr-FR"/>
        </w:rPr>
        <w:t>c</w:t>
      </w:r>
      <w:r w:rsidR="000450D1" w:rsidRPr="00807721">
        <w:rPr>
          <w:i/>
          <w:szCs w:val="24"/>
          <w:lang w:val="fr-FR"/>
        </w:rPr>
        <w:t xml:space="preserve">. </w:t>
      </w:r>
      <w:r w:rsidR="000450D1" w:rsidRPr="00807721">
        <w:rPr>
          <w:i/>
          <w:szCs w:val="24"/>
          <w:lang w:val="fr-FR"/>
        </w:rPr>
        <w:lastRenderedPageBreak/>
        <w:t>Alberta (</w:t>
      </w:r>
      <w:r w:rsidR="00954E59" w:rsidRPr="00807721">
        <w:rPr>
          <w:i/>
          <w:szCs w:val="24"/>
          <w:lang w:val="fr-FR"/>
        </w:rPr>
        <w:t>Procureur général</w:t>
      </w:r>
      <w:r w:rsidR="000450D1" w:rsidRPr="00807721">
        <w:rPr>
          <w:i/>
          <w:szCs w:val="24"/>
          <w:lang w:val="fr-FR"/>
        </w:rPr>
        <w:t>)</w:t>
      </w:r>
      <w:r w:rsidR="000450D1" w:rsidRPr="00807721">
        <w:rPr>
          <w:szCs w:val="24"/>
          <w:lang w:val="fr-FR"/>
        </w:rPr>
        <w:t xml:space="preserve">, [1992] 1 </w:t>
      </w:r>
      <w:r w:rsidR="00954E59" w:rsidRPr="00807721">
        <w:rPr>
          <w:szCs w:val="24"/>
          <w:lang w:val="fr-FR"/>
        </w:rPr>
        <w:t>R.C.</w:t>
      </w:r>
      <w:r w:rsidR="000450D1" w:rsidRPr="00807721">
        <w:rPr>
          <w:szCs w:val="24"/>
          <w:lang w:val="fr-FR"/>
        </w:rPr>
        <w:t xml:space="preserve">S. 901; </w:t>
      </w:r>
      <w:r w:rsidR="00390422" w:rsidRPr="00807721">
        <w:rPr>
          <w:i/>
          <w:szCs w:val="24"/>
          <w:lang w:val="fr-FR"/>
        </w:rPr>
        <w:t xml:space="preserve">Succession </w:t>
      </w:r>
      <w:r w:rsidR="000450D1" w:rsidRPr="00807721">
        <w:rPr>
          <w:i/>
          <w:szCs w:val="24"/>
          <w:lang w:val="fr-FR"/>
        </w:rPr>
        <w:t xml:space="preserve">Ordon </w:t>
      </w:r>
      <w:r w:rsidR="00954E59" w:rsidRPr="00807721">
        <w:rPr>
          <w:i/>
          <w:szCs w:val="24"/>
          <w:lang w:val="fr-FR"/>
        </w:rPr>
        <w:t>c</w:t>
      </w:r>
      <w:r w:rsidR="000450D1" w:rsidRPr="00807721">
        <w:rPr>
          <w:i/>
          <w:szCs w:val="24"/>
          <w:lang w:val="fr-FR"/>
        </w:rPr>
        <w:t xml:space="preserve">. </w:t>
      </w:r>
      <w:proofErr w:type="spellStart"/>
      <w:r w:rsidR="000450D1" w:rsidRPr="00807721">
        <w:rPr>
          <w:i/>
          <w:szCs w:val="24"/>
          <w:lang w:val="fr-FR"/>
        </w:rPr>
        <w:t>Grail</w:t>
      </w:r>
      <w:proofErr w:type="spellEnd"/>
      <w:r w:rsidR="000450D1" w:rsidRPr="00807721">
        <w:rPr>
          <w:szCs w:val="24"/>
          <w:lang w:val="fr-FR"/>
        </w:rPr>
        <w:t xml:space="preserve">, [1998] 3 </w:t>
      </w:r>
      <w:r w:rsidR="00954E59" w:rsidRPr="00807721">
        <w:rPr>
          <w:szCs w:val="24"/>
          <w:lang w:val="fr-FR"/>
        </w:rPr>
        <w:t>R.C.</w:t>
      </w:r>
      <w:r w:rsidR="000450D1" w:rsidRPr="00807721">
        <w:rPr>
          <w:szCs w:val="24"/>
          <w:lang w:val="fr-FR"/>
        </w:rPr>
        <w:t>S. 437</w:t>
      </w:r>
      <w:r w:rsidR="00F01544" w:rsidRPr="00807721">
        <w:rPr>
          <w:szCs w:val="24"/>
          <w:lang w:val="fr-FR"/>
        </w:rPr>
        <w:t xml:space="preserve">; </w:t>
      </w:r>
      <w:r w:rsidR="00F01544" w:rsidRPr="00807721">
        <w:rPr>
          <w:i/>
          <w:lang w:val="fr-FR"/>
        </w:rPr>
        <w:t>R. c. Caron</w:t>
      </w:r>
      <w:r w:rsidR="00F01544" w:rsidRPr="00807721">
        <w:rPr>
          <w:lang w:val="fr-FR"/>
        </w:rPr>
        <w:t>, 2006 ABPC 278, 416 A.R. 63</w:t>
      </w:r>
      <w:r w:rsidR="000450D1" w:rsidRPr="00807721">
        <w:rPr>
          <w:szCs w:val="24"/>
          <w:lang w:val="fr-FR"/>
        </w:rPr>
        <w:t>.</w:t>
      </w:r>
    </w:p>
    <w:p w:rsidR="000450D1" w:rsidRPr="00AC0926" w:rsidRDefault="000450D1" w:rsidP="00CD4256">
      <w:pPr>
        <w:pStyle w:val="SCCNormalDoubleSpacing"/>
        <w:spacing w:after="480"/>
        <w:rPr>
          <w:lang w:val="fr-CA"/>
        </w:rPr>
      </w:pPr>
      <w:r w:rsidRPr="00AC0926">
        <w:rPr>
          <w:lang w:val="fr-CA"/>
        </w:rPr>
        <w:t>Citée par la juge Abella</w:t>
      </w:r>
    </w:p>
    <w:p w:rsidR="000450D1" w:rsidRPr="00AC0926" w:rsidRDefault="000450D1" w:rsidP="00CD4256">
      <w:pPr>
        <w:pStyle w:val="SCCNormalDoubleSpacing"/>
        <w:spacing w:after="480"/>
        <w:rPr>
          <w:lang w:val="fr-CA"/>
        </w:rPr>
      </w:pPr>
      <w:r w:rsidRPr="00AC0926">
        <w:rPr>
          <w:lang w:val="fr-CA"/>
        </w:rPr>
        <w:tab/>
      </w:r>
      <w:r w:rsidRPr="00AC0926">
        <w:rPr>
          <w:b/>
          <w:lang w:val="fr-CA"/>
        </w:rPr>
        <w:t>Arrêts mentionnés :</w:t>
      </w:r>
      <w:r w:rsidRPr="00AC0926">
        <w:rPr>
          <w:lang w:val="fr-CA"/>
        </w:rPr>
        <w:t xml:space="preserve"> </w:t>
      </w:r>
      <w:proofErr w:type="spellStart"/>
      <w:r w:rsidR="00EA67CE" w:rsidRPr="00AC0926">
        <w:rPr>
          <w:i/>
          <w:szCs w:val="24"/>
          <w:lang w:val="fr-CA"/>
        </w:rPr>
        <w:t>Colombie</w:t>
      </w:r>
      <w:r w:rsidR="00EA67CE" w:rsidRPr="00AC0926">
        <w:rPr>
          <w:i/>
          <w:szCs w:val="24"/>
          <w:lang w:val="fr-CA"/>
        </w:rPr>
        <w:noBreakHyphen/>
      </w:r>
      <w:r w:rsidR="00187663" w:rsidRPr="00AC0926">
        <w:rPr>
          <w:i/>
          <w:szCs w:val="24"/>
          <w:lang w:val="fr-CA"/>
        </w:rPr>
        <w:t>Britannique</w:t>
      </w:r>
      <w:proofErr w:type="spellEnd"/>
      <w:r w:rsidR="00187663" w:rsidRPr="00AC0926">
        <w:rPr>
          <w:i/>
          <w:szCs w:val="24"/>
          <w:lang w:val="fr-CA"/>
        </w:rPr>
        <w:t xml:space="preserve"> (Ministre des Forêts) c. Bande indienne </w:t>
      </w:r>
      <w:proofErr w:type="spellStart"/>
      <w:r w:rsidR="00187663" w:rsidRPr="00AC0926">
        <w:rPr>
          <w:i/>
          <w:szCs w:val="24"/>
          <w:lang w:val="fr-CA"/>
        </w:rPr>
        <w:t>Okanagan</w:t>
      </w:r>
      <w:proofErr w:type="spellEnd"/>
      <w:r w:rsidRPr="00AC0926">
        <w:rPr>
          <w:lang w:val="fr-CA"/>
        </w:rPr>
        <w:t xml:space="preserve">, 2003 </w:t>
      </w:r>
      <w:r w:rsidR="00954E59" w:rsidRPr="00AC0926">
        <w:rPr>
          <w:lang w:val="fr-CA"/>
        </w:rPr>
        <w:t>C</w:t>
      </w:r>
      <w:r w:rsidRPr="00AC0926">
        <w:rPr>
          <w:lang w:val="fr-CA"/>
        </w:rPr>
        <w:t xml:space="preserve">SC 71, [2003] 3 </w:t>
      </w:r>
      <w:r w:rsidR="00954E59" w:rsidRPr="00AC0926">
        <w:rPr>
          <w:lang w:val="fr-CA"/>
        </w:rPr>
        <w:t>R.C.</w:t>
      </w:r>
      <w:r w:rsidRPr="00AC0926">
        <w:rPr>
          <w:lang w:val="fr-CA"/>
        </w:rPr>
        <w:t xml:space="preserve">S. 371; </w:t>
      </w:r>
      <w:proofErr w:type="spellStart"/>
      <w:r w:rsidRPr="00AC0926">
        <w:rPr>
          <w:i/>
          <w:lang w:val="fr-CA"/>
        </w:rPr>
        <w:t>Little</w:t>
      </w:r>
      <w:proofErr w:type="spellEnd"/>
      <w:r w:rsidRPr="00AC0926">
        <w:rPr>
          <w:i/>
          <w:lang w:val="fr-CA"/>
        </w:rPr>
        <w:t xml:space="preserve"> </w:t>
      </w:r>
      <w:proofErr w:type="spellStart"/>
      <w:r w:rsidRPr="00AC0926">
        <w:rPr>
          <w:i/>
          <w:lang w:val="fr-CA"/>
        </w:rPr>
        <w:t>Sisters</w:t>
      </w:r>
      <w:proofErr w:type="spellEnd"/>
      <w:r w:rsidRPr="00AC0926">
        <w:rPr>
          <w:i/>
          <w:lang w:val="fr-CA"/>
        </w:rPr>
        <w:t xml:space="preserve"> Book and Art Emporium </w:t>
      </w:r>
      <w:r w:rsidR="00954E59" w:rsidRPr="00AC0926">
        <w:rPr>
          <w:i/>
          <w:lang w:val="fr-CA"/>
        </w:rPr>
        <w:t>c</w:t>
      </w:r>
      <w:r w:rsidRPr="00AC0926">
        <w:rPr>
          <w:i/>
          <w:lang w:val="fr-CA"/>
        </w:rPr>
        <w:t xml:space="preserve">. Canada </w:t>
      </w:r>
      <w:r w:rsidR="00187663" w:rsidRPr="00AC0926">
        <w:rPr>
          <w:i/>
          <w:szCs w:val="24"/>
          <w:lang w:val="fr-CA"/>
        </w:rPr>
        <w:t>(Commissaire des Douanes et du Revenu</w:t>
      </w:r>
      <w:r w:rsidRPr="00AC0926">
        <w:rPr>
          <w:i/>
          <w:lang w:val="fr-CA"/>
        </w:rPr>
        <w:t>)</w:t>
      </w:r>
      <w:r w:rsidRPr="00AC0926">
        <w:rPr>
          <w:lang w:val="fr-CA"/>
        </w:rPr>
        <w:t xml:space="preserve">, 2007 </w:t>
      </w:r>
      <w:r w:rsidR="00954E59" w:rsidRPr="00AC0926">
        <w:rPr>
          <w:lang w:val="fr-CA"/>
        </w:rPr>
        <w:t>C</w:t>
      </w:r>
      <w:r w:rsidRPr="00AC0926">
        <w:rPr>
          <w:lang w:val="fr-CA"/>
        </w:rPr>
        <w:t xml:space="preserve">SC 2, [2007] 1 </w:t>
      </w:r>
      <w:r w:rsidR="00954E59" w:rsidRPr="00AC0926">
        <w:rPr>
          <w:lang w:val="fr-CA"/>
        </w:rPr>
        <w:t>R.C.</w:t>
      </w:r>
      <w:r w:rsidRPr="00AC0926">
        <w:rPr>
          <w:lang w:val="fr-CA"/>
        </w:rPr>
        <w:t xml:space="preserve">S. 38; </w:t>
      </w:r>
      <w:r w:rsidRPr="00AC0926">
        <w:rPr>
          <w:i/>
          <w:lang w:val="fr-CA"/>
        </w:rPr>
        <w:t xml:space="preserve">ATCO </w:t>
      </w:r>
      <w:proofErr w:type="spellStart"/>
      <w:r w:rsidRPr="00AC0926">
        <w:rPr>
          <w:i/>
          <w:lang w:val="fr-CA"/>
        </w:rPr>
        <w:t>Gas</w:t>
      </w:r>
      <w:proofErr w:type="spellEnd"/>
      <w:r w:rsidRPr="00AC0926">
        <w:rPr>
          <w:i/>
          <w:lang w:val="fr-CA"/>
        </w:rPr>
        <w:t xml:space="preserve"> and Pipelines Ltd. </w:t>
      </w:r>
      <w:r w:rsidR="00187663" w:rsidRPr="00AC0926">
        <w:rPr>
          <w:i/>
          <w:lang w:val="fr-CA"/>
        </w:rPr>
        <w:t>c</w:t>
      </w:r>
      <w:r w:rsidRPr="00AC0926">
        <w:rPr>
          <w:i/>
          <w:lang w:val="fr-CA"/>
        </w:rPr>
        <w:t>. Alberta (</w:t>
      </w:r>
      <w:proofErr w:type="spellStart"/>
      <w:r w:rsidRPr="00AC0926">
        <w:rPr>
          <w:i/>
          <w:lang w:val="fr-CA"/>
        </w:rPr>
        <w:t>Energy</w:t>
      </w:r>
      <w:proofErr w:type="spellEnd"/>
      <w:r w:rsidRPr="00AC0926">
        <w:rPr>
          <w:i/>
          <w:lang w:val="fr-CA"/>
        </w:rPr>
        <w:t xml:space="preserve"> and Utilities </w:t>
      </w:r>
      <w:proofErr w:type="spellStart"/>
      <w:r w:rsidRPr="00AC0926">
        <w:rPr>
          <w:i/>
          <w:lang w:val="fr-CA"/>
        </w:rPr>
        <w:t>Board</w:t>
      </w:r>
      <w:proofErr w:type="spellEnd"/>
      <w:r w:rsidRPr="00AC0926">
        <w:rPr>
          <w:i/>
          <w:lang w:val="fr-CA"/>
        </w:rPr>
        <w:t>)</w:t>
      </w:r>
      <w:r w:rsidRPr="00AC0926">
        <w:rPr>
          <w:lang w:val="fr-CA"/>
        </w:rPr>
        <w:t xml:space="preserve">, 2006 </w:t>
      </w:r>
      <w:r w:rsidR="00954E59" w:rsidRPr="00AC0926">
        <w:rPr>
          <w:lang w:val="fr-CA"/>
        </w:rPr>
        <w:t>C</w:t>
      </w:r>
      <w:r w:rsidRPr="00AC0926">
        <w:rPr>
          <w:lang w:val="fr-CA"/>
        </w:rPr>
        <w:t xml:space="preserve">SC 4, [2006] 1 </w:t>
      </w:r>
      <w:r w:rsidR="00954E59" w:rsidRPr="00AC0926">
        <w:rPr>
          <w:lang w:val="fr-CA"/>
        </w:rPr>
        <w:t>R.C.</w:t>
      </w:r>
      <w:r w:rsidRPr="00AC0926">
        <w:rPr>
          <w:lang w:val="fr-CA"/>
        </w:rPr>
        <w:t xml:space="preserve">S. 140; </w:t>
      </w:r>
      <w:r w:rsidRPr="00AC0926">
        <w:rPr>
          <w:i/>
          <w:lang w:val="fr-CA"/>
        </w:rPr>
        <w:t xml:space="preserve">R. </w:t>
      </w:r>
      <w:r w:rsidR="00670C27" w:rsidRPr="00AC0926">
        <w:rPr>
          <w:i/>
          <w:lang w:val="fr-CA"/>
        </w:rPr>
        <w:t>c</w:t>
      </w:r>
      <w:r w:rsidRPr="00AC0926">
        <w:rPr>
          <w:i/>
          <w:lang w:val="fr-CA"/>
        </w:rPr>
        <w:t>. 974649 Ontario Inc.</w:t>
      </w:r>
      <w:r w:rsidRPr="00AC0926">
        <w:rPr>
          <w:lang w:val="fr-CA"/>
        </w:rPr>
        <w:t xml:space="preserve">, 2001 </w:t>
      </w:r>
      <w:r w:rsidR="00670C27" w:rsidRPr="00AC0926">
        <w:rPr>
          <w:lang w:val="fr-CA"/>
        </w:rPr>
        <w:t>C</w:t>
      </w:r>
      <w:r w:rsidRPr="00AC0926">
        <w:rPr>
          <w:lang w:val="fr-CA"/>
        </w:rPr>
        <w:t xml:space="preserve">SC 81, [2001] 3 </w:t>
      </w:r>
      <w:r w:rsidR="00670C27" w:rsidRPr="00AC0926">
        <w:rPr>
          <w:lang w:val="fr-CA"/>
        </w:rPr>
        <w:t>R.C.</w:t>
      </w:r>
      <w:r w:rsidRPr="00AC0926">
        <w:rPr>
          <w:lang w:val="fr-CA"/>
        </w:rPr>
        <w:t xml:space="preserve">S. 575; </w:t>
      </w:r>
      <w:r w:rsidRPr="00AC0926">
        <w:rPr>
          <w:i/>
          <w:lang w:val="fr-CA"/>
        </w:rPr>
        <w:t xml:space="preserve">R. </w:t>
      </w:r>
      <w:r w:rsidR="00670C27" w:rsidRPr="00AC0926">
        <w:rPr>
          <w:i/>
          <w:lang w:val="fr-CA"/>
        </w:rPr>
        <w:t>c</w:t>
      </w:r>
      <w:r w:rsidRPr="00AC0926">
        <w:rPr>
          <w:i/>
          <w:lang w:val="fr-CA"/>
        </w:rPr>
        <w:t>. Cunningham</w:t>
      </w:r>
      <w:r w:rsidRPr="00AC0926">
        <w:rPr>
          <w:lang w:val="fr-CA"/>
        </w:rPr>
        <w:t xml:space="preserve">, 2010 </w:t>
      </w:r>
      <w:r w:rsidR="00670C27" w:rsidRPr="00AC0926">
        <w:rPr>
          <w:lang w:val="fr-CA"/>
        </w:rPr>
        <w:t>C</w:t>
      </w:r>
      <w:r w:rsidRPr="00AC0926">
        <w:rPr>
          <w:szCs w:val="24"/>
          <w:lang w:val="fr-CA"/>
        </w:rPr>
        <w:t xml:space="preserve">SC 10, [2010] 1 </w:t>
      </w:r>
      <w:r w:rsidR="00670C27" w:rsidRPr="00AC0926">
        <w:rPr>
          <w:szCs w:val="24"/>
          <w:lang w:val="fr-CA"/>
        </w:rPr>
        <w:t>R.C.</w:t>
      </w:r>
      <w:r w:rsidRPr="00AC0926">
        <w:rPr>
          <w:szCs w:val="24"/>
          <w:lang w:val="fr-CA"/>
        </w:rPr>
        <w:t>S. 331</w:t>
      </w:r>
      <w:r w:rsidRPr="00AC0926">
        <w:rPr>
          <w:lang w:val="fr-CA"/>
        </w:rPr>
        <w:t xml:space="preserve">; </w:t>
      </w:r>
      <w:r w:rsidRPr="00AC0926">
        <w:rPr>
          <w:i/>
          <w:lang w:val="fr-CA"/>
        </w:rPr>
        <w:t xml:space="preserve">Bell Canada </w:t>
      </w:r>
      <w:r w:rsidR="00670C27" w:rsidRPr="00AC0926">
        <w:rPr>
          <w:i/>
          <w:lang w:val="fr-CA"/>
        </w:rPr>
        <w:t>c</w:t>
      </w:r>
      <w:r w:rsidRPr="00AC0926">
        <w:rPr>
          <w:i/>
          <w:lang w:val="fr-CA"/>
        </w:rPr>
        <w:t>. Canada (C</w:t>
      </w:r>
      <w:r w:rsidR="00187663" w:rsidRPr="00AC0926">
        <w:rPr>
          <w:i/>
          <w:lang w:val="fr-CA"/>
        </w:rPr>
        <w:t>onseil de la radiodiffusion et des télécommunications canadiennes</w:t>
      </w:r>
      <w:r w:rsidRPr="00AC0926">
        <w:rPr>
          <w:i/>
          <w:lang w:val="fr-CA"/>
        </w:rPr>
        <w:t>)</w:t>
      </w:r>
      <w:r w:rsidRPr="00AC0926">
        <w:rPr>
          <w:lang w:val="fr-CA"/>
        </w:rPr>
        <w:t xml:space="preserve">, [1989] 1 </w:t>
      </w:r>
      <w:r w:rsidR="00670C27" w:rsidRPr="00AC0926">
        <w:rPr>
          <w:lang w:val="fr-CA"/>
        </w:rPr>
        <w:t>R.C.</w:t>
      </w:r>
      <w:r w:rsidRPr="00AC0926">
        <w:rPr>
          <w:lang w:val="fr-CA"/>
        </w:rPr>
        <w:t xml:space="preserve">S. 1722; </w:t>
      </w:r>
      <w:r w:rsidRPr="00AC0926">
        <w:rPr>
          <w:i/>
          <w:lang w:val="fr-CA"/>
        </w:rPr>
        <w:t xml:space="preserve">Interprovincial Pipe Line Ltd. </w:t>
      </w:r>
      <w:r w:rsidR="00670C27" w:rsidRPr="00AC0926">
        <w:rPr>
          <w:i/>
          <w:lang w:val="fr-CA"/>
        </w:rPr>
        <w:t>c</w:t>
      </w:r>
      <w:r w:rsidRPr="00AC0926">
        <w:rPr>
          <w:i/>
          <w:lang w:val="fr-CA"/>
        </w:rPr>
        <w:t xml:space="preserve">. </w:t>
      </w:r>
      <w:r w:rsidR="00187663" w:rsidRPr="00AC0926">
        <w:rPr>
          <w:i/>
          <w:lang w:val="fr-CA"/>
        </w:rPr>
        <w:t>Office national de l’énergie</w:t>
      </w:r>
      <w:r w:rsidRPr="00AC0926">
        <w:rPr>
          <w:lang w:val="fr-CA"/>
        </w:rPr>
        <w:t xml:space="preserve">, [1978] 1 </w:t>
      </w:r>
      <w:r w:rsidR="00670C27" w:rsidRPr="00AC0926">
        <w:rPr>
          <w:lang w:val="fr-CA"/>
        </w:rPr>
        <w:t>C.</w:t>
      </w:r>
      <w:r w:rsidRPr="00AC0926">
        <w:rPr>
          <w:lang w:val="fr-CA"/>
        </w:rPr>
        <w:t xml:space="preserve">F. 601; </w:t>
      </w:r>
      <w:r w:rsidRPr="00AC0926">
        <w:rPr>
          <w:i/>
          <w:lang w:val="fr-CA"/>
        </w:rPr>
        <w:t>Commission</w:t>
      </w:r>
      <w:r w:rsidR="007E79E9" w:rsidRPr="00AC0926">
        <w:rPr>
          <w:i/>
          <w:lang w:val="fr-CA"/>
        </w:rPr>
        <w:t xml:space="preserve"> d’énergie électrique du </w:t>
      </w:r>
      <w:proofErr w:type="spellStart"/>
      <w:r w:rsidR="007E79E9" w:rsidRPr="00AC0926">
        <w:rPr>
          <w:i/>
          <w:lang w:val="fr-CA"/>
        </w:rPr>
        <w:t>Nouveau</w:t>
      </w:r>
      <w:r w:rsidR="00EA67CE" w:rsidRPr="00AC0926">
        <w:rPr>
          <w:i/>
          <w:lang w:val="fr-CA"/>
        </w:rPr>
        <w:noBreakHyphen/>
      </w:r>
      <w:r w:rsidR="007E79E9" w:rsidRPr="00AC0926">
        <w:rPr>
          <w:i/>
          <w:lang w:val="fr-CA"/>
        </w:rPr>
        <w:t>Brunswick</w:t>
      </w:r>
      <w:proofErr w:type="spellEnd"/>
      <w:r w:rsidRPr="00AC0926">
        <w:rPr>
          <w:i/>
          <w:lang w:val="fr-CA"/>
        </w:rPr>
        <w:t xml:space="preserve"> </w:t>
      </w:r>
      <w:r w:rsidR="00670C27" w:rsidRPr="00AC0926">
        <w:rPr>
          <w:i/>
          <w:lang w:val="fr-CA"/>
        </w:rPr>
        <w:t>c</w:t>
      </w:r>
      <w:r w:rsidRPr="00AC0926">
        <w:rPr>
          <w:i/>
          <w:lang w:val="fr-CA"/>
        </w:rPr>
        <w:t>. Maritime Electric Co.</w:t>
      </w:r>
      <w:r w:rsidRPr="00AC0926">
        <w:rPr>
          <w:lang w:val="fr-CA"/>
        </w:rPr>
        <w:t xml:space="preserve">, [1985] 2 </w:t>
      </w:r>
      <w:r w:rsidR="00670C27" w:rsidRPr="00AC0926">
        <w:rPr>
          <w:lang w:val="fr-CA"/>
        </w:rPr>
        <w:t>C.</w:t>
      </w:r>
      <w:r w:rsidRPr="00AC0926">
        <w:rPr>
          <w:lang w:val="fr-CA"/>
        </w:rPr>
        <w:t xml:space="preserve">F. 13; </w:t>
      </w:r>
      <w:r w:rsidR="007E79E9" w:rsidRPr="00AC0926">
        <w:rPr>
          <w:i/>
          <w:lang w:val="fr-CA"/>
        </w:rPr>
        <w:t>Ligue de la radiodiffusion canadienne</w:t>
      </w:r>
      <w:r w:rsidRPr="00AC0926">
        <w:rPr>
          <w:i/>
          <w:lang w:val="fr-CA"/>
        </w:rPr>
        <w:t xml:space="preserve"> </w:t>
      </w:r>
      <w:r w:rsidR="00670C27" w:rsidRPr="00AC0926">
        <w:rPr>
          <w:i/>
          <w:lang w:val="fr-CA"/>
        </w:rPr>
        <w:t>c</w:t>
      </w:r>
      <w:r w:rsidRPr="00AC0926">
        <w:rPr>
          <w:i/>
          <w:lang w:val="fr-CA"/>
        </w:rPr>
        <w:t xml:space="preserve">. </w:t>
      </w:r>
      <w:r w:rsidR="007E79E9" w:rsidRPr="00AC0926">
        <w:rPr>
          <w:i/>
          <w:lang w:val="fr-CA"/>
        </w:rPr>
        <w:t>Conseil de la radiodiffusion et des télécommunications canadiennes</w:t>
      </w:r>
      <w:r w:rsidRPr="00AC0926">
        <w:rPr>
          <w:lang w:val="fr-CA"/>
        </w:rPr>
        <w:t xml:space="preserve">, [1983] 1 </w:t>
      </w:r>
      <w:r w:rsidR="00670C27" w:rsidRPr="00AC0926">
        <w:rPr>
          <w:lang w:val="fr-CA"/>
        </w:rPr>
        <w:t>C.</w:t>
      </w:r>
      <w:r w:rsidRPr="00AC0926">
        <w:rPr>
          <w:lang w:val="fr-CA"/>
        </w:rPr>
        <w:t xml:space="preserve">F. 182, </w:t>
      </w:r>
      <w:proofErr w:type="spellStart"/>
      <w:r w:rsidR="00670C27" w:rsidRPr="00AC0926">
        <w:rPr>
          <w:lang w:val="fr-CA"/>
        </w:rPr>
        <w:t>conf</w:t>
      </w:r>
      <w:proofErr w:type="spellEnd"/>
      <w:r w:rsidR="00670C27" w:rsidRPr="00AC0926">
        <w:rPr>
          <w:lang w:val="fr-CA"/>
        </w:rPr>
        <w:t xml:space="preserve">. </w:t>
      </w:r>
      <w:proofErr w:type="gramStart"/>
      <w:r w:rsidR="00670C27" w:rsidRPr="00AC0926">
        <w:rPr>
          <w:lang w:val="fr-CA"/>
        </w:rPr>
        <w:t>par</w:t>
      </w:r>
      <w:proofErr w:type="gramEnd"/>
      <w:r w:rsidRPr="00AC0926">
        <w:rPr>
          <w:lang w:val="fr-CA"/>
        </w:rPr>
        <w:t xml:space="preserve"> [1985] 1 </w:t>
      </w:r>
      <w:r w:rsidR="00670C27" w:rsidRPr="00AC0926">
        <w:rPr>
          <w:lang w:val="fr-CA"/>
        </w:rPr>
        <w:t>R.C.</w:t>
      </w:r>
      <w:r w:rsidRPr="00AC0926">
        <w:rPr>
          <w:lang w:val="fr-CA"/>
        </w:rPr>
        <w:t xml:space="preserve">S. 174; </w:t>
      </w:r>
      <w:proofErr w:type="spellStart"/>
      <w:r w:rsidRPr="00AC0926">
        <w:rPr>
          <w:i/>
          <w:lang w:val="fr-CA"/>
        </w:rPr>
        <w:t>Re</w:t>
      </w:r>
      <w:proofErr w:type="spellEnd"/>
      <w:r w:rsidRPr="00AC0926">
        <w:rPr>
          <w:i/>
          <w:lang w:val="fr-CA"/>
        </w:rPr>
        <w:t xml:space="preserve"> Dow </w:t>
      </w:r>
      <w:proofErr w:type="spellStart"/>
      <w:r w:rsidRPr="00AC0926">
        <w:rPr>
          <w:i/>
          <w:lang w:val="fr-CA"/>
        </w:rPr>
        <w:t>Chemical</w:t>
      </w:r>
      <w:proofErr w:type="spellEnd"/>
      <w:r w:rsidRPr="00AC0926">
        <w:rPr>
          <w:i/>
          <w:lang w:val="fr-CA"/>
        </w:rPr>
        <w:t xml:space="preserve"> Canada Inc. and Union </w:t>
      </w:r>
      <w:proofErr w:type="spellStart"/>
      <w:r w:rsidRPr="00AC0926">
        <w:rPr>
          <w:i/>
          <w:lang w:val="fr-CA"/>
        </w:rPr>
        <w:t>Gas</w:t>
      </w:r>
      <w:proofErr w:type="spellEnd"/>
      <w:r w:rsidRPr="00AC0926">
        <w:rPr>
          <w:i/>
          <w:lang w:val="fr-CA"/>
        </w:rPr>
        <w:t xml:space="preserve"> Ltd.</w:t>
      </w:r>
      <w:r w:rsidRPr="00AC0926">
        <w:rPr>
          <w:lang w:val="fr-CA"/>
        </w:rPr>
        <w:t xml:space="preserve"> (1982), 141 D.L.R. (3d) 641, </w:t>
      </w:r>
      <w:proofErr w:type="spellStart"/>
      <w:r w:rsidR="00670C27" w:rsidRPr="00AC0926">
        <w:rPr>
          <w:lang w:val="fr-CA"/>
        </w:rPr>
        <w:t>conf</w:t>
      </w:r>
      <w:proofErr w:type="spellEnd"/>
      <w:r w:rsidR="00670C27" w:rsidRPr="00AC0926">
        <w:rPr>
          <w:lang w:val="fr-CA"/>
        </w:rPr>
        <w:t xml:space="preserve">. </w:t>
      </w:r>
      <w:proofErr w:type="gramStart"/>
      <w:r w:rsidR="00670C27" w:rsidRPr="00AC0926">
        <w:rPr>
          <w:lang w:val="fr-CA"/>
        </w:rPr>
        <w:t>par</w:t>
      </w:r>
      <w:proofErr w:type="gramEnd"/>
      <w:r w:rsidRPr="00AC0926">
        <w:rPr>
          <w:lang w:val="fr-CA"/>
        </w:rPr>
        <w:t xml:space="preserve"> (1983), 42 O.R. (2d) 731; </w:t>
      </w:r>
      <w:proofErr w:type="spellStart"/>
      <w:r w:rsidRPr="00AC0926">
        <w:rPr>
          <w:i/>
          <w:lang w:val="fr-CA"/>
        </w:rPr>
        <w:t>Children’s</w:t>
      </w:r>
      <w:proofErr w:type="spellEnd"/>
      <w:r w:rsidRPr="00AC0926">
        <w:rPr>
          <w:i/>
          <w:lang w:val="fr-CA"/>
        </w:rPr>
        <w:t xml:space="preserve"> </w:t>
      </w:r>
      <w:proofErr w:type="spellStart"/>
      <w:r w:rsidRPr="00AC0926">
        <w:rPr>
          <w:i/>
          <w:lang w:val="fr-CA"/>
        </w:rPr>
        <w:t>Aid</w:t>
      </w:r>
      <w:proofErr w:type="spellEnd"/>
      <w:r w:rsidRPr="00AC0926">
        <w:rPr>
          <w:i/>
          <w:lang w:val="fr-CA"/>
        </w:rPr>
        <w:t xml:space="preserve"> Society of Huron </w:t>
      </w:r>
      <w:proofErr w:type="spellStart"/>
      <w:r w:rsidRPr="00AC0926">
        <w:rPr>
          <w:i/>
          <w:lang w:val="fr-CA"/>
        </w:rPr>
        <w:t>County</w:t>
      </w:r>
      <w:proofErr w:type="spellEnd"/>
      <w:r w:rsidRPr="00AC0926">
        <w:rPr>
          <w:i/>
          <w:lang w:val="fr-CA"/>
        </w:rPr>
        <w:t xml:space="preserve"> </w:t>
      </w:r>
      <w:r w:rsidR="00670C27" w:rsidRPr="00AC0926">
        <w:rPr>
          <w:i/>
          <w:lang w:val="fr-CA"/>
        </w:rPr>
        <w:t>c</w:t>
      </w:r>
      <w:r w:rsidRPr="00AC0926">
        <w:rPr>
          <w:i/>
          <w:lang w:val="fr-CA"/>
        </w:rPr>
        <w:t xml:space="preserve">. </w:t>
      </w:r>
      <w:r w:rsidR="00C379C1" w:rsidRPr="00AC0926">
        <w:rPr>
          <w:i/>
          <w:lang w:val="fr-CA"/>
        </w:rPr>
        <w:t>P.</w:t>
      </w:r>
      <w:r w:rsidR="0035080D">
        <w:rPr>
          <w:i/>
          <w:lang w:val="fr-CA"/>
        </w:rPr>
        <w:t xml:space="preserve"> </w:t>
      </w:r>
      <w:r w:rsidR="00C379C1" w:rsidRPr="00AC0926">
        <w:rPr>
          <w:i/>
          <w:lang w:val="fr-CA"/>
        </w:rPr>
        <w:t>(</w:t>
      </w:r>
      <w:r w:rsidRPr="00AC0926">
        <w:rPr>
          <w:i/>
          <w:lang w:val="fr-CA"/>
        </w:rPr>
        <w:t>C.</w:t>
      </w:r>
      <w:r w:rsidR="00C379C1" w:rsidRPr="00AC0926">
        <w:rPr>
          <w:i/>
          <w:lang w:val="fr-CA"/>
        </w:rPr>
        <w:t>)</w:t>
      </w:r>
      <w:r w:rsidR="00C379C1" w:rsidRPr="00AC0926">
        <w:rPr>
          <w:lang w:val="fr-CA"/>
        </w:rPr>
        <w:t xml:space="preserve">, 2002 </w:t>
      </w:r>
      <w:proofErr w:type="spellStart"/>
      <w:r w:rsidR="00C379C1" w:rsidRPr="00AC0926">
        <w:rPr>
          <w:lang w:val="fr-CA"/>
        </w:rPr>
        <w:t>CanLII</w:t>
      </w:r>
      <w:proofErr w:type="spellEnd"/>
      <w:r w:rsidR="00C379C1" w:rsidRPr="00AC0926">
        <w:rPr>
          <w:lang w:val="fr-CA"/>
        </w:rPr>
        <w:t xml:space="preserve"> 45644</w:t>
      </w:r>
      <w:r w:rsidRPr="00AC0926">
        <w:rPr>
          <w:lang w:val="fr-CA"/>
        </w:rPr>
        <w:t xml:space="preserve">; </w:t>
      </w:r>
      <w:r w:rsidRPr="00AC0926">
        <w:rPr>
          <w:i/>
          <w:lang w:val="fr-CA"/>
        </w:rPr>
        <w:t xml:space="preserve">Chrysler Canada Ltd. </w:t>
      </w:r>
      <w:r w:rsidR="00670C27" w:rsidRPr="00AC0926">
        <w:rPr>
          <w:i/>
          <w:lang w:val="fr-CA"/>
        </w:rPr>
        <w:t>c</w:t>
      </w:r>
      <w:r w:rsidRPr="00AC0926">
        <w:rPr>
          <w:i/>
          <w:lang w:val="fr-CA"/>
        </w:rPr>
        <w:t>. Canada (</w:t>
      </w:r>
      <w:r w:rsidR="00187663" w:rsidRPr="00AC0926">
        <w:rPr>
          <w:i/>
          <w:lang w:val="fr-CA"/>
        </w:rPr>
        <w:t>Tribunal de la concurrence</w:t>
      </w:r>
      <w:r w:rsidRPr="00AC0926">
        <w:rPr>
          <w:i/>
          <w:lang w:val="fr-CA"/>
        </w:rPr>
        <w:t>)</w:t>
      </w:r>
      <w:r w:rsidRPr="00AC0926">
        <w:rPr>
          <w:lang w:val="fr-CA"/>
        </w:rPr>
        <w:t xml:space="preserve">, [1992] 2 </w:t>
      </w:r>
      <w:r w:rsidR="00670C27" w:rsidRPr="00AC0926">
        <w:rPr>
          <w:lang w:val="fr-CA"/>
        </w:rPr>
        <w:t>R.C.</w:t>
      </w:r>
      <w:r w:rsidRPr="00AC0926">
        <w:rPr>
          <w:lang w:val="fr-CA"/>
        </w:rPr>
        <w:t xml:space="preserve">S. 394; </w:t>
      </w:r>
      <w:proofErr w:type="spellStart"/>
      <w:r w:rsidRPr="00AC0926">
        <w:rPr>
          <w:i/>
          <w:lang w:val="fr-CA"/>
        </w:rPr>
        <w:t>No</w:t>
      </w:r>
      <w:r w:rsidR="00EA67CE" w:rsidRPr="00AC0926">
        <w:rPr>
          <w:i/>
          <w:lang w:val="fr-CA"/>
        </w:rPr>
        <w:t>uvelle</w:t>
      </w:r>
      <w:r w:rsidR="00EA67CE" w:rsidRPr="00AC0926">
        <w:rPr>
          <w:i/>
          <w:lang w:val="fr-CA"/>
        </w:rPr>
        <w:noBreakHyphen/>
      </w:r>
      <w:r w:rsidR="00A95632" w:rsidRPr="00AC0926">
        <w:rPr>
          <w:i/>
          <w:lang w:val="fr-CA"/>
        </w:rPr>
        <w:t>Écosse</w:t>
      </w:r>
      <w:proofErr w:type="spellEnd"/>
      <w:r w:rsidRPr="00AC0926">
        <w:rPr>
          <w:i/>
          <w:lang w:val="fr-CA"/>
        </w:rPr>
        <w:t xml:space="preserve"> (</w:t>
      </w:r>
      <w:proofErr w:type="spellStart"/>
      <w:r w:rsidRPr="00AC0926">
        <w:rPr>
          <w:i/>
          <w:lang w:val="fr-CA"/>
        </w:rPr>
        <w:t>Workers</w:t>
      </w:r>
      <w:proofErr w:type="spellEnd"/>
      <w:r w:rsidRPr="00AC0926">
        <w:rPr>
          <w:i/>
          <w:lang w:val="fr-CA"/>
        </w:rPr>
        <w:t xml:space="preserve">’ Compensation </w:t>
      </w:r>
      <w:proofErr w:type="spellStart"/>
      <w:r w:rsidRPr="00AC0926">
        <w:rPr>
          <w:i/>
          <w:lang w:val="fr-CA"/>
        </w:rPr>
        <w:t>Board</w:t>
      </w:r>
      <w:proofErr w:type="spellEnd"/>
      <w:r w:rsidRPr="00AC0926">
        <w:rPr>
          <w:i/>
          <w:lang w:val="fr-CA"/>
        </w:rPr>
        <w:t xml:space="preserve">) </w:t>
      </w:r>
      <w:r w:rsidR="00670C27" w:rsidRPr="00AC0926">
        <w:rPr>
          <w:i/>
          <w:lang w:val="fr-CA"/>
        </w:rPr>
        <w:t>c</w:t>
      </w:r>
      <w:r w:rsidRPr="00AC0926">
        <w:rPr>
          <w:i/>
          <w:lang w:val="fr-CA"/>
        </w:rPr>
        <w:t>. Martin</w:t>
      </w:r>
      <w:r w:rsidRPr="00AC0926">
        <w:rPr>
          <w:lang w:val="fr-CA"/>
        </w:rPr>
        <w:t xml:space="preserve">, 2003 </w:t>
      </w:r>
      <w:r w:rsidR="00670C27" w:rsidRPr="00AC0926">
        <w:rPr>
          <w:lang w:val="fr-CA"/>
        </w:rPr>
        <w:t>C</w:t>
      </w:r>
      <w:r w:rsidRPr="00AC0926">
        <w:rPr>
          <w:lang w:val="fr-CA"/>
        </w:rPr>
        <w:t xml:space="preserve">SC 54, [2003] 2 </w:t>
      </w:r>
      <w:r w:rsidR="00670C27" w:rsidRPr="00AC0926">
        <w:rPr>
          <w:lang w:val="fr-CA"/>
        </w:rPr>
        <w:t>R.C.</w:t>
      </w:r>
      <w:r w:rsidRPr="00AC0926">
        <w:rPr>
          <w:lang w:val="fr-CA"/>
        </w:rPr>
        <w:t xml:space="preserve">S. 504; </w:t>
      </w:r>
      <w:r w:rsidRPr="00AC0926">
        <w:rPr>
          <w:i/>
          <w:lang w:val="fr-CA"/>
        </w:rPr>
        <w:t xml:space="preserve">R. </w:t>
      </w:r>
      <w:r w:rsidR="00670C27" w:rsidRPr="00AC0926">
        <w:rPr>
          <w:i/>
          <w:lang w:val="fr-CA"/>
        </w:rPr>
        <w:t>c</w:t>
      </w:r>
      <w:r w:rsidRPr="00AC0926">
        <w:rPr>
          <w:i/>
          <w:lang w:val="fr-CA"/>
        </w:rPr>
        <w:t xml:space="preserve">. </w:t>
      </w:r>
      <w:proofErr w:type="spellStart"/>
      <w:r w:rsidRPr="00AC0926">
        <w:rPr>
          <w:i/>
          <w:lang w:val="fr-CA"/>
        </w:rPr>
        <w:t>Conway</w:t>
      </w:r>
      <w:proofErr w:type="spellEnd"/>
      <w:r w:rsidRPr="00AC0926">
        <w:rPr>
          <w:lang w:val="fr-CA"/>
        </w:rPr>
        <w:t xml:space="preserve">, 2010 </w:t>
      </w:r>
      <w:r w:rsidR="00670C27" w:rsidRPr="00AC0926">
        <w:rPr>
          <w:lang w:val="fr-CA"/>
        </w:rPr>
        <w:t>C</w:t>
      </w:r>
      <w:r w:rsidRPr="00AC0926">
        <w:rPr>
          <w:lang w:val="fr-CA"/>
        </w:rPr>
        <w:t xml:space="preserve">SC 22, [2010] 1 </w:t>
      </w:r>
      <w:r w:rsidR="00670C27" w:rsidRPr="00AC0926">
        <w:rPr>
          <w:lang w:val="fr-CA"/>
        </w:rPr>
        <w:t>R.C.</w:t>
      </w:r>
      <w:r w:rsidRPr="00AC0926">
        <w:rPr>
          <w:lang w:val="fr-CA"/>
        </w:rPr>
        <w:t>S. 765;</w:t>
      </w:r>
      <w:r w:rsidR="008C51C1" w:rsidRPr="00AC0926">
        <w:rPr>
          <w:lang w:val="fr-CA"/>
        </w:rPr>
        <w:t xml:space="preserve"> </w:t>
      </w:r>
      <w:r w:rsidR="008C51C1" w:rsidRPr="00AC0926">
        <w:rPr>
          <w:i/>
          <w:lang w:val="fr-CA"/>
        </w:rPr>
        <w:t>R. c. Caron</w:t>
      </w:r>
      <w:r w:rsidR="008C51C1" w:rsidRPr="00AC0926">
        <w:rPr>
          <w:lang w:val="fr-CA"/>
        </w:rPr>
        <w:t>, 2007 ABQB 262, 75 Alta. L.R. (4th) 287;</w:t>
      </w:r>
      <w:r w:rsidRPr="00AC0926">
        <w:rPr>
          <w:lang w:val="fr-CA"/>
        </w:rPr>
        <w:t xml:space="preserve"> </w:t>
      </w:r>
      <w:r w:rsidR="00A95632" w:rsidRPr="00AC0926">
        <w:rPr>
          <w:i/>
          <w:lang w:val="fr-CA"/>
        </w:rPr>
        <w:t xml:space="preserve">Société </w:t>
      </w:r>
      <w:proofErr w:type="spellStart"/>
      <w:r w:rsidR="00A95632" w:rsidRPr="00AC0926">
        <w:rPr>
          <w:i/>
          <w:lang w:val="fr-CA"/>
        </w:rPr>
        <w:t>Radio</w:t>
      </w:r>
      <w:r w:rsidR="00EA67CE" w:rsidRPr="00AC0926">
        <w:rPr>
          <w:i/>
          <w:lang w:val="fr-CA"/>
        </w:rPr>
        <w:noBreakHyphen/>
      </w:r>
      <w:r w:rsidR="00A95632" w:rsidRPr="00AC0926">
        <w:rPr>
          <w:i/>
          <w:lang w:val="fr-CA"/>
        </w:rPr>
        <w:t>Canada</w:t>
      </w:r>
      <w:proofErr w:type="spellEnd"/>
      <w:r w:rsidRPr="00AC0926">
        <w:rPr>
          <w:i/>
          <w:lang w:val="fr-CA"/>
        </w:rPr>
        <w:t xml:space="preserve"> </w:t>
      </w:r>
      <w:r w:rsidR="00670C27" w:rsidRPr="00AC0926">
        <w:rPr>
          <w:i/>
          <w:lang w:val="fr-CA"/>
        </w:rPr>
        <w:t>c</w:t>
      </w:r>
      <w:r w:rsidRPr="00AC0926">
        <w:rPr>
          <w:i/>
          <w:lang w:val="fr-CA"/>
        </w:rPr>
        <w:t xml:space="preserve">. </w:t>
      </w:r>
      <w:proofErr w:type="spellStart"/>
      <w:r w:rsidRPr="00AC0926">
        <w:rPr>
          <w:i/>
          <w:lang w:val="fr-CA"/>
        </w:rPr>
        <w:lastRenderedPageBreak/>
        <w:t>N</w:t>
      </w:r>
      <w:r w:rsidR="00670C27" w:rsidRPr="00AC0926">
        <w:rPr>
          <w:i/>
          <w:lang w:val="fr-CA"/>
        </w:rPr>
        <w:t>ouveau</w:t>
      </w:r>
      <w:r w:rsidR="00EA67CE" w:rsidRPr="00AC0926">
        <w:rPr>
          <w:i/>
          <w:lang w:val="fr-CA"/>
        </w:rPr>
        <w:noBreakHyphen/>
      </w:r>
      <w:r w:rsidRPr="00AC0926">
        <w:rPr>
          <w:i/>
          <w:lang w:val="fr-CA"/>
        </w:rPr>
        <w:t>Brunswick</w:t>
      </w:r>
      <w:proofErr w:type="spellEnd"/>
      <w:r w:rsidRPr="00AC0926">
        <w:rPr>
          <w:i/>
          <w:lang w:val="fr-CA"/>
        </w:rPr>
        <w:t xml:space="preserve"> (</w:t>
      </w:r>
      <w:r w:rsidR="00670C27" w:rsidRPr="00AC0926">
        <w:rPr>
          <w:i/>
          <w:lang w:val="fr-CA"/>
        </w:rPr>
        <w:t>Procureur général</w:t>
      </w:r>
      <w:r w:rsidRPr="00AC0926">
        <w:rPr>
          <w:i/>
          <w:lang w:val="fr-CA"/>
        </w:rPr>
        <w:t>)</w:t>
      </w:r>
      <w:r w:rsidRPr="00AC0926">
        <w:rPr>
          <w:lang w:val="fr-CA"/>
        </w:rPr>
        <w:t xml:space="preserve">, [1996] 3 </w:t>
      </w:r>
      <w:r w:rsidR="00670C27" w:rsidRPr="00AC0926">
        <w:rPr>
          <w:lang w:val="fr-CA"/>
        </w:rPr>
        <w:t>R.C.</w:t>
      </w:r>
      <w:r w:rsidRPr="00AC0926">
        <w:rPr>
          <w:lang w:val="fr-CA"/>
        </w:rPr>
        <w:t xml:space="preserve">S. 480; </w:t>
      </w:r>
      <w:r w:rsidRPr="00AC0926">
        <w:rPr>
          <w:i/>
          <w:lang w:val="fr-CA"/>
        </w:rPr>
        <w:t xml:space="preserve">R. </w:t>
      </w:r>
      <w:r w:rsidR="00670C27" w:rsidRPr="00AC0926">
        <w:rPr>
          <w:i/>
          <w:lang w:val="fr-CA"/>
        </w:rPr>
        <w:t>c</w:t>
      </w:r>
      <w:r w:rsidRPr="00AC0926">
        <w:rPr>
          <w:i/>
          <w:lang w:val="fr-CA"/>
        </w:rPr>
        <w:t xml:space="preserve">. </w:t>
      </w:r>
      <w:proofErr w:type="spellStart"/>
      <w:r w:rsidRPr="00AC0926">
        <w:rPr>
          <w:i/>
          <w:lang w:val="fr-CA"/>
        </w:rPr>
        <w:t>Jewitt</w:t>
      </w:r>
      <w:proofErr w:type="spellEnd"/>
      <w:r w:rsidRPr="00AC0926">
        <w:rPr>
          <w:lang w:val="fr-CA"/>
        </w:rPr>
        <w:t xml:space="preserve">, [1985] 2 </w:t>
      </w:r>
      <w:r w:rsidR="00670C27" w:rsidRPr="00AC0926">
        <w:rPr>
          <w:lang w:val="fr-CA"/>
        </w:rPr>
        <w:t>R.C.</w:t>
      </w:r>
      <w:r w:rsidRPr="00AC0926">
        <w:rPr>
          <w:lang w:val="fr-CA"/>
        </w:rPr>
        <w:t xml:space="preserve">S. 128; </w:t>
      </w:r>
      <w:r w:rsidRPr="00AC0926">
        <w:rPr>
          <w:i/>
          <w:lang w:val="fr-CA"/>
        </w:rPr>
        <w:t>Toronto (</w:t>
      </w:r>
      <w:r w:rsidR="00670C27" w:rsidRPr="00AC0926">
        <w:rPr>
          <w:i/>
          <w:lang w:val="fr-CA"/>
        </w:rPr>
        <w:t>Ville</w:t>
      </w:r>
      <w:r w:rsidRPr="00AC0926">
        <w:rPr>
          <w:i/>
          <w:lang w:val="fr-CA"/>
        </w:rPr>
        <w:t xml:space="preserve">) </w:t>
      </w:r>
      <w:r w:rsidR="00670C27" w:rsidRPr="00AC0926">
        <w:rPr>
          <w:i/>
          <w:lang w:val="fr-CA"/>
        </w:rPr>
        <w:t>c</w:t>
      </w:r>
      <w:r w:rsidRPr="00AC0926">
        <w:rPr>
          <w:i/>
          <w:lang w:val="fr-CA"/>
        </w:rPr>
        <w:t xml:space="preserve">. </w:t>
      </w:r>
      <w:r w:rsidR="00A95632" w:rsidRPr="00AC0926">
        <w:rPr>
          <w:i/>
          <w:lang w:val="fr-CA"/>
        </w:rPr>
        <w:t>S.</w:t>
      </w:r>
      <w:r w:rsidRPr="00AC0926">
        <w:rPr>
          <w:i/>
          <w:lang w:val="fr-CA"/>
        </w:rPr>
        <w:t>C.</w:t>
      </w:r>
      <w:r w:rsidR="00A95632" w:rsidRPr="00AC0926">
        <w:rPr>
          <w:i/>
          <w:lang w:val="fr-CA"/>
        </w:rPr>
        <w:t>F</w:t>
      </w:r>
      <w:r w:rsidRPr="00AC0926">
        <w:rPr>
          <w:i/>
          <w:lang w:val="fr-CA"/>
        </w:rPr>
        <w:t xml:space="preserve">.P., </w:t>
      </w:r>
      <w:r w:rsidR="00A95632" w:rsidRPr="00AC0926">
        <w:rPr>
          <w:i/>
          <w:lang w:val="fr-CA"/>
        </w:rPr>
        <w:t>section l</w:t>
      </w:r>
      <w:r w:rsidRPr="00AC0926">
        <w:rPr>
          <w:i/>
          <w:lang w:val="fr-CA"/>
        </w:rPr>
        <w:t>ocal</w:t>
      </w:r>
      <w:r w:rsidR="00A95632" w:rsidRPr="00AC0926">
        <w:rPr>
          <w:i/>
          <w:lang w:val="fr-CA"/>
        </w:rPr>
        <w:t>e</w:t>
      </w:r>
      <w:r w:rsidRPr="00AC0926">
        <w:rPr>
          <w:i/>
          <w:lang w:val="fr-CA"/>
        </w:rPr>
        <w:t xml:space="preserve"> 79</w:t>
      </w:r>
      <w:r w:rsidRPr="00AC0926">
        <w:rPr>
          <w:lang w:val="fr-CA"/>
        </w:rPr>
        <w:t xml:space="preserve">, 2003 </w:t>
      </w:r>
      <w:r w:rsidR="00670C27" w:rsidRPr="00AC0926">
        <w:rPr>
          <w:lang w:val="fr-CA"/>
        </w:rPr>
        <w:t>C</w:t>
      </w:r>
      <w:r w:rsidRPr="00AC0926">
        <w:rPr>
          <w:lang w:val="fr-CA"/>
        </w:rPr>
        <w:t xml:space="preserve">SC 63, [2003] 3 </w:t>
      </w:r>
      <w:r w:rsidR="00670C27" w:rsidRPr="00AC0926">
        <w:rPr>
          <w:lang w:val="fr-CA"/>
        </w:rPr>
        <w:t>R.C.</w:t>
      </w:r>
      <w:r w:rsidRPr="00AC0926">
        <w:rPr>
          <w:lang w:val="fr-CA"/>
        </w:rPr>
        <w:t>S. 77.</w:t>
      </w:r>
    </w:p>
    <w:p w:rsidR="00231F3A" w:rsidRPr="00E31014" w:rsidRDefault="0043088E" w:rsidP="00E06643">
      <w:pPr>
        <w:pStyle w:val="SCCNormalDoubleSpacing"/>
        <w:keepNext/>
        <w:spacing w:after="480"/>
        <w:rPr>
          <w:b/>
          <w:lang w:val="fr-CA"/>
        </w:rPr>
      </w:pPr>
      <w:r w:rsidRPr="00E31014">
        <w:rPr>
          <w:b/>
          <w:lang w:val="fr-CA"/>
        </w:rPr>
        <w:t>Lois</w:t>
      </w:r>
      <w:r w:rsidR="002E6705" w:rsidRPr="00E31014">
        <w:rPr>
          <w:b/>
          <w:lang w:val="fr-CA"/>
        </w:rPr>
        <w:t xml:space="preserve"> </w:t>
      </w:r>
      <w:r w:rsidR="008A6558" w:rsidRPr="00E31014">
        <w:rPr>
          <w:b/>
          <w:lang w:val="fr-CA"/>
        </w:rPr>
        <w:t>et</w:t>
      </w:r>
      <w:r w:rsidR="002E6705" w:rsidRPr="00E31014">
        <w:rPr>
          <w:b/>
          <w:lang w:val="fr-CA"/>
        </w:rPr>
        <w:t xml:space="preserve"> </w:t>
      </w:r>
      <w:r w:rsidRPr="00E31014">
        <w:rPr>
          <w:b/>
          <w:lang w:val="fr-CA"/>
        </w:rPr>
        <w:t>rè</w:t>
      </w:r>
      <w:r w:rsidR="002E6705" w:rsidRPr="00E31014">
        <w:rPr>
          <w:b/>
          <w:lang w:val="fr-CA"/>
        </w:rPr>
        <w:t>gl</w:t>
      </w:r>
      <w:r w:rsidRPr="00E31014">
        <w:rPr>
          <w:b/>
          <w:lang w:val="fr-CA"/>
        </w:rPr>
        <w:t>ements</w:t>
      </w:r>
      <w:r w:rsidR="002E6705" w:rsidRPr="00E31014">
        <w:rPr>
          <w:b/>
          <w:lang w:val="fr-CA"/>
        </w:rPr>
        <w:t xml:space="preserve"> </w:t>
      </w:r>
      <w:r w:rsidRPr="00E31014">
        <w:rPr>
          <w:b/>
          <w:lang w:val="fr-CA"/>
        </w:rPr>
        <w:t>c</w:t>
      </w:r>
      <w:r w:rsidR="002E6705" w:rsidRPr="00E31014">
        <w:rPr>
          <w:b/>
          <w:lang w:val="fr-CA"/>
        </w:rPr>
        <w:t>it</w:t>
      </w:r>
      <w:r w:rsidRPr="00E31014">
        <w:rPr>
          <w:b/>
          <w:lang w:val="fr-CA"/>
        </w:rPr>
        <w:t>és</w:t>
      </w:r>
    </w:p>
    <w:p w:rsidR="008A622A" w:rsidRPr="008A622A" w:rsidRDefault="008A622A" w:rsidP="008A622A">
      <w:pPr>
        <w:pStyle w:val="SCCNormalDoubleSpacing"/>
        <w:spacing w:line="240" w:lineRule="auto"/>
        <w:ind w:left="540" w:hanging="540"/>
        <w:rPr>
          <w:i/>
          <w:lang w:val="fr-CA"/>
        </w:rPr>
      </w:pPr>
      <w:r>
        <w:rPr>
          <w:i/>
          <w:lang w:val="fr-CA"/>
        </w:rPr>
        <w:t>Acte de</w:t>
      </w:r>
      <w:r w:rsidRPr="00AC0926">
        <w:rPr>
          <w:i/>
          <w:lang w:val="fr-CA"/>
        </w:rPr>
        <w:t xml:space="preserve"> la Saskatchewan</w:t>
      </w:r>
      <w:r w:rsidRPr="00AC0926">
        <w:rPr>
          <w:lang w:val="fr-CA"/>
        </w:rPr>
        <w:t xml:space="preserve">, S.C. 1905, ch. 42 [reproduit S.R.C. 1970, </w:t>
      </w:r>
      <w:proofErr w:type="spellStart"/>
      <w:r w:rsidRPr="00AC0926">
        <w:rPr>
          <w:lang w:val="fr-CA"/>
        </w:rPr>
        <w:t>app</w:t>
      </w:r>
      <w:proofErr w:type="spellEnd"/>
      <w:r w:rsidRPr="00AC0926">
        <w:rPr>
          <w:lang w:val="fr-CA"/>
        </w:rPr>
        <w:t>. </w:t>
      </w:r>
      <w:r w:rsidRPr="008A622A">
        <w:rPr>
          <w:lang w:val="fr-CA"/>
        </w:rPr>
        <w:t>II, n</w:t>
      </w:r>
      <w:r w:rsidRPr="008A622A">
        <w:rPr>
          <w:vertAlign w:val="superscript"/>
          <w:lang w:val="fr-CA"/>
        </w:rPr>
        <w:t>o</w:t>
      </w:r>
      <w:r w:rsidRPr="008A622A">
        <w:rPr>
          <w:lang w:val="fr-CA"/>
        </w:rPr>
        <w:t xml:space="preserve"> 20], art. 14, 16(1). </w:t>
      </w:r>
    </w:p>
    <w:p w:rsidR="008A622A" w:rsidRPr="008A622A" w:rsidRDefault="008A622A" w:rsidP="008A622A">
      <w:pPr>
        <w:pStyle w:val="SCCNormalDoubleSpacing"/>
        <w:spacing w:line="240" w:lineRule="auto"/>
        <w:ind w:left="540" w:hanging="540"/>
        <w:rPr>
          <w:lang w:val="fr-CA"/>
        </w:rPr>
      </w:pPr>
    </w:p>
    <w:p w:rsidR="004C698F" w:rsidRPr="00E31014" w:rsidRDefault="004C698F" w:rsidP="004C698F">
      <w:pPr>
        <w:ind w:left="540" w:hanging="540"/>
        <w:rPr>
          <w:szCs w:val="24"/>
          <w:lang w:val="fr-CA"/>
        </w:rPr>
      </w:pPr>
      <w:r w:rsidRPr="00E31014">
        <w:rPr>
          <w:i/>
          <w:szCs w:val="24"/>
          <w:lang w:val="fr-CA"/>
        </w:rPr>
        <w:t xml:space="preserve">Acte des territoires du </w:t>
      </w:r>
      <w:proofErr w:type="spellStart"/>
      <w:r w:rsidRPr="00E31014">
        <w:rPr>
          <w:i/>
          <w:szCs w:val="24"/>
          <w:lang w:val="fr-CA"/>
        </w:rPr>
        <w:t>Nord</w:t>
      </w:r>
      <w:r w:rsidR="00EA67CE" w:rsidRPr="00E31014">
        <w:rPr>
          <w:i/>
          <w:szCs w:val="24"/>
          <w:lang w:val="fr-CA"/>
        </w:rPr>
        <w:noBreakHyphen/>
      </w:r>
      <w:r w:rsidRPr="00E31014">
        <w:rPr>
          <w:i/>
          <w:szCs w:val="24"/>
          <w:lang w:val="fr-CA"/>
        </w:rPr>
        <w:t>Ouest</w:t>
      </w:r>
      <w:proofErr w:type="spellEnd"/>
      <w:r w:rsidRPr="00E31014">
        <w:rPr>
          <w:szCs w:val="24"/>
          <w:lang w:val="fr-CA"/>
        </w:rPr>
        <w:t>, S.R.C. 1886, ch. 50, art</w:t>
      </w:r>
      <w:r w:rsidR="00E06643" w:rsidRPr="00E31014">
        <w:rPr>
          <w:szCs w:val="24"/>
          <w:lang w:val="fr-CA"/>
        </w:rPr>
        <w:t>. </w:t>
      </w:r>
      <w:r w:rsidRPr="00E31014">
        <w:rPr>
          <w:szCs w:val="24"/>
          <w:lang w:val="fr-CA"/>
        </w:rPr>
        <w:t>110</w:t>
      </w:r>
      <w:r w:rsidR="003B1792">
        <w:rPr>
          <w:szCs w:val="24"/>
          <w:lang w:val="fr-CA"/>
        </w:rPr>
        <w:t xml:space="preserve"> [</w:t>
      </w:r>
      <w:proofErr w:type="spellStart"/>
      <w:r w:rsidR="003B1792">
        <w:rPr>
          <w:szCs w:val="24"/>
          <w:lang w:val="fr-CA"/>
        </w:rPr>
        <w:t>abr</w:t>
      </w:r>
      <w:proofErr w:type="spellEnd"/>
      <w:r w:rsidR="003B1792">
        <w:rPr>
          <w:szCs w:val="24"/>
          <w:lang w:val="fr-CA"/>
        </w:rPr>
        <w:t>. et</w:t>
      </w:r>
      <w:r w:rsidR="00E06643" w:rsidRPr="00E31014">
        <w:rPr>
          <w:szCs w:val="24"/>
          <w:lang w:val="fr-CA"/>
        </w:rPr>
        <w:t xml:space="preserve"> </w:t>
      </w:r>
      <w:proofErr w:type="spellStart"/>
      <w:r w:rsidR="00E06643" w:rsidRPr="00E31014">
        <w:rPr>
          <w:szCs w:val="24"/>
          <w:lang w:val="fr-CA"/>
        </w:rPr>
        <w:t>rempl</w:t>
      </w:r>
      <w:proofErr w:type="spellEnd"/>
      <w:r w:rsidR="00E06643" w:rsidRPr="00E31014">
        <w:rPr>
          <w:szCs w:val="24"/>
          <w:lang w:val="fr-CA"/>
        </w:rPr>
        <w:t>. 1891, ch. 22, art. </w:t>
      </w:r>
      <w:r w:rsidRPr="00E31014">
        <w:rPr>
          <w:szCs w:val="24"/>
          <w:lang w:val="fr-CA"/>
        </w:rPr>
        <w:t>18].</w:t>
      </w:r>
    </w:p>
    <w:p w:rsidR="004C698F" w:rsidRPr="00E31014" w:rsidRDefault="004C698F" w:rsidP="004C698F">
      <w:pPr>
        <w:ind w:left="540" w:hanging="540"/>
        <w:rPr>
          <w:szCs w:val="24"/>
          <w:lang w:val="fr-CA"/>
        </w:rPr>
      </w:pPr>
    </w:p>
    <w:p w:rsidR="004C698F" w:rsidRPr="00E31014" w:rsidRDefault="004C698F" w:rsidP="004C698F">
      <w:pPr>
        <w:ind w:left="540" w:hanging="540"/>
        <w:rPr>
          <w:szCs w:val="24"/>
          <w:lang w:val="fr-CA"/>
        </w:rPr>
      </w:pPr>
      <w:r w:rsidRPr="00E31014">
        <w:rPr>
          <w:i/>
          <w:szCs w:val="24"/>
          <w:lang w:val="fr-CA"/>
        </w:rPr>
        <w:t xml:space="preserve">Acte des </w:t>
      </w:r>
      <w:r w:rsidR="00E06643" w:rsidRPr="00E31014">
        <w:rPr>
          <w:i/>
          <w:szCs w:val="24"/>
          <w:lang w:val="fr-CA"/>
        </w:rPr>
        <w:t xml:space="preserve">Territoires du </w:t>
      </w:r>
      <w:proofErr w:type="spellStart"/>
      <w:r w:rsidR="00E06643" w:rsidRPr="00E31014">
        <w:rPr>
          <w:i/>
          <w:szCs w:val="24"/>
          <w:lang w:val="fr-CA"/>
        </w:rPr>
        <w:t>Nord</w:t>
      </w:r>
      <w:r w:rsidR="00E06643" w:rsidRPr="00E31014">
        <w:rPr>
          <w:i/>
          <w:szCs w:val="24"/>
          <w:lang w:val="fr-CA"/>
        </w:rPr>
        <w:noBreakHyphen/>
      </w:r>
      <w:r w:rsidRPr="00E31014">
        <w:rPr>
          <w:i/>
          <w:szCs w:val="24"/>
          <w:lang w:val="fr-CA"/>
        </w:rPr>
        <w:t>Ouest</w:t>
      </w:r>
      <w:proofErr w:type="spellEnd"/>
      <w:r w:rsidRPr="00E31014">
        <w:rPr>
          <w:i/>
          <w:szCs w:val="24"/>
          <w:lang w:val="fr-CA"/>
        </w:rPr>
        <w:t>, 1875</w:t>
      </w:r>
      <w:r w:rsidR="003B1792">
        <w:rPr>
          <w:szCs w:val="24"/>
          <w:lang w:val="fr-CA"/>
        </w:rPr>
        <w:t>, S</w:t>
      </w:r>
      <w:r w:rsidR="00E06643" w:rsidRPr="00E31014">
        <w:rPr>
          <w:szCs w:val="24"/>
          <w:lang w:val="fr-CA"/>
        </w:rPr>
        <w:t>.C. 1875, ch. </w:t>
      </w:r>
      <w:r w:rsidRPr="00E31014">
        <w:rPr>
          <w:szCs w:val="24"/>
          <w:lang w:val="fr-CA"/>
        </w:rPr>
        <w:t>49.</w:t>
      </w:r>
    </w:p>
    <w:p w:rsidR="004C698F" w:rsidRPr="00E31014" w:rsidRDefault="004C698F" w:rsidP="004C698F">
      <w:pPr>
        <w:ind w:left="540" w:hanging="540"/>
        <w:rPr>
          <w:szCs w:val="24"/>
          <w:lang w:val="fr-CA"/>
        </w:rPr>
      </w:pPr>
    </w:p>
    <w:p w:rsidR="000450D1" w:rsidRPr="0039214E" w:rsidRDefault="000450D1" w:rsidP="000450D1">
      <w:pPr>
        <w:ind w:left="540" w:hanging="540"/>
        <w:rPr>
          <w:szCs w:val="24"/>
          <w:lang w:val="en-US"/>
        </w:rPr>
      </w:pPr>
      <w:r w:rsidRPr="0039214E">
        <w:rPr>
          <w:i/>
          <w:szCs w:val="24"/>
          <w:lang w:val="en-US"/>
        </w:rPr>
        <w:t>Alberta Rules of Court</w:t>
      </w:r>
      <w:r w:rsidRPr="0039214E">
        <w:rPr>
          <w:szCs w:val="24"/>
          <w:lang w:val="en-US"/>
        </w:rPr>
        <w:t xml:space="preserve">, Alta. Reg. 390/68, </w:t>
      </w:r>
      <w:proofErr w:type="spellStart"/>
      <w:proofErr w:type="gramStart"/>
      <w:r w:rsidR="00954E59" w:rsidRPr="0039214E">
        <w:rPr>
          <w:szCs w:val="24"/>
          <w:lang w:val="en-US"/>
        </w:rPr>
        <w:t>règles</w:t>
      </w:r>
      <w:proofErr w:type="spellEnd"/>
      <w:proofErr w:type="gramEnd"/>
      <w:r w:rsidRPr="0039214E">
        <w:rPr>
          <w:szCs w:val="24"/>
          <w:lang w:val="en-US"/>
        </w:rPr>
        <w:t xml:space="preserve"> 600, 601.</w:t>
      </w:r>
    </w:p>
    <w:p w:rsidR="000450D1" w:rsidRPr="0039214E" w:rsidRDefault="000450D1" w:rsidP="000450D1">
      <w:pPr>
        <w:ind w:left="540" w:hanging="540"/>
        <w:rPr>
          <w:szCs w:val="24"/>
          <w:lang w:val="en-US"/>
        </w:rPr>
      </w:pPr>
    </w:p>
    <w:p w:rsidR="00667F77" w:rsidRPr="00807721" w:rsidRDefault="00667F77" w:rsidP="00667F77">
      <w:pPr>
        <w:ind w:left="540" w:hanging="540"/>
        <w:rPr>
          <w:szCs w:val="24"/>
          <w:lang w:val="en-US"/>
        </w:rPr>
      </w:pPr>
      <w:r w:rsidRPr="00E31014">
        <w:rPr>
          <w:i/>
          <w:szCs w:val="24"/>
          <w:lang w:val="fr-CA"/>
        </w:rPr>
        <w:t>Code criminel</w:t>
      </w:r>
      <w:r w:rsidRPr="00E31014">
        <w:rPr>
          <w:szCs w:val="24"/>
          <w:lang w:val="fr-CA"/>
        </w:rPr>
        <w:t xml:space="preserve">, </w:t>
      </w:r>
      <w:r w:rsidR="00E06643" w:rsidRPr="00E31014">
        <w:rPr>
          <w:szCs w:val="24"/>
          <w:lang w:val="fr-CA"/>
        </w:rPr>
        <w:t>L.R.C. 1985, ch. </w:t>
      </w:r>
      <w:r w:rsidR="00EA67CE">
        <w:rPr>
          <w:szCs w:val="24"/>
          <w:lang w:val="en-US"/>
        </w:rPr>
        <w:t>C</w:t>
      </w:r>
      <w:r w:rsidR="00EA67CE">
        <w:rPr>
          <w:szCs w:val="24"/>
          <w:lang w:val="en-US"/>
        </w:rPr>
        <w:noBreakHyphen/>
      </w:r>
      <w:r w:rsidR="00E06643">
        <w:rPr>
          <w:szCs w:val="24"/>
          <w:lang w:val="en-US"/>
        </w:rPr>
        <w:t>46, art. </w:t>
      </w:r>
      <w:r w:rsidRPr="00807721">
        <w:rPr>
          <w:szCs w:val="24"/>
          <w:lang w:val="en-US"/>
        </w:rPr>
        <w:t>809</w:t>
      </w:r>
      <w:r w:rsidR="000E6992" w:rsidRPr="00807721">
        <w:rPr>
          <w:szCs w:val="24"/>
          <w:lang w:val="en-US"/>
        </w:rPr>
        <w:t>, 840</w:t>
      </w:r>
      <w:r w:rsidRPr="00807721">
        <w:rPr>
          <w:szCs w:val="24"/>
          <w:lang w:val="en-US"/>
        </w:rPr>
        <w:t>.</w:t>
      </w:r>
    </w:p>
    <w:p w:rsidR="00667F77" w:rsidRPr="00807721" w:rsidRDefault="00667F77" w:rsidP="00667F77">
      <w:pPr>
        <w:ind w:left="540" w:hanging="540"/>
        <w:rPr>
          <w:szCs w:val="24"/>
          <w:lang w:val="en-US"/>
        </w:rPr>
      </w:pPr>
    </w:p>
    <w:p w:rsidR="000450D1" w:rsidRPr="0039214E" w:rsidRDefault="000450D1" w:rsidP="000450D1">
      <w:pPr>
        <w:ind w:left="540" w:hanging="540"/>
        <w:rPr>
          <w:szCs w:val="24"/>
          <w:lang w:val="en-US"/>
        </w:rPr>
      </w:pPr>
      <w:r w:rsidRPr="00807721">
        <w:rPr>
          <w:i/>
          <w:szCs w:val="24"/>
          <w:lang w:val="en-US"/>
        </w:rPr>
        <w:t>Court of Queen’s Bench Act</w:t>
      </w:r>
      <w:r w:rsidRPr="00807721">
        <w:rPr>
          <w:szCs w:val="24"/>
          <w:lang w:val="en-US"/>
        </w:rPr>
        <w:t xml:space="preserve">, R.S.A. 2000, </w:t>
      </w:r>
      <w:proofErr w:type="spellStart"/>
      <w:r w:rsidRPr="00807721">
        <w:rPr>
          <w:szCs w:val="24"/>
          <w:lang w:val="en-US"/>
        </w:rPr>
        <w:t>c</w:t>
      </w:r>
      <w:r w:rsidR="000E6992" w:rsidRPr="00807721">
        <w:rPr>
          <w:szCs w:val="24"/>
          <w:lang w:val="en-US"/>
        </w:rPr>
        <w:t>h</w:t>
      </w:r>
      <w:proofErr w:type="spellEnd"/>
      <w:r w:rsidR="00E06643">
        <w:rPr>
          <w:szCs w:val="24"/>
          <w:lang w:val="en-US"/>
        </w:rPr>
        <w:t>. </w:t>
      </w:r>
      <w:r w:rsidR="00E06643" w:rsidRPr="0039214E">
        <w:rPr>
          <w:szCs w:val="24"/>
          <w:lang w:val="en-US"/>
        </w:rPr>
        <w:t>C</w:t>
      </w:r>
      <w:r w:rsidR="00E06643" w:rsidRPr="0039214E">
        <w:rPr>
          <w:szCs w:val="24"/>
          <w:lang w:val="en-US"/>
        </w:rPr>
        <w:noBreakHyphen/>
      </w:r>
      <w:r w:rsidRPr="0039214E">
        <w:rPr>
          <w:szCs w:val="24"/>
          <w:lang w:val="en-US"/>
        </w:rPr>
        <w:t xml:space="preserve">31, </w:t>
      </w:r>
      <w:r w:rsidR="000E6992" w:rsidRPr="0039214E">
        <w:rPr>
          <w:szCs w:val="24"/>
          <w:lang w:val="en-US"/>
        </w:rPr>
        <w:t>art</w:t>
      </w:r>
      <w:r w:rsidR="00E06643" w:rsidRPr="0039214E">
        <w:rPr>
          <w:szCs w:val="24"/>
          <w:lang w:val="en-US"/>
        </w:rPr>
        <w:t>. </w:t>
      </w:r>
      <w:r w:rsidRPr="0039214E">
        <w:rPr>
          <w:szCs w:val="24"/>
          <w:lang w:val="en-US"/>
        </w:rPr>
        <w:t>21.</w:t>
      </w:r>
    </w:p>
    <w:p w:rsidR="000450D1" w:rsidRPr="0039214E" w:rsidRDefault="000450D1" w:rsidP="000450D1">
      <w:pPr>
        <w:ind w:left="540" w:hanging="540"/>
        <w:rPr>
          <w:szCs w:val="24"/>
          <w:lang w:val="en-US"/>
        </w:rPr>
      </w:pPr>
    </w:p>
    <w:p w:rsidR="000450D1" w:rsidRPr="00AC0926" w:rsidRDefault="000450D1" w:rsidP="000450D1">
      <w:pPr>
        <w:ind w:left="540" w:hanging="540"/>
        <w:rPr>
          <w:szCs w:val="24"/>
          <w:lang w:val="en-US"/>
        </w:rPr>
      </w:pPr>
      <w:proofErr w:type="gramStart"/>
      <w:r w:rsidRPr="0039214E">
        <w:rPr>
          <w:i/>
          <w:szCs w:val="24"/>
          <w:lang w:val="en-US"/>
        </w:rPr>
        <w:t>Judicature Act</w:t>
      </w:r>
      <w:r w:rsidRPr="0039214E">
        <w:rPr>
          <w:szCs w:val="24"/>
          <w:lang w:val="en-US"/>
        </w:rPr>
        <w:t xml:space="preserve">, R.S.A. 2000, </w:t>
      </w:r>
      <w:proofErr w:type="spellStart"/>
      <w:r w:rsidRPr="0039214E">
        <w:rPr>
          <w:szCs w:val="24"/>
          <w:lang w:val="en-US"/>
        </w:rPr>
        <w:t>c</w:t>
      </w:r>
      <w:r w:rsidR="00E06643" w:rsidRPr="0039214E">
        <w:rPr>
          <w:szCs w:val="24"/>
          <w:lang w:val="en-US"/>
        </w:rPr>
        <w:t>h</w:t>
      </w:r>
      <w:proofErr w:type="spellEnd"/>
      <w:r w:rsidR="00E06643" w:rsidRPr="0039214E">
        <w:rPr>
          <w:szCs w:val="24"/>
          <w:lang w:val="en-US"/>
        </w:rPr>
        <w:t>. </w:t>
      </w:r>
      <w:r w:rsidR="00E06643" w:rsidRPr="00AC0926">
        <w:rPr>
          <w:szCs w:val="24"/>
          <w:lang w:val="en-US"/>
        </w:rPr>
        <w:t>J</w:t>
      </w:r>
      <w:r w:rsidR="00E06643" w:rsidRPr="00AC0926">
        <w:rPr>
          <w:szCs w:val="24"/>
          <w:lang w:val="en-US"/>
        </w:rPr>
        <w:noBreakHyphen/>
      </w:r>
      <w:r w:rsidR="00954E59" w:rsidRPr="00AC0926">
        <w:rPr>
          <w:szCs w:val="24"/>
          <w:lang w:val="en-US"/>
        </w:rPr>
        <w:t>2, art</w:t>
      </w:r>
      <w:r w:rsidR="00E06643" w:rsidRPr="00AC0926">
        <w:rPr>
          <w:szCs w:val="24"/>
          <w:lang w:val="en-US"/>
        </w:rPr>
        <w:t>.</w:t>
      </w:r>
      <w:proofErr w:type="gramEnd"/>
      <w:r w:rsidR="00E06643" w:rsidRPr="00AC0926">
        <w:rPr>
          <w:szCs w:val="24"/>
          <w:lang w:val="en-US"/>
        </w:rPr>
        <w:t> </w:t>
      </w:r>
      <w:r w:rsidRPr="00AC0926">
        <w:rPr>
          <w:szCs w:val="24"/>
          <w:lang w:val="en-US"/>
        </w:rPr>
        <w:t>8.</w:t>
      </w:r>
    </w:p>
    <w:p w:rsidR="00667F77" w:rsidRPr="00AC0926" w:rsidRDefault="00667F77" w:rsidP="000450D1">
      <w:pPr>
        <w:ind w:left="540" w:hanging="540"/>
        <w:rPr>
          <w:szCs w:val="24"/>
          <w:lang w:val="en-US"/>
        </w:rPr>
      </w:pPr>
    </w:p>
    <w:p w:rsidR="00667F77" w:rsidRPr="00E31014" w:rsidRDefault="00667F77" w:rsidP="00667F77">
      <w:pPr>
        <w:ind w:left="540" w:hanging="540"/>
        <w:rPr>
          <w:szCs w:val="24"/>
          <w:lang w:val="fr-CA"/>
        </w:rPr>
      </w:pPr>
      <w:r w:rsidRPr="00E31014">
        <w:rPr>
          <w:i/>
          <w:szCs w:val="24"/>
          <w:lang w:val="fr-CA"/>
        </w:rPr>
        <w:t>Loi constitutionnelle de 1867</w:t>
      </w:r>
      <w:r w:rsidRPr="00E31014">
        <w:rPr>
          <w:szCs w:val="24"/>
          <w:lang w:val="fr-CA"/>
        </w:rPr>
        <w:t xml:space="preserve">, </w:t>
      </w:r>
      <w:r w:rsidR="00E06643" w:rsidRPr="00E31014">
        <w:rPr>
          <w:szCs w:val="24"/>
          <w:lang w:val="fr-CA"/>
        </w:rPr>
        <w:t>art. </w:t>
      </w:r>
      <w:r w:rsidRPr="00E31014">
        <w:rPr>
          <w:szCs w:val="24"/>
          <w:lang w:val="fr-CA"/>
        </w:rPr>
        <w:t>133.</w:t>
      </w:r>
    </w:p>
    <w:p w:rsidR="00667F77" w:rsidRPr="00E31014" w:rsidRDefault="00667F77" w:rsidP="00667F77">
      <w:pPr>
        <w:ind w:left="540" w:hanging="540"/>
        <w:rPr>
          <w:szCs w:val="24"/>
          <w:lang w:val="fr-CA"/>
        </w:rPr>
      </w:pPr>
    </w:p>
    <w:p w:rsidR="00667F77" w:rsidRPr="00E31014" w:rsidRDefault="00667F77" w:rsidP="00667F77">
      <w:pPr>
        <w:ind w:left="540" w:hanging="540"/>
        <w:rPr>
          <w:szCs w:val="24"/>
          <w:lang w:val="fr-CA"/>
        </w:rPr>
      </w:pPr>
      <w:r w:rsidRPr="00E31014">
        <w:rPr>
          <w:i/>
          <w:szCs w:val="24"/>
          <w:lang w:val="fr-CA"/>
        </w:rPr>
        <w:t>Loi constitutionnelle de 1982</w:t>
      </w:r>
      <w:r w:rsidR="00E06643" w:rsidRPr="00E31014">
        <w:rPr>
          <w:szCs w:val="24"/>
          <w:lang w:val="fr-CA"/>
        </w:rPr>
        <w:t>, art. </w:t>
      </w:r>
      <w:r w:rsidRPr="00E31014">
        <w:rPr>
          <w:szCs w:val="24"/>
          <w:lang w:val="fr-CA"/>
        </w:rPr>
        <w:t>45.</w:t>
      </w:r>
    </w:p>
    <w:p w:rsidR="000450D1" w:rsidRPr="00E31014" w:rsidRDefault="000450D1" w:rsidP="000450D1">
      <w:pPr>
        <w:ind w:left="540" w:hanging="540"/>
        <w:rPr>
          <w:szCs w:val="24"/>
          <w:lang w:val="fr-CA"/>
        </w:rPr>
      </w:pPr>
    </w:p>
    <w:p w:rsidR="000450D1" w:rsidRPr="00807721" w:rsidRDefault="000450D1" w:rsidP="000450D1">
      <w:pPr>
        <w:ind w:left="540" w:hanging="540"/>
        <w:outlineLvl w:val="0"/>
        <w:rPr>
          <w:szCs w:val="24"/>
          <w:lang w:val="fr-FR"/>
        </w:rPr>
      </w:pPr>
      <w:r w:rsidRPr="00E31014">
        <w:rPr>
          <w:i/>
          <w:szCs w:val="24"/>
          <w:lang w:val="fr-CA"/>
        </w:rPr>
        <w:t>L</w:t>
      </w:r>
      <w:r w:rsidR="00C879D4" w:rsidRPr="00E31014">
        <w:rPr>
          <w:i/>
          <w:szCs w:val="24"/>
          <w:lang w:val="fr-CA"/>
        </w:rPr>
        <w:t>oi linguistique</w:t>
      </w:r>
      <w:r w:rsidRPr="00E31014">
        <w:rPr>
          <w:szCs w:val="24"/>
          <w:lang w:val="fr-CA"/>
        </w:rPr>
        <w:t>, R.S.A. 2000</w:t>
      </w:r>
      <w:r w:rsidR="00C879D4" w:rsidRPr="00E31014">
        <w:rPr>
          <w:szCs w:val="24"/>
          <w:lang w:val="fr-CA"/>
        </w:rPr>
        <w:t>,</w:t>
      </w:r>
      <w:r w:rsidRPr="00E31014">
        <w:rPr>
          <w:szCs w:val="24"/>
          <w:lang w:val="fr-CA"/>
        </w:rPr>
        <w:t xml:space="preserve"> c</w:t>
      </w:r>
      <w:r w:rsidR="00954E59" w:rsidRPr="00E31014">
        <w:rPr>
          <w:szCs w:val="24"/>
          <w:lang w:val="fr-CA"/>
        </w:rPr>
        <w:t>h</w:t>
      </w:r>
      <w:r w:rsidR="00E06643" w:rsidRPr="00E31014">
        <w:rPr>
          <w:szCs w:val="24"/>
          <w:lang w:val="fr-CA"/>
        </w:rPr>
        <w:t>. </w:t>
      </w:r>
      <w:r w:rsidR="00EA67CE">
        <w:rPr>
          <w:szCs w:val="24"/>
          <w:lang w:val="fr-FR"/>
        </w:rPr>
        <w:t>L</w:t>
      </w:r>
      <w:r w:rsidR="00EA67CE">
        <w:rPr>
          <w:szCs w:val="24"/>
          <w:lang w:val="fr-FR"/>
        </w:rPr>
        <w:noBreakHyphen/>
      </w:r>
      <w:r w:rsidRPr="00807721">
        <w:rPr>
          <w:szCs w:val="24"/>
          <w:lang w:val="fr-FR"/>
        </w:rPr>
        <w:t>6.</w:t>
      </w:r>
    </w:p>
    <w:p w:rsidR="004C698F" w:rsidRPr="00807721" w:rsidRDefault="004C698F" w:rsidP="004C698F">
      <w:pPr>
        <w:ind w:left="540" w:hanging="540"/>
        <w:rPr>
          <w:szCs w:val="24"/>
          <w:lang w:val="fr-FR"/>
        </w:rPr>
      </w:pPr>
    </w:p>
    <w:p w:rsidR="004C698F" w:rsidRPr="008A622A" w:rsidRDefault="004C698F" w:rsidP="004C698F">
      <w:pPr>
        <w:ind w:left="540" w:hanging="540"/>
        <w:rPr>
          <w:szCs w:val="24"/>
          <w:lang w:val="fr-CA"/>
        </w:rPr>
      </w:pPr>
      <w:r w:rsidRPr="008A622A">
        <w:rPr>
          <w:i/>
          <w:szCs w:val="24"/>
          <w:lang w:val="fr-CA"/>
        </w:rPr>
        <w:t>Proclamation royale</w:t>
      </w:r>
      <w:r w:rsidRPr="008A622A">
        <w:rPr>
          <w:szCs w:val="24"/>
          <w:lang w:val="fr-CA"/>
        </w:rPr>
        <w:t xml:space="preserve"> (1869).</w:t>
      </w:r>
    </w:p>
    <w:p w:rsidR="000450D1" w:rsidRPr="008A622A" w:rsidRDefault="000450D1" w:rsidP="000450D1">
      <w:pPr>
        <w:ind w:left="540" w:hanging="540"/>
        <w:rPr>
          <w:szCs w:val="24"/>
          <w:lang w:val="fr-CA"/>
        </w:rPr>
      </w:pPr>
    </w:p>
    <w:p w:rsidR="000450D1" w:rsidRPr="00E06643" w:rsidRDefault="000450D1" w:rsidP="00CD4256">
      <w:pPr>
        <w:spacing w:after="480" w:line="480" w:lineRule="auto"/>
        <w:ind w:left="540" w:hanging="540"/>
        <w:rPr>
          <w:szCs w:val="24"/>
        </w:rPr>
      </w:pPr>
      <w:proofErr w:type="gramStart"/>
      <w:r w:rsidRPr="00E06643">
        <w:rPr>
          <w:i/>
          <w:szCs w:val="24"/>
        </w:rPr>
        <w:t>Provincial Offences Procedure Act</w:t>
      </w:r>
      <w:r w:rsidRPr="00E06643">
        <w:rPr>
          <w:szCs w:val="24"/>
        </w:rPr>
        <w:t xml:space="preserve">, R.S.A. 2000, </w:t>
      </w:r>
      <w:proofErr w:type="spellStart"/>
      <w:r w:rsidRPr="00E06643">
        <w:rPr>
          <w:szCs w:val="24"/>
        </w:rPr>
        <w:t>c</w:t>
      </w:r>
      <w:r w:rsidR="00954E59" w:rsidRPr="00E06643">
        <w:rPr>
          <w:szCs w:val="24"/>
        </w:rPr>
        <w:t>h</w:t>
      </w:r>
      <w:proofErr w:type="spellEnd"/>
      <w:r w:rsidR="00E06643">
        <w:rPr>
          <w:szCs w:val="24"/>
        </w:rPr>
        <w:t>. </w:t>
      </w:r>
      <w:r w:rsidR="00EA67CE">
        <w:rPr>
          <w:szCs w:val="24"/>
        </w:rPr>
        <w:t>P</w:t>
      </w:r>
      <w:r w:rsidR="00EA67CE">
        <w:rPr>
          <w:szCs w:val="24"/>
        </w:rPr>
        <w:noBreakHyphen/>
      </w:r>
      <w:r w:rsidRPr="00E06643">
        <w:rPr>
          <w:szCs w:val="24"/>
        </w:rPr>
        <w:t>34.</w:t>
      </w:r>
      <w:proofErr w:type="gramEnd"/>
    </w:p>
    <w:p w:rsidR="002E6705" w:rsidRPr="00807721" w:rsidRDefault="0043088E" w:rsidP="00E06643">
      <w:pPr>
        <w:pStyle w:val="SCCNormalDoubleSpacing"/>
        <w:keepNext/>
        <w:spacing w:after="480"/>
        <w:rPr>
          <w:b/>
          <w:lang w:val="en-US"/>
        </w:rPr>
      </w:pPr>
      <w:r w:rsidRPr="00E06643">
        <w:rPr>
          <w:b/>
        </w:rPr>
        <w:t>Doctrine</w:t>
      </w:r>
      <w:r w:rsidR="002E6705" w:rsidRPr="00E06643">
        <w:rPr>
          <w:b/>
        </w:rPr>
        <w:t xml:space="preserve"> </w:t>
      </w:r>
      <w:r w:rsidRPr="00E06643">
        <w:rPr>
          <w:b/>
        </w:rPr>
        <w:t>c</w:t>
      </w:r>
      <w:proofErr w:type="spellStart"/>
      <w:r w:rsidR="002E6705" w:rsidRPr="00807721">
        <w:rPr>
          <w:b/>
          <w:lang w:val="en-US"/>
        </w:rPr>
        <w:t>it</w:t>
      </w:r>
      <w:r w:rsidRPr="00807721">
        <w:rPr>
          <w:b/>
          <w:lang w:val="en-US"/>
        </w:rPr>
        <w:t>é</w:t>
      </w:r>
      <w:r w:rsidR="002E6705" w:rsidRPr="00807721">
        <w:rPr>
          <w:b/>
          <w:lang w:val="en-US"/>
        </w:rPr>
        <w:t>e</w:t>
      </w:r>
      <w:proofErr w:type="spellEnd"/>
    </w:p>
    <w:p w:rsidR="0066039A" w:rsidRPr="00807721" w:rsidRDefault="0066039A" w:rsidP="0066039A">
      <w:pPr>
        <w:pStyle w:val="SCCNormalDoubleSpacing"/>
        <w:spacing w:line="240" w:lineRule="auto"/>
        <w:ind w:left="540" w:hanging="540"/>
        <w:rPr>
          <w:szCs w:val="24"/>
          <w:lang w:val="en-US"/>
        </w:rPr>
      </w:pPr>
      <w:proofErr w:type="spellStart"/>
      <w:r w:rsidRPr="00807721">
        <w:rPr>
          <w:szCs w:val="24"/>
          <w:lang w:val="en-US"/>
        </w:rPr>
        <w:t>Holdsworth</w:t>
      </w:r>
      <w:proofErr w:type="spellEnd"/>
      <w:r w:rsidRPr="00807721">
        <w:rPr>
          <w:szCs w:val="24"/>
          <w:lang w:val="en-US"/>
        </w:rPr>
        <w:t xml:space="preserve">, </w:t>
      </w:r>
      <w:r w:rsidR="008C51C1" w:rsidRPr="00807721">
        <w:rPr>
          <w:szCs w:val="24"/>
          <w:lang w:val="en-US"/>
        </w:rPr>
        <w:t xml:space="preserve">Sir </w:t>
      </w:r>
      <w:r w:rsidRPr="00807721">
        <w:rPr>
          <w:szCs w:val="24"/>
          <w:lang w:val="en-US"/>
        </w:rPr>
        <w:t xml:space="preserve">William Searle. </w:t>
      </w:r>
      <w:r w:rsidRPr="00807721">
        <w:rPr>
          <w:i/>
          <w:szCs w:val="24"/>
          <w:lang w:val="en-US"/>
        </w:rPr>
        <w:t>A History of English Law</w:t>
      </w:r>
      <w:r w:rsidR="00E06643">
        <w:rPr>
          <w:szCs w:val="24"/>
          <w:lang w:val="en-US"/>
        </w:rPr>
        <w:t>, vol. </w:t>
      </w:r>
      <w:r w:rsidR="008C51C1" w:rsidRPr="00807721">
        <w:rPr>
          <w:szCs w:val="24"/>
          <w:lang w:val="en-US"/>
        </w:rPr>
        <w:t>IV</w:t>
      </w:r>
      <w:r w:rsidRPr="00807721">
        <w:rPr>
          <w:szCs w:val="24"/>
          <w:lang w:val="en-US"/>
        </w:rPr>
        <w:t xml:space="preserve">, 3rd ed. </w:t>
      </w:r>
      <w:proofErr w:type="gramStart"/>
      <w:r w:rsidRPr="00807721">
        <w:rPr>
          <w:szCs w:val="24"/>
          <w:lang w:val="en-US"/>
        </w:rPr>
        <w:t>London :</w:t>
      </w:r>
      <w:proofErr w:type="gramEnd"/>
      <w:r w:rsidRPr="00807721">
        <w:rPr>
          <w:szCs w:val="24"/>
          <w:lang w:val="en-US"/>
        </w:rPr>
        <w:t xml:space="preserve"> Methuen</w:t>
      </w:r>
      <w:r w:rsidR="008C51C1" w:rsidRPr="00807721">
        <w:rPr>
          <w:szCs w:val="24"/>
          <w:lang w:val="en-US"/>
        </w:rPr>
        <w:t xml:space="preserve"> &amp; Co.</w:t>
      </w:r>
      <w:r w:rsidRPr="00807721">
        <w:rPr>
          <w:szCs w:val="24"/>
          <w:lang w:val="en-US"/>
        </w:rPr>
        <w:t>, 19</w:t>
      </w:r>
      <w:r w:rsidR="008C51C1" w:rsidRPr="00807721">
        <w:rPr>
          <w:szCs w:val="24"/>
          <w:lang w:val="en-US"/>
        </w:rPr>
        <w:t>45</w:t>
      </w:r>
      <w:r w:rsidRPr="00807721">
        <w:rPr>
          <w:szCs w:val="24"/>
          <w:lang w:val="en-US"/>
        </w:rPr>
        <w:t>.</w:t>
      </w:r>
    </w:p>
    <w:p w:rsidR="0066039A" w:rsidRPr="00807721" w:rsidRDefault="0066039A" w:rsidP="0066039A">
      <w:pPr>
        <w:pStyle w:val="SCCNormalDoubleSpacing"/>
        <w:spacing w:line="240" w:lineRule="auto"/>
        <w:ind w:left="540" w:hanging="540"/>
        <w:rPr>
          <w:szCs w:val="24"/>
          <w:lang w:val="en-US"/>
        </w:rPr>
      </w:pPr>
    </w:p>
    <w:p w:rsidR="0066039A" w:rsidRPr="00807721" w:rsidRDefault="00E06643" w:rsidP="0066039A">
      <w:pPr>
        <w:pStyle w:val="SCCNormalDoubleSpacing"/>
        <w:spacing w:line="240" w:lineRule="auto"/>
        <w:ind w:left="540" w:hanging="540"/>
        <w:rPr>
          <w:lang w:val="en-US"/>
        </w:rPr>
      </w:pPr>
      <w:proofErr w:type="gramStart"/>
      <w:r>
        <w:rPr>
          <w:szCs w:val="24"/>
          <w:lang w:val="en-US"/>
        </w:rPr>
        <w:t>Jacob, I. </w:t>
      </w:r>
      <w:r w:rsidR="0066039A" w:rsidRPr="00807721">
        <w:rPr>
          <w:szCs w:val="24"/>
          <w:lang w:val="en-US"/>
        </w:rPr>
        <w:t xml:space="preserve">H. « The Inherent Jurisdiction of the Court » (1970), 23 </w:t>
      </w:r>
      <w:proofErr w:type="spellStart"/>
      <w:r w:rsidR="0066039A" w:rsidRPr="00807721">
        <w:rPr>
          <w:i/>
          <w:szCs w:val="24"/>
          <w:lang w:val="en-US"/>
        </w:rPr>
        <w:t>Curr</w:t>
      </w:r>
      <w:proofErr w:type="spellEnd"/>
      <w:r w:rsidR="0066039A" w:rsidRPr="00807721">
        <w:rPr>
          <w:i/>
          <w:szCs w:val="24"/>
          <w:lang w:val="en-US"/>
        </w:rPr>
        <w:t>.</w:t>
      </w:r>
      <w:proofErr w:type="gramEnd"/>
      <w:r w:rsidR="0066039A" w:rsidRPr="00807721">
        <w:rPr>
          <w:i/>
          <w:szCs w:val="24"/>
          <w:lang w:val="en-US"/>
        </w:rPr>
        <w:t xml:space="preserve"> </w:t>
      </w:r>
      <w:proofErr w:type="gramStart"/>
      <w:r w:rsidR="0066039A" w:rsidRPr="00807721">
        <w:rPr>
          <w:i/>
          <w:szCs w:val="24"/>
          <w:lang w:val="en-US"/>
        </w:rPr>
        <w:t>Legal Probs.</w:t>
      </w:r>
      <w:r w:rsidR="0066039A" w:rsidRPr="00807721">
        <w:rPr>
          <w:szCs w:val="24"/>
          <w:lang w:val="en-US"/>
        </w:rPr>
        <w:t xml:space="preserve"> 23.</w:t>
      </w:r>
      <w:proofErr w:type="gramEnd"/>
    </w:p>
    <w:p w:rsidR="0066039A" w:rsidRPr="00807721" w:rsidRDefault="0066039A" w:rsidP="0066039A">
      <w:pPr>
        <w:pStyle w:val="SCCNormalDoubleSpacing"/>
        <w:spacing w:line="240" w:lineRule="auto"/>
        <w:ind w:left="540" w:hanging="540"/>
        <w:rPr>
          <w:lang w:val="en-US"/>
        </w:rPr>
      </w:pPr>
    </w:p>
    <w:p w:rsidR="0066039A" w:rsidRPr="00807721" w:rsidRDefault="00E06643" w:rsidP="0066039A">
      <w:pPr>
        <w:pStyle w:val="SCCNormalDoubleSpacing"/>
        <w:spacing w:line="240" w:lineRule="auto"/>
        <w:ind w:left="540" w:hanging="540"/>
        <w:rPr>
          <w:lang w:val="en-US"/>
        </w:rPr>
      </w:pPr>
      <w:proofErr w:type="gramStart"/>
      <w:r>
        <w:rPr>
          <w:lang w:val="en-US"/>
        </w:rPr>
        <w:t>Macaulay, Robert </w:t>
      </w:r>
      <w:r w:rsidR="0066039A" w:rsidRPr="00807721">
        <w:rPr>
          <w:lang w:val="en-US"/>
        </w:rPr>
        <w:t xml:space="preserve">W., </w:t>
      </w:r>
      <w:r w:rsidR="004A0EDA" w:rsidRPr="00807721">
        <w:rPr>
          <w:lang w:val="en-US"/>
        </w:rPr>
        <w:t>and</w:t>
      </w:r>
      <w:r w:rsidR="0066039A" w:rsidRPr="00807721">
        <w:rPr>
          <w:lang w:val="en-US"/>
        </w:rPr>
        <w:t xml:space="preserve"> </w:t>
      </w:r>
      <w:r>
        <w:rPr>
          <w:lang w:val="en-US"/>
        </w:rPr>
        <w:t>James L. </w:t>
      </w:r>
      <w:r w:rsidR="008C51C1" w:rsidRPr="00807721">
        <w:rPr>
          <w:lang w:val="en-US"/>
        </w:rPr>
        <w:t xml:space="preserve">H. </w:t>
      </w:r>
      <w:r w:rsidR="0066039A" w:rsidRPr="00807721">
        <w:rPr>
          <w:lang w:val="en-US"/>
        </w:rPr>
        <w:t>Sprague</w:t>
      </w:r>
      <w:r w:rsidR="008C51C1" w:rsidRPr="00807721">
        <w:rPr>
          <w:lang w:val="en-US"/>
        </w:rPr>
        <w:t>.</w:t>
      </w:r>
      <w:proofErr w:type="gramEnd"/>
      <w:r w:rsidR="0066039A" w:rsidRPr="00807721">
        <w:rPr>
          <w:lang w:val="en-US"/>
        </w:rPr>
        <w:t xml:space="preserve"> </w:t>
      </w:r>
      <w:r w:rsidR="0066039A" w:rsidRPr="00807721">
        <w:rPr>
          <w:i/>
          <w:lang w:val="en-US"/>
        </w:rPr>
        <w:t xml:space="preserve">Practice and Procedure </w:t>
      </w:r>
      <w:proofErr w:type="gramStart"/>
      <w:r w:rsidR="0066039A" w:rsidRPr="00807721">
        <w:rPr>
          <w:i/>
          <w:lang w:val="en-US"/>
        </w:rPr>
        <w:t>Before</w:t>
      </w:r>
      <w:proofErr w:type="gramEnd"/>
      <w:r w:rsidR="0066039A" w:rsidRPr="00807721">
        <w:rPr>
          <w:i/>
          <w:lang w:val="en-US"/>
        </w:rPr>
        <w:t xml:space="preserve"> Administrative Tribunals</w:t>
      </w:r>
      <w:r>
        <w:rPr>
          <w:lang w:val="en-US"/>
        </w:rPr>
        <w:t>, vol. </w:t>
      </w:r>
      <w:r w:rsidR="0066039A" w:rsidRPr="00807721">
        <w:rPr>
          <w:lang w:val="en-US"/>
        </w:rPr>
        <w:t xml:space="preserve">3. </w:t>
      </w:r>
      <w:proofErr w:type="gramStart"/>
      <w:r w:rsidR="0066039A" w:rsidRPr="00807721">
        <w:rPr>
          <w:lang w:val="en-US"/>
        </w:rPr>
        <w:t>Toronto :</w:t>
      </w:r>
      <w:proofErr w:type="gramEnd"/>
      <w:r w:rsidR="0066039A" w:rsidRPr="00807721">
        <w:rPr>
          <w:lang w:val="en-US"/>
        </w:rPr>
        <w:t xml:space="preserve"> </w:t>
      </w:r>
      <w:proofErr w:type="spellStart"/>
      <w:r w:rsidR="0066039A" w:rsidRPr="00807721">
        <w:rPr>
          <w:lang w:val="en-US"/>
        </w:rPr>
        <w:t>Carswell</w:t>
      </w:r>
      <w:proofErr w:type="spellEnd"/>
      <w:r w:rsidR="0066039A" w:rsidRPr="00807721">
        <w:rPr>
          <w:lang w:val="en-US"/>
        </w:rPr>
        <w:t xml:space="preserve">, </w:t>
      </w:r>
      <w:r w:rsidR="00D94A86" w:rsidRPr="00807721">
        <w:rPr>
          <w:lang w:val="en-US"/>
        </w:rPr>
        <w:t>2004</w:t>
      </w:r>
      <w:r w:rsidR="00EA67CE">
        <w:rPr>
          <w:lang w:val="en-US"/>
        </w:rPr>
        <w:t xml:space="preserve"> (</w:t>
      </w:r>
      <w:proofErr w:type="spellStart"/>
      <w:r w:rsidR="00EA67CE">
        <w:rPr>
          <w:lang w:val="en-US"/>
        </w:rPr>
        <w:t>loose</w:t>
      </w:r>
      <w:r w:rsidR="00EA67CE">
        <w:rPr>
          <w:lang w:val="en-US"/>
        </w:rPr>
        <w:noBreakHyphen/>
      </w:r>
      <w:r w:rsidR="0066039A" w:rsidRPr="00807721">
        <w:rPr>
          <w:lang w:val="en-US"/>
        </w:rPr>
        <w:t>leaf</w:t>
      </w:r>
      <w:proofErr w:type="spellEnd"/>
      <w:r w:rsidR="0066039A" w:rsidRPr="00807721">
        <w:rPr>
          <w:lang w:val="en-US"/>
        </w:rPr>
        <w:t xml:space="preserve"> updated 2010, release </w:t>
      </w:r>
      <w:r w:rsidR="00D94A86" w:rsidRPr="00807721">
        <w:rPr>
          <w:lang w:val="en-US"/>
        </w:rPr>
        <w:t>8</w:t>
      </w:r>
      <w:r w:rsidR="0066039A" w:rsidRPr="00807721">
        <w:rPr>
          <w:lang w:val="en-US"/>
        </w:rPr>
        <w:t>).</w:t>
      </w:r>
    </w:p>
    <w:p w:rsidR="0066039A" w:rsidRPr="00807721" w:rsidRDefault="0066039A" w:rsidP="0066039A">
      <w:pPr>
        <w:pStyle w:val="SCCNormalDoubleSpacing"/>
        <w:spacing w:line="240" w:lineRule="auto"/>
        <w:ind w:left="540" w:hanging="540"/>
        <w:rPr>
          <w:lang w:val="en-US"/>
        </w:rPr>
      </w:pPr>
    </w:p>
    <w:p w:rsidR="0066039A" w:rsidRPr="00807721" w:rsidRDefault="0066039A" w:rsidP="0066039A">
      <w:pPr>
        <w:pStyle w:val="SCCNormalDoubleSpacing"/>
        <w:spacing w:line="240" w:lineRule="auto"/>
        <w:ind w:left="540" w:hanging="540"/>
        <w:rPr>
          <w:szCs w:val="24"/>
          <w:lang w:val="en-US"/>
        </w:rPr>
      </w:pPr>
      <w:r w:rsidRPr="00807721">
        <w:rPr>
          <w:szCs w:val="24"/>
          <w:lang w:val="en-US"/>
        </w:rPr>
        <w:t xml:space="preserve">Mason, Keith. </w:t>
      </w:r>
      <w:proofErr w:type="gramStart"/>
      <w:r w:rsidRPr="00807721">
        <w:rPr>
          <w:szCs w:val="24"/>
          <w:lang w:val="en-US"/>
        </w:rPr>
        <w:t xml:space="preserve">« The Inherent Jurisdiction of the Court » (1983), 57 </w:t>
      </w:r>
      <w:r w:rsidRPr="00807721">
        <w:rPr>
          <w:i/>
          <w:szCs w:val="24"/>
          <w:lang w:val="en-US"/>
        </w:rPr>
        <w:t>Aust</w:t>
      </w:r>
      <w:r w:rsidR="003B1792">
        <w:rPr>
          <w:i/>
          <w:szCs w:val="24"/>
          <w:lang w:val="en-US"/>
        </w:rPr>
        <w:t>l</w:t>
      </w:r>
      <w:r w:rsidRPr="00807721">
        <w:rPr>
          <w:i/>
          <w:szCs w:val="24"/>
          <w:lang w:val="en-US"/>
        </w:rPr>
        <w:t>. L.J.</w:t>
      </w:r>
      <w:r w:rsidRPr="00807721">
        <w:rPr>
          <w:szCs w:val="24"/>
          <w:lang w:val="en-US"/>
        </w:rPr>
        <w:t xml:space="preserve"> 449.</w:t>
      </w:r>
      <w:proofErr w:type="gramEnd"/>
    </w:p>
    <w:p w:rsidR="0066039A" w:rsidRPr="00807721" w:rsidRDefault="0066039A" w:rsidP="0066039A">
      <w:pPr>
        <w:pStyle w:val="SCCNormalDoubleSpacing"/>
        <w:spacing w:line="240" w:lineRule="auto"/>
        <w:ind w:left="540" w:hanging="540"/>
        <w:rPr>
          <w:szCs w:val="24"/>
          <w:lang w:val="en-US"/>
        </w:rPr>
      </w:pPr>
    </w:p>
    <w:p w:rsidR="0066039A" w:rsidRPr="00807721" w:rsidRDefault="0066039A" w:rsidP="0066039A">
      <w:pPr>
        <w:pStyle w:val="SCCNormalDoubleSpacing"/>
        <w:spacing w:line="240" w:lineRule="auto"/>
        <w:ind w:left="540" w:hanging="540"/>
        <w:rPr>
          <w:lang w:val="en-US"/>
        </w:rPr>
      </w:pPr>
      <w:proofErr w:type="gramStart"/>
      <w:r w:rsidRPr="00807721">
        <w:rPr>
          <w:szCs w:val="24"/>
          <w:lang w:val="en-US"/>
        </w:rPr>
        <w:t>Morgan, Ge</w:t>
      </w:r>
      <w:r w:rsidR="00E06643">
        <w:rPr>
          <w:szCs w:val="24"/>
          <w:lang w:val="en-US"/>
        </w:rPr>
        <w:t>orge Osborne, and Horace Davey.</w:t>
      </w:r>
      <w:proofErr w:type="gramEnd"/>
      <w:r w:rsidR="00E06643">
        <w:rPr>
          <w:szCs w:val="24"/>
          <w:lang w:val="en-US"/>
        </w:rPr>
        <w:t xml:space="preserve">  </w:t>
      </w:r>
      <w:proofErr w:type="gramStart"/>
      <w:r w:rsidRPr="00807721">
        <w:rPr>
          <w:i/>
          <w:szCs w:val="24"/>
          <w:lang w:val="en-US"/>
        </w:rPr>
        <w:t>A Treatise o</w:t>
      </w:r>
      <w:r w:rsidR="00562929" w:rsidRPr="00807721">
        <w:rPr>
          <w:i/>
          <w:szCs w:val="24"/>
          <w:lang w:val="en-US"/>
        </w:rPr>
        <w:t>n</w:t>
      </w:r>
      <w:r w:rsidRPr="00807721">
        <w:rPr>
          <w:i/>
          <w:szCs w:val="24"/>
          <w:lang w:val="en-US"/>
        </w:rPr>
        <w:t xml:space="preserve"> Costs in Chancery</w:t>
      </w:r>
      <w:r w:rsidRPr="00807721">
        <w:rPr>
          <w:szCs w:val="24"/>
          <w:lang w:val="en-US"/>
        </w:rPr>
        <w:t>.</w:t>
      </w:r>
      <w:proofErr w:type="gramEnd"/>
      <w:r w:rsidRPr="00807721">
        <w:rPr>
          <w:szCs w:val="24"/>
          <w:lang w:val="en-US"/>
        </w:rPr>
        <w:t xml:space="preserve"> </w:t>
      </w:r>
      <w:proofErr w:type="gramStart"/>
      <w:r w:rsidRPr="00807721">
        <w:rPr>
          <w:szCs w:val="24"/>
          <w:lang w:val="en-US"/>
        </w:rPr>
        <w:t>London :</w:t>
      </w:r>
      <w:proofErr w:type="gramEnd"/>
      <w:r w:rsidRPr="00807721">
        <w:rPr>
          <w:szCs w:val="24"/>
          <w:lang w:val="en-US"/>
        </w:rPr>
        <w:t xml:space="preserve"> Stevens, Sons, and Haynes, 1865.</w:t>
      </w:r>
    </w:p>
    <w:p w:rsidR="0066039A" w:rsidRPr="00807721" w:rsidRDefault="0066039A" w:rsidP="0066039A">
      <w:pPr>
        <w:pStyle w:val="SCCNormalDoubleSpacing"/>
        <w:spacing w:line="240" w:lineRule="auto"/>
        <w:ind w:left="540" w:hanging="540"/>
        <w:rPr>
          <w:lang w:val="en-US"/>
        </w:rPr>
      </w:pPr>
    </w:p>
    <w:p w:rsidR="0066039A" w:rsidRPr="00807721" w:rsidRDefault="0066039A" w:rsidP="001C477E">
      <w:pPr>
        <w:pStyle w:val="SCCNormalDoubleSpacing"/>
        <w:spacing w:after="720" w:line="240" w:lineRule="auto"/>
        <w:ind w:left="547" w:hanging="547"/>
        <w:rPr>
          <w:lang w:val="en-US"/>
        </w:rPr>
      </w:pPr>
      <w:r w:rsidRPr="00807721">
        <w:rPr>
          <w:szCs w:val="24"/>
          <w:lang w:val="en-US"/>
        </w:rPr>
        <w:t xml:space="preserve">Sullivan, Ruth. </w:t>
      </w:r>
      <w:r w:rsidRPr="00807721">
        <w:rPr>
          <w:i/>
          <w:szCs w:val="24"/>
          <w:lang w:val="en-US"/>
        </w:rPr>
        <w:t>Sullivan on the Construction of Statutes</w:t>
      </w:r>
      <w:r w:rsidRPr="00807721">
        <w:rPr>
          <w:szCs w:val="24"/>
          <w:lang w:val="en-US"/>
        </w:rPr>
        <w:t>, 5th ed. Markham, Ont</w:t>
      </w:r>
      <w:proofErr w:type="gramStart"/>
      <w:r w:rsidRPr="00807721">
        <w:rPr>
          <w:szCs w:val="24"/>
          <w:lang w:val="en-US"/>
        </w:rPr>
        <w:t>. :</w:t>
      </w:r>
      <w:proofErr w:type="gramEnd"/>
      <w:r w:rsidRPr="00807721">
        <w:rPr>
          <w:szCs w:val="24"/>
          <w:lang w:val="en-US"/>
        </w:rPr>
        <w:t xml:space="preserve"> LexisNexis, 2008.</w:t>
      </w:r>
    </w:p>
    <w:p w:rsidR="00D5435D" w:rsidRPr="00807721" w:rsidRDefault="000924F6" w:rsidP="00CD4256">
      <w:pPr>
        <w:pStyle w:val="SCCNormalDoubleSpacing"/>
        <w:spacing w:after="480"/>
        <w:rPr>
          <w:lang w:val="fr-FR"/>
        </w:rPr>
      </w:pPr>
      <w:r w:rsidRPr="00807721">
        <w:rPr>
          <w:lang w:val="en-US"/>
        </w:rPr>
        <w:tab/>
      </w:r>
      <w:r w:rsidR="009B57B3" w:rsidRPr="00807721">
        <w:rPr>
          <w:lang w:val="en-US"/>
        </w:rPr>
        <w:t>P</w:t>
      </w:r>
      <w:r w:rsidR="0043088E" w:rsidRPr="00807721">
        <w:rPr>
          <w:lang w:val="en-US"/>
        </w:rPr>
        <w:t xml:space="preserve">OURVOI </w:t>
      </w:r>
      <w:proofErr w:type="spellStart"/>
      <w:r w:rsidR="0043088E" w:rsidRPr="00807721">
        <w:rPr>
          <w:lang w:val="en-US"/>
        </w:rPr>
        <w:t>contre</w:t>
      </w:r>
      <w:proofErr w:type="spellEnd"/>
      <w:r w:rsidR="0043088E" w:rsidRPr="00807721">
        <w:rPr>
          <w:lang w:val="en-US"/>
        </w:rPr>
        <w:t xml:space="preserve"> un </w:t>
      </w:r>
      <w:proofErr w:type="spellStart"/>
      <w:r w:rsidR="0043088E" w:rsidRPr="00807721">
        <w:rPr>
          <w:lang w:val="en-US"/>
        </w:rPr>
        <w:t>arrêt</w:t>
      </w:r>
      <w:proofErr w:type="spellEnd"/>
      <w:r w:rsidR="0043088E" w:rsidRPr="00807721">
        <w:rPr>
          <w:lang w:val="en-US"/>
        </w:rPr>
        <w:t xml:space="preserve"> de la</w:t>
      </w:r>
      <w:r w:rsidR="009B57B3" w:rsidRPr="00807721">
        <w:rPr>
          <w:lang w:val="en-US"/>
        </w:rPr>
        <w:t xml:space="preserve"> </w:t>
      </w:r>
      <w:proofErr w:type="spellStart"/>
      <w:r w:rsidR="00702968" w:rsidRPr="00807721">
        <w:rPr>
          <w:lang w:val="en-US"/>
        </w:rPr>
        <w:t>Cour</w:t>
      </w:r>
      <w:proofErr w:type="spellEnd"/>
      <w:r w:rsidR="00702968" w:rsidRPr="00807721">
        <w:rPr>
          <w:lang w:val="en-US"/>
        </w:rPr>
        <w:t xml:space="preserve"> </w:t>
      </w:r>
      <w:proofErr w:type="spellStart"/>
      <w:r w:rsidR="00702968" w:rsidRPr="00807721">
        <w:rPr>
          <w:lang w:val="en-US"/>
        </w:rPr>
        <w:t>d’</w:t>
      </w:r>
      <w:r w:rsidR="009B57B3" w:rsidRPr="00807721">
        <w:rPr>
          <w:lang w:val="en-US"/>
        </w:rPr>
        <w:t>appel</w:t>
      </w:r>
      <w:proofErr w:type="spellEnd"/>
      <w:r w:rsidR="009B57B3" w:rsidRPr="00807721">
        <w:rPr>
          <w:lang w:val="en-US"/>
        </w:rPr>
        <w:t xml:space="preserve"> de </w:t>
      </w:r>
      <w:proofErr w:type="spellStart"/>
      <w:r w:rsidR="009B57B3" w:rsidRPr="00807721">
        <w:rPr>
          <w:lang w:val="en-US"/>
        </w:rPr>
        <w:t>l’Alberta</w:t>
      </w:r>
      <w:proofErr w:type="spellEnd"/>
      <w:r w:rsidRPr="00807721">
        <w:rPr>
          <w:lang w:val="en-US"/>
        </w:rPr>
        <w:t xml:space="preserve"> (les </w:t>
      </w:r>
      <w:proofErr w:type="spellStart"/>
      <w:r w:rsidRPr="00807721">
        <w:rPr>
          <w:lang w:val="en-US"/>
        </w:rPr>
        <w:t>juges</w:t>
      </w:r>
      <w:proofErr w:type="spellEnd"/>
      <w:r w:rsidRPr="00807721">
        <w:rPr>
          <w:lang w:val="en-US"/>
        </w:rPr>
        <w:t xml:space="preserve"> Hunt, Ritter et </w:t>
      </w:r>
      <w:proofErr w:type="spellStart"/>
      <w:r w:rsidRPr="00807721">
        <w:rPr>
          <w:lang w:val="en-US"/>
        </w:rPr>
        <w:t>Rowbotham</w:t>
      </w:r>
      <w:proofErr w:type="spellEnd"/>
      <w:r w:rsidRPr="00807721">
        <w:rPr>
          <w:lang w:val="en-US"/>
        </w:rPr>
        <w:t xml:space="preserve">), </w:t>
      </w:r>
      <w:r w:rsidR="00B762C9" w:rsidRPr="00807721">
        <w:rPr>
          <w:lang w:val="en-US"/>
        </w:rPr>
        <w:t>2009 ABCA 34, 1 Alta. L.R. (5th) 199, 446 A.R. 362</w:t>
      </w:r>
      <w:r w:rsidR="00456E3B" w:rsidRPr="00807721">
        <w:rPr>
          <w:lang w:val="en-US"/>
        </w:rPr>
        <w:t>, [2009] 6 </w:t>
      </w:r>
      <w:r w:rsidR="00B762C9" w:rsidRPr="00807721">
        <w:rPr>
          <w:lang w:val="en-US"/>
        </w:rPr>
        <w:t xml:space="preserve">W.W.R. 438, 241 C.C.C. (3d) 296, 185 C.R.R. (2d) 9, 71 C.P.C. (6th) 319, [2009] A.J. No. 71 (QL), 2009 </w:t>
      </w:r>
      <w:proofErr w:type="spellStart"/>
      <w:r w:rsidR="00B762C9" w:rsidRPr="00807721">
        <w:rPr>
          <w:lang w:val="en-US"/>
        </w:rPr>
        <w:t>CarswellAlta</w:t>
      </w:r>
      <w:proofErr w:type="spellEnd"/>
      <w:r w:rsidR="00B762C9" w:rsidRPr="00807721">
        <w:rPr>
          <w:lang w:val="en-US"/>
        </w:rPr>
        <w:t xml:space="preserve"> 95</w:t>
      </w:r>
      <w:r w:rsidRPr="00807721">
        <w:rPr>
          <w:lang w:val="en-US"/>
        </w:rPr>
        <w:t xml:space="preserve">, </w:t>
      </w:r>
      <w:r w:rsidR="003C7F77" w:rsidRPr="00807721">
        <w:rPr>
          <w:lang w:val="en-US"/>
        </w:rPr>
        <w:t xml:space="preserve">qui a </w:t>
      </w:r>
      <w:proofErr w:type="spellStart"/>
      <w:r w:rsidR="003C7F77" w:rsidRPr="00807721">
        <w:rPr>
          <w:lang w:val="en-US"/>
        </w:rPr>
        <w:t>confirmé</w:t>
      </w:r>
      <w:proofErr w:type="spellEnd"/>
      <w:r w:rsidR="003C7F77" w:rsidRPr="00807721">
        <w:rPr>
          <w:lang w:val="en-US"/>
        </w:rPr>
        <w:t xml:space="preserve"> un </w:t>
      </w:r>
      <w:proofErr w:type="spellStart"/>
      <w:r w:rsidR="003C7F77" w:rsidRPr="00807721">
        <w:rPr>
          <w:lang w:val="en-US"/>
        </w:rPr>
        <w:t>jugement</w:t>
      </w:r>
      <w:proofErr w:type="spellEnd"/>
      <w:r w:rsidR="003C7F77" w:rsidRPr="00807721">
        <w:rPr>
          <w:lang w:val="en-US"/>
        </w:rPr>
        <w:t xml:space="preserve"> </w:t>
      </w:r>
      <w:r w:rsidRPr="00807721">
        <w:rPr>
          <w:lang w:val="en-US"/>
        </w:rPr>
        <w:t xml:space="preserve">du </w:t>
      </w:r>
      <w:proofErr w:type="spellStart"/>
      <w:r w:rsidRPr="00807721">
        <w:rPr>
          <w:lang w:val="en-US"/>
        </w:rPr>
        <w:t>juge</w:t>
      </w:r>
      <w:proofErr w:type="spellEnd"/>
      <w:r w:rsidRPr="00807721">
        <w:rPr>
          <w:lang w:val="en-US"/>
        </w:rPr>
        <w:t xml:space="preserve"> Ouellette, 2007 ABQB 632, 84 Alta. L.R. (4th) 146, 424 A.R. 377, [2008] 3 W.W.R. 628, [2007] A.J. No. 1166</w:t>
      </w:r>
      <w:r w:rsidR="003C7F77" w:rsidRPr="00807721">
        <w:rPr>
          <w:lang w:val="en-US"/>
        </w:rPr>
        <w:t xml:space="preserve"> (QL)</w:t>
      </w:r>
      <w:r w:rsidRPr="00807721">
        <w:rPr>
          <w:lang w:val="en-US"/>
        </w:rPr>
        <w:t xml:space="preserve">, 2007 </w:t>
      </w:r>
      <w:proofErr w:type="spellStart"/>
      <w:r w:rsidRPr="00807721">
        <w:rPr>
          <w:lang w:val="en-US"/>
        </w:rPr>
        <w:t>CarswellAlta</w:t>
      </w:r>
      <w:proofErr w:type="spellEnd"/>
      <w:r w:rsidRPr="00807721">
        <w:rPr>
          <w:lang w:val="en-US"/>
        </w:rPr>
        <w:t xml:space="preserve"> 1414. </w:t>
      </w:r>
      <w:r w:rsidR="007537C7">
        <w:rPr>
          <w:lang w:val="en-US"/>
        </w:rPr>
        <w:t xml:space="preserve"> </w:t>
      </w:r>
      <w:r w:rsidRPr="00807721">
        <w:rPr>
          <w:lang w:val="fr-FR"/>
        </w:rPr>
        <w:t xml:space="preserve">Pourvoi </w:t>
      </w:r>
      <w:r w:rsidR="00072721" w:rsidRPr="00807721">
        <w:rPr>
          <w:lang w:val="fr-FR"/>
        </w:rPr>
        <w:t>rejeté</w:t>
      </w:r>
      <w:r w:rsidRPr="00807721">
        <w:rPr>
          <w:lang w:val="fr-FR"/>
        </w:rPr>
        <w:t>.</w:t>
      </w:r>
    </w:p>
    <w:p w:rsidR="00B83158" w:rsidRPr="00E31014" w:rsidRDefault="007E7A84" w:rsidP="00CD4256">
      <w:pPr>
        <w:pStyle w:val="SCCNormalDoubleSpacing"/>
        <w:spacing w:after="480"/>
        <w:rPr>
          <w:lang w:val="fr-CA"/>
        </w:rPr>
      </w:pPr>
      <w:r w:rsidRPr="00807721">
        <w:rPr>
          <w:rStyle w:val="SCCCounselNameChar"/>
          <w:lang w:val="fr-FR"/>
        </w:rPr>
        <w:tab/>
      </w:r>
      <w:r w:rsidRPr="00807721">
        <w:rPr>
          <w:rStyle w:val="SCCCounselNameChar"/>
        </w:rPr>
        <w:t xml:space="preserve">Margaret </w:t>
      </w:r>
      <w:proofErr w:type="spellStart"/>
      <w:r w:rsidRPr="00807721">
        <w:rPr>
          <w:rStyle w:val="SCCCounselNameChar"/>
        </w:rPr>
        <w:t>Unsworth</w:t>
      </w:r>
      <w:proofErr w:type="spellEnd"/>
      <w:r w:rsidRPr="00807721">
        <w:rPr>
          <w:rStyle w:val="SCCCounselNameChar"/>
          <w:i w:val="0"/>
        </w:rPr>
        <w:t xml:space="preserve">, </w:t>
      </w:r>
      <w:proofErr w:type="gramStart"/>
      <w:r w:rsidR="00702968" w:rsidRPr="00807721">
        <w:rPr>
          <w:rStyle w:val="SCCCounselNameChar"/>
        </w:rPr>
        <w:t>c</w:t>
      </w:r>
      <w:r w:rsidRPr="00807721">
        <w:rPr>
          <w:rStyle w:val="SCCCounselNameChar"/>
        </w:rPr>
        <w:t>.</w:t>
      </w:r>
      <w:r w:rsidR="00702968" w:rsidRPr="00807721">
        <w:rPr>
          <w:rStyle w:val="SCCCounselNameChar"/>
        </w:rPr>
        <w:t>r</w:t>
      </w:r>
      <w:r w:rsidRPr="00807721">
        <w:rPr>
          <w:rStyle w:val="SCCCounselNameChar"/>
        </w:rPr>
        <w:t>.</w:t>
      </w:r>
      <w:r w:rsidR="00702968" w:rsidRPr="00807721">
        <w:rPr>
          <w:rStyle w:val="SCCCounselNameChar"/>
          <w:i w:val="0"/>
        </w:rPr>
        <w:t>,</w:t>
      </w:r>
      <w:proofErr w:type="gramEnd"/>
      <w:r w:rsidRPr="00807721">
        <w:rPr>
          <w:rStyle w:val="SCCCounselSeparatorChar"/>
        </w:rPr>
        <w:t xml:space="preserve"> et </w:t>
      </w:r>
      <w:r w:rsidRPr="00807721">
        <w:rPr>
          <w:rStyle w:val="SCCCounselNameChar"/>
        </w:rPr>
        <w:t xml:space="preserve">Teresa </w:t>
      </w:r>
      <w:proofErr w:type="spellStart"/>
      <w:r w:rsidRPr="00807721">
        <w:rPr>
          <w:rStyle w:val="SCCCounselNameChar"/>
        </w:rPr>
        <w:t>Haykowsky</w:t>
      </w:r>
      <w:proofErr w:type="spellEnd"/>
      <w:r w:rsidRPr="00807721">
        <w:rPr>
          <w:rStyle w:val="SCCCounselPartyRoleChar"/>
        </w:rPr>
        <w:t>, pour l</w:t>
      </w:r>
      <w:r w:rsidR="00702968" w:rsidRPr="00807721">
        <w:rPr>
          <w:rStyle w:val="SCCCounselPartyRoleChar"/>
        </w:rPr>
        <w:t>’</w:t>
      </w:r>
      <w:r w:rsidRPr="00807721">
        <w:rPr>
          <w:rStyle w:val="SCCCounselPartyRoleChar"/>
        </w:rPr>
        <w:t>appelante.</w:t>
      </w:r>
    </w:p>
    <w:p w:rsidR="00B83158" w:rsidRPr="00807721" w:rsidRDefault="007E7A84" w:rsidP="00CD4256">
      <w:pPr>
        <w:pStyle w:val="SCCNormalDoubleSpacing"/>
        <w:spacing w:after="480"/>
        <w:rPr>
          <w:rStyle w:val="SCCCounselPartyRoleChar"/>
        </w:rPr>
      </w:pPr>
      <w:r w:rsidRPr="00807721">
        <w:rPr>
          <w:rStyle w:val="SCCCounselNameChar"/>
        </w:rPr>
        <w:tab/>
        <w:t xml:space="preserve">Rupert </w:t>
      </w:r>
      <w:proofErr w:type="spellStart"/>
      <w:r w:rsidRPr="00807721">
        <w:rPr>
          <w:rStyle w:val="SCCCounselNameChar"/>
        </w:rPr>
        <w:t>Baudais</w:t>
      </w:r>
      <w:proofErr w:type="spellEnd"/>
      <w:r w:rsidRPr="00807721">
        <w:rPr>
          <w:rStyle w:val="SCCCounselPartyRoleChar"/>
        </w:rPr>
        <w:t>, pour l</w:t>
      </w:r>
      <w:r w:rsidR="00702968" w:rsidRPr="00807721">
        <w:rPr>
          <w:rStyle w:val="SCCCounselPartyRoleChar"/>
        </w:rPr>
        <w:t>’</w:t>
      </w:r>
      <w:r w:rsidRPr="00807721">
        <w:rPr>
          <w:rStyle w:val="SCCCounselPartyRoleChar"/>
        </w:rPr>
        <w:t>intimé.</w:t>
      </w:r>
    </w:p>
    <w:p w:rsidR="00702968" w:rsidRPr="00E31014" w:rsidRDefault="00702968" w:rsidP="00CD4256">
      <w:pPr>
        <w:pStyle w:val="SCCNormalDoubleSpacing"/>
        <w:spacing w:after="480"/>
        <w:rPr>
          <w:lang w:val="fr-CA"/>
        </w:rPr>
      </w:pPr>
      <w:r w:rsidRPr="00807721">
        <w:rPr>
          <w:rStyle w:val="SCCCounselNameChar"/>
        </w:rPr>
        <w:tab/>
        <w:t xml:space="preserve">Amélie </w:t>
      </w:r>
      <w:proofErr w:type="spellStart"/>
      <w:r w:rsidRPr="00807721">
        <w:rPr>
          <w:rStyle w:val="SCCCounselNameChar"/>
        </w:rPr>
        <w:t>Lavictoire</w:t>
      </w:r>
      <w:proofErr w:type="spellEnd"/>
      <w:r w:rsidRPr="00807721">
        <w:rPr>
          <w:rStyle w:val="SCCCounselSeparatorChar"/>
        </w:rPr>
        <w:t xml:space="preserve"> et </w:t>
      </w:r>
      <w:r w:rsidRPr="00807721">
        <w:rPr>
          <w:rStyle w:val="SCCCounselNameChar"/>
        </w:rPr>
        <w:t xml:space="preserve">Kevin </w:t>
      </w:r>
      <w:proofErr w:type="spellStart"/>
      <w:r w:rsidRPr="00807721">
        <w:rPr>
          <w:rStyle w:val="SCCCounselNameChar"/>
        </w:rPr>
        <w:t>Shaar</w:t>
      </w:r>
      <w:proofErr w:type="spellEnd"/>
      <w:r w:rsidRPr="00807721">
        <w:rPr>
          <w:rStyle w:val="SCCCounselPartyRoleChar"/>
        </w:rPr>
        <w:t>, pour l’intervenant le commissaire aux langues officielles du Canada.</w:t>
      </w:r>
    </w:p>
    <w:p w:rsidR="00B83158" w:rsidRPr="00E31014" w:rsidRDefault="007537C7" w:rsidP="00CD4256">
      <w:pPr>
        <w:pStyle w:val="SCCNormalDoubleSpacing"/>
        <w:spacing w:after="480"/>
        <w:rPr>
          <w:lang w:val="fr-CA"/>
        </w:rPr>
      </w:pPr>
      <w:r>
        <w:rPr>
          <w:rStyle w:val="SCCCounselNameChar"/>
        </w:rPr>
        <w:lastRenderedPageBreak/>
        <w:tab/>
        <w:t>Benjamin </w:t>
      </w:r>
      <w:r w:rsidR="007E7A84" w:rsidRPr="00807721">
        <w:rPr>
          <w:rStyle w:val="SCCCounselNameChar"/>
        </w:rPr>
        <w:t>L. Berger</w:t>
      </w:r>
      <w:r w:rsidR="007E7A84" w:rsidRPr="00807721">
        <w:rPr>
          <w:rStyle w:val="SCCCounselPartyRoleChar"/>
        </w:rPr>
        <w:t>, pour l</w:t>
      </w:r>
      <w:r w:rsidR="00702968" w:rsidRPr="00807721">
        <w:rPr>
          <w:rStyle w:val="SCCCounselPartyRoleChar"/>
        </w:rPr>
        <w:t>’</w:t>
      </w:r>
      <w:r w:rsidR="007E7A84" w:rsidRPr="00807721">
        <w:rPr>
          <w:rStyle w:val="SCCCounselPartyRoleChar"/>
        </w:rPr>
        <w:t xml:space="preserve">intervenante </w:t>
      </w:r>
      <w:r w:rsidR="00702968" w:rsidRPr="00807721">
        <w:rPr>
          <w:rStyle w:val="SCCCounselPartyRoleChar"/>
        </w:rPr>
        <w:t>l’</w:t>
      </w:r>
      <w:r w:rsidR="007E7A84" w:rsidRPr="00807721">
        <w:rPr>
          <w:rStyle w:val="SCCCounselPartyRoleChar"/>
        </w:rPr>
        <w:t>Association canadienne des libertés civiles.</w:t>
      </w:r>
    </w:p>
    <w:p w:rsidR="00B033A3" w:rsidRPr="00E31014" w:rsidRDefault="007E7A84" w:rsidP="00CD4256">
      <w:pPr>
        <w:pStyle w:val="SCCNormalDoubleSpacing"/>
        <w:spacing w:after="480"/>
        <w:rPr>
          <w:lang w:val="fr-CA"/>
        </w:rPr>
      </w:pPr>
      <w:r w:rsidRPr="00807721">
        <w:rPr>
          <w:rStyle w:val="SCCCounselNameChar"/>
        </w:rPr>
        <w:tab/>
      </w:r>
      <w:r w:rsidR="00E918B9" w:rsidRPr="00807721">
        <w:rPr>
          <w:rStyle w:val="SCCCounselNameChar"/>
          <w:i w:val="0"/>
        </w:rPr>
        <w:t>Argumentation écrite seulement par</w:t>
      </w:r>
      <w:r w:rsidR="00E918B9" w:rsidRPr="00807721">
        <w:rPr>
          <w:rStyle w:val="SCCCounselNameChar"/>
        </w:rPr>
        <w:t xml:space="preserve"> </w:t>
      </w:r>
      <w:r w:rsidRPr="00807721">
        <w:rPr>
          <w:rStyle w:val="SCCCounselNameChar"/>
        </w:rPr>
        <w:t>Gwen Brodsky</w:t>
      </w:r>
      <w:r w:rsidRPr="00807721">
        <w:rPr>
          <w:rStyle w:val="SCCCounselSeparatorChar"/>
        </w:rPr>
        <w:t xml:space="preserve"> et </w:t>
      </w:r>
      <w:proofErr w:type="spellStart"/>
      <w:r w:rsidRPr="00807721">
        <w:rPr>
          <w:rStyle w:val="SCCCounselNameChar"/>
        </w:rPr>
        <w:t>Melina</w:t>
      </w:r>
      <w:proofErr w:type="spellEnd"/>
      <w:r w:rsidRPr="00807721">
        <w:rPr>
          <w:rStyle w:val="SCCCounselNameChar"/>
        </w:rPr>
        <w:t xml:space="preserve"> Buckley</w:t>
      </w:r>
      <w:r w:rsidR="00702968" w:rsidRPr="00807721">
        <w:rPr>
          <w:rStyle w:val="SCCCounselPartyRoleChar"/>
        </w:rPr>
        <w:t>, pour l</w:t>
      </w:r>
      <w:r w:rsidR="00E918B9" w:rsidRPr="00807721">
        <w:rPr>
          <w:rStyle w:val="SCCCounselPartyRoleChar"/>
        </w:rPr>
        <w:t xml:space="preserve">es </w:t>
      </w:r>
      <w:r w:rsidRPr="00807721">
        <w:rPr>
          <w:rStyle w:val="SCCCounselPartyRoleChar"/>
        </w:rPr>
        <w:t>intervenant</w:t>
      </w:r>
      <w:r w:rsidR="00E918B9" w:rsidRPr="00807721">
        <w:rPr>
          <w:rStyle w:val="SCCCounselPartyRoleChar"/>
        </w:rPr>
        <w:t>s</w:t>
      </w:r>
      <w:r w:rsidR="00702968" w:rsidRPr="00807721">
        <w:rPr>
          <w:rStyle w:val="SCCCounselPartyRoleChar"/>
        </w:rPr>
        <w:t xml:space="preserve"> le</w:t>
      </w:r>
      <w:r w:rsidRPr="00807721">
        <w:rPr>
          <w:rStyle w:val="SCCCounselPartyRoleChar"/>
        </w:rPr>
        <w:t xml:space="preserve"> Conseil des Canadiens avec déficiences</w:t>
      </w:r>
      <w:r w:rsidR="00E918B9" w:rsidRPr="00807721">
        <w:rPr>
          <w:rStyle w:val="SCCCounselPartyRoleChar"/>
        </w:rPr>
        <w:t xml:space="preserve">, </w:t>
      </w:r>
      <w:r w:rsidR="00B033A3" w:rsidRPr="00807721">
        <w:rPr>
          <w:rStyle w:val="SCCCounselPartyRoleChar"/>
        </w:rPr>
        <w:t xml:space="preserve">le Comité de la Charte et des questions de pauvreté, </w:t>
      </w:r>
      <w:proofErr w:type="spellStart"/>
      <w:r w:rsidR="00B033A3" w:rsidRPr="00807721">
        <w:rPr>
          <w:rStyle w:val="SCCCounselPartyRoleChar"/>
        </w:rPr>
        <w:t>Poverty</w:t>
      </w:r>
      <w:proofErr w:type="spellEnd"/>
      <w:r w:rsidR="00B033A3" w:rsidRPr="00807721">
        <w:rPr>
          <w:rStyle w:val="SCCCounselPartyRoleChar"/>
        </w:rPr>
        <w:t xml:space="preserve"> and </w:t>
      </w:r>
      <w:proofErr w:type="spellStart"/>
      <w:r w:rsidR="00B033A3" w:rsidRPr="00807721">
        <w:rPr>
          <w:rStyle w:val="SCCCounselPartyRoleChar"/>
        </w:rPr>
        <w:t>Human</w:t>
      </w:r>
      <w:proofErr w:type="spellEnd"/>
      <w:r w:rsidR="00B033A3" w:rsidRPr="00807721">
        <w:rPr>
          <w:rStyle w:val="SCCCounselPartyRoleChar"/>
        </w:rPr>
        <w:t xml:space="preserve"> </w:t>
      </w:r>
      <w:proofErr w:type="spellStart"/>
      <w:r w:rsidR="00B033A3" w:rsidRPr="00807721">
        <w:rPr>
          <w:rStyle w:val="SCCCounselPartyRoleChar"/>
        </w:rPr>
        <w:t>Rights</w:t>
      </w:r>
      <w:proofErr w:type="spellEnd"/>
      <w:r w:rsidR="00B033A3" w:rsidRPr="00807721">
        <w:rPr>
          <w:rStyle w:val="SCCCounselPartyRoleChar"/>
        </w:rPr>
        <w:t xml:space="preserve"> Centre et le Fonds d’action et d’éducation juridiques pour les femmes.</w:t>
      </w:r>
    </w:p>
    <w:p w:rsidR="00B033A3" w:rsidRPr="00E31014" w:rsidRDefault="00B033A3" w:rsidP="00CD4256">
      <w:pPr>
        <w:pStyle w:val="SCCNormalDoubleSpacing"/>
        <w:spacing w:after="480"/>
        <w:rPr>
          <w:lang w:val="fr-CA"/>
        </w:rPr>
      </w:pPr>
      <w:r w:rsidRPr="00807721">
        <w:rPr>
          <w:rStyle w:val="SCCCounselNameChar"/>
        </w:rPr>
        <w:tab/>
      </w:r>
      <w:r w:rsidR="00E918B9" w:rsidRPr="00807721">
        <w:rPr>
          <w:rStyle w:val="SCCCounselNameChar"/>
          <w:i w:val="0"/>
        </w:rPr>
        <w:t>Argumentation écrite seulement par</w:t>
      </w:r>
      <w:r w:rsidR="00E918B9" w:rsidRPr="00807721">
        <w:rPr>
          <w:rStyle w:val="SCCCounselNameChar"/>
        </w:rPr>
        <w:t xml:space="preserve"> Michel Doucet</w:t>
      </w:r>
      <w:r w:rsidR="00E918B9" w:rsidRPr="00807721">
        <w:rPr>
          <w:rStyle w:val="SCCCounselNameChar"/>
          <w:i w:val="0"/>
        </w:rPr>
        <w:t xml:space="preserve">, </w:t>
      </w:r>
      <w:proofErr w:type="gramStart"/>
      <w:r w:rsidR="00E918B9" w:rsidRPr="00807721">
        <w:rPr>
          <w:rStyle w:val="SCCCounselNameChar"/>
        </w:rPr>
        <w:t>c.r.</w:t>
      </w:r>
      <w:r w:rsidR="00E918B9" w:rsidRPr="00807721">
        <w:rPr>
          <w:rStyle w:val="SCCCounselNameChar"/>
          <w:i w:val="0"/>
        </w:rPr>
        <w:t>,</w:t>
      </w:r>
      <w:proofErr w:type="gramEnd"/>
      <w:r w:rsidR="00E918B9" w:rsidRPr="00807721">
        <w:rPr>
          <w:rStyle w:val="SCCCounselSeparatorChar"/>
        </w:rPr>
        <w:t xml:space="preserve"> </w:t>
      </w:r>
      <w:r w:rsidRPr="00807721">
        <w:rPr>
          <w:rStyle w:val="SCCCounselNameChar"/>
        </w:rPr>
        <w:t>Mark Power</w:t>
      </w:r>
      <w:r w:rsidRPr="00807721">
        <w:rPr>
          <w:rStyle w:val="SCCCounselSeparatorChar"/>
        </w:rPr>
        <w:t xml:space="preserve"> et </w:t>
      </w:r>
      <w:r w:rsidRPr="00807721">
        <w:rPr>
          <w:rStyle w:val="SCCCounselNameChar"/>
        </w:rPr>
        <w:t>François Larocque</w:t>
      </w:r>
      <w:r w:rsidRPr="00807721">
        <w:rPr>
          <w:rStyle w:val="SCCCounselPartyRoleChar"/>
        </w:rPr>
        <w:t xml:space="preserve">, pour l’intervenante l’Association </w:t>
      </w:r>
      <w:proofErr w:type="spellStart"/>
      <w:r w:rsidRPr="00807721">
        <w:rPr>
          <w:rStyle w:val="SCCCounselPartyRoleChar"/>
        </w:rPr>
        <w:t>canadienne</w:t>
      </w:r>
      <w:r w:rsidR="00EA67CE">
        <w:rPr>
          <w:rStyle w:val="SCCCounselPartyRoleChar"/>
        </w:rPr>
        <w:noBreakHyphen/>
      </w:r>
      <w:r w:rsidRPr="00807721">
        <w:rPr>
          <w:rStyle w:val="SCCCounselPartyRoleChar"/>
        </w:rPr>
        <w:t>française</w:t>
      </w:r>
      <w:proofErr w:type="spellEnd"/>
      <w:r w:rsidRPr="00807721">
        <w:rPr>
          <w:rStyle w:val="SCCCounselPartyRoleChar"/>
        </w:rPr>
        <w:t xml:space="preserve"> de l’Alberta.</w:t>
      </w:r>
    </w:p>
    <w:p w:rsidR="00B83158" w:rsidRPr="00E31014" w:rsidRDefault="007E7A84" w:rsidP="00CD4256">
      <w:pPr>
        <w:pStyle w:val="SCCNormalDoubleSpacing"/>
        <w:spacing w:after="480"/>
        <w:rPr>
          <w:lang w:val="fr-CA"/>
        </w:rPr>
      </w:pPr>
      <w:r w:rsidRPr="00807721">
        <w:rPr>
          <w:rStyle w:val="SCCCounselNameChar"/>
        </w:rPr>
        <w:tab/>
      </w:r>
      <w:r w:rsidR="00E918B9" w:rsidRPr="00807721">
        <w:rPr>
          <w:rStyle w:val="SCCCounselNameChar"/>
          <w:i w:val="0"/>
        </w:rPr>
        <w:t>Argumentation écrite seulement par</w:t>
      </w:r>
      <w:r w:rsidR="00E918B9" w:rsidRPr="00807721">
        <w:rPr>
          <w:rStyle w:val="SCCCounselNameChar"/>
        </w:rPr>
        <w:t xml:space="preserve"> </w:t>
      </w:r>
      <w:r w:rsidRPr="00807721">
        <w:rPr>
          <w:rStyle w:val="SCCCounselNameChar"/>
        </w:rPr>
        <w:t xml:space="preserve">Cheryl </w:t>
      </w:r>
      <w:proofErr w:type="spellStart"/>
      <w:r w:rsidRPr="00807721">
        <w:rPr>
          <w:rStyle w:val="SCCCounselNameChar"/>
        </w:rPr>
        <w:t>Milne</w:t>
      </w:r>
      <w:proofErr w:type="spellEnd"/>
      <w:r w:rsidRPr="00807721">
        <w:rPr>
          <w:rStyle w:val="SCCCounselSeparatorChar"/>
        </w:rPr>
        <w:t xml:space="preserve"> et </w:t>
      </w:r>
      <w:r w:rsidRPr="00807721">
        <w:rPr>
          <w:rStyle w:val="SCCCounselNameChar"/>
        </w:rPr>
        <w:t xml:space="preserve">Lorne </w:t>
      </w:r>
      <w:proofErr w:type="spellStart"/>
      <w:r w:rsidRPr="00807721">
        <w:rPr>
          <w:rStyle w:val="SCCCounselNameChar"/>
        </w:rPr>
        <w:t>Sossin</w:t>
      </w:r>
      <w:proofErr w:type="spellEnd"/>
      <w:r w:rsidRPr="00807721">
        <w:rPr>
          <w:rStyle w:val="SCCCounselPartyRoleChar"/>
        </w:rPr>
        <w:t>, pour l</w:t>
      </w:r>
      <w:r w:rsidR="00B033A3" w:rsidRPr="00807721">
        <w:rPr>
          <w:rStyle w:val="SCCCounselPartyRoleChar"/>
        </w:rPr>
        <w:t>’</w:t>
      </w:r>
      <w:r w:rsidRPr="00807721">
        <w:rPr>
          <w:rStyle w:val="SCCCounselPartyRoleChar"/>
        </w:rPr>
        <w:t xml:space="preserve">intervenant David </w:t>
      </w:r>
      <w:proofErr w:type="spellStart"/>
      <w:r w:rsidRPr="00807721">
        <w:rPr>
          <w:rStyle w:val="SCCCounselPartyRoleChar"/>
        </w:rPr>
        <w:t>Asper</w:t>
      </w:r>
      <w:proofErr w:type="spellEnd"/>
      <w:r w:rsidRPr="00807721">
        <w:rPr>
          <w:rStyle w:val="SCCCounselPartyRoleChar"/>
        </w:rPr>
        <w:t xml:space="preserve"> Centre for </w:t>
      </w:r>
      <w:proofErr w:type="spellStart"/>
      <w:r w:rsidRPr="00807721">
        <w:rPr>
          <w:rStyle w:val="SCCCounselPartyRoleChar"/>
        </w:rPr>
        <w:t>Constitutional</w:t>
      </w:r>
      <w:proofErr w:type="spellEnd"/>
      <w:r w:rsidRPr="00807721">
        <w:rPr>
          <w:rStyle w:val="SCCCounselPartyRoleChar"/>
        </w:rPr>
        <w:t xml:space="preserve"> </w:t>
      </w:r>
      <w:proofErr w:type="spellStart"/>
      <w:r w:rsidRPr="00807721">
        <w:rPr>
          <w:rStyle w:val="SCCCounselPartyRoleChar"/>
        </w:rPr>
        <w:t>Rights</w:t>
      </w:r>
      <w:proofErr w:type="spellEnd"/>
      <w:r w:rsidRPr="00807721">
        <w:rPr>
          <w:rStyle w:val="SCCCounselPartyRoleChar"/>
        </w:rPr>
        <w:t>.</w:t>
      </w:r>
    </w:p>
    <w:p w:rsidR="008A622A" w:rsidRPr="00284778" w:rsidRDefault="007D1503" w:rsidP="004643C2">
      <w:pPr>
        <w:tabs>
          <w:tab w:val="left" w:pos="1080"/>
        </w:tabs>
        <w:spacing w:after="480" w:line="480" w:lineRule="auto"/>
        <w:rPr>
          <w:szCs w:val="24"/>
          <w:lang w:val="fr-CA"/>
        </w:rPr>
      </w:pPr>
      <w:r w:rsidRPr="00E31014">
        <w:rPr>
          <w:lang w:val="fr-CA"/>
        </w:rPr>
        <w:tab/>
      </w:r>
      <w:r w:rsidR="008A622A" w:rsidRPr="00284778">
        <w:rPr>
          <w:szCs w:val="24"/>
          <w:lang w:val="fr-CA"/>
        </w:rPr>
        <w:t>Version française du jugement</w:t>
      </w:r>
      <w:r w:rsidR="008A622A">
        <w:rPr>
          <w:szCs w:val="24"/>
          <w:lang w:val="fr-CA"/>
        </w:rPr>
        <w:t xml:space="preserve"> de la juge en chef </w:t>
      </w:r>
      <w:proofErr w:type="spellStart"/>
      <w:r w:rsidR="008A622A">
        <w:rPr>
          <w:szCs w:val="24"/>
          <w:lang w:val="fr-CA"/>
        </w:rPr>
        <w:t>McLachlin</w:t>
      </w:r>
      <w:proofErr w:type="spellEnd"/>
      <w:r w:rsidR="008A622A">
        <w:rPr>
          <w:szCs w:val="24"/>
          <w:lang w:val="fr-CA"/>
        </w:rPr>
        <w:t xml:space="preserve"> et </w:t>
      </w:r>
      <w:r w:rsidR="008A622A" w:rsidRPr="00284778">
        <w:rPr>
          <w:szCs w:val="24"/>
          <w:lang w:val="fr-CA"/>
        </w:rPr>
        <w:t xml:space="preserve">des juges </w:t>
      </w:r>
      <w:proofErr w:type="spellStart"/>
      <w:r w:rsidR="008A622A">
        <w:rPr>
          <w:szCs w:val="24"/>
          <w:lang w:val="fr-CA"/>
        </w:rPr>
        <w:t>Binnie</w:t>
      </w:r>
      <w:proofErr w:type="spellEnd"/>
      <w:r w:rsidR="008A622A">
        <w:rPr>
          <w:szCs w:val="24"/>
          <w:lang w:val="fr-CA"/>
        </w:rPr>
        <w:t xml:space="preserve">, </w:t>
      </w:r>
      <w:proofErr w:type="spellStart"/>
      <w:r w:rsidR="008A622A">
        <w:rPr>
          <w:szCs w:val="24"/>
          <w:lang w:val="fr-CA"/>
        </w:rPr>
        <w:t>LeBel</w:t>
      </w:r>
      <w:proofErr w:type="spellEnd"/>
      <w:r w:rsidR="008A622A">
        <w:rPr>
          <w:szCs w:val="24"/>
          <w:lang w:val="fr-CA"/>
        </w:rPr>
        <w:t xml:space="preserve">, Deschamps, Fish, Charron, </w:t>
      </w:r>
      <w:proofErr w:type="spellStart"/>
      <w:r w:rsidR="008A622A">
        <w:rPr>
          <w:szCs w:val="24"/>
          <w:lang w:val="fr-CA"/>
        </w:rPr>
        <w:t>Rothstein</w:t>
      </w:r>
      <w:proofErr w:type="spellEnd"/>
      <w:r w:rsidR="008A622A" w:rsidRPr="00284778">
        <w:rPr>
          <w:szCs w:val="24"/>
          <w:lang w:val="fr-CA"/>
        </w:rPr>
        <w:t xml:space="preserve"> et C</w:t>
      </w:r>
      <w:r w:rsidR="008A622A">
        <w:rPr>
          <w:szCs w:val="24"/>
          <w:lang w:val="fr-CA"/>
        </w:rPr>
        <w:t>romwell</w:t>
      </w:r>
      <w:r w:rsidR="008A622A" w:rsidRPr="00284778">
        <w:rPr>
          <w:szCs w:val="24"/>
          <w:lang w:val="fr-CA"/>
        </w:rPr>
        <w:t xml:space="preserve"> rendu par</w:t>
      </w:r>
    </w:p>
    <w:p w:rsidR="007D1503" w:rsidRPr="00E932DB" w:rsidRDefault="008A622A" w:rsidP="004643C2">
      <w:pPr>
        <w:pStyle w:val="ReasonsNumbering-AltN"/>
        <w:tabs>
          <w:tab w:val="clear" w:pos="1152"/>
          <w:tab w:val="left" w:pos="1170"/>
        </w:tabs>
        <w:ind w:left="0" w:firstLine="0"/>
        <w:rPr>
          <w:lang w:val="fr-CA"/>
        </w:rPr>
      </w:pPr>
      <w:r w:rsidRPr="008A622A">
        <w:rPr>
          <w:smallCaps/>
          <w:lang w:val="fr-CA"/>
        </w:rPr>
        <w:t>Le juge</w:t>
      </w:r>
      <w:r w:rsidRPr="008A622A">
        <w:rPr>
          <w:lang w:val="fr-CA"/>
        </w:rPr>
        <w:t xml:space="preserve"> </w:t>
      </w:r>
      <w:proofErr w:type="spellStart"/>
      <w:r w:rsidRPr="008A622A">
        <w:rPr>
          <w:smallCaps/>
          <w:lang w:val="fr-CA"/>
        </w:rPr>
        <w:t>Binnie</w:t>
      </w:r>
      <w:proofErr w:type="spellEnd"/>
      <w:r w:rsidRPr="008A622A">
        <w:rPr>
          <w:smallCaps/>
          <w:lang w:val="fr-CA"/>
        </w:rPr>
        <w:t xml:space="preserve"> </w:t>
      </w:r>
      <w:r w:rsidRPr="008A622A">
        <w:rPr>
          <w:lang w:val="fr-CA"/>
        </w:rPr>
        <w:t xml:space="preserve">— </w:t>
      </w:r>
      <w:r w:rsidR="007D1503" w:rsidRPr="00E932DB">
        <w:rPr>
          <w:lang w:val="fr-CA"/>
        </w:rPr>
        <w:t>Le présent pourvoi soulève de nouveau l</w:t>
      </w:r>
      <w:r w:rsidR="007D1503">
        <w:rPr>
          <w:lang w:val="fr-CA"/>
        </w:rPr>
        <w:t>’</w:t>
      </w:r>
      <w:r w:rsidR="007D1503" w:rsidRPr="00E932DB">
        <w:rPr>
          <w:lang w:val="fr-CA"/>
        </w:rPr>
        <w:t>épineuse question de savoir si et dans quelle mesure les tribunaux peuvent (ou devraient) ordonner à l</w:t>
      </w:r>
      <w:r w:rsidR="007D1503">
        <w:rPr>
          <w:lang w:val="fr-CA"/>
        </w:rPr>
        <w:t>’</w:t>
      </w:r>
      <w:r w:rsidR="007D1503" w:rsidRPr="00E932DB">
        <w:rPr>
          <w:lang w:val="fr-CA"/>
        </w:rPr>
        <w:t>État de financer ce que l</w:t>
      </w:r>
      <w:r w:rsidR="007D1503">
        <w:rPr>
          <w:lang w:val="fr-CA"/>
        </w:rPr>
        <w:t>’</w:t>
      </w:r>
      <w:r w:rsidR="007D1503" w:rsidRPr="00E932DB">
        <w:rPr>
          <w:lang w:val="fr-CA"/>
        </w:rPr>
        <w:t>on peut généralement qualifier de litige d</w:t>
      </w:r>
      <w:r w:rsidR="007D1503">
        <w:rPr>
          <w:lang w:val="fr-CA"/>
        </w:rPr>
        <w:t>’</w:t>
      </w:r>
      <w:r w:rsidR="007D1503" w:rsidRPr="00E932DB">
        <w:rPr>
          <w:lang w:val="fr-CA"/>
        </w:rPr>
        <w:t>intérêt public.  L</w:t>
      </w:r>
      <w:r w:rsidR="007D1503">
        <w:rPr>
          <w:lang w:val="fr-CA"/>
        </w:rPr>
        <w:t>’</w:t>
      </w:r>
      <w:r w:rsidR="007D1503" w:rsidRPr="00E932DB">
        <w:rPr>
          <w:lang w:val="fr-CA"/>
        </w:rPr>
        <w:t>affaire présente une dimension nouvelle en ce que la Cour du Banc de la Reine de l</w:t>
      </w:r>
      <w:r w:rsidR="007D1503">
        <w:rPr>
          <w:lang w:val="fr-CA"/>
        </w:rPr>
        <w:t>’</w:t>
      </w:r>
      <w:r w:rsidR="007D1503" w:rsidRPr="00E932DB">
        <w:rPr>
          <w:lang w:val="fr-CA"/>
        </w:rPr>
        <w:t xml:space="preserve">Alberta </w:t>
      </w:r>
      <w:r w:rsidR="007D1503">
        <w:rPr>
          <w:lang w:val="fr-CA"/>
        </w:rPr>
        <w:t>—</w:t>
      </w:r>
      <w:r w:rsidR="007D1503" w:rsidRPr="00E932DB">
        <w:rPr>
          <w:lang w:val="fr-CA"/>
        </w:rPr>
        <w:t xml:space="preserve"> une cour s</w:t>
      </w:r>
      <w:r w:rsidR="007D1503" w:rsidRPr="00E932DB">
        <w:rPr>
          <w:i/>
          <w:iCs/>
          <w:lang w:val="fr-CA"/>
        </w:rPr>
        <w:t>upérieure</w:t>
      </w:r>
      <w:r w:rsidR="007D1503" w:rsidRPr="00E932DB">
        <w:rPr>
          <w:lang w:val="fr-CA"/>
        </w:rPr>
        <w:t xml:space="preserve"> </w:t>
      </w:r>
      <w:r w:rsidR="007D1503">
        <w:rPr>
          <w:lang w:val="fr-CA"/>
        </w:rPr>
        <w:t>—</w:t>
      </w:r>
      <w:r w:rsidR="007D1503" w:rsidRPr="00E932DB">
        <w:rPr>
          <w:lang w:val="fr-CA"/>
        </w:rPr>
        <w:t xml:space="preserve"> a ordonné le versement </w:t>
      </w:r>
      <w:r w:rsidR="007D1503" w:rsidRPr="00E932DB">
        <w:rPr>
          <w:lang w:val="fr-CA"/>
        </w:rPr>
        <w:lastRenderedPageBreak/>
        <w:t>d</w:t>
      </w:r>
      <w:r w:rsidR="007D1503">
        <w:rPr>
          <w:lang w:val="fr-CA"/>
        </w:rPr>
        <w:t>’</w:t>
      </w:r>
      <w:r w:rsidR="007D1503" w:rsidRPr="00E932DB">
        <w:rPr>
          <w:lang w:val="fr-CA"/>
        </w:rPr>
        <w:t xml:space="preserve">une provision pour frais à un accusé poursuivi pour une infraction réglementaire devant la Cour </w:t>
      </w:r>
      <w:r w:rsidR="007D1503" w:rsidRPr="00E932DB">
        <w:rPr>
          <w:i/>
          <w:iCs/>
          <w:lang w:val="fr-CA"/>
        </w:rPr>
        <w:t xml:space="preserve">provinciale </w:t>
      </w:r>
      <w:r w:rsidR="007D1503" w:rsidRPr="00E932DB">
        <w:rPr>
          <w:lang w:val="fr-CA"/>
        </w:rPr>
        <w:t>de l</w:t>
      </w:r>
      <w:r w:rsidR="007D1503">
        <w:rPr>
          <w:lang w:val="fr-CA"/>
        </w:rPr>
        <w:t>’</w:t>
      </w:r>
      <w:r w:rsidR="007D1503" w:rsidRPr="00E932DB">
        <w:rPr>
          <w:lang w:val="fr-CA"/>
        </w:rPr>
        <w:t>Alberta.  Le ministère public appelant affirme que la cour supérieure n</w:t>
      </w:r>
      <w:r w:rsidR="007D1503">
        <w:rPr>
          <w:lang w:val="fr-CA"/>
        </w:rPr>
        <w:t>’</w:t>
      </w:r>
      <w:r w:rsidR="007D1503" w:rsidRPr="00E932DB">
        <w:rPr>
          <w:lang w:val="fr-CA"/>
        </w:rPr>
        <w:t>avait pas compétence pour rendre une ordonnance de provision pour frais et que, même si elle possédait la compétence requise, cette ordonnance était, de toute façon, irrégulière.</w:t>
      </w:r>
    </w:p>
    <w:p w:rsidR="007D1503" w:rsidRPr="00E932DB" w:rsidRDefault="007D1503" w:rsidP="00EF00B0">
      <w:pPr>
        <w:pStyle w:val="ReasonsNumbering-AltN"/>
        <w:ind w:left="0" w:firstLine="0"/>
        <w:rPr>
          <w:lang w:val="fr-CA"/>
        </w:rPr>
      </w:pPr>
      <w:r w:rsidRPr="00E932DB">
        <w:rPr>
          <w:lang w:val="fr-CA"/>
        </w:rPr>
        <w:t>Voici le contexte du présent pourvoi.</w:t>
      </w:r>
    </w:p>
    <w:p w:rsidR="007D1503" w:rsidRPr="00E932DB" w:rsidRDefault="007D1503" w:rsidP="00EF00B0">
      <w:pPr>
        <w:pStyle w:val="ReasonsNumbering-AltN"/>
        <w:ind w:left="0" w:firstLine="0"/>
        <w:rPr>
          <w:lang w:val="fr-CA"/>
        </w:rPr>
      </w:pPr>
      <w:r w:rsidRPr="00E932DB">
        <w:rPr>
          <w:lang w:val="fr-CA"/>
        </w:rPr>
        <w:t>Au cours d</w:t>
      </w:r>
      <w:r>
        <w:rPr>
          <w:lang w:val="fr-CA"/>
        </w:rPr>
        <w:t>’</w:t>
      </w:r>
      <w:r w:rsidRPr="00E932DB">
        <w:rPr>
          <w:lang w:val="fr-CA"/>
        </w:rPr>
        <w:t xml:space="preserve">une poursuite de routine relative à une infraction mineure au code de la route </w:t>
      </w:r>
      <w:r>
        <w:rPr>
          <w:lang w:val="fr-CA"/>
        </w:rPr>
        <w:t>—</w:t>
      </w:r>
      <w:r w:rsidRPr="00E932DB">
        <w:rPr>
          <w:lang w:val="fr-CA"/>
        </w:rPr>
        <w:t xml:space="preserve"> un virage à gauche illicite </w:t>
      </w:r>
      <w:r>
        <w:rPr>
          <w:lang w:val="fr-CA"/>
        </w:rPr>
        <w:t>—</w:t>
      </w:r>
      <w:r w:rsidRPr="00E932DB">
        <w:rPr>
          <w:lang w:val="fr-CA"/>
        </w:rPr>
        <w:t xml:space="preserve"> l</w:t>
      </w:r>
      <w:r>
        <w:rPr>
          <w:lang w:val="fr-CA"/>
        </w:rPr>
        <w:t>’</w:t>
      </w:r>
      <w:r w:rsidRPr="00E932DB">
        <w:rPr>
          <w:lang w:val="fr-CA"/>
        </w:rPr>
        <w:t xml:space="preserve">accusé, </w:t>
      </w:r>
      <w:r>
        <w:rPr>
          <w:lang w:val="fr-CA"/>
        </w:rPr>
        <w:t>M. Caron</w:t>
      </w:r>
      <w:r w:rsidRPr="00E932DB">
        <w:rPr>
          <w:lang w:val="fr-CA"/>
        </w:rPr>
        <w:t>, a prétendu que la procédure était entachée de nullité parce que les documents de la cour étaient rédigés uniquement en anglais.  Il a soutenu avec insistance qu</w:t>
      </w:r>
      <w:r>
        <w:rPr>
          <w:lang w:val="fr-CA"/>
        </w:rPr>
        <w:t>’</w:t>
      </w:r>
      <w:r w:rsidRPr="00E932DB">
        <w:rPr>
          <w:lang w:val="fr-CA"/>
        </w:rPr>
        <w:t>il avait le droit d</w:t>
      </w:r>
      <w:r>
        <w:rPr>
          <w:lang w:val="fr-CA"/>
        </w:rPr>
        <w:t>’</w:t>
      </w:r>
      <w:r w:rsidRPr="00E932DB">
        <w:rPr>
          <w:lang w:val="fr-CA"/>
        </w:rPr>
        <w:t xml:space="preserve">utiliser le français dans </w:t>
      </w:r>
      <w:r>
        <w:rPr>
          <w:lang w:val="fr-CA"/>
        </w:rPr>
        <w:t>« </w:t>
      </w:r>
      <w:r w:rsidRPr="00E932DB">
        <w:rPr>
          <w:lang w:val="fr-CA"/>
        </w:rPr>
        <w:t xml:space="preserve">les procédures devant les </w:t>
      </w:r>
      <w:r w:rsidR="008A622A">
        <w:rPr>
          <w:lang w:val="fr-CA"/>
        </w:rPr>
        <w:t>cours</w:t>
      </w:r>
      <w:r>
        <w:rPr>
          <w:lang w:val="fr-CA"/>
        </w:rPr>
        <w:t> »</w:t>
      </w:r>
      <w:r w:rsidRPr="00E932DB">
        <w:rPr>
          <w:lang w:val="fr-CA"/>
        </w:rPr>
        <w:t xml:space="preserve"> de l</w:t>
      </w:r>
      <w:r>
        <w:rPr>
          <w:lang w:val="fr-CA"/>
        </w:rPr>
        <w:t>’</w:t>
      </w:r>
      <w:r w:rsidRPr="00E932DB">
        <w:rPr>
          <w:lang w:val="fr-CA"/>
        </w:rPr>
        <w:t>Alberta, droit qui lui est garanti depuis 1886 par l</w:t>
      </w:r>
      <w:r>
        <w:rPr>
          <w:lang w:val="fr-CA"/>
        </w:rPr>
        <w:t>’</w:t>
      </w:r>
      <w:r w:rsidRPr="00E932DB">
        <w:rPr>
          <w:i/>
          <w:iCs/>
          <w:lang w:val="fr-CA"/>
        </w:rPr>
        <w:t>Acte des t</w:t>
      </w:r>
      <w:r>
        <w:rPr>
          <w:i/>
          <w:iCs/>
          <w:lang w:val="fr-CA"/>
        </w:rPr>
        <w:t xml:space="preserve">erritoires du </w:t>
      </w:r>
      <w:proofErr w:type="spellStart"/>
      <w:r>
        <w:rPr>
          <w:i/>
          <w:iCs/>
          <w:lang w:val="fr-CA"/>
        </w:rPr>
        <w:t>Nord</w:t>
      </w:r>
      <w:r>
        <w:rPr>
          <w:i/>
          <w:iCs/>
          <w:lang w:val="fr-CA"/>
        </w:rPr>
        <w:noBreakHyphen/>
      </w:r>
      <w:r w:rsidRPr="00E932DB">
        <w:rPr>
          <w:i/>
          <w:iCs/>
          <w:lang w:val="fr-CA"/>
        </w:rPr>
        <w:t>Ouest</w:t>
      </w:r>
      <w:proofErr w:type="spellEnd"/>
      <w:r w:rsidRPr="00E932DB">
        <w:rPr>
          <w:lang w:val="fr-CA"/>
        </w:rPr>
        <w:t xml:space="preserve">, S.R.C. 1886, ch. 50, et par la </w:t>
      </w:r>
      <w:r w:rsidRPr="00E932DB">
        <w:rPr>
          <w:i/>
          <w:iCs/>
          <w:lang w:val="fr-CA"/>
        </w:rPr>
        <w:t>Proclamation royale de</w:t>
      </w:r>
      <w:r>
        <w:rPr>
          <w:i/>
          <w:iCs/>
          <w:lang w:val="fr-CA"/>
        </w:rPr>
        <w:t xml:space="preserve"> </w:t>
      </w:r>
      <w:r w:rsidRPr="00E932DB">
        <w:rPr>
          <w:i/>
          <w:iCs/>
          <w:lang w:val="fr-CA"/>
        </w:rPr>
        <w:t>1869</w:t>
      </w:r>
      <w:r w:rsidRPr="00E932DB">
        <w:rPr>
          <w:lang w:val="fr-CA"/>
        </w:rPr>
        <w:t xml:space="preserve">.  Selon lui, la province ne peut maintenant abroger les droits linguistiques de la minorité francophone, et la </w:t>
      </w:r>
      <w:r w:rsidRPr="00E932DB">
        <w:rPr>
          <w:i/>
          <w:iCs/>
          <w:lang w:val="fr-CA"/>
        </w:rPr>
        <w:t xml:space="preserve">Loi linguistique </w:t>
      </w:r>
      <w:r w:rsidRPr="00E932DB">
        <w:rPr>
          <w:lang w:val="fr-CA"/>
        </w:rPr>
        <w:t>de l</w:t>
      </w:r>
      <w:r>
        <w:rPr>
          <w:lang w:val="fr-CA"/>
        </w:rPr>
        <w:t>’</w:t>
      </w:r>
      <w:r w:rsidRPr="00E932DB">
        <w:rPr>
          <w:lang w:val="fr-CA"/>
        </w:rPr>
        <w:t>Alberta</w:t>
      </w:r>
      <w:r>
        <w:rPr>
          <w:lang w:val="fr-CA"/>
        </w:rPr>
        <w:t xml:space="preserve">, R.S.A. </w:t>
      </w:r>
      <w:r w:rsidRPr="00E932DB">
        <w:rPr>
          <w:lang w:val="fr-CA"/>
        </w:rPr>
        <w:t>2000, ch. L</w:t>
      </w:r>
      <w:r w:rsidRPr="00E932DB">
        <w:rPr>
          <w:lang w:val="fr-CA"/>
        </w:rPr>
        <w:noBreakHyphen/>
        <w:t>6, qui vise à abolir ces droits, est par conséquent inconstitutionnelle.</w:t>
      </w:r>
    </w:p>
    <w:p w:rsidR="007D1503" w:rsidRPr="00E932DB" w:rsidRDefault="007D1503" w:rsidP="00EF00B0">
      <w:pPr>
        <w:pStyle w:val="ReasonsNumbering-AltN"/>
        <w:ind w:left="0" w:firstLine="0"/>
        <w:rPr>
          <w:lang w:val="fr-CA"/>
        </w:rPr>
      </w:pPr>
      <w:r w:rsidRPr="003B1792">
        <w:rPr>
          <w:lang w:val="fr-CA"/>
        </w:rPr>
        <w:t>Notre</w:t>
      </w:r>
      <w:r w:rsidRPr="00E932DB">
        <w:rPr>
          <w:lang w:val="fr-CA"/>
        </w:rPr>
        <w:t xml:space="preserve"> Cour n</w:t>
      </w:r>
      <w:r>
        <w:rPr>
          <w:lang w:val="fr-CA"/>
        </w:rPr>
        <w:t>’</w:t>
      </w:r>
      <w:r w:rsidRPr="00E932DB">
        <w:rPr>
          <w:lang w:val="fr-CA"/>
        </w:rPr>
        <w:t>est actuellement saisie que de deux ordonnances de provision pour frais de la Cour</w:t>
      </w:r>
      <w:r>
        <w:rPr>
          <w:lang w:val="fr-CA"/>
        </w:rPr>
        <w:t xml:space="preserve"> du Banc de la Reine.  M</w:t>
      </w:r>
      <w:r w:rsidR="00031858">
        <w:rPr>
          <w:lang w:val="fr-CA"/>
        </w:rPr>
        <w:t>.</w:t>
      </w:r>
      <w:r>
        <w:rPr>
          <w:lang w:val="fr-CA"/>
        </w:rPr>
        <w:t xml:space="preserve"> </w:t>
      </w:r>
      <w:r w:rsidRPr="00E932DB">
        <w:rPr>
          <w:lang w:val="fr-CA"/>
        </w:rPr>
        <w:t>Caron a déposé sa demande de provision pour frais à une étape tardive du procès devant la Cour provinciale, au moment où, après une série d</w:t>
      </w:r>
      <w:r>
        <w:rPr>
          <w:lang w:val="fr-CA"/>
        </w:rPr>
        <w:t>’</w:t>
      </w:r>
      <w:r w:rsidRPr="00E932DB">
        <w:rPr>
          <w:lang w:val="fr-CA"/>
        </w:rPr>
        <w:t xml:space="preserve">audiences qui se </w:t>
      </w:r>
      <w:r>
        <w:rPr>
          <w:lang w:val="fr-CA"/>
        </w:rPr>
        <w:t xml:space="preserve">sont échelonnées sur environ 18 </w:t>
      </w:r>
      <w:r w:rsidRPr="00E932DB">
        <w:rPr>
          <w:lang w:val="fr-CA"/>
        </w:rPr>
        <w:t xml:space="preserve">mois, </w:t>
      </w:r>
      <w:r w:rsidRPr="00E932DB">
        <w:rPr>
          <w:lang w:val="fr-CA"/>
        </w:rPr>
        <w:lastRenderedPageBreak/>
        <w:t xml:space="preserve">le ministère </w:t>
      </w:r>
      <w:r>
        <w:rPr>
          <w:lang w:val="fr-CA"/>
        </w:rPr>
        <w:t xml:space="preserve">public a déposé en </w:t>
      </w:r>
      <w:proofErr w:type="spellStart"/>
      <w:r>
        <w:rPr>
          <w:lang w:val="fr-CA"/>
        </w:rPr>
        <w:t>contre</w:t>
      </w:r>
      <w:r>
        <w:rPr>
          <w:lang w:val="fr-CA"/>
        </w:rPr>
        <w:noBreakHyphen/>
      </w:r>
      <w:r w:rsidRPr="00E932DB">
        <w:rPr>
          <w:lang w:val="fr-CA"/>
        </w:rPr>
        <w:t>preuve</w:t>
      </w:r>
      <w:proofErr w:type="spellEnd"/>
      <w:r w:rsidRPr="00E932DB">
        <w:rPr>
          <w:lang w:val="fr-CA"/>
        </w:rPr>
        <w:t xml:space="preserve"> ce que l</w:t>
      </w:r>
      <w:r>
        <w:rPr>
          <w:lang w:val="fr-CA"/>
        </w:rPr>
        <w:t>’</w:t>
      </w:r>
      <w:r w:rsidRPr="00E932DB">
        <w:rPr>
          <w:lang w:val="fr-CA"/>
        </w:rPr>
        <w:t xml:space="preserve">avocat de </w:t>
      </w:r>
      <w:r>
        <w:rPr>
          <w:lang w:val="fr-CA"/>
        </w:rPr>
        <w:t>M. Caron</w:t>
      </w:r>
      <w:r w:rsidRPr="00E932DB">
        <w:rPr>
          <w:lang w:val="fr-CA"/>
        </w:rPr>
        <w:t xml:space="preserve"> a qualifié de montagne d</w:t>
      </w:r>
      <w:r>
        <w:rPr>
          <w:lang w:val="fr-CA"/>
        </w:rPr>
        <w:t>’</w:t>
      </w:r>
      <w:r w:rsidRPr="00E932DB">
        <w:rPr>
          <w:lang w:val="fr-CA"/>
        </w:rPr>
        <w:t>éléments de preuve historique.  M</w:t>
      </w:r>
      <w:r w:rsidR="00031858">
        <w:rPr>
          <w:lang w:val="fr-CA"/>
        </w:rPr>
        <w:t>.</w:t>
      </w:r>
      <w:r w:rsidRPr="00E932DB">
        <w:rPr>
          <w:lang w:val="fr-CA"/>
        </w:rPr>
        <w:t xml:space="preserve"> Caron </w:t>
      </w:r>
      <w:r>
        <w:rPr>
          <w:lang w:val="fr-CA"/>
        </w:rPr>
        <w:t>—</w:t>
      </w:r>
      <w:r w:rsidRPr="00E932DB">
        <w:rPr>
          <w:lang w:val="fr-CA"/>
        </w:rPr>
        <w:t xml:space="preserve"> qui n</w:t>
      </w:r>
      <w:r>
        <w:rPr>
          <w:lang w:val="fr-CA"/>
        </w:rPr>
        <w:t>’</w:t>
      </w:r>
      <w:r w:rsidRPr="00E932DB">
        <w:rPr>
          <w:lang w:val="fr-CA"/>
        </w:rPr>
        <w:t>avait plus d</w:t>
      </w:r>
      <w:r>
        <w:rPr>
          <w:lang w:val="fr-CA"/>
        </w:rPr>
        <w:t>’</w:t>
      </w:r>
      <w:r w:rsidRPr="00E932DB">
        <w:rPr>
          <w:lang w:val="fr-CA"/>
        </w:rPr>
        <w:t xml:space="preserve">argent </w:t>
      </w:r>
      <w:r>
        <w:rPr>
          <w:lang w:val="fr-CA"/>
        </w:rPr>
        <w:t>—</w:t>
      </w:r>
      <w:r w:rsidRPr="00E932DB">
        <w:rPr>
          <w:lang w:val="fr-CA"/>
        </w:rPr>
        <w:t xml:space="preserve"> a convaincu la Cour provinciale qu</w:t>
      </w:r>
      <w:r>
        <w:rPr>
          <w:lang w:val="fr-CA"/>
        </w:rPr>
        <w:t>’</w:t>
      </w:r>
      <w:r w:rsidRPr="00E932DB">
        <w:rPr>
          <w:lang w:val="fr-CA"/>
        </w:rPr>
        <w:t>il était incapable d</w:t>
      </w:r>
      <w:r>
        <w:rPr>
          <w:lang w:val="fr-CA"/>
        </w:rPr>
        <w:t>’</w:t>
      </w:r>
      <w:r w:rsidRPr="00E932DB">
        <w:rPr>
          <w:lang w:val="fr-CA"/>
        </w:rPr>
        <w:t xml:space="preserve">assumer les frais de la </w:t>
      </w:r>
      <w:proofErr w:type="spellStart"/>
      <w:r w:rsidRPr="00E932DB">
        <w:rPr>
          <w:lang w:val="fr-CA"/>
        </w:rPr>
        <w:t>contre</w:t>
      </w:r>
      <w:r w:rsidRPr="00E932DB">
        <w:rPr>
          <w:lang w:val="fr-CA"/>
        </w:rPr>
        <w:noBreakHyphen/>
        <w:t>preuve</w:t>
      </w:r>
      <w:proofErr w:type="spellEnd"/>
      <w:r w:rsidRPr="00E932DB">
        <w:rPr>
          <w:lang w:val="fr-CA"/>
        </w:rPr>
        <w:t>, nécessaire au dénouement du procès, à moins qu</w:t>
      </w:r>
      <w:r>
        <w:rPr>
          <w:lang w:val="fr-CA"/>
        </w:rPr>
        <w:t>’</w:t>
      </w:r>
      <w:r w:rsidRPr="00E932DB">
        <w:rPr>
          <w:lang w:val="fr-CA"/>
        </w:rPr>
        <w:t>on ne lui accorde une provision pour frais.  La Cour provinciale a prononcé l</w:t>
      </w:r>
      <w:r>
        <w:rPr>
          <w:lang w:val="fr-CA"/>
        </w:rPr>
        <w:t>’</w:t>
      </w:r>
      <w:r w:rsidRPr="00E932DB">
        <w:rPr>
          <w:lang w:val="fr-CA"/>
        </w:rPr>
        <w:t>ordonnance sollicitée.  La Cour du Banc de la Reine de l</w:t>
      </w:r>
      <w:r>
        <w:rPr>
          <w:lang w:val="fr-CA"/>
        </w:rPr>
        <w:t>’</w:t>
      </w:r>
      <w:r w:rsidRPr="00E932DB">
        <w:rPr>
          <w:lang w:val="fr-CA"/>
        </w:rPr>
        <w:t>Alberta a annulé l</w:t>
      </w:r>
      <w:r>
        <w:rPr>
          <w:lang w:val="fr-CA"/>
        </w:rPr>
        <w:t>’</w:t>
      </w:r>
      <w:r w:rsidRPr="00E932DB">
        <w:rPr>
          <w:lang w:val="fr-CA"/>
        </w:rPr>
        <w:t>ordonnance de la Cour provinciale au motif qu</w:t>
      </w:r>
      <w:r>
        <w:rPr>
          <w:lang w:val="fr-CA"/>
        </w:rPr>
        <w:t>’</w:t>
      </w:r>
      <w:r w:rsidRPr="00E932DB">
        <w:rPr>
          <w:lang w:val="fr-CA"/>
        </w:rPr>
        <w:t>elle avait été rendue sans compétence, mais a néanmoins conclu qu</w:t>
      </w:r>
      <w:r>
        <w:rPr>
          <w:lang w:val="fr-CA"/>
        </w:rPr>
        <w:t xml:space="preserve">’elle pouvait </w:t>
      </w:r>
      <w:proofErr w:type="spellStart"/>
      <w:r>
        <w:rPr>
          <w:lang w:val="fr-CA"/>
        </w:rPr>
        <w:t>elle</w:t>
      </w:r>
      <w:r>
        <w:rPr>
          <w:lang w:val="fr-CA"/>
        </w:rPr>
        <w:noBreakHyphen/>
      </w:r>
      <w:r w:rsidRPr="00E932DB">
        <w:rPr>
          <w:lang w:val="fr-CA"/>
        </w:rPr>
        <w:t>même</w:t>
      </w:r>
      <w:proofErr w:type="spellEnd"/>
      <w:r w:rsidRPr="00E932DB">
        <w:rPr>
          <w:lang w:val="fr-CA"/>
        </w:rPr>
        <w:t xml:space="preserve"> accorder une provision pour frais </w:t>
      </w:r>
      <w:r>
        <w:rPr>
          <w:lang w:val="fr-CA"/>
        </w:rPr>
        <w:t>—</w:t>
      </w:r>
      <w:r w:rsidRPr="00E932DB">
        <w:rPr>
          <w:lang w:val="fr-CA"/>
        </w:rPr>
        <w:t xml:space="preserve"> ce qu</w:t>
      </w:r>
      <w:r>
        <w:rPr>
          <w:lang w:val="fr-CA"/>
        </w:rPr>
        <w:t>’</w:t>
      </w:r>
      <w:r w:rsidRPr="00E932DB">
        <w:rPr>
          <w:lang w:val="fr-CA"/>
        </w:rPr>
        <w:t>elle a d</w:t>
      </w:r>
      <w:r>
        <w:rPr>
          <w:lang w:val="fr-CA"/>
        </w:rPr>
        <w:t>’</w:t>
      </w:r>
      <w:r w:rsidRPr="00E932DB">
        <w:rPr>
          <w:lang w:val="fr-CA"/>
        </w:rPr>
        <w:t xml:space="preserve">ailleurs fait.  La validité des ordonnances de la Cour du Banc de la Reine accordant des provisions pour frais pour financer la défense de </w:t>
      </w:r>
      <w:r>
        <w:rPr>
          <w:lang w:val="fr-CA"/>
        </w:rPr>
        <w:t>M. Caron</w:t>
      </w:r>
      <w:r w:rsidRPr="00E932DB">
        <w:rPr>
          <w:lang w:val="fr-CA"/>
        </w:rPr>
        <w:t xml:space="preserve"> devant la Cour provinciale fait maintenant l</w:t>
      </w:r>
      <w:r>
        <w:rPr>
          <w:lang w:val="fr-CA"/>
        </w:rPr>
        <w:t>’</w:t>
      </w:r>
      <w:r w:rsidRPr="00E932DB">
        <w:rPr>
          <w:lang w:val="fr-CA"/>
        </w:rPr>
        <w:t>objet du présent pourvoi.</w:t>
      </w:r>
    </w:p>
    <w:p w:rsidR="007D1503" w:rsidRPr="00E932DB" w:rsidRDefault="007D1503" w:rsidP="00EF00B0">
      <w:pPr>
        <w:pStyle w:val="ReasonsNumbering-AltN"/>
        <w:ind w:left="0" w:firstLine="0"/>
        <w:rPr>
          <w:lang w:val="fr-CA"/>
        </w:rPr>
      </w:pPr>
      <w:r w:rsidRPr="003B1792">
        <w:rPr>
          <w:lang w:val="fr-CA"/>
        </w:rPr>
        <w:t>Selon</w:t>
      </w:r>
      <w:r w:rsidRPr="00E932DB">
        <w:rPr>
          <w:lang w:val="fr-CA"/>
        </w:rPr>
        <w:t xml:space="preserve"> le ministère public, bien que la Cour du Banc de la Reine de l</w:t>
      </w:r>
      <w:r>
        <w:rPr>
          <w:lang w:val="fr-CA"/>
        </w:rPr>
        <w:t>’</w:t>
      </w:r>
      <w:r w:rsidRPr="00E932DB">
        <w:rPr>
          <w:lang w:val="fr-CA"/>
        </w:rPr>
        <w:t>Alberta ait jugé que la Cour provinciale se heurtait à un résultat inacceptable dans le contexte d</w:t>
      </w:r>
      <w:r>
        <w:rPr>
          <w:lang w:val="fr-CA"/>
        </w:rPr>
        <w:t>’</w:t>
      </w:r>
      <w:r w:rsidRPr="00E932DB">
        <w:rPr>
          <w:lang w:val="fr-CA"/>
        </w:rPr>
        <w:t>une contestation constitutionnelle d</w:t>
      </w:r>
      <w:r>
        <w:rPr>
          <w:lang w:val="fr-CA"/>
        </w:rPr>
        <w:t>’</w:t>
      </w:r>
      <w:r w:rsidRPr="00E932DB">
        <w:rPr>
          <w:lang w:val="fr-CA"/>
        </w:rPr>
        <w:t>une grande importance pour le public, la Cour du Banc de la Reine n</w:t>
      </w:r>
      <w:r>
        <w:rPr>
          <w:lang w:val="fr-CA"/>
        </w:rPr>
        <w:t>’</w:t>
      </w:r>
      <w:r w:rsidRPr="00E932DB">
        <w:rPr>
          <w:lang w:val="fr-CA"/>
        </w:rPr>
        <w:t xml:space="preserve">avait pas compétence, en tant que cour </w:t>
      </w:r>
      <w:r w:rsidRPr="003B1792">
        <w:rPr>
          <w:i/>
          <w:lang w:val="fr-CA"/>
        </w:rPr>
        <w:t>s</w:t>
      </w:r>
      <w:r w:rsidRPr="00E932DB">
        <w:rPr>
          <w:i/>
          <w:iCs/>
          <w:lang w:val="fr-CA"/>
        </w:rPr>
        <w:t>upérieure</w:t>
      </w:r>
      <w:r w:rsidRPr="00E932DB">
        <w:rPr>
          <w:iCs/>
          <w:lang w:val="fr-CA"/>
        </w:rPr>
        <w:t>,</w:t>
      </w:r>
      <w:r w:rsidRPr="00E932DB">
        <w:rPr>
          <w:lang w:val="fr-CA"/>
        </w:rPr>
        <w:t xml:space="preserve"> pour intervenir en prononçant une ordonnance de financement pour s</w:t>
      </w:r>
      <w:r>
        <w:rPr>
          <w:lang w:val="fr-CA"/>
        </w:rPr>
        <w:t>’</w:t>
      </w:r>
      <w:r w:rsidRPr="00E932DB">
        <w:rPr>
          <w:lang w:val="fr-CA"/>
        </w:rPr>
        <w:t>assurer que la procédure devant la Cour provinciale suive son cours.  Je conviens que ces ordonnances doivent être tout à fait exceptionnelles et prononcées uniquement lorsque l</w:t>
      </w:r>
      <w:r>
        <w:rPr>
          <w:lang w:val="fr-CA"/>
        </w:rPr>
        <w:t>’</w:t>
      </w:r>
      <w:r w:rsidRPr="00E932DB">
        <w:rPr>
          <w:lang w:val="fr-CA"/>
        </w:rPr>
        <w:t>absence de fonds publics entraînerait une grave injustice pour l</w:t>
      </w:r>
      <w:r>
        <w:rPr>
          <w:lang w:val="fr-CA"/>
        </w:rPr>
        <w:t>’</w:t>
      </w:r>
      <w:r w:rsidRPr="00E932DB">
        <w:rPr>
          <w:lang w:val="fr-CA"/>
        </w:rPr>
        <w:t xml:space="preserve">intérêt </w:t>
      </w:r>
      <w:r w:rsidRPr="00E932DB">
        <w:rPr>
          <w:i/>
          <w:iCs/>
          <w:lang w:val="fr-CA"/>
        </w:rPr>
        <w:t>public</w:t>
      </w:r>
      <w:r w:rsidRPr="00E932DB">
        <w:rPr>
          <w:lang w:val="fr-CA"/>
        </w:rPr>
        <w:t>, mais je n</w:t>
      </w:r>
      <w:r>
        <w:rPr>
          <w:lang w:val="fr-CA"/>
        </w:rPr>
        <w:t>’</w:t>
      </w:r>
      <w:r w:rsidRPr="00E932DB">
        <w:rPr>
          <w:lang w:val="fr-CA"/>
        </w:rPr>
        <w:t>accepte pas l</w:t>
      </w:r>
      <w:r>
        <w:rPr>
          <w:lang w:val="fr-CA"/>
        </w:rPr>
        <w:t>’</w:t>
      </w:r>
      <w:r w:rsidRPr="00E932DB">
        <w:rPr>
          <w:lang w:val="fr-CA"/>
        </w:rPr>
        <w:t>argument du ministère public selon lequel la Cour du Banc de la Reine, devant cette situation exceptionnelle, ne pouvait invoquer son pouvoir inhérent de corriger l</w:t>
      </w:r>
      <w:r>
        <w:rPr>
          <w:lang w:val="fr-CA"/>
        </w:rPr>
        <w:t>’</w:t>
      </w:r>
      <w:r w:rsidRPr="00E932DB">
        <w:rPr>
          <w:lang w:val="fr-CA"/>
        </w:rPr>
        <w:t xml:space="preserve">injustice perçue par les tribunaux inférieurs.  Quant à </w:t>
      </w:r>
      <w:r w:rsidRPr="00E932DB">
        <w:rPr>
          <w:lang w:val="fr-CA"/>
        </w:rPr>
        <w:lastRenderedPageBreak/>
        <w:t xml:space="preserve">savoir si ce pouvoir discrétionnaire aurait dû être exercé en faveur de </w:t>
      </w:r>
      <w:r>
        <w:rPr>
          <w:lang w:val="fr-CA"/>
        </w:rPr>
        <w:t>M. Caron</w:t>
      </w:r>
      <w:r w:rsidRPr="00E932DB">
        <w:rPr>
          <w:lang w:val="fr-CA"/>
        </w:rPr>
        <w:t xml:space="preserve"> au vu des faits de l</w:t>
      </w:r>
      <w:r>
        <w:rPr>
          <w:lang w:val="fr-CA"/>
        </w:rPr>
        <w:t>’</w:t>
      </w:r>
      <w:r w:rsidRPr="00E932DB">
        <w:rPr>
          <w:lang w:val="fr-CA"/>
        </w:rPr>
        <w:t>espèce, je m</w:t>
      </w:r>
      <w:r>
        <w:rPr>
          <w:lang w:val="fr-CA"/>
        </w:rPr>
        <w:t>’</w:t>
      </w:r>
      <w:r w:rsidRPr="00E932DB">
        <w:rPr>
          <w:lang w:val="fr-CA"/>
        </w:rPr>
        <w:t>en remets à la réponse affirmative de la Cour du Banc de la Reine de l</w:t>
      </w:r>
      <w:r>
        <w:rPr>
          <w:lang w:val="fr-CA"/>
        </w:rPr>
        <w:t>’</w:t>
      </w:r>
      <w:r w:rsidRPr="00E932DB">
        <w:rPr>
          <w:lang w:val="fr-CA"/>
        </w:rPr>
        <w:t>Alberta qui a été approuvée à l</w:t>
      </w:r>
      <w:r>
        <w:rPr>
          <w:lang w:val="fr-CA"/>
        </w:rPr>
        <w:t>’</w:t>
      </w:r>
      <w:r w:rsidRPr="00E932DB">
        <w:rPr>
          <w:lang w:val="fr-CA"/>
        </w:rPr>
        <w:t>unanimité par la Cour d</w:t>
      </w:r>
      <w:r>
        <w:rPr>
          <w:lang w:val="fr-CA"/>
        </w:rPr>
        <w:t>’</w:t>
      </w:r>
      <w:r w:rsidRPr="00E932DB">
        <w:rPr>
          <w:lang w:val="fr-CA"/>
        </w:rPr>
        <w:t>appel (2009 ABCA 34, 1 Alta. L.R. (5th) 199).  Il incombe au premier chef à ces deux cours de répondre de l</w:t>
      </w:r>
      <w:r>
        <w:rPr>
          <w:lang w:val="fr-CA"/>
        </w:rPr>
        <w:t>’</w:t>
      </w:r>
      <w:r w:rsidRPr="00E932DB">
        <w:rPr>
          <w:lang w:val="fr-CA"/>
        </w:rPr>
        <w:t>administration de la justice dans la province et, à mon avis, elles n</w:t>
      </w:r>
      <w:r>
        <w:rPr>
          <w:lang w:val="fr-CA"/>
        </w:rPr>
        <w:t>’</w:t>
      </w:r>
      <w:r w:rsidRPr="00E932DB">
        <w:rPr>
          <w:lang w:val="fr-CA"/>
        </w:rPr>
        <w:t>ont commis aucune erreur de droit dans l</w:t>
      </w:r>
      <w:r>
        <w:rPr>
          <w:lang w:val="fr-CA"/>
        </w:rPr>
        <w:t>’</w:t>
      </w:r>
      <w:r w:rsidRPr="00E932DB">
        <w:rPr>
          <w:lang w:val="fr-CA"/>
        </w:rPr>
        <w:t>exercice de leur pouvoir.  Je suis d</w:t>
      </w:r>
      <w:r>
        <w:rPr>
          <w:lang w:val="fr-CA"/>
        </w:rPr>
        <w:t>’</w:t>
      </w:r>
      <w:r w:rsidRPr="00E932DB">
        <w:rPr>
          <w:lang w:val="fr-CA"/>
        </w:rPr>
        <w:t>avis de rejeter le pourvoi.</w:t>
      </w:r>
    </w:p>
    <w:p w:rsidR="007D1503" w:rsidRPr="00E932DB" w:rsidRDefault="007D1503" w:rsidP="00D0356E">
      <w:pPr>
        <w:tabs>
          <w:tab w:val="left" w:pos="540"/>
        </w:tabs>
        <w:spacing w:after="720"/>
        <w:rPr>
          <w:lang w:val="fr-CA"/>
        </w:rPr>
      </w:pPr>
      <w:r w:rsidRPr="00E932DB">
        <w:rPr>
          <w:lang w:val="fr-CA"/>
        </w:rPr>
        <w:t>I.</w:t>
      </w:r>
      <w:r w:rsidR="00D0356E">
        <w:rPr>
          <w:lang w:val="fr-CA"/>
        </w:rPr>
        <w:tab/>
      </w:r>
      <w:r w:rsidRPr="008C1F1E">
        <w:rPr>
          <w:u w:val="single"/>
          <w:lang w:val="fr-CA"/>
        </w:rPr>
        <w:t>Aperçu</w:t>
      </w:r>
    </w:p>
    <w:p w:rsidR="007D1503" w:rsidRPr="00E932DB" w:rsidRDefault="007D1503" w:rsidP="00EF00B0">
      <w:pPr>
        <w:pStyle w:val="ReasonsNumbering-AltN"/>
        <w:ind w:left="0" w:firstLine="0"/>
        <w:rPr>
          <w:lang w:val="fr-CA"/>
        </w:rPr>
      </w:pPr>
      <w:r w:rsidRPr="00E932DB">
        <w:rPr>
          <w:lang w:val="fr-CA"/>
        </w:rPr>
        <w:t>En règle générale, évidemment, il revient au Parlement et aux législatures provinciales de décider si, et dans quelle mesure, des fonds publics serviront à financer les poursuites engagées contre l</w:t>
      </w:r>
      <w:r>
        <w:rPr>
          <w:lang w:val="fr-CA"/>
        </w:rPr>
        <w:t>’</w:t>
      </w:r>
      <w:r w:rsidRPr="00E932DB">
        <w:rPr>
          <w:lang w:val="fr-CA"/>
        </w:rPr>
        <w:t>État, mais les tribunaux ont parfois eu à prendre ces décisions.  Par exemple, pour favoriser l</w:t>
      </w:r>
      <w:r>
        <w:rPr>
          <w:lang w:val="fr-CA"/>
        </w:rPr>
        <w:t>’</w:t>
      </w:r>
      <w:r w:rsidRPr="00E932DB">
        <w:rPr>
          <w:lang w:val="fr-CA"/>
        </w:rPr>
        <w:t>équité du procès dans des poursuites criminelles, les tribunaux ont accepté, dans certains cas, de suspendre l</w:t>
      </w:r>
      <w:r>
        <w:rPr>
          <w:lang w:val="fr-CA"/>
        </w:rPr>
        <w:t>’</w:t>
      </w:r>
      <w:r w:rsidRPr="00E932DB">
        <w:rPr>
          <w:lang w:val="fr-CA"/>
        </w:rPr>
        <w:t>instance lorsque le ministère public n</w:t>
      </w:r>
      <w:r>
        <w:rPr>
          <w:lang w:val="fr-CA"/>
        </w:rPr>
        <w:t>’</w:t>
      </w:r>
      <w:r w:rsidRPr="00E932DB">
        <w:rPr>
          <w:lang w:val="fr-CA"/>
        </w:rPr>
        <w:t>a pas financé, en totalité ou en partie, la défense de l</w:t>
      </w:r>
      <w:r>
        <w:rPr>
          <w:lang w:val="fr-CA"/>
        </w:rPr>
        <w:t>’</w:t>
      </w:r>
      <w:r w:rsidRPr="00E932DB">
        <w:rPr>
          <w:lang w:val="fr-CA"/>
        </w:rPr>
        <w:t>accusé</w:t>
      </w:r>
      <w:r>
        <w:rPr>
          <w:lang w:val="fr-CA"/>
        </w:rPr>
        <w:t> :</w:t>
      </w:r>
      <w:r w:rsidRPr="00E932DB">
        <w:rPr>
          <w:lang w:val="fr-CA"/>
        </w:rPr>
        <w:t xml:space="preserve"> </w:t>
      </w:r>
      <w:r w:rsidRPr="00E932DB">
        <w:rPr>
          <w:i/>
          <w:iCs/>
          <w:lang w:val="fr-CA"/>
        </w:rPr>
        <w:t>R. c.</w:t>
      </w:r>
      <w:r>
        <w:rPr>
          <w:i/>
          <w:iCs/>
          <w:lang w:val="fr-CA"/>
        </w:rPr>
        <w:t xml:space="preserve"> </w:t>
      </w:r>
      <w:proofErr w:type="spellStart"/>
      <w:r w:rsidRPr="00E932DB">
        <w:rPr>
          <w:i/>
          <w:iCs/>
          <w:lang w:val="fr-CA"/>
        </w:rPr>
        <w:t>Rowbotham</w:t>
      </w:r>
      <w:proofErr w:type="spellEnd"/>
      <w:r w:rsidRPr="00E932DB">
        <w:rPr>
          <w:lang w:val="fr-CA"/>
        </w:rPr>
        <w:t xml:space="preserve"> (1988),</w:t>
      </w:r>
      <w:r>
        <w:rPr>
          <w:lang w:val="fr-CA"/>
        </w:rPr>
        <w:t xml:space="preserve"> 41 C.C.C. (3d) </w:t>
      </w:r>
      <w:r w:rsidRPr="00E932DB">
        <w:rPr>
          <w:lang w:val="fr-CA"/>
        </w:rPr>
        <w:t xml:space="preserve">1 (C.A. Ont.); </w:t>
      </w:r>
      <w:r w:rsidRPr="00E932DB">
        <w:rPr>
          <w:i/>
          <w:iCs/>
          <w:lang w:val="fr-CA"/>
        </w:rPr>
        <w:t xml:space="preserve">R. c. </w:t>
      </w:r>
      <w:proofErr w:type="spellStart"/>
      <w:r w:rsidRPr="00E932DB">
        <w:rPr>
          <w:i/>
          <w:iCs/>
          <w:lang w:val="fr-CA"/>
        </w:rPr>
        <w:t>Rain</w:t>
      </w:r>
      <w:proofErr w:type="spellEnd"/>
      <w:r w:rsidRPr="00E932DB">
        <w:rPr>
          <w:lang w:val="fr-CA"/>
        </w:rPr>
        <w:t xml:space="preserve"> (1998),</w:t>
      </w:r>
      <w:r>
        <w:rPr>
          <w:lang w:val="fr-CA"/>
        </w:rPr>
        <w:t xml:space="preserve"> </w:t>
      </w:r>
      <w:r w:rsidRPr="00E932DB">
        <w:rPr>
          <w:lang w:val="fr-CA"/>
        </w:rPr>
        <w:t>223 A.R. 359 (C.A.).  En matière civile, dans l</w:t>
      </w:r>
      <w:r>
        <w:rPr>
          <w:lang w:val="fr-CA"/>
        </w:rPr>
        <w:t>’</w:t>
      </w:r>
      <w:r w:rsidRPr="00E932DB">
        <w:rPr>
          <w:lang w:val="fr-CA"/>
        </w:rPr>
        <w:t xml:space="preserve">arrêt </w:t>
      </w:r>
      <w:proofErr w:type="spellStart"/>
      <w:r w:rsidRPr="00E932DB">
        <w:rPr>
          <w:i/>
          <w:iCs/>
          <w:lang w:val="fr-CA"/>
        </w:rPr>
        <w:t>Colombie</w:t>
      </w:r>
      <w:r w:rsidRPr="00E932DB">
        <w:rPr>
          <w:i/>
          <w:iCs/>
          <w:lang w:val="fr-CA"/>
        </w:rPr>
        <w:noBreakHyphen/>
        <w:t>Britannique</w:t>
      </w:r>
      <w:proofErr w:type="spellEnd"/>
      <w:r w:rsidRPr="00E932DB">
        <w:rPr>
          <w:i/>
          <w:iCs/>
          <w:lang w:val="fr-CA"/>
        </w:rPr>
        <w:t xml:space="preserve"> (Ministre des Forêts) c. Bande indienne </w:t>
      </w:r>
      <w:proofErr w:type="spellStart"/>
      <w:r w:rsidRPr="00E932DB">
        <w:rPr>
          <w:i/>
          <w:iCs/>
          <w:lang w:val="fr-CA"/>
        </w:rPr>
        <w:t>Okanagan</w:t>
      </w:r>
      <w:proofErr w:type="spellEnd"/>
      <w:r w:rsidRPr="00E932DB">
        <w:rPr>
          <w:lang w:val="fr-CA"/>
        </w:rPr>
        <w:t>, 2003</w:t>
      </w:r>
      <w:r>
        <w:rPr>
          <w:lang w:val="fr-CA"/>
        </w:rPr>
        <w:t xml:space="preserve"> </w:t>
      </w:r>
      <w:r w:rsidRPr="00E932DB">
        <w:rPr>
          <w:lang w:val="fr-CA"/>
        </w:rPr>
        <w:t>CSC 71, [2003]</w:t>
      </w:r>
      <w:r>
        <w:rPr>
          <w:lang w:val="fr-CA"/>
        </w:rPr>
        <w:t xml:space="preserve"> </w:t>
      </w:r>
      <w:r w:rsidRPr="00E932DB">
        <w:rPr>
          <w:lang w:val="fr-CA"/>
        </w:rPr>
        <w:t>3</w:t>
      </w:r>
      <w:r>
        <w:rPr>
          <w:lang w:val="fr-CA"/>
        </w:rPr>
        <w:t xml:space="preserve"> </w:t>
      </w:r>
      <w:r w:rsidRPr="00E932DB">
        <w:rPr>
          <w:lang w:val="fr-CA"/>
        </w:rPr>
        <w:t>R.C.S.</w:t>
      </w:r>
      <w:r>
        <w:rPr>
          <w:lang w:val="fr-CA"/>
        </w:rPr>
        <w:t xml:space="preserve"> </w:t>
      </w:r>
      <w:r w:rsidRPr="00E932DB">
        <w:rPr>
          <w:lang w:val="fr-CA"/>
        </w:rPr>
        <w:t xml:space="preserve">371, notre Cour a élargi la catégorie des causes civiles dans lesquelles on pouvait avoir recours à des provisions pour frais à même les fonds publics, notamment dans des </w:t>
      </w:r>
      <w:r>
        <w:rPr>
          <w:lang w:val="fr-CA"/>
        </w:rPr>
        <w:t>« </w:t>
      </w:r>
      <w:r w:rsidRPr="00E932DB">
        <w:rPr>
          <w:lang w:val="fr-FR"/>
        </w:rPr>
        <w:t xml:space="preserve">circonstances suffisamment spéciales pour que le tribunal soit convaincu que la cause appartient à cette catégorie restreinte de causes </w:t>
      </w:r>
      <w:r w:rsidRPr="00E932DB">
        <w:rPr>
          <w:lang w:val="fr-FR"/>
        </w:rPr>
        <w:lastRenderedPageBreak/>
        <w:t>justifiant l</w:t>
      </w:r>
      <w:r>
        <w:rPr>
          <w:lang w:val="fr-FR"/>
        </w:rPr>
        <w:t>’</w:t>
      </w:r>
      <w:r w:rsidRPr="00E932DB">
        <w:rPr>
          <w:lang w:val="fr-FR"/>
        </w:rPr>
        <w:t>exercice exceptionnel de ses pouvoirs</w:t>
      </w:r>
      <w:r>
        <w:rPr>
          <w:lang w:val="fr-CA"/>
        </w:rPr>
        <w:t> »</w:t>
      </w:r>
      <w:r w:rsidRPr="00E932DB">
        <w:rPr>
          <w:lang w:val="fr-CA"/>
        </w:rPr>
        <w:t xml:space="preserve"> (</w:t>
      </w:r>
      <w:r>
        <w:rPr>
          <w:lang w:val="fr-CA"/>
        </w:rPr>
        <w:t>par. </w:t>
      </w:r>
      <w:r w:rsidRPr="00E932DB">
        <w:rPr>
          <w:lang w:val="fr-CA"/>
        </w:rPr>
        <w:t>36).  L</w:t>
      </w:r>
      <w:r>
        <w:rPr>
          <w:lang w:val="fr-CA"/>
        </w:rPr>
        <w:t>’</w:t>
      </w:r>
      <w:r w:rsidRPr="00E932DB">
        <w:rPr>
          <w:lang w:val="fr-CA"/>
        </w:rPr>
        <w:t xml:space="preserve">arrêt </w:t>
      </w:r>
      <w:proofErr w:type="spellStart"/>
      <w:r w:rsidRPr="00E932DB">
        <w:rPr>
          <w:i/>
          <w:iCs/>
          <w:lang w:val="fr-CA"/>
        </w:rPr>
        <w:t>Okanagan</w:t>
      </w:r>
      <w:proofErr w:type="spellEnd"/>
      <w:r w:rsidRPr="00E932DB">
        <w:rPr>
          <w:lang w:val="fr-CA"/>
        </w:rPr>
        <w:t xml:space="preserve"> était fondé sur l</w:t>
      </w:r>
      <w:r>
        <w:rPr>
          <w:lang w:val="fr-CA"/>
        </w:rPr>
        <w:t>’</w:t>
      </w:r>
      <w:r w:rsidRPr="00E932DB">
        <w:rPr>
          <w:lang w:val="fr-CA"/>
        </w:rPr>
        <w:t>intérêt important du public à obtenir une décision sur une question de droit exceptionnellement importante qui non seulement transcendait l</w:t>
      </w:r>
      <w:r>
        <w:rPr>
          <w:lang w:val="fr-CA"/>
        </w:rPr>
        <w:t>’</w:t>
      </w:r>
      <w:r w:rsidRPr="00E932DB">
        <w:rPr>
          <w:lang w:val="fr-CA"/>
        </w:rPr>
        <w:t>intérêt des parties, mais qui n</w:t>
      </w:r>
      <w:r>
        <w:rPr>
          <w:lang w:val="fr-CA"/>
        </w:rPr>
        <w:t>’</w:t>
      </w:r>
      <w:r w:rsidRPr="00E932DB">
        <w:rPr>
          <w:lang w:val="fr-CA"/>
        </w:rPr>
        <w:t>aurait pu être tranchée en l</w:t>
      </w:r>
      <w:r>
        <w:rPr>
          <w:lang w:val="fr-CA"/>
        </w:rPr>
        <w:t>’</w:t>
      </w:r>
      <w:r w:rsidRPr="00E932DB">
        <w:rPr>
          <w:lang w:val="fr-CA"/>
        </w:rPr>
        <w:t xml:space="preserve">absence de fonds publics, ce qui aurait entraîné une injustice.  Dans </w:t>
      </w:r>
      <w:proofErr w:type="spellStart"/>
      <w:r w:rsidRPr="00E932DB">
        <w:rPr>
          <w:i/>
          <w:iCs/>
          <w:lang w:val="fr-CA"/>
        </w:rPr>
        <w:t>Little</w:t>
      </w:r>
      <w:proofErr w:type="spellEnd"/>
      <w:r w:rsidRPr="00E932DB">
        <w:rPr>
          <w:i/>
          <w:iCs/>
          <w:lang w:val="fr-CA"/>
        </w:rPr>
        <w:t xml:space="preserve"> </w:t>
      </w:r>
      <w:proofErr w:type="spellStart"/>
      <w:r w:rsidRPr="00E932DB">
        <w:rPr>
          <w:i/>
          <w:iCs/>
          <w:lang w:val="fr-CA"/>
        </w:rPr>
        <w:t>Sisters</w:t>
      </w:r>
      <w:proofErr w:type="spellEnd"/>
      <w:r w:rsidRPr="00E932DB">
        <w:rPr>
          <w:i/>
          <w:iCs/>
          <w:lang w:val="fr-CA"/>
        </w:rPr>
        <w:t xml:space="preserve"> Book and Art Emporium c. Canada (Commissaire des Douanes et du Revenu</w:t>
      </w:r>
      <w:r w:rsidRPr="003B1792">
        <w:rPr>
          <w:i/>
          <w:lang w:val="fr-CA"/>
        </w:rPr>
        <w:t>)</w:t>
      </w:r>
      <w:r w:rsidRPr="00E932DB">
        <w:rPr>
          <w:lang w:val="fr-CA"/>
        </w:rPr>
        <w:t>, 2007 CSC 2, [2007] 1 R.C.S. 38 (</w:t>
      </w:r>
      <w:r w:rsidR="00D0356E">
        <w:rPr>
          <w:lang w:val="fr-CA"/>
        </w:rPr>
        <w:t xml:space="preserve">« </w:t>
      </w:r>
      <w:proofErr w:type="spellStart"/>
      <w:r w:rsidRPr="00E932DB">
        <w:rPr>
          <w:i/>
          <w:iCs/>
          <w:lang w:val="fr-CA"/>
        </w:rPr>
        <w:t>Little</w:t>
      </w:r>
      <w:proofErr w:type="spellEnd"/>
      <w:r w:rsidRPr="00E932DB">
        <w:rPr>
          <w:i/>
          <w:iCs/>
          <w:lang w:val="fr-CA"/>
        </w:rPr>
        <w:t xml:space="preserve"> </w:t>
      </w:r>
      <w:proofErr w:type="spellStart"/>
      <w:r w:rsidRPr="00E932DB">
        <w:rPr>
          <w:i/>
          <w:iCs/>
          <w:lang w:val="fr-CA"/>
        </w:rPr>
        <w:t>Sisters</w:t>
      </w:r>
      <w:proofErr w:type="spellEnd"/>
      <w:r w:rsidRPr="00E932DB">
        <w:rPr>
          <w:i/>
          <w:iCs/>
          <w:lang w:val="fr-CA"/>
        </w:rPr>
        <w:t xml:space="preserve"> </w:t>
      </w:r>
      <w:r w:rsidR="00D0356E">
        <w:rPr>
          <w:i/>
          <w:iCs/>
          <w:lang w:val="fr-CA"/>
        </w:rPr>
        <w:t>(</w:t>
      </w:r>
      <w:r w:rsidRPr="00E932DB">
        <w:rPr>
          <w:i/>
          <w:iCs/>
          <w:lang w:val="fr-CA"/>
        </w:rPr>
        <w:t>n</w:t>
      </w:r>
      <w:r w:rsidRPr="00E932DB">
        <w:rPr>
          <w:i/>
          <w:iCs/>
          <w:vertAlign w:val="superscript"/>
          <w:lang w:val="fr-CA"/>
        </w:rPr>
        <w:t>o</w:t>
      </w:r>
      <w:r w:rsidRPr="00E932DB">
        <w:rPr>
          <w:i/>
          <w:iCs/>
          <w:lang w:val="fr-CA"/>
        </w:rPr>
        <w:t> 2</w:t>
      </w:r>
      <w:r w:rsidR="00D0356E">
        <w:rPr>
          <w:i/>
          <w:iCs/>
          <w:lang w:val="fr-CA"/>
        </w:rPr>
        <w:t xml:space="preserve">) </w:t>
      </w:r>
      <w:r w:rsidR="00D0356E">
        <w:rPr>
          <w:lang w:val="fr-CA"/>
        </w:rPr>
        <w:t>»</w:t>
      </w:r>
      <w:r w:rsidRPr="00E932DB">
        <w:rPr>
          <w:lang w:val="fr-CA"/>
        </w:rPr>
        <w:t>), les juges majoritaires ont affirmé ce qui suit</w:t>
      </w:r>
      <w:r>
        <w:rPr>
          <w:lang w:val="fr-CA"/>
        </w:rPr>
        <w:t> :</w:t>
      </w:r>
    </w:p>
    <w:p w:rsidR="007D1503" w:rsidRPr="00E932DB" w:rsidRDefault="00D0356E" w:rsidP="00D0356E">
      <w:pPr>
        <w:pStyle w:val="Citation1"/>
        <w:tabs>
          <w:tab w:val="left" w:pos="1170"/>
        </w:tabs>
        <w:ind w:left="1080" w:hanging="1080"/>
        <w:rPr>
          <w:lang w:val="fr-CA"/>
        </w:rPr>
      </w:pPr>
      <w:r>
        <w:rPr>
          <w:lang w:val="fr-CA"/>
        </w:rPr>
        <w:tab/>
      </w:r>
      <w:r w:rsidR="005A4439">
        <w:rPr>
          <w:lang w:val="fr-CA"/>
        </w:rPr>
        <w:t xml:space="preserve">. . . </w:t>
      </w:r>
      <w:r w:rsidR="007D1503" w:rsidRPr="00E1584B">
        <w:rPr>
          <w:lang w:val="fr-CA"/>
        </w:rPr>
        <w:t>l’injustice qui découlerait du rejet de la demande doit concerner à la fois le demandeur personnel</w:t>
      </w:r>
      <w:r w:rsidR="007D1503">
        <w:rPr>
          <w:lang w:val="fr-CA"/>
        </w:rPr>
        <w:t xml:space="preserve">lement et le public en général. </w:t>
      </w:r>
      <w:r w:rsidR="007D1503" w:rsidRPr="00E1584B">
        <w:rPr>
          <w:lang w:val="fr-CA"/>
        </w:rPr>
        <w:t xml:space="preserve"> Cela signifie que le plaideur dont l’affaire, aussi impérieuse qu’elle puisse être, n’intéresse que lui se verra refuser la provision pour frais.  Toutefois, cela ne signifie pas que toute affaire d’intérêt public satisfera à ce critère.  </w:t>
      </w:r>
      <w:r w:rsidR="007D1503" w:rsidRPr="00E932DB">
        <w:rPr>
          <w:lang w:val="fr-CA"/>
        </w:rPr>
        <w:t>[</w:t>
      </w:r>
      <w:proofErr w:type="gramStart"/>
      <w:r w:rsidR="007D1503">
        <w:rPr>
          <w:lang w:val="fr-CA"/>
        </w:rPr>
        <w:t>par</w:t>
      </w:r>
      <w:proofErr w:type="gramEnd"/>
      <w:r w:rsidR="007D1503">
        <w:rPr>
          <w:lang w:val="fr-CA"/>
        </w:rPr>
        <w:t>. </w:t>
      </w:r>
      <w:r w:rsidR="007D1503" w:rsidRPr="00E932DB">
        <w:rPr>
          <w:lang w:val="fr-CA"/>
        </w:rPr>
        <w:t>39]</w:t>
      </w:r>
    </w:p>
    <w:p w:rsidR="007D1503" w:rsidRPr="00E31014" w:rsidRDefault="007D1503" w:rsidP="007D1503">
      <w:pPr>
        <w:pStyle w:val="SCCNormalDoubleSpacing"/>
        <w:spacing w:after="480"/>
        <w:rPr>
          <w:lang w:val="fr-CA"/>
        </w:rPr>
      </w:pPr>
      <w:r w:rsidRPr="00E31014">
        <w:rPr>
          <w:lang w:val="fr-CA"/>
        </w:rPr>
        <w:t xml:space="preserve">Ni </w:t>
      </w:r>
      <w:proofErr w:type="spellStart"/>
      <w:r w:rsidRPr="00E31014">
        <w:rPr>
          <w:i/>
          <w:iCs/>
          <w:lang w:val="fr-CA"/>
        </w:rPr>
        <w:t>Okanagan</w:t>
      </w:r>
      <w:proofErr w:type="spellEnd"/>
      <w:r w:rsidRPr="00E31014">
        <w:rPr>
          <w:i/>
          <w:iCs/>
          <w:lang w:val="fr-CA"/>
        </w:rPr>
        <w:t xml:space="preserve"> </w:t>
      </w:r>
      <w:r w:rsidRPr="00E31014">
        <w:rPr>
          <w:lang w:val="fr-CA"/>
        </w:rPr>
        <w:t xml:space="preserve">ni </w:t>
      </w:r>
      <w:proofErr w:type="spellStart"/>
      <w:r w:rsidRPr="00E31014">
        <w:rPr>
          <w:i/>
          <w:iCs/>
          <w:lang w:val="fr-CA"/>
        </w:rPr>
        <w:t>Little</w:t>
      </w:r>
      <w:proofErr w:type="spellEnd"/>
      <w:r w:rsidRPr="00E31014">
        <w:rPr>
          <w:i/>
          <w:iCs/>
          <w:lang w:val="fr-CA"/>
        </w:rPr>
        <w:t xml:space="preserve"> </w:t>
      </w:r>
      <w:proofErr w:type="spellStart"/>
      <w:r w:rsidRPr="00E31014">
        <w:rPr>
          <w:i/>
          <w:iCs/>
          <w:lang w:val="fr-CA"/>
        </w:rPr>
        <w:t>Sisters</w:t>
      </w:r>
      <w:proofErr w:type="spellEnd"/>
      <w:r w:rsidRPr="00E31014">
        <w:rPr>
          <w:i/>
          <w:iCs/>
          <w:lang w:val="fr-CA"/>
        </w:rPr>
        <w:t xml:space="preserve"> </w:t>
      </w:r>
      <w:r w:rsidR="003B1792">
        <w:rPr>
          <w:i/>
          <w:iCs/>
          <w:lang w:val="fr-CA"/>
        </w:rPr>
        <w:t>(</w:t>
      </w:r>
      <w:r w:rsidRPr="00E31014">
        <w:rPr>
          <w:i/>
          <w:iCs/>
          <w:lang w:val="fr-CA"/>
        </w:rPr>
        <w:t>n</w:t>
      </w:r>
      <w:r w:rsidRPr="00E31014">
        <w:rPr>
          <w:i/>
          <w:iCs/>
          <w:vertAlign w:val="superscript"/>
          <w:lang w:val="fr-CA"/>
        </w:rPr>
        <w:t>o</w:t>
      </w:r>
      <w:r w:rsidRPr="00E31014">
        <w:rPr>
          <w:i/>
          <w:iCs/>
          <w:lang w:val="fr-CA"/>
        </w:rPr>
        <w:t> 2</w:t>
      </w:r>
      <w:r w:rsidR="003B1792">
        <w:rPr>
          <w:i/>
          <w:iCs/>
          <w:lang w:val="fr-CA"/>
        </w:rPr>
        <w:t>)</w:t>
      </w:r>
      <w:r w:rsidRPr="00E31014">
        <w:rPr>
          <w:lang w:val="fr-CA"/>
        </w:rPr>
        <w:t xml:space="preserve"> ne concernait l’attribution de provisions pour frais pour des instances devant une cour inférieure.  Les tribunaux de l’Alberta étaient néanmoins saisis en l’espèce d’une contestation constitutionnelle d’une grande importance.  </w:t>
      </w:r>
    </w:p>
    <w:p w:rsidR="007D1503" w:rsidRPr="00E932DB" w:rsidRDefault="007D1503" w:rsidP="00EF00B0">
      <w:pPr>
        <w:pStyle w:val="ReasonsNumbering-AltN"/>
        <w:ind w:left="0" w:firstLine="0"/>
        <w:rPr>
          <w:lang w:val="fr-CA"/>
        </w:rPr>
      </w:pPr>
      <w:r w:rsidRPr="00E932DB">
        <w:rPr>
          <w:lang w:val="fr-CA"/>
        </w:rPr>
        <w:t xml:space="preserve">La question en litige concernait (et concerne toujours) un aspect fondamental de la primauté du droit en Alberta.  Bien que le ministère public fasse valoir que la question des droits linguistiques de la minorité francophone dans cette province a été tranchée par notre Cour dans </w:t>
      </w:r>
      <w:r w:rsidRPr="00E932DB">
        <w:rPr>
          <w:i/>
          <w:iCs/>
          <w:lang w:val="fr-CA"/>
        </w:rPr>
        <w:t>R. c.</w:t>
      </w:r>
      <w:r>
        <w:rPr>
          <w:i/>
          <w:iCs/>
          <w:lang w:val="fr-CA"/>
        </w:rPr>
        <w:t xml:space="preserve"> </w:t>
      </w:r>
      <w:r w:rsidRPr="00E932DB">
        <w:rPr>
          <w:i/>
          <w:iCs/>
          <w:lang w:val="fr-CA"/>
        </w:rPr>
        <w:t>Mercure</w:t>
      </w:r>
      <w:r w:rsidRPr="00E932DB">
        <w:rPr>
          <w:lang w:val="fr-CA"/>
        </w:rPr>
        <w:t>,</w:t>
      </w:r>
      <w:r w:rsidRPr="00E932DB">
        <w:rPr>
          <w:i/>
          <w:iCs/>
          <w:lang w:val="fr-CA"/>
        </w:rPr>
        <w:t xml:space="preserve"> </w:t>
      </w:r>
      <w:r w:rsidRPr="00E932DB">
        <w:rPr>
          <w:lang w:val="fr-CA"/>
        </w:rPr>
        <w:t xml:space="preserve">[1988] 1 R.C.S. 234, et </w:t>
      </w:r>
      <w:r w:rsidRPr="00E932DB">
        <w:rPr>
          <w:i/>
          <w:iCs/>
          <w:lang w:val="fr-CA"/>
        </w:rPr>
        <w:t>R. c. Paquette</w:t>
      </w:r>
      <w:r w:rsidRPr="00E932DB">
        <w:rPr>
          <w:lang w:val="fr-CA"/>
        </w:rPr>
        <w:t xml:space="preserve">, [1990] 2 R.C.S. 1103, </w:t>
      </w:r>
      <w:r>
        <w:rPr>
          <w:lang w:val="fr-CA"/>
        </w:rPr>
        <w:t>M. Caron</w:t>
      </w:r>
      <w:r w:rsidRPr="00E932DB">
        <w:rPr>
          <w:lang w:val="fr-CA"/>
        </w:rPr>
        <w:t xml:space="preserve"> est parvenu à établir, à la satisfaction de la Cour provinciale de l</w:t>
      </w:r>
      <w:r>
        <w:rPr>
          <w:lang w:val="fr-CA"/>
        </w:rPr>
        <w:t>’</w:t>
      </w:r>
      <w:r w:rsidRPr="00E932DB">
        <w:rPr>
          <w:lang w:val="fr-CA"/>
        </w:rPr>
        <w:t>Alberta, une distinction entre ces arrêts et l</w:t>
      </w:r>
      <w:r>
        <w:rPr>
          <w:lang w:val="fr-CA"/>
        </w:rPr>
        <w:t>’</w:t>
      </w:r>
      <w:r w:rsidRPr="00E932DB">
        <w:rPr>
          <w:lang w:val="fr-CA"/>
        </w:rPr>
        <w:t xml:space="preserve">espèce (voir </w:t>
      </w:r>
      <w:r w:rsidRPr="00E932DB">
        <w:rPr>
          <w:i/>
          <w:iCs/>
          <w:lang w:val="fr-CA"/>
        </w:rPr>
        <w:t xml:space="preserve">R. c. </w:t>
      </w:r>
      <w:r w:rsidRPr="00E932DB">
        <w:rPr>
          <w:i/>
          <w:iCs/>
          <w:lang w:val="fr-CA"/>
        </w:rPr>
        <w:lastRenderedPageBreak/>
        <w:t>Caron</w:t>
      </w:r>
      <w:r w:rsidRPr="00E932DB">
        <w:rPr>
          <w:lang w:val="fr-CA"/>
        </w:rPr>
        <w:t>,</w:t>
      </w:r>
      <w:r w:rsidRPr="00E932DB">
        <w:rPr>
          <w:i/>
          <w:iCs/>
          <w:lang w:val="fr-CA"/>
        </w:rPr>
        <w:t xml:space="preserve"> </w:t>
      </w:r>
      <w:r w:rsidRPr="00E932DB">
        <w:rPr>
          <w:lang w:val="fr-CA"/>
        </w:rPr>
        <w:t>2008 ABPC 232, 95 Alta. L.R. (4th) 307).  Cette décision sur le fond a été annulée par la Cour du Banc de la Reine de l</w:t>
      </w:r>
      <w:r>
        <w:rPr>
          <w:lang w:val="fr-CA"/>
        </w:rPr>
        <w:t>’</w:t>
      </w:r>
      <w:r w:rsidRPr="00E932DB">
        <w:rPr>
          <w:lang w:val="fr-CA"/>
        </w:rPr>
        <w:t xml:space="preserve">Alberta dans </w:t>
      </w:r>
      <w:r w:rsidRPr="00E932DB">
        <w:rPr>
          <w:i/>
          <w:iCs/>
          <w:lang w:val="fr-CA"/>
        </w:rPr>
        <w:t>R. c. Caron</w:t>
      </w:r>
      <w:r w:rsidRPr="00E932DB">
        <w:rPr>
          <w:lang w:val="fr-CA"/>
        </w:rPr>
        <w:t>, 2009 A</w:t>
      </w:r>
      <w:r w:rsidR="003B1792">
        <w:rPr>
          <w:lang w:val="fr-CA"/>
        </w:rPr>
        <w:t xml:space="preserve">BQB 745, 2009 </w:t>
      </w:r>
      <w:proofErr w:type="spellStart"/>
      <w:r w:rsidR="003B1792">
        <w:rPr>
          <w:lang w:val="fr-CA"/>
        </w:rPr>
        <w:t>CarswellAlta</w:t>
      </w:r>
      <w:proofErr w:type="spellEnd"/>
      <w:r w:rsidR="003B1792">
        <w:rPr>
          <w:lang w:val="fr-CA"/>
        </w:rPr>
        <w:t xml:space="preserve"> 2189</w:t>
      </w:r>
      <w:r w:rsidRPr="00E932DB">
        <w:rPr>
          <w:lang w:val="fr-CA"/>
        </w:rPr>
        <w:t xml:space="preserve">.  Toutefois, même si elle a donné raison au ministère public, la Cour du Banc de la Reine a déclaré que </w:t>
      </w:r>
      <w:r>
        <w:rPr>
          <w:lang w:val="fr-CA"/>
        </w:rPr>
        <w:t>« </w:t>
      </w:r>
      <w:r w:rsidRPr="00E932DB">
        <w:rPr>
          <w:lang w:val="fr-CA"/>
        </w:rPr>
        <w:t>l</w:t>
      </w:r>
      <w:r>
        <w:rPr>
          <w:lang w:val="fr-CA"/>
        </w:rPr>
        <w:t>’</w:t>
      </w:r>
      <w:r w:rsidRPr="00E932DB">
        <w:rPr>
          <w:lang w:val="fr-CA"/>
        </w:rPr>
        <w:t xml:space="preserve">arrêt </w:t>
      </w:r>
      <w:r w:rsidRPr="00E932DB">
        <w:rPr>
          <w:i/>
          <w:iCs/>
          <w:lang w:val="fr-CA"/>
        </w:rPr>
        <w:t>Mercure</w:t>
      </w:r>
      <w:r w:rsidRPr="00E932DB">
        <w:rPr>
          <w:lang w:val="fr-CA"/>
        </w:rPr>
        <w:t xml:space="preserve"> de la Cour suprême ne règle pas la question qui a été soumise en première instance et dans le présent appel</w:t>
      </w:r>
      <w:r>
        <w:rPr>
          <w:lang w:val="fr-CA"/>
        </w:rPr>
        <w:t> »</w:t>
      </w:r>
      <w:r w:rsidRPr="00E932DB">
        <w:rPr>
          <w:lang w:val="fr-CA"/>
        </w:rPr>
        <w:t xml:space="preserve"> (</w:t>
      </w:r>
      <w:r>
        <w:rPr>
          <w:lang w:val="fr-CA"/>
        </w:rPr>
        <w:t>par. </w:t>
      </w:r>
      <w:r w:rsidRPr="00E932DB">
        <w:rPr>
          <w:lang w:val="fr-CA"/>
        </w:rPr>
        <w:t>143).  La Cour d</w:t>
      </w:r>
      <w:r>
        <w:rPr>
          <w:lang w:val="fr-CA"/>
        </w:rPr>
        <w:t>’</w:t>
      </w:r>
      <w:r w:rsidRPr="00E932DB">
        <w:rPr>
          <w:lang w:val="fr-CA"/>
        </w:rPr>
        <w:t>appel de l</w:t>
      </w:r>
      <w:r>
        <w:rPr>
          <w:lang w:val="fr-CA"/>
        </w:rPr>
        <w:t>’</w:t>
      </w:r>
      <w:r w:rsidRPr="00E932DB">
        <w:rPr>
          <w:lang w:val="fr-CA"/>
        </w:rPr>
        <w:t>Alberta a accueilli en partie la demande d</w:t>
      </w:r>
      <w:r>
        <w:rPr>
          <w:lang w:val="fr-CA"/>
        </w:rPr>
        <w:t>’</w:t>
      </w:r>
      <w:r w:rsidRPr="00E932DB">
        <w:rPr>
          <w:lang w:val="fr-CA"/>
        </w:rPr>
        <w:t>autorisation d</w:t>
      </w:r>
      <w:r>
        <w:rPr>
          <w:lang w:val="fr-CA"/>
        </w:rPr>
        <w:t>’</w:t>
      </w:r>
      <w:r w:rsidRPr="00E932DB">
        <w:rPr>
          <w:lang w:val="fr-CA"/>
        </w:rPr>
        <w:t xml:space="preserve">appel sur le fond présentée par </w:t>
      </w:r>
      <w:r>
        <w:rPr>
          <w:lang w:val="fr-CA"/>
        </w:rPr>
        <w:t>M. Caron</w:t>
      </w:r>
      <w:r w:rsidRPr="00E932DB">
        <w:rPr>
          <w:lang w:val="fr-CA"/>
        </w:rPr>
        <w:t xml:space="preserve"> (2010 ABCA 343, </w:t>
      </w:r>
      <w:r w:rsidRPr="00E932DB">
        <w:rPr>
          <w:lang w:val="fr-FR"/>
        </w:rPr>
        <w:t xml:space="preserve">[2010] A.J. </w:t>
      </w:r>
      <w:r w:rsidR="00665374">
        <w:rPr>
          <w:lang w:val="fr-FR"/>
        </w:rPr>
        <w:t>No.</w:t>
      </w:r>
      <w:r w:rsidR="003B1792">
        <w:rPr>
          <w:lang w:val="fr-FR"/>
        </w:rPr>
        <w:t xml:space="preserve"> 1303</w:t>
      </w:r>
      <w:r w:rsidRPr="00E932DB">
        <w:rPr>
          <w:lang w:val="fr-FR"/>
        </w:rPr>
        <w:t xml:space="preserve"> (QL)</w:t>
      </w:r>
      <w:r w:rsidRPr="00E932DB">
        <w:rPr>
          <w:lang w:val="fr-CA"/>
        </w:rPr>
        <w:t>).</w:t>
      </w:r>
    </w:p>
    <w:p w:rsidR="007D1503" w:rsidRPr="00E932DB" w:rsidRDefault="007D1503" w:rsidP="00EF00B0">
      <w:pPr>
        <w:pStyle w:val="ReasonsNumbering-AltN"/>
        <w:ind w:left="0" w:firstLine="0"/>
        <w:rPr>
          <w:lang w:val="fr-CA"/>
        </w:rPr>
      </w:pPr>
      <w:r w:rsidRPr="00E932DB">
        <w:rPr>
          <w:lang w:val="fr-CA"/>
        </w:rPr>
        <w:t>Comme je l</w:t>
      </w:r>
      <w:r>
        <w:rPr>
          <w:lang w:val="fr-CA"/>
        </w:rPr>
        <w:t>’</w:t>
      </w:r>
      <w:r w:rsidRPr="00E932DB">
        <w:rPr>
          <w:lang w:val="fr-CA"/>
        </w:rPr>
        <w:t xml:space="preserve">ai indiqué, la </w:t>
      </w:r>
      <w:r w:rsidRPr="00E932DB">
        <w:rPr>
          <w:i/>
          <w:iCs/>
          <w:lang w:val="fr-CA"/>
        </w:rPr>
        <w:t xml:space="preserve">Loi linguistique </w:t>
      </w:r>
      <w:r w:rsidRPr="00E932DB">
        <w:rPr>
          <w:lang w:val="fr-CA"/>
        </w:rPr>
        <w:t>de l</w:t>
      </w:r>
      <w:r>
        <w:rPr>
          <w:lang w:val="fr-CA"/>
        </w:rPr>
        <w:t>’</w:t>
      </w:r>
      <w:r w:rsidRPr="00E932DB">
        <w:rPr>
          <w:lang w:val="fr-CA"/>
        </w:rPr>
        <w:t>Alberta, édictée à la suite de l</w:t>
      </w:r>
      <w:r>
        <w:rPr>
          <w:lang w:val="fr-CA"/>
        </w:rPr>
        <w:t>’</w:t>
      </w:r>
      <w:r w:rsidRPr="00E932DB">
        <w:rPr>
          <w:lang w:val="fr-CA"/>
        </w:rPr>
        <w:t xml:space="preserve">arrêt </w:t>
      </w:r>
      <w:r w:rsidRPr="00E932DB">
        <w:rPr>
          <w:i/>
          <w:iCs/>
          <w:lang w:val="fr-CA"/>
        </w:rPr>
        <w:t>Mercure</w:t>
      </w:r>
      <w:r w:rsidRPr="00E932DB">
        <w:rPr>
          <w:lang w:val="fr-CA"/>
        </w:rPr>
        <w:t xml:space="preserve"> de notre Cour, vise à abolir les droits linguistiques de la minorité francophone dans la province.  La contestation de </w:t>
      </w:r>
      <w:r>
        <w:rPr>
          <w:lang w:val="fr-CA"/>
        </w:rPr>
        <w:t>M. Caron</w:t>
      </w:r>
      <w:r w:rsidRPr="00E932DB">
        <w:rPr>
          <w:lang w:val="fr-CA"/>
        </w:rPr>
        <w:t xml:space="preserve">, si elle est finalement accueillie, pourrait avoir des conséquences graves et généralisées, notamment, selon </w:t>
      </w:r>
      <w:r>
        <w:rPr>
          <w:lang w:val="fr-CA"/>
        </w:rPr>
        <w:t>M. Caron</w:t>
      </w:r>
      <w:r w:rsidRPr="00E932DB">
        <w:rPr>
          <w:lang w:val="fr-CA"/>
        </w:rPr>
        <w:t>, obliger l</w:t>
      </w:r>
      <w:r>
        <w:rPr>
          <w:lang w:val="fr-CA"/>
        </w:rPr>
        <w:t>’</w:t>
      </w:r>
      <w:r w:rsidRPr="00E932DB">
        <w:rPr>
          <w:lang w:val="fr-CA"/>
        </w:rPr>
        <w:t>Alberta à adopter à nouveau la plupart, voire la totalité, de ses lois en français et en anglais.  En résumé, l</w:t>
      </w:r>
      <w:r>
        <w:rPr>
          <w:lang w:val="fr-CA"/>
        </w:rPr>
        <w:t>’</w:t>
      </w:r>
      <w:r w:rsidRPr="00E932DB">
        <w:rPr>
          <w:lang w:val="fr-CA"/>
        </w:rPr>
        <w:t xml:space="preserve">affaire pourrait (si </w:t>
      </w:r>
      <w:r>
        <w:rPr>
          <w:lang w:val="fr-CA"/>
        </w:rPr>
        <w:t>M. Caron</w:t>
      </w:r>
      <w:r w:rsidRPr="00E932DB">
        <w:rPr>
          <w:lang w:val="fr-CA"/>
        </w:rPr>
        <w:t xml:space="preserve"> a gain de cause) devenir la version albertaine du </w:t>
      </w:r>
      <w:r w:rsidRPr="00E932DB">
        <w:rPr>
          <w:i/>
          <w:iCs/>
          <w:lang w:val="fr-CA"/>
        </w:rPr>
        <w:t>Renvoi relatif aux droits linguistiques au Manitoba</w:t>
      </w:r>
      <w:r w:rsidRPr="00E932DB">
        <w:rPr>
          <w:lang w:val="fr-CA"/>
        </w:rPr>
        <w:t xml:space="preserve">, </w:t>
      </w:r>
      <w:r w:rsidR="00D0356E">
        <w:rPr>
          <w:lang w:val="fr-CA"/>
        </w:rPr>
        <w:t xml:space="preserve">[1985] 1 R.C.S. 721, et </w:t>
      </w:r>
      <w:r w:rsidRPr="00E932DB">
        <w:rPr>
          <w:lang w:val="fr-CA"/>
        </w:rPr>
        <w:t>[1992] 1 R.C.S. 212.  C</w:t>
      </w:r>
      <w:r>
        <w:rPr>
          <w:lang w:val="fr-CA"/>
        </w:rPr>
        <w:t>’</w:t>
      </w:r>
      <w:r w:rsidRPr="00E932DB">
        <w:rPr>
          <w:lang w:val="fr-CA"/>
        </w:rPr>
        <w:t>est ce qui rend l</w:t>
      </w:r>
      <w:r>
        <w:rPr>
          <w:lang w:val="fr-CA"/>
        </w:rPr>
        <w:t>’</w:t>
      </w:r>
      <w:r w:rsidRPr="00E932DB">
        <w:rPr>
          <w:lang w:val="fr-CA"/>
        </w:rPr>
        <w:t xml:space="preserve">espèce </w:t>
      </w:r>
      <w:r>
        <w:rPr>
          <w:lang w:val="fr-CA"/>
        </w:rPr>
        <w:t>« </w:t>
      </w:r>
      <w:r w:rsidRPr="00E932DB">
        <w:rPr>
          <w:lang w:val="fr-CA"/>
        </w:rPr>
        <w:t>suffisamment particulière</w:t>
      </w:r>
      <w:r>
        <w:rPr>
          <w:lang w:val="fr-CA"/>
        </w:rPr>
        <w:t> »</w:t>
      </w:r>
      <w:r w:rsidRPr="00E932DB">
        <w:rPr>
          <w:lang w:val="fr-CA"/>
        </w:rPr>
        <w:t xml:space="preserve"> au sens des arrêts </w:t>
      </w:r>
      <w:proofErr w:type="spellStart"/>
      <w:r w:rsidRPr="00E932DB">
        <w:rPr>
          <w:i/>
          <w:iCs/>
          <w:lang w:val="fr-CA"/>
        </w:rPr>
        <w:t>Okanagan</w:t>
      </w:r>
      <w:proofErr w:type="spellEnd"/>
      <w:r w:rsidRPr="00E932DB">
        <w:rPr>
          <w:i/>
          <w:iCs/>
          <w:lang w:val="fr-CA"/>
        </w:rPr>
        <w:t xml:space="preserve"> </w:t>
      </w:r>
      <w:r w:rsidRPr="00E932DB">
        <w:rPr>
          <w:lang w:val="fr-CA"/>
        </w:rPr>
        <w:t xml:space="preserve">et </w:t>
      </w:r>
      <w:proofErr w:type="spellStart"/>
      <w:r w:rsidRPr="00E932DB">
        <w:rPr>
          <w:i/>
          <w:iCs/>
          <w:lang w:val="fr-CA"/>
        </w:rPr>
        <w:t>Little</w:t>
      </w:r>
      <w:proofErr w:type="spellEnd"/>
      <w:r w:rsidRPr="00E932DB">
        <w:rPr>
          <w:i/>
          <w:iCs/>
          <w:lang w:val="fr-CA"/>
        </w:rPr>
        <w:t xml:space="preserve"> </w:t>
      </w:r>
      <w:proofErr w:type="spellStart"/>
      <w:r w:rsidRPr="00E932DB">
        <w:rPr>
          <w:i/>
          <w:iCs/>
          <w:lang w:val="fr-CA"/>
        </w:rPr>
        <w:t>Sisters</w:t>
      </w:r>
      <w:proofErr w:type="spellEnd"/>
      <w:r w:rsidRPr="00E932DB">
        <w:rPr>
          <w:i/>
          <w:iCs/>
          <w:lang w:val="fr-CA"/>
        </w:rPr>
        <w:t xml:space="preserve"> </w:t>
      </w:r>
      <w:r w:rsidR="00D0356E">
        <w:rPr>
          <w:i/>
          <w:iCs/>
          <w:lang w:val="fr-CA"/>
        </w:rPr>
        <w:t>(</w:t>
      </w:r>
      <w:r w:rsidRPr="00E932DB">
        <w:rPr>
          <w:i/>
          <w:iCs/>
          <w:lang w:val="fr-CA"/>
        </w:rPr>
        <w:t>n</w:t>
      </w:r>
      <w:r w:rsidRPr="00E932DB">
        <w:rPr>
          <w:i/>
          <w:iCs/>
          <w:vertAlign w:val="superscript"/>
          <w:lang w:val="fr-CA"/>
        </w:rPr>
        <w:t>o</w:t>
      </w:r>
      <w:r w:rsidRPr="00E932DB">
        <w:rPr>
          <w:i/>
          <w:iCs/>
          <w:lang w:val="fr-CA"/>
        </w:rPr>
        <w:t> 2</w:t>
      </w:r>
      <w:r w:rsidR="00D0356E">
        <w:rPr>
          <w:i/>
          <w:iCs/>
          <w:lang w:val="fr-CA"/>
        </w:rPr>
        <w:t>)</w:t>
      </w:r>
      <w:r w:rsidRPr="00E932DB">
        <w:rPr>
          <w:lang w:val="fr-CA"/>
        </w:rPr>
        <w:t>.</w:t>
      </w:r>
    </w:p>
    <w:p w:rsidR="007D1503" w:rsidRPr="00E932DB" w:rsidRDefault="007D1503" w:rsidP="00EF00B0">
      <w:pPr>
        <w:pStyle w:val="ReasonsNumbering-AltN"/>
        <w:ind w:left="0" w:firstLine="0"/>
        <w:rPr>
          <w:lang w:val="fr-CA"/>
        </w:rPr>
      </w:pPr>
      <w:r w:rsidRPr="003B1792">
        <w:rPr>
          <w:lang w:val="fr-CA"/>
        </w:rPr>
        <w:t>Les</w:t>
      </w:r>
      <w:r w:rsidRPr="00E932DB">
        <w:rPr>
          <w:lang w:val="fr-CA"/>
        </w:rPr>
        <w:t xml:space="preserve"> tribunaux de l</w:t>
      </w:r>
      <w:r>
        <w:rPr>
          <w:lang w:val="fr-CA"/>
        </w:rPr>
        <w:t>’</w:t>
      </w:r>
      <w:r w:rsidRPr="00E932DB">
        <w:rPr>
          <w:lang w:val="fr-CA"/>
        </w:rPr>
        <w:t>Alberta ont estimé que l</w:t>
      </w:r>
      <w:r>
        <w:rPr>
          <w:lang w:val="fr-CA"/>
        </w:rPr>
        <w:t>’</w:t>
      </w:r>
      <w:r w:rsidRPr="00E932DB">
        <w:rPr>
          <w:lang w:val="fr-CA"/>
        </w:rPr>
        <w:t xml:space="preserve">argument juridique de </w:t>
      </w:r>
      <w:r>
        <w:rPr>
          <w:lang w:val="fr-CA"/>
        </w:rPr>
        <w:t>M. Caron</w:t>
      </w:r>
      <w:r w:rsidRPr="00E932DB">
        <w:rPr>
          <w:lang w:val="fr-CA"/>
        </w:rPr>
        <w:t xml:space="preserve"> était suffisamment fondé pour justifier qu</w:t>
      </w:r>
      <w:r>
        <w:rPr>
          <w:lang w:val="fr-CA"/>
        </w:rPr>
        <w:t>’</w:t>
      </w:r>
      <w:r w:rsidRPr="00E932DB">
        <w:rPr>
          <w:lang w:val="fr-CA"/>
        </w:rPr>
        <w:t>il soit tranché dans l</w:t>
      </w:r>
      <w:r>
        <w:rPr>
          <w:lang w:val="fr-CA"/>
        </w:rPr>
        <w:t>’</w:t>
      </w:r>
      <w:r w:rsidRPr="00E932DB">
        <w:rPr>
          <w:lang w:val="fr-CA"/>
        </w:rPr>
        <w:t>intérêt général du public.  M</w:t>
      </w:r>
      <w:r w:rsidR="00DD5855">
        <w:rPr>
          <w:lang w:val="fr-CA"/>
        </w:rPr>
        <w:t>.</w:t>
      </w:r>
      <w:r w:rsidRPr="00E932DB">
        <w:rPr>
          <w:lang w:val="fr-CA"/>
        </w:rPr>
        <w:t xml:space="preserve"> Caron ne disposait pas des ressources financières nécessaires à cette fin, et les tribunaux de l</w:t>
      </w:r>
      <w:r>
        <w:rPr>
          <w:lang w:val="fr-CA"/>
        </w:rPr>
        <w:t>’</w:t>
      </w:r>
      <w:r w:rsidRPr="00E932DB">
        <w:rPr>
          <w:lang w:val="fr-CA"/>
        </w:rPr>
        <w:t>Alberta n</w:t>
      </w:r>
      <w:r>
        <w:rPr>
          <w:lang w:val="fr-CA"/>
        </w:rPr>
        <w:t>’</w:t>
      </w:r>
      <w:r w:rsidRPr="00E932DB">
        <w:rPr>
          <w:lang w:val="fr-CA"/>
        </w:rPr>
        <w:t xml:space="preserve">étaient pas disposés à permettre que la </w:t>
      </w:r>
      <w:r w:rsidRPr="00E932DB">
        <w:rPr>
          <w:lang w:val="fr-CA"/>
        </w:rPr>
        <w:lastRenderedPageBreak/>
        <w:t>question ne soit pas réglée faute de défenseur bien nanti.  L</w:t>
      </w:r>
      <w:r>
        <w:rPr>
          <w:lang w:val="fr-CA"/>
        </w:rPr>
        <w:t>’</w:t>
      </w:r>
      <w:r w:rsidRPr="00E932DB">
        <w:rPr>
          <w:lang w:val="fr-CA"/>
        </w:rPr>
        <w:t>exercice par la cour supérieure de son pouvoir inhérent d</w:t>
      </w:r>
      <w:r>
        <w:rPr>
          <w:lang w:val="fr-CA"/>
        </w:rPr>
        <w:t>’</w:t>
      </w:r>
      <w:r w:rsidRPr="00E932DB">
        <w:rPr>
          <w:lang w:val="fr-CA"/>
        </w:rPr>
        <w:t>accorder une réparation exceptionnelle afin de s</w:t>
      </w:r>
      <w:r>
        <w:rPr>
          <w:lang w:val="fr-CA"/>
        </w:rPr>
        <w:t>’</w:t>
      </w:r>
      <w:r w:rsidRPr="00E932DB">
        <w:rPr>
          <w:lang w:val="fr-CA"/>
        </w:rPr>
        <w:t xml:space="preserve">adapter à une situation  extrêmement inhabituelle doit être </w:t>
      </w:r>
      <w:proofErr w:type="gramStart"/>
      <w:r w:rsidRPr="00E932DB">
        <w:rPr>
          <w:lang w:val="fr-CA"/>
        </w:rPr>
        <w:t>considéré</w:t>
      </w:r>
      <w:proofErr w:type="gramEnd"/>
      <w:r w:rsidRPr="00E932DB">
        <w:rPr>
          <w:lang w:val="fr-CA"/>
        </w:rPr>
        <w:t xml:space="preserve"> dans cette optique.</w:t>
      </w:r>
    </w:p>
    <w:p w:rsidR="007D1503" w:rsidRPr="00E932DB" w:rsidRDefault="007D1503" w:rsidP="008C1F1E">
      <w:pPr>
        <w:spacing w:after="720"/>
        <w:rPr>
          <w:lang w:val="fr-CA"/>
        </w:rPr>
      </w:pPr>
      <w:r w:rsidRPr="00E932DB">
        <w:rPr>
          <w:lang w:val="fr-CA"/>
        </w:rPr>
        <w:t>II.  </w:t>
      </w:r>
      <w:r w:rsidRPr="00E932DB">
        <w:rPr>
          <w:u w:val="single"/>
          <w:lang w:val="fr-CA"/>
        </w:rPr>
        <w:t>Faits</w:t>
      </w:r>
    </w:p>
    <w:p w:rsidR="007D1503" w:rsidRPr="00E932DB" w:rsidRDefault="007D1503" w:rsidP="00EF00B0">
      <w:pPr>
        <w:pStyle w:val="ReasonsNumbering-AltN"/>
        <w:ind w:left="0" w:firstLine="0"/>
        <w:rPr>
          <w:lang w:val="fr-CA"/>
        </w:rPr>
      </w:pPr>
      <w:r w:rsidRPr="00E932DB">
        <w:rPr>
          <w:lang w:val="fr-CA"/>
        </w:rPr>
        <w:t xml:space="preserve">Le 4 décembre 2003, </w:t>
      </w:r>
      <w:r>
        <w:rPr>
          <w:lang w:val="fr-CA"/>
        </w:rPr>
        <w:t>M. Caron</w:t>
      </w:r>
      <w:r w:rsidRPr="00E932DB">
        <w:rPr>
          <w:lang w:val="fr-CA"/>
        </w:rPr>
        <w:t xml:space="preserve"> a été accusé d</w:t>
      </w:r>
      <w:r>
        <w:rPr>
          <w:lang w:val="fr-CA"/>
        </w:rPr>
        <w:t>’</w:t>
      </w:r>
      <w:r w:rsidRPr="00E932DB">
        <w:rPr>
          <w:lang w:val="fr-CA"/>
        </w:rPr>
        <w:t>avoir commis une infraction réglementaire en négligeant de faire un virage à gauche en toute sécurité.  Il était passible d</w:t>
      </w:r>
      <w:r>
        <w:rPr>
          <w:lang w:val="fr-CA"/>
        </w:rPr>
        <w:t>’</w:t>
      </w:r>
      <w:r w:rsidRPr="00E932DB">
        <w:rPr>
          <w:lang w:val="fr-CA"/>
        </w:rPr>
        <w:t>une amende de 100 $ s</w:t>
      </w:r>
      <w:r>
        <w:rPr>
          <w:lang w:val="fr-CA"/>
        </w:rPr>
        <w:t>’</w:t>
      </w:r>
      <w:r w:rsidRPr="00E932DB">
        <w:rPr>
          <w:lang w:val="fr-CA"/>
        </w:rPr>
        <w:t xml:space="preserve">il était reconnu coupable.  Cinq jours plus tard, il a avisé la Cour provinciale que sa défense consisterait en une contestation constitutionnelle fondée sur ses droits linguistiques.  En effet, </w:t>
      </w:r>
      <w:r>
        <w:rPr>
          <w:lang w:val="fr-CA"/>
        </w:rPr>
        <w:t>M. Caron</w:t>
      </w:r>
      <w:r w:rsidRPr="00E932DB">
        <w:rPr>
          <w:lang w:val="fr-CA"/>
        </w:rPr>
        <w:t xml:space="preserve"> n</w:t>
      </w:r>
      <w:r>
        <w:rPr>
          <w:lang w:val="fr-CA"/>
        </w:rPr>
        <w:t>’</w:t>
      </w:r>
      <w:r w:rsidRPr="00E932DB">
        <w:rPr>
          <w:lang w:val="fr-CA"/>
        </w:rPr>
        <w:t>a pas contesté les faits de l</w:t>
      </w:r>
      <w:r>
        <w:rPr>
          <w:lang w:val="fr-CA"/>
        </w:rPr>
        <w:t>’</w:t>
      </w:r>
      <w:r w:rsidRPr="00E932DB">
        <w:rPr>
          <w:lang w:val="fr-CA"/>
        </w:rPr>
        <w:t>infraction et a avisé le ministère public qu</w:t>
      </w:r>
      <w:r>
        <w:rPr>
          <w:lang w:val="fr-CA"/>
        </w:rPr>
        <w:t>’</w:t>
      </w:r>
      <w:r w:rsidRPr="00E932DB">
        <w:rPr>
          <w:lang w:val="fr-CA"/>
        </w:rPr>
        <w:t>il présenterait des éléments de preuve uniquement sur la question de la langue.  En adoptant cette position, il a suivi une voie souvent empruntée par d</w:t>
      </w:r>
      <w:r>
        <w:rPr>
          <w:lang w:val="fr-CA"/>
        </w:rPr>
        <w:t>’</w:t>
      </w:r>
      <w:r w:rsidRPr="00E932DB">
        <w:rPr>
          <w:lang w:val="fr-CA"/>
        </w:rPr>
        <w:t>autres défenseurs des minorités linguistiques, comme Georges</w:t>
      </w:r>
      <w:r>
        <w:rPr>
          <w:lang w:val="fr-CA"/>
        </w:rPr>
        <w:t xml:space="preserve"> </w:t>
      </w:r>
      <w:r w:rsidRPr="00E932DB">
        <w:rPr>
          <w:lang w:val="fr-CA"/>
        </w:rPr>
        <w:t xml:space="preserve">Forest dans </w:t>
      </w:r>
      <w:r w:rsidRPr="00E932DB">
        <w:rPr>
          <w:i/>
          <w:iCs/>
          <w:lang w:val="fr-CA"/>
        </w:rPr>
        <w:t>Procureur général du Manitoba c. Forest</w:t>
      </w:r>
      <w:r w:rsidRPr="00E932DB">
        <w:rPr>
          <w:lang w:val="fr-CA"/>
        </w:rPr>
        <w:t>, [1979] 2 R.C.S. 1032 (contravention de stationnement uniquement en anglais);</w:t>
      </w:r>
      <w:r w:rsidRPr="00E932DB">
        <w:rPr>
          <w:color w:val="000000"/>
          <w:lang w:val="fr-CA"/>
        </w:rPr>
        <w:t xml:space="preserve"> Roger Bilodeau au</w:t>
      </w:r>
      <w:r w:rsidRPr="00E932DB">
        <w:rPr>
          <w:lang w:val="fr-CA"/>
        </w:rPr>
        <w:t xml:space="preserve"> Manitoba dans </w:t>
      </w:r>
      <w:r w:rsidRPr="00E932DB">
        <w:rPr>
          <w:i/>
          <w:iCs/>
          <w:lang w:val="fr-CA"/>
        </w:rPr>
        <w:t>Bilodeau c. Procureur général du Manitoba</w:t>
      </w:r>
      <w:r w:rsidRPr="00E932DB">
        <w:rPr>
          <w:lang w:val="fr-CA"/>
        </w:rPr>
        <w:t xml:space="preserve">, [1986] </w:t>
      </w:r>
      <w:r>
        <w:rPr>
          <w:lang w:val="fr-CA"/>
        </w:rPr>
        <w:t xml:space="preserve">1 R.C.S. </w:t>
      </w:r>
      <w:r w:rsidRPr="00E932DB">
        <w:rPr>
          <w:lang w:val="fr-CA"/>
        </w:rPr>
        <w:t>449,</w:t>
      </w:r>
      <w:r w:rsidRPr="00E932DB">
        <w:rPr>
          <w:color w:val="000000"/>
          <w:lang w:val="fr-CA"/>
        </w:rPr>
        <w:t xml:space="preserve"> et Duncan Cross MacDonald au Québec dans </w:t>
      </w:r>
      <w:r w:rsidRPr="00E932DB">
        <w:rPr>
          <w:i/>
          <w:iCs/>
          <w:color w:val="000000"/>
          <w:lang w:val="fr-CA"/>
        </w:rPr>
        <w:t>MacDonald c. Ville de Montréal</w:t>
      </w:r>
      <w:r w:rsidRPr="00E932DB">
        <w:rPr>
          <w:color w:val="000000"/>
          <w:lang w:val="fr-CA"/>
        </w:rPr>
        <w:t>, [1986] 1 R.C.S. 460 (sommations unilingues pour infraction au code de la route);</w:t>
      </w:r>
      <w:r>
        <w:rPr>
          <w:lang w:val="fr-CA"/>
        </w:rPr>
        <w:t xml:space="preserve"> André </w:t>
      </w:r>
      <w:r w:rsidRPr="00E932DB">
        <w:rPr>
          <w:lang w:val="fr-CA"/>
        </w:rPr>
        <w:t>Mercure</w:t>
      </w:r>
      <w:r w:rsidRPr="00E932DB">
        <w:rPr>
          <w:color w:val="000000"/>
          <w:lang w:val="fr-CA"/>
        </w:rPr>
        <w:t xml:space="preserve"> dans </w:t>
      </w:r>
      <w:r w:rsidRPr="00E932DB">
        <w:rPr>
          <w:i/>
          <w:iCs/>
          <w:lang w:val="fr-CA"/>
        </w:rPr>
        <w:t xml:space="preserve">Mercure </w:t>
      </w:r>
      <w:r w:rsidRPr="00E932DB">
        <w:rPr>
          <w:lang w:val="fr-CA"/>
        </w:rPr>
        <w:t>(procès uniquement en anglais);</w:t>
      </w:r>
      <w:r w:rsidRPr="00E932DB">
        <w:rPr>
          <w:color w:val="000000"/>
          <w:lang w:val="fr-CA"/>
        </w:rPr>
        <w:t xml:space="preserve"> et </w:t>
      </w:r>
      <w:proofErr w:type="spellStart"/>
      <w:r w:rsidRPr="00E932DB">
        <w:rPr>
          <w:lang w:val="fr-CA"/>
        </w:rPr>
        <w:t>Marie</w:t>
      </w:r>
      <w:r w:rsidRPr="00E932DB">
        <w:rPr>
          <w:lang w:val="fr-CA"/>
        </w:rPr>
        <w:noBreakHyphen/>
        <w:t>Claire</w:t>
      </w:r>
      <w:proofErr w:type="spellEnd"/>
      <w:r w:rsidRPr="00E932DB">
        <w:rPr>
          <w:lang w:val="fr-CA"/>
        </w:rPr>
        <w:t xml:space="preserve"> Paulin</w:t>
      </w:r>
      <w:r w:rsidRPr="00E932DB">
        <w:rPr>
          <w:color w:val="000000"/>
          <w:lang w:val="fr-CA"/>
        </w:rPr>
        <w:t xml:space="preserve"> dans</w:t>
      </w:r>
      <w:r w:rsidRPr="00E932DB">
        <w:rPr>
          <w:lang w:val="fr-CA"/>
        </w:rPr>
        <w:t xml:space="preserve"> </w:t>
      </w:r>
      <w:r w:rsidRPr="00E932DB">
        <w:rPr>
          <w:i/>
          <w:iCs/>
          <w:lang w:val="fr-CA"/>
        </w:rPr>
        <w:t xml:space="preserve">Société des Acadiens et Acadiennes du </w:t>
      </w:r>
      <w:proofErr w:type="spellStart"/>
      <w:r w:rsidRPr="00E932DB">
        <w:rPr>
          <w:i/>
          <w:iCs/>
          <w:lang w:val="fr-CA"/>
        </w:rPr>
        <w:t>Nouveau</w:t>
      </w:r>
      <w:r w:rsidRPr="00E932DB">
        <w:rPr>
          <w:i/>
          <w:iCs/>
          <w:lang w:val="fr-CA"/>
        </w:rPr>
        <w:noBreakHyphen/>
        <w:t>Brunswick</w:t>
      </w:r>
      <w:proofErr w:type="spellEnd"/>
      <w:r w:rsidRPr="00E932DB">
        <w:rPr>
          <w:i/>
          <w:iCs/>
          <w:lang w:val="fr-CA"/>
        </w:rPr>
        <w:t xml:space="preserve"> Inc. c. Canada</w:t>
      </w:r>
      <w:r w:rsidRPr="00E932DB">
        <w:rPr>
          <w:lang w:val="fr-CA"/>
        </w:rPr>
        <w:t>, 2008 CSC 15, [2008] 1 R.C.S. 383 (</w:t>
      </w:r>
      <w:r w:rsidRPr="00E932DB">
        <w:rPr>
          <w:color w:val="000000"/>
          <w:lang w:val="fr-CA"/>
        </w:rPr>
        <w:t>services de police unilingues)</w:t>
      </w:r>
      <w:r w:rsidRPr="00E932DB">
        <w:rPr>
          <w:lang w:val="fr-CA"/>
        </w:rPr>
        <w:t xml:space="preserve">.  </w:t>
      </w:r>
      <w:r w:rsidRPr="00E932DB">
        <w:rPr>
          <w:lang w:val="fr-CA"/>
        </w:rPr>
        <w:lastRenderedPageBreak/>
        <w:t xml:space="preserve">Voir également </w:t>
      </w:r>
      <w:r w:rsidRPr="00E932DB">
        <w:rPr>
          <w:i/>
          <w:iCs/>
          <w:lang w:val="fr-CA"/>
        </w:rPr>
        <w:t xml:space="preserve">Lefebvre c. Alberta </w:t>
      </w:r>
      <w:r w:rsidRPr="00E932DB">
        <w:rPr>
          <w:lang w:val="fr-CA"/>
        </w:rPr>
        <w:t xml:space="preserve">(1993), 135 A.R. 338 (C.A.), </w:t>
      </w:r>
      <w:r w:rsidRPr="00E932DB">
        <w:rPr>
          <w:lang w:val="fr-FR"/>
        </w:rPr>
        <w:t>autorisation d</w:t>
      </w:r>
      <w:r w:rsidR="003B1792">
        <w:rPr>
          <w:lang w:val="fr-FR"/>
        </w:rPr>
        <w:t>’appel</w:t>
      </w:r>
      <w:r w:rsidRPr="00E932DB">
        <w:rPr>
          <w:lang w:val="fr-FR"/>
        </w:rPr>
        <w:t xml:space="preserve"> refusée, [1993] 3 R.C.S. vii,</w:t>
      </w:r>
      <w:r w:rsidRPr="00E932DB">
        <w:rPr>
          <w:lang w:val="fr-CA"/>
        </w:rPr>
        <w:t xml:space="preserve"> et </w:t>
      </w:r>
      <w:r w:rsidRPr="00E932DB">
        <w:rPr>
          <w:i/>
          <w:iCs/>
          <w:lang w:val="fr-CA"/>
        </w:rPr>
        <w:t xml:space="preserve">R. c. </w:t>
      </w:r>
      <w:proofErr w:type="spellStart"/>
      <w:r w:rsidRPr="00E932DB">
        <w:rPr>
          <w:i/>
          <w:iCs/>
          <w:lang w:val="fr-CA"/>
        </w:rPr>
        <w:t>Rémillard</w:t>
      </w:r>
      <w:proofErr w:type="spellEnd"/>
      <w:r w:rsidRPr="00E932DB">
        <w:rPr>
          <w:lang w:val="fr-CA"/>
        </w:rPr>
        <w:t>, 2009</w:t>
      </w:r>
      <w:r>
        <w:rPr>
          <w:lang w:val="fr-CA"/>
        </w:rPr>
        <w:t xml:space="preserve"> </w:t>
      </w:r>
      <w:r w:rsidRPr="00E932DB">
        <w:rPr>
          <w:lang w:val="fr-CA"/>
        </w:rPr>
        <w:t>MBCA 112, 249 C.C.C. (3d) 44.</w:t>
      </w:r>
    </w:p>
    <w:p w:rsidR="007D1503" w:rsidRPr="00E932DB" w:rsidRDefault="007D1503" w:rsidP="00EF00B0">
      <w:pPr>
        <w:pStyle w:val="ReasonsNumbering-AltN"/>
        <w:ind w:left="0" w:firstLine="0"/>
        <w:rPr>
          <w:lang w:val="fr-CA"/>
        </w:rPr>
      </w:pPr>
      <w:r>
        <w:rPr>
          <w:lang w:val="fr-CA"/>
        </w:rPr>
        <w:t>M</w:t>
      </w:r>
      <w:r w:rsidR="00DD5855">
        <w:rPr>
          <w:lang w:val="fr-CA"/>
        </w:rPr>
        <w:t>.</w:t>
      </w:r>
      <w:r>
        <w:rPr>
          <w:lang w:val="fr-CA"/>
        </w:rPr>
        <w:t xml:space="preserve"> </w:t>
      </w:r>
      <w:r w:rsidRPr="00E932DB">
        <w:rPr>
          <w:lang w:val="fr-CA"/>
        </w:rPr>
        <w:t>Caron a pris les mesures nécessaires pour couvrir sa part des frais d</w:t>
      </w:r>
      <w:r>
        <w:rPr>
          <w:lang w:val="fr-CA"/>
        </w:rPr>
        <w:t>’</w:t>
      </w:r>
      <w:r w:rsidRPr="00E932DB">
        <w:rPr>
          <w:lang w:val="fr-CA"/>
        </w:rPr>
        <w:t>un procès qui, selon ses avocats, pouvait durer de 2 à 5 jours (on peut soutenir qu</w:t>
      </w:r>
      <w:r>
        <w:rPr>
          <w:lang w:val="fr-CA"/>
        </w:rPr>
        <w:t>’</w:t>
      </w:r>
      <w:r w:rsidRPr="00E932DB">
        <w:rPr>
          <w:lang w:val="fr-CA"/>
        </w:rPr>
        <w:t>il s</w:t>
      </w:r>
      <w:r>
        <w:rPr>
          <w:lang w:val="fr-CA"/>
        </w:rPr>
        <w:t>’</w:t>
      </w:r>
      <w:r w:rsidRPr="00E932DB">
        <w:rPr>
          <w:lang w:val="fr-CA"/>
        </w:rPr>
        <w:t>agit d</w:t>
      </w:r>
      <w:r>
        <w:rPr>
          <w:lang w:val="fr-CA"/>
        </w:rPr>
        <w:t>’</w:t>
      </w:r>
      <w:r w:rsidRPr="00E932DB">
        <w:rPr>
          <w:lang w:val="fr-CA"/>
        </w:rPr>
        <w:t>une estimation irréaliste).  Il a notamment mobilisé ses propres fonds, par ailleurs limités, demandé du financement auprès de l</w:t>
      </w:r>
      <w:r>
        <w:rPr>
          <w:lang w:val="fr-CA"/>
        </w:rPr>
        <w:t xml:space="preserve">’Association </w:t>
      </w:r>
      <w:proofErr w:type="spellStart"/>
      <w:r>
        <w:rPr>
          <w:lang w:val="fr-CA"/>
        </w:rPr>
        <w:t>canadienne</w:t>
      </w:r>
      <w:r>
        <w:rPr>
          <w:lang w:val="fr-CA"/>
        </w:rPr>
        <w:noBreakHyphen/>
      </w:r>
      <w:r w:rsidRPr="00E932DB">
        <w:rPr>
          <w:lang w:val="fr-CA"/>
        </w:rPr>
        <w:t>française</w:t>
      </w:r>
      <w:proofErr w:type="spellEnd"/>
      <w:r w:rsidRPr="00E932DB">
        <w:rPr>
          <w:lang w:val="fr-CA"/>
        </w:rPr>
        <w:t xml:space="preserve"> de l</w:t>
      </w:r>
      <w:r>
        <w:rPr>
          <w:lang w:val="fr-CA"/>
        </w:rPr>
        <w:t>’</w:t>
      </w:r>
      <w:r w:rsidRPr="00E932DB">
        <w:rPr>
          <w:lang w:val="fr-CA"/>
        </w:rPr>
        <w:t>Alberta (bien que l</w:t>
      </w:r>
      <w:r>
        <w:rPr>
          <w:lang w:val="fr-CA"/>
        </w:rPr>
        <w:t>’</w:t>
      </w:r>
      <w:r w:rsidRPr="00E932DB">
        <w:rPr>
          <w:lang w:val="fr-CA"/>
        </w:rPr>
        <w:t xml:space="preserve">Association ait refusé de financer sa cause, il a obtenu deux prêts de 15 000 $ chacun de </w:t>
      </w:r>
      <w:r>
        <w:rPr>
          <w:lang w:val="fr-CA"/>
        </w:rPr>
        <w:t>ses sympathisants)</w:t>
      </w:r>
      <w:r w:rsidRPr="00E932DB">
        <w:rPr>
          <w:lang w:val="fr-CA"/>
        </w:rPr>
        <w:t>, et reçu des dons supplémentaires ainsi que 70 000 $ du Programme de contestation judiciaire du gouvernement fédéral (versés par tranches puisque le procès se prolongeait de mois en mois).  Il a également demandé de l</w:t>
      </w:r>
      <w:r>
        <w:rPr>
          <w:lang w:val="fr-CA"/>
        </w:rPr>
        <w:t>’</w:t>
      </w:r>
      <w:r w:rsidRPr="00E932DB">
        <w:rPr>
          <w:lang w:val="fr-CA"/>
        </w:rPr>
        <w:t>aide sur Internet.  Il n</w:t>
      </w:r>
      <w:r>
        <w:rPr>
          <w:lang w:val="fr-CA"/>
        </w:rPr>
        <w:t>’</w:t>
      </w:r>
      <w:r w:rsidRPr="00E932DB">
        <w:rPr>
          <w:lang w:val="fr-CA"/>
        </w:rPr>
        <w:t>a pas pu avoir recours à l</w:t>
      </w:r>
      <w:r>
        <w:rPr>
          <w:lang w:val="fr-CA"/>
        </w:rPr>
        <w:t>’</w:t>
      </w:r>
      <w:r w:rsidRPr="00E932DB">
        <w:rPr>
          <w:lang w:val="fr-CA"/>
        </w:rPr>
        <w:t>aide juridique.</w:t>
      </w:r>
    </w:p>
    <w:p w:rsidR="007D1503" w:rsidRPr="00E932DB" w:rsidRDefault="007D1503" w:rsidP="00EF00B0">
      <w:pPr>
        <w:pStyle w:val="ReasonsNumbering-AltN"/>
        <w:ind w:left="0" w:firstLine="0"/>
        <w:rPr>
          <w:lang w:val="fr-CA"/>
        </w:rPr>
      </w:pPr>
      <w:r w:rsidRPr="00E932DB">
        <w:rPr>
          <w:lang w:val="fr-CA"/>
        </w:rPr>
        <w:t xml:space="preserve">Après la présentation de la preuve de la défense en mars 2006, le ministère public a demandé un ajournement pour préparer sa </w:t>
      </w:r>
      <w:proofErr w:type="spellStart"/>
      <w:r w:rsidRPr="00E932DB">
        <w:rPr>
          <w:lang w:val="fr-CA"/>
        </w:rPr>
        <w:t>contre</w:t>
      </w:r>
      <w:r w:rsidRPr="00E932DB">
        <w:rPr>
          <w:lang w:val="fr-CA"/>
        </w:rPr>
        <w:noBreakHyphen/>
        <w:t>preuve</w:t>
      </w:r>
      <w:proofErr w:type="spellEnd"/>
      <w:r w:rsidRPr="00E932DB">
        <w:rPr>
          <w:lang w:val="fr-CA"/>
        </w:rPr>
        <w:t xml:space="preserve"> provenant  de témoins experts.  Comme le procès se prolongeait, </w:t>
      </w:r>
      <w:r>
        <w:rPr>
          <w:lang w:val="fr-CA"/>
        </w:rPr>
        <w:t>M. Caron</w:t>
      </w:r>
      <w:r w:rsidRPr="00E932DB">
        <w:rPr>
          <w:lang w:val="fr-CA"/>
        </w:rPr>
        <w:t xml:space="preserve"> a demandé du financement supplémentaire dans le cadre du Programme de contestation judiciaire, mais ce programme a été aboli par le gouvernement fédéral le 25 septembre 2006 avant qu</w:t>
      </w:r>
      <w:r>
        <w:rPr>
          <w:lang w:val="fr-CA"/>
        </w:rPr>
        <w:t>’</w:t>
      </w:r>
      <w:r w:rsidRPr="00E932DB">
        <w:rPr>
          <w:lang w:val="fr-CA"/>
        </w:rPr>
        <w:t>on ne puisse examiner sa demande.  Il a subséquemment présenté des demandes d</w:t>
      </w:r>
      <w:r>
        <w:rPr>
          <w:lang w:val="fr-CA"/>
        </w:rPr>
        <w:t>’</w:t>
      </w:r>
      <w:r w:rsidRPr="00E932DB">
        <w:rPr>
          <w:lang w:val="fr-CA"/>
        </w:rPr>
        <w:t>aide juridique,</w:t>
      </w:r>
      <w:r>
        <w:rPr>
          <w:lang w:val="fr-CA"/>
        </w:rPr>
        <w:t xml:space="preserve"> qui ont également été rejetées</w:t>
      </w:r>
      <w:r w:rsidRPr="00E932DB">
        <w:rPr>
          <w:lang w:val="fr-CA"/>
        </w:rPr>
        <w:t>.</w:t>
      </w:r>
    </w:p>
    <w:p w:rsidR="007D1503" w:rsidRPr="00E932DB" w:rsidRDefault="007D1503" w:rsidP="00EF00B0">
      <w:pPr>
        <w:pStyle w:val="ReasonsNumbering-AltN"/>
        <w:ind w:left="0" w:firstLine="0"/>
        <w:rPr>
          <w:lang w:val="fr-CA"/>
        </w:rPr>
      </w:pPr>
      <w:r w:rsidRPr="00E932DB">
        <w:rPr>
          <w:lang w:val="fr-CA"/>
        </w:rPr>
        <w:lastRenderedPageBreak/>
        <w:t>L</w:t>
      </w:r>
      <w:r>
        <w:rPr>
          <w:lang w:val="fr-CA"/>
        </w:rPr>
        <w:t>’</w:t>
      </w:r>
      <w:r w:rsidRPr="00E932DB">
        <w:rPr>
          <w:lang w:val="fr-CA"/>
        </w:rPr>
        <w:t>audition des témoins du ministère public a débuté en octobre 2006, à la reprise du procès.</w:t>
      </w:r>
      <w:r>
        <w:rPr>
          <w:lang w:val="fr-CA"/>
        </w:rPr>
        <w:t xml:space="preserve">  O</w:t>
      </w:r>
      <w:r w:rsidRPr="00E932DB">
        <w:rPr>
          <w:lang w:val="fr-CA"/>
        </w:rPr>
        <w:t>n a pu mesurer l</w:t>
      </w:r>
      <w:r>
        <w:rPr>
          <w:lang w:val="fr-CA"/>
        </w:rPr>
        <w:t>’</w:t>
      </w:r>
      <w:r w:rsidRPr="00E932DB">
        <w:rPr>
          <w:lang w:val="fr-CA"/>
        </w:rPr>
        <w:t>ampleur de la bataille des experts</w:t>
      </w:r>
      <w:r>
        <w:rPr>
          <w:lang w:val="fr-CA"/>
        </w:rPr>
        <w:t xml:space="preserve">, </w:t>
      </w:r>
      <w:r w:rsidRPr="00E932DB">
        <w:rPr>
          <w:lang w:val="fr-CA"/>
        </w:rPr>
        <w:t xml:space="preserve">et </w:t>
      </w:r>
      <w:r>
        <w:rPr>
          <w:lang w:val="fr-CA"/>
        </w:rPr>
        <w:t>M. Caron</w:t>
      </w:r>
      <w:r w:rsidRPr="00E932DB">
        <w:rPr>
          <w:lang w:val="fr-CA"/>
        </w:rPr>
        <w:t xml:space="preserve"> manquait de fonds pour poursuivre l</w:t>
      </w:r>
      <w:r>
        <w:rPr>
          <w:lang w:val="fr-CA"/>
        </w:rPr>
        <w:t>’</w:t>
      </w:r>
      <w:r w:rsidRPr="00E932DB">
        <w:rPr>
          <w:lang w:val="fr-CA"/>
        </w:rPr>
        <w:t>instance</w:t>
      </w:r>
      <w:r>
        <w:rPr>
          <w:lang w:val="fr-CA"/>
        </w:rPr>
        <w:t>.  L</w:t>
      </w:r>
      <w:r w:rsidRPr="00E932DB">
        <w:rPr>
          <w:lang w:val="fr-CA"/>
        </w:rPr>
        <w:t>e juge de la Cour provinciale a</w:t>
      </w:r>
      <w:r>
        <w:rPr>
          <w:lang w:val="fr-CA"/>
        </w:rPr>
        <w:t>vait</w:t>
      </w:r>
      <w:r w:rsidRPr="00E932DB">
        <w:rPr>
          <w:lang w:val="fr-CA"/>
        </w:rPr>
        <w:t xml:space="preserve"> </w:t>
      </w:r>
      <w:r>
        <w:rPr>
          <w:lang w:val="fr-CA"/>
        </w:rPr>
        <w:t xml:space="preserve">refusé de rendre une ordonnance fondée sur l’arrêt </w:t>
      </w:r>
      <w:proofErr w:type="spellStart"/>
      <w:r w:rsidRPr="009179B6">
        <w:rPr>
          <w:i/>
          <w:lang w:val="fr-CA"/>
        </w:rPr>
        <w:t>Okanagan</w:t>
      </w:r>
      <w:proofErr w:type="spellEnd"/>
      <w:r>
        <w:rPr>
          <w:lang w:val="fr-CA"/>
        </w:rPr>
        <w:t xml:space="preserve"> (2006 ABPC 278, 416 A.R. 63, par. 16</w:t>
      </w:r>
      <w:r w:rsidR="003B1792">
        <w:rPr>
          <w:lang w:val="fr-CA"/>
        </w:rPr>
        <w:t>0</w:t>
      </w:r>
      <w:r>
        <w:rPr>
          <w:lang w:val="fr-CA"/>
        </w:rPr>
        <w:t xml:space="preserve">), mais il a subséquemment </w:t>
      </w:r>
      <w:r w:rsidRPr="00E932DB">
        <w:rPr>
          <w:lang w:val="fr-CA"/>
        </w:rPr>
        <w:t>ordonné au ministère public</w:t>
      </w:r>
      <w:r>
        <w:rPr>
          <w:lang w:val="fr-CA"/>
        </w:rPr>
        <w:t xml:space="preserve">, en application du par. 24(1) de la </w:t>
      </w:r>
      <w:r w:rsidRPr="003B1792">
        <w:rPr>
          <w:i/>
          <w:lang w:val="fr-CA"/>
        </w:rPr>
        <w:t>Charte</w:t>
      </w:r>
      <w:r w:rsidR="003B1792">
        <w:rPr>
          <w:i/>
          <w:lang w:val="fr-CA"/>
        </w:rPr>
        <w:t xml:space="preserve"> canadienne des droits et libertés</w:t>
      </w:r>
      <w:r>
        <w:rPr>
          <w:lang w:val="fr-CA"/>
        </w:rPr>
        <w:t>,</w:t>
      </w:r>
      <w:r w:rsidRPr="00E932DB">
        <w:rPr>
          <w:lang w:val="fr-CA"/>
        </w:rPr>
        <w:t xml:space="preserve"> de payer à partir de cette date les honoraires de l</w:t>
      </w:r>
      <w:r>
        <w:rPr>
          <w:lang w:val="fr-CA"/>
        </w:rPr>
        <w:t>’</w:t>
      </w:r>
      <w:r w:rsidRPr="00E932DB">
        <w:rPr>
          <w:lang w:val="fr-CA"/>
        </w:rPr>
        <w:t xml:space="preserve">avocat et des experts de </w:t>
      </w:r>
      <w:r>
        <w:rPr>
          <w:lang w:val="fr-CA"/>
        </w:rPr>
        <w:t>M. Caron</w:t>
      </w:r>
      <w:r w:rsidRPr="00E932DB">
        <w:rPr>
          <w:lang w:val="fr-CA"/>
        </w:rPr>
        <w:t>.  Par la suite, la Cour du Banc de la Reine a annulé l</w:t>
      </w:r>
      <w:r>
        <w:rPr>
          <w:lang w:val="fr-CA"/>
        </w:rPr>
        <w:t>’</w:t>
      </w:r>
      <w:r w:rsidRPr="00E932DB">
        <w:rPr>
          <w:lang w:val="fr-CA"/>
        </w:rPr>
        <w:t>ordonnance du juge de première instance</w:t>
      </w:r>
      <w:r>
        <w:rPr>
          <w:lang w:val="fr-CA"/>
        </w:rPr>
        <w:t xml:space="preserve"> fondée sur le par. 24(1).  Le</w:t>
      </w:r>
      <w:r w:rsidR="003B1792">
        <w:rPr>
          <w:lang w:val="fr-CA"/>
        </w:rPr>
        <w:t xml:space="preserve"> bien-fondé de la demande reposant</w:t>
      </w:r>
      <w:r>
        <w:rPr>
          <w:lang w:val="fr-CA"/>
        </w:rPr>
        <w:t xml:space="preserve"> sur </w:t>
      </w:r>
      <w:proofErr w:type="spellStart"/>
      <w:r w:rsidRPr="009179B6">
        <w:rPr>
          <w:i/>
          <w:lang w:val="fr-CA"/>
        </w:rPr>
        <w:t>Okanagan</w:t>
      </w:r>
      <w:proofErr w:type="spellEnd"/>
      <w:r w:rsidRPr="00E932DB">
        <w:rPr>
          <w:lang w:val="fr-CA"/>
        </w:rPr>
        <w:t xml:space="preserve"> </w:t>
      </w:r>
      <w:r>
        <w:rPr>
          <w:lang w:val="fr-CA"/>
        </w:rPr>
        <w:t xml:space="preserve">n’a cependant pas été examiné plus à fond en appel parce que, de l’avis du juge de la Cour du Banc de la Reine, </w:t>
      </w:r>
      <w:r w:rsidRPr="005F44F0">
        <w:rPr>
          <w:lang w:val="fr-FR"/>
        </w:rPr>
        <w:t>[</w:t>
      </w:r>
      <w:r w:rsidRPr="005F44F0">
        <w:rPr>
          <w:smallCaps/>
          <w:lang w:val="fr-FR"/>
        </w:rPr>
        <w:t>traduction</w:t>
      </w:r>
      <w:r w:rsidRPr="005F44F0">
        <w:rPr>
          <w:lang w:val="fr-FR"/>
        </w:rPr>
        <w:t xml:space="preserve">] </w:t>
      </w:r>
      <w:r>
        <w:rPr>
          <w:lang w:val="fr-CA"/>
        </w:rPr>
        <w:t xml:space="preserve">« le juge de </w:t>
      </w:r>
      <w:r>
        <w:rPr>
          <w:lang w:val="fr-FR"/>
        </w:rPr>
        <w:t xml:space="preserve">la cour provinciale n’avait de toute façon pas compétence pour attribuer une provision pour frais fondée sur </w:t>
      </w:r>
      <w:proofErr w:type="spellStart"/>
      <w:r w:rsidRPr="005F44F0">
        <w:rPr>
          <w:i/>
          <w:lang w:val="fr-FR"/>
        </w:rPr>
        <w:t>Okanagan</w:t>
      </w:r>
      <w:proofErr w:type="spellEnd"/>
      <w:r>
        <w:rPr>
          <w:lang w:val="fr-FR"/>
        </w:rPr>
        <w:t xml:space="preserve"> » </w:t>
      </w:r>
      <w:r w:rsidRPr="00E932DB">
        <w:rPr>
          <w:lang w:val="fr-CA"/>
        </w:rPr>
        <w:t>(</w:t>
      </w:r>
      <w:r w:rsidRPr="00E932DB">
        <w:rPr>
          <w:i/>
          <w:iCs/>
          <w:lang w:val="fr-CA"/>
        </w:rPr>
        <w:t>R. c. Caron</w:t>
      </w:r>
      <w:r w:rsidRPr="00E932DB">
        <w:rPr>
          <w:lang w:val="fr-CA"/>
        </w:rPr>
        <w:t xml:space="preserve">, 2007 ABQB 262, 75 Alta. L.R. (4th) 287, </w:t>
      </w:r>
      <w:r>
        <w:rPr>
          <w:lang w:val="fr-CA"/>
        </w:rPr>
        <w:t>par. </w:t>
      </w:r>
      <w:r w:rsidRPr="00E932DB">
        <w:rPr>
          <w:lang w:val="fr-CA"/>
        </w:rPr>
        <w:t>131).  Aucun appel n</w:t>
      </w:r>
      <w:r>
        <w:rPr>
          <w:lang w:val="fr-CA"/>
        </w:rPr>
        <w:t>’</w:t>
      </w:r>
      <w:r w:rsidRPr="00E932DB">
        <w:rPr>
          <w:lang w:val="fr-CA"/>
        </w:rPr>
        <w:t>a été interjeté de cette décision (sur laquelle notre Cour n</w:t>
      </w:r>
      <w:r>
        <w:rPr>
          <w:lang w:val="fr-CA"/>
        </w:rPr>
        <w:t>’</w:t>
      </w:r>
      <w:r w:rsidRPr="00E932DB">
        <w:rPr>
          <w:lang w:val="fr-CA"/>
        </w:rPr>
        <w:t>est donc pas appelée à se</w:t>
      </w:r>
      <w:r>
        <w:rPr>
          <w:lang w:val="fr-CA"/>
        </w:rPr>
        <w:t xml:space="preserve"> prononcer) parce que le 16 mai </w:t>
      </w:r>
      <w:r w:rsidRPr="00E932DB">
        <w:rPr>
          <w:lang w:val="fr-CA"/>
        </w:rPr>
        <w:t xml:space="preserve">2007, la cour supérieure a </w:t>
      </w:r>
      <w:proofErr w:type="spellStart"/>
      <w:r w:rsidRPr="00E932DB">
        <w:rPr>
          <w:lang w:val="fr-CA"/>
        </w:rPr>
        <w:t>elle</w:t>
      </w:r>
      <w:r w:rsidRPr="00E932DB">
        <w:rPr>
          <w:lang w:val="fr-CA"/>
        </w:rPr>
        <w:noBreakHyphen/>
        <w:t>même</w:t>
      </w:r>
      <w:proofErr w:type="spellEnd"/>
      <w:r w:rsidRPr="00E932DB">
        <w:rPr>
          <w:lang w:val="fr-CA"/>
        </w:rPr>
        <w:t xml:space="preserve"> ordonné que les honoraires d</w:t>
      </w:r>
      <w:r>
        <w:rPr>
          <w:lang w:val="fr-CA"/>
        </w:rPr>
        <w:t>’</w:t>
      </w:r>
      <w:r w:rsidRPr="00E932DB">
        <w:rPr>
          <w:lang w:val="fr-CA"/>
        </w:rPr>
        <w:t>experts soient payés pour la continuation du procès qui devait avoir lieu du 22 mai au 15 juin 2007.  Le 19 octobre</w:t>
      </w:r>
      <w:r>
        <w:rPr>
          <w:lang w:val="fr-CA"/>
        </w:rPr>
        <w:t> </w:t>
      </w:r>
      <w:r w:rsidRPr="00E932DB">
        <w:rPr>
          <w:lang w:val="fr-CA"/>
        </w:rPr>
        <w:t xml:space="preserve">2007, elle a également ordonné au ministère public de payer les frais que </w:t>
      </w:r>
      <w:r>
        <w:rPr>
          <w:lang w:val="fr-CA"/>
        </w:rPr>
        <w:t>M. Caron</w:t>
      </w:r>
      <w:r w:rsidRPr="00E932DB">
        <w:rPr>
          <w:lang w:val="fr-CA"/>
        </w:rPr>
        <w:t xml:space="preserve"> avait engagés pour</w:t>
      </w:r>
      <w:r w:rsidR="003B1792">
        <w:rPr>
          <w:lang w:val="fr-CA"/>
        </w:rPr>
        <w:t xml:space="preserve"> répliquer à la </w:t>
      </w:r>
      <w:proofErr w:type="spellStart"/>
      <w:r w:rsidR="003B1792">
        <w:rPr>
          <w:lang w:val="fr-CA"/>
        </w:rPr>
        <w:t>contre-</w:t>
      </w:r>
      <w:r w:rsidRPr="00E932DB">
        <w:rPr>
          <w:lang w:val="fr-CA"/>
        </w:rPr>
        <w:t>preuve</w:t>
      </w:r>
      <w:proofErr w:type="spellEnd"/>
      <w:r w:rsidRPr="00E932DB">
        <w:rPr>
          <w:lang w:val="fr-CA"/>
        </w:rPr>
        <w:t xml:space="preserve"> (2007 ABQB 632</w:t>
      </w:r>
      <w:r w:rsidR="003B1792">
        <w:rPr>
          <w:lang w:val="fr-CA"/>
        </w:rPr>
        <w:t>, [2007] A.J. No. 1166 (QL)</w:t>
      </w:r>
      <w:r w:rsidRPr="00E932DB">
        <w:rPr>
          <w:lang w:val="fr-CA"/>
        </w:rPr>
        <w:t>, le juge Ouellette).</w:t>
      </w:r>
    </w:p>
    <w:p w:rsidR="007D1503" w:rsidRPr="00E932DB" w:rsidRDefault="007D1503" w:rsidP="00EF00B0">
      <w:pPr>
        <w:pStyle w:val="ReasonsNumbering-AltN"/>
        <w:ind w:left="0" w:firstLine="0"/>
        <w:rPr>
          <w:lang w:val="fr-CA"/>
        </w:rPr>
      </w:pPr>
      <w:r w:rsidRPr="00E932DB">
        <w:rPr>
          <w:lang w:val="fr-CA"/>
        </w:rPr>
        <w:lastRenderedPageBreak/>
        <w:t>Le ministère public a demandé un ajournement à une date postérieure au procès pour débattre de la question des honoraires de l</w:t>
      </w:r>
      <w:r>
        <w:rPr>
          <w:lang w:val="fr-CA"/>
        </w:rPr>
        <w:t>’</w:t>
      </w:r>
      <w:r w:rsidRPr="00E932DB">
        <w:rPr>
          <w:lang w:val="fr-CA"/>
        </w:rPr>
        <w:t>avocat de la défense, étant entendu que ce délai ne porterait pas préjudice à la demande de la défense.</w:t>
      </w:r>
    </w:p>
    <w:p w:rsidR="007D1503" w:rsidRPr="00E932DB" w:rsidRDefault="007D1503" w:rsidP="00EF00B0">
      <w:pPr>
        <w:pStyle w:val="ReasonsNumbering-AltN"/>
        <w:ind w:left="0" w:firstLine="0"/>
        <w:rPr>
          <w:lang w:val="fr-CA"/>
        </w:rPr>
      </w:pPr>
      <w:r w:rsidRPr="00E932DB">
        <w:rPr>
          <w:lang w:val="fr-CA"/>
        </w:rPr>
        <w:t>Le procès s</w:t>
      </w:r>
      <w:r>
        <w:rPr>
          <w:lang w:val="fr-CA"/>
        </w:rPr>
        <w:t>’</w:t>
      </w:r>
      <w:r w:rsidRPr="00E932DB">
        <w:rPr>
          <w:lang w:val="fr-CA"/>
        </w:rPr>
        <w:t>est terminé le 15 juin 2007.  Le dossier historique constitué en première instance est imposant.  Y fig</w:t>
      </w:r>
      <w:r w:rsidR="003B1792">
        <w:rPr>
          <w:lang w:val="fr-CA"/>
        </w:rPr>
        <w:t>uraient les témoignages de 12</w:t>
      </w:r>
      <w:r w:rsidRPr="00E932DB">
        <w:rPr>
          <w:lang w:val="fr-CA"/>
        </w:rPr>
        <w:t xml:space="preserve"> témoins, dont </w:t>
      </w:r>
      <w:r w:rsidR="003B1792">
        <w:rPr>
          <w:lang w:val="fr-CA"/>
        </w:rPr>
        <w:t>8</w:t>
      </w:r>
      <w:r w:rsidRPr="00E932DB">
        <w:rPr>
          <w:lang w:val="fr-CA"/>
        </w:rPr>
        <w:t> </w:t>
      </w:r>
      <w:r>
        <w:rPr>
          <w:lang w:val="fr-CA"/>
        </w:rPr>
        <w:t xml:space="preserve">experts, 9 164 </w:t>
      </w:r>
      <w:r w:rsidRPr="00E932DB">
        <w:rPr>
          <w:lang w:val="fr-CA"/>
        </w:rPr>
        <w:t xml:space="preserve">pages de transcription et </w:t>
      </w:r>
      <w:r w:rsidR="003B1792">
        <w:rPr>
          <w:lang w:val="fr-CA"/>
        </w:rPr>
        <w:t>93</w:t>
      </w:r>
      <w:r w:rsidRPr="00E932DB">
        <w:rPr>
          <w:lang w:val="fr-CA"/>
        </w:rPr>
        <w:t xml:space="preserve"> pièces à conviction (2008</w:t>
      </w:r>
      <w:r>
        <w:rPr>
          <w:lang w:val="fr-CA"/>
        </w:rPr>
        <w:t xml:space="preserve"> </w:t>
      </w:r>
      <w:r w:rsidRPr="00E932DB">
        <w:rPr>
          <w:lang w:val="fr-CA"/>
        </w:rPr>
        <w:t>ABPC 232,</w:t>
      </w:r>
      <w:r w:rsidR="003B1792">
        <w:rPr>
          <w:lang w:val="fr-CA"/>
        </w:rPr>
        <w:t xml:space="preserve"> [2008] A.J. No. 855 (QL),</w:t>
      </w:r>
      <w:r w:rsidRPr="00E932DB">
        <w:rPr>
          <w:lang w:val="fr-CA"/>
        </w:rPr>
        <w:t xml:space="preserve"> </w:t>
      </w:r>
      <w:r>
        <w:rPr>
          <w:lang w:val="fr-CA"/>
        </w:rPr>
        <w:t>par. </w:t>
      </w:r>
      <w:r w:rsidRPr="00E932DB">
        <w:rPr>
          <w:lang w:val="fr-CA"/>
        </w:rPr>
        <w:t>14 et 16).  Comme je l</w:t>
      </w:r>
      <w:r>
        <w:rPr>
          <w:lang w:val="fr-CA"/>
        </w:rPr>
        <w:t>’</w:t>
      </w:r>
      <w:r w:rsidRPr="00E932DB">
        <w:rPr>
          <w:lang w:val="fr-CA"/>
        </w:rPr>
        <w:t>ai indiqué, ce dossier a convain</w:t>
      </w:r>
      <w:r>
        <w:rPr>
          <w:lang w:val="fr-CA"/>
        </w:rPr>
        <w:t xml:space="preserve">cu la Cour </w:t>
      </w:r>
      <w:r w:rsidRPr="00E932DB">
        <w:rPr>
          <w:lang w:val="fr-CA"/>
        </w:rPr>
        <w:t xml:space="preserve">provinciale de déclarer nulle la poursuite engagée uniquement en anglais. </w:t>
      </w:r>
    </w:p>
    <w:p w:rsidR="007D1503" w:rsidRPr="00E932DB" w:rsidRDefault="007D1503" w:rsidP="00EF00B0">
      <w:pPr>
        <w:pStyle w:val="ReasonsNumbering-AltN"/>
        <w:ind w:left="0" w:firstLine="0"/>
        <w:rPr>
          <w:lang w:val="fr-CA"/>
        </w:rPr>
      </w:pPr>
      <w:r w:rsidRPr="00E932DB">
        <w:rPr>
          <w:lang w:val="fr-CA"/>
        </w:rPr>
        <w:t>Le ministère public prie maintenant notre Cour d</w:t>
      </w:r>
      <w:r>
        <w:rPr>
          <w:lang w:val="fr-CA"/>
        </w:rPr>
        <w:t>’</w:t>
      </w:r>
      <w:r w:rsidRPr="00E932DB">
        <w:rPr>
          <w:lang w:val="fr-CA"/>
        </w:rPr>
        <w:t xml:space="preserve">annuler les ordonnances de provisions pour frais datées du 16 mai et du 19 octobre 2007.  Il sollicite également une ordonnance obligeant </w:t>
      </w:r>
      <w:r>
        <w:rPr>
          <w:lang w:val="fr-CA"/>
        </w:rPr>
        <w:t>M. Caron</w:t>
      </w:r>
      <w:r w:rsidRPr="00E932DB">
        <w:rPr>
          <w:lang w:val="fr-CA"/>
        </w:rPr>
        <w:t xml:space="preserve"> à rembourser les quelque 120 000 $ qu</w:t>
      </w:r>
      <w:r>
        <w:rPr>
          <w:lang w:val="fr-CA"/>
        </w:rPr>
        <w:t>’</w:t>
      </w:r>
      <w:r w:rsidRPr="00E932DB">
        <w:rPr>
          <w:lang w:val="fr-CA"/>
        </w:rPr>
        <w:t>il a reçus conformément à ces ordonnances au titre des honoraires et débours des avocats et des experts, lesquels ont sans doute été versés depuis longtemps aux destinataires visés.</w:t>
      </w:r>
    </w:p>
    <w:p w:rsidR="007D1503" w:rsidRPr="00DD5855" w:rsidRDefault="007D1503" w:rsidP="00DD5855">
      <w:pPr>
        <w:tabs>
          <w:tab w:val="left" w:pos="540"/>
        </w:tabs>
        <w:spacing w:after="720"/>
        <w:rPr>
          <w:u w:val="single"/>
          <w:lang w:val="fr-CA"/>
        </w:rPr>
      </w:pPr>
      <w:r w:rsidRPr="00DD5855">
        <w:rPr>
          <w:lang w:val="fr-CA"/>
        </w:rPr>
        <w:t>III.</w:t>
      </w:r>
      <w:r w:rsidR="00DD5855" w:rsidRPr="00DD5855">
        <w:rPr>
          <w:lang w:val="fr-CA"/>
        </w:rPr>
        <w:tab/>
      </w:r>
      <w:r w:rsidRPr="00DD5855">
        <w:rPr>
          <w:u w:val="single"/>
          <w:lang w:val="fr-CA"/>
        </w:rPr>
        <w:t xml:space="preserve">Questions en </w:t>
      </w:r>
      <w:r w:rsidRPr="008C1F1E">
        <w:rPr>
          <w:u w:val="single"/>
          <w:lang w:val="fr-CA"/>
        </w:rPr>
        <w:t>litige</w:t>
      </w:r>
    </w:p>
    <w:p w:rsidR="0081055C" w:rsidRDefault="0081055C" w:rsidP="00EF00B0">
      <w:pPr>
        <w:pStyle w:val="ReasonsNumbering-AltN"/>
        <w:ind w:left="0" w:firstLine="0"/>
        <w:rPr>
          <w:lang w:val="fr-CA"/>
        </w:rPr>
      </w:pPr>
      <w:r>
        <w:rPr>
          <w:lang w:val="fr-CA"/>
        </w:rPr>
        <w:t>L’affaire soulève principalement deux questions :</w:t>
      </w:r>
    </w:p>
    <w:p w:rsidR="007D1503" w:rsidRPr="00E932DB" w:rsidRDefault="007D1503" w:rsidP="0081055C">
      <w:pPr>
        <w:pStyle w:val="ReasonsNumbering-AltN"/>
        <w:numPr>
          <w:ilvl w:val="0"/>
          <w:numId w:val="0"/>
        </w:numPr>
        <w:ind w:left="1170" w:hanging="1170"/>
        <w:rPr>
          <w:lang w:val="fr-CA"/>
        </w:rPr>
      </w:pPr>
      <w:r w:rsidRPr="00E932DB">
        <w:rPr>
          <w:lang w:val="fr-CA"/>
        </w:rPr>
        <w:lastRenderedPageBreak/>
        <w:t>1.</w:t>
      </w:r>
      <w:r w:rsidRPr="00E932DB">
        <w:rPr>
          <w:lang w:val="fr-CA"/>
        </w:rPr>
        <w:tab/>
        <w:t xml:space="preserve">La Cour du Banc de la Reine </w:t>
      </w:r>
      <w:proofErr w:type="spellStart"/>
      <w:r w:rsidRPr="00E932DB">
        <w:rPr>
          <w:lang w:val="fr-CA"/>
        </w:rPr>
        <w:t>a</w:t>
      </w:r>
      <w:r w:rsidRPr="00E932DB">
        <w:rPr>
          <w:lang w:val="fr-CA"/>
        </w:rPr>
        <w:noBreakHyphen/>
        <w:t>t</w:t>
      </w:r>
      <w:r w:rsidRPr="00E932DB">
        <w:rPr>
          <w:lang w:val="fr-CA"/>
        </w:rPr>
        <w:noBreakHyphen/>
        <w:t>elle</w:t>
      </w:r>
      <w:proofErr w:type="spellEnd"/>
      <w:r w:rsidRPr="00E932DB">
        <w:rPr>
          <w:lang w:val="fr-CA"/>
        </w:rPr>
        <w:t xml:space="preserve"> la compétence inhérente nécessaire pour accorder une mesure corrective intérimaire dans un litige devant la Cour provinciale?</w:t>
      </w:r>
    </w:p>
    <w:p w:rsidR="007D1503" w:rsidRPr="00E31014" w:rsidRDefault="007D1503" w:rsidP="0081055C">
      <w:pPr>
        <w:pStyle w:val="ReasonsNumbering-AltN"/>
        <w:numPr>
          <w:ilvl w:val="0"/>
          <w:numId w:val="0"/>
        </w:numPr>
        <w:ind w:left="1170" w:hanging="1170"/>
        <w:rPr>
          <w:lang w:val="fr-CA"/>
        </w:rPr>
      </w:pPr>
      <w:r w:rsidRPr="00E31014">
        <w:rPr>
          <w:lang w:val="fr-CA"/>
        </w:rPr>
        <w:t>2.</w:t>
      </w:r>
      <w:r w:rsidRPr="00E31014">
        <w:rPr>
          <w:lang w:val="fr-CA"/>
        </w:rPr>
        <w:tab/>
        <w:t xml:space="preserve">Dans l’affirmative, les conditions auxquelles est assujettie l’attribution d’une provision pour frais </w:t>
      </w:r>
      <w:proofErr w:type="spellStart"/>
      <w:r w:rsidRPr="00E31014">
        <w:rPr>
          <w:lang w:val="fr-CA"/>
        </w:rPr>
        <w:t>ont</w:t>
      </w:r>
      <w:r w:rsidRPr="00E31014">
        <w:rPr>
          <w:lang w:val="fr-CA"/>
        </w:rPr>
        <w:noBreakHyphen/>
        <w:t>elles</w:t>
      </w:r>
      <w:proofErr w:type="spellEnd"/>
      <w:r w:rsidRPr="00E31014">
        <w:rPr>
          <w:lang w:val="fr-CA"/>
        </w:rPr>
        <w:t xml:space="preserve"> été remplies?</w:t>
      </w:r>
    </w:p>
    <w:p w:rsidR="007D1503" w:rsidRPr="00E932DB" w:rsidRDefault="007D1503" w:rsidP="00DD5855">
      <w:pPr>
        <w:tabs>
          <w:tab w:val="left" w:pos="540"/>
        </w:tabs>
        <w:spacing w:after="720"/>
        <w:rPr>
          <w:lang w:val="fr-CA"/>
        </w:rPr>
      </w:pPr>
      <w:r w:rsidRPr="00E932DB">
        <w:rPr>
          <w:lang w:val="fr-CA"/>
        </w:rPr>
        <w:t>IV.</w:t>
      </w:r>
      <w:r w:rsidR="00DD5855">
        <w:rPr>
          <w:lang w:val="fr-CA"/>
        </w:rPr>
        <w:tab/>
      </w:r>
      <w:r w:rsidRPr="00E932DB">
        <w:rPr>
          <w:u w:val="single"/>
          <w:lang w:val="fr-CA"/>
        </w:rPr>
        <w:t>Analyse</w:t>
      </w:r>
    </w:p>
    <w:p w:rsidR="007D1503" w:rsidRPr="00E932DB" w:rsidRDefault="007D1503" w:rsidP="00EF00B0">
      <w:pPr>
        <w:pStyle w:val="ReasonsNumbering-AltN"/>
        <w:ind w:left="0" w:firstLine="0"/>
        <w:rPr>
          <w:i/>
          <w:iCs/>
          <w:lang w:val="fr-CA"/>
        </w:rPr>
      </w:pPr>
      <w:r w:rsidRPr="00E932DB">
        <w:rPr>
          <w:lang w:val="fr-CA"/>
        </w:rPr>
        <w:t>Les parties divergent fondamentalement d</w:t>
      </w:r>
      <w:r>
        <w:rPr>
          <w:lang w:val="fr-CA"/>
        </w:rPr>
        <w:t>’</w:t>
      </w:r>
      <w:r w:rsidRPr="00E932DB">
        <w:rPr>
          <w:lang w:val="fr-CA"/>
        </w:rPr>
        <w:t>opinion sur la nature de l</w:t>
      </w:r>
      <w:r>
        <w:rPr>
          <w:lang w:val="fr-CA"/>
        </w:rPr>
        <w:t>’</w:t>
      </w:r>
      <w:r w:rsidRPr="00E932DB">
        <w:rPr>
          <w:lang w:val="fr-CA"/>
        </w:rPr>
        <w:t>enjeu en l</w:t>
      </w:r>
      <w:r>
        <w:rPr>
          <w:lang w:val="fr-CA"/>
        </w:rPr>
        <w:t>’</w:t>
      </w:r>
      <w:r w:rsidRPr="00E932DB">
        <w:rPr>
          <w:lang w:val="fr-CA"/>
        </w:rPr>
        <w:t>espèce.  Le ministère public estime que le litige porte sur une infraction au code de la route comportant un volet constitutionnel, à l</w:t>
      </w:r>
      <w:r>
        <w:rPr>
          <w:lang w:val="fr-CA"/>
        </w:rPr>
        <w:t>’</w:t>
      </w:r>
      <w:r w:rsidRPr="00E932DB">
        <w:rPr>
          <w:lang w:val="fr-CA"/>
        </w:rPr>
        <w:t xml:space="preserve">instar de nombreuses instances criminelles et quasi criminelles.  Selon </w:t>
      </w:r>
      <w:r>
        <w:rPr>
          <w:lang w:val="fr-CA"/>
        </w:rPr>
        <w:t>M. Caron</w:t>
      </w:r>
      <w:r w:rsidRPr="00E932DB">
        <w:rPr>
          <w:lang w:val="fr-CA"/>
        </w:rPr>
        <w:t>, l</w:t>
      </w:r>
      <w:r>
        <w:rPr>
          <w:lang w:val="fr-CA"/>
        </w:rPr>
        <w:t>’</w:t>
      </w:r>
      <w:r w:rsidRPr="00E932DB">
        <w:rPr>
          <w:lang w:val="fr-CA"/>
        </w:rPr>
        <w:t>infraction au code de la route sert uniquement de toile de fond de sa contestation constitutionnelle.  Il affirme donc que les règles habituellement applicables en matière de dépens devant les tribunaux chargés d</w:t>
      </w:r>
      <w:r>
        <w:rPr>
          <w:lang w:val="fr-CA"/>
        </w:rPr>
        <w:t>’</w:t>
      </w:r>
      <w:r w:rsidRPr="00E932DB">
        <w:rPr>
          <w:lang w:val="fr-CA"/>
        </w:rPr>
        <w:t>instruire des procédures relatives à la circulation routière n</w:t>
      </w:r>
      <w:r>
        <w:rPr>
          <w:lang w:val="fr-CA"/>
        </w:rPr>
        <w:t>’</w:t>
      </w:r>
      <w:r w:rsidRPr="00E932DB">
        <w:rPr>
          <w:lang w:val="fr-CA"/>
        </w:rPr>
        <w:t>ont aucune incidence sur l</w:t>
      </w:r>
      <w:r>
        <w:rPr>
          <w:lang w:val="fr-CA"/>
        </w:rPr>
        <w:t>’</w:t>
      </w:r>
      <w:r w:rsidRPr="00E932DB">
        <w:rPr>
          <w:lang w:val="fr-CA"/>
        </w:rPr>
        <w:t>issue du présent pourvoi.  Les tribunaux de l</w:t>
      </w:r>
      <w:r>
        <w:rPr>
          <w:lang w:val="fr-CA"/>
        </w:rPr>
        <w:t>’</w:t>
      </w:r>
      <w:r w:rsidRPr="00E932DB">
        <w:rPr>
          <w:lang w:val="fr-CA"/>
        </w:rPr>
        <w:t>Alberta ont pour l</w:t>
      </w:r>
      <w:r>
        <w:rPr>
          <w:lang w:val="fr-CA"/>
        </w:rPr>
        <w:t>’</w:t>
      </w:r>
      <w:r w:rsidRPr="00E932DB">
        <w:rPr>
          <w:lang w:val="fr-CA"/>
        </w:rPr>
        <w:t xml:space="preserve">essentiel accepté le point de vue de </w:t>
      </w:r>
      <w:r>
        <w:rPr>
          <w:lang w:val="fr-CA"/>
        </w:rPr>
        <w:t>M. Caron</w:t>
      </w:r>
      <w:r w:rsidRPr="00E932DB">
        <w:rPr>
          <w:lang w:val="fr-CA"/>
        </w:rPr>
        <w:t xml:space="preserve"> à cet égard et je crois qu</w:t>
      </w:r>
      <w:r>
        <w:rPr>
          <w:lang w:val="fr-CA"/>
        </w:rPr>
        <w:t>’</w:t>
      </w:r>
      <w:r w:rsidRPr="00E932DB">
        <w:rPr>
          <w:lang w:val="fr-CA"/>
        </w:rPr>
        <w:t>ils avaient raison.</w:t>
      </w:r>
    </w:p>
    <w:p w:rsidR="007D1503" w:rsidRPr="00E932DB" w:rsidRDefault="007D1503" w:rsidP="00EF00B0">
      <w:pPr>
        <w:pStyle w:val="ReasonsNumbering-AltN"/>
        <w:ind w:left="0" w:firstLine="0"/>
        <w:rPr>
          <w:i/>
          <w:iCs/>
          <w:lang w:val="fr-CA"/>
        </w:rPr>
      </w:pPr>
      <w:r w:rsidRPr="00E932DB">
        <w:rPr>
          <w:lang w:val="fr-CA"/>
        </w:rPr>
        <w:t>Cela dit, l</w:t>
      </w:r>
      <w:r>
        <w:rPr>
          <w:lang w:val="fr-CA"/>
        </w:rPr>
        <w:t>’</w:t>
      </w:r>
      <w:r w:rsidRPr="00E932DB">
        <w:rPr>
          <w:lang w:val="fr-CA"/>
        </w:rPr>
        <w:t xml:space="preserve">historique des procédures judiciaires </w:t>
      </w:r>
      <w:r>
        <w:rPr>
          <w:lang w:val="fr-CA"/>
        </w:rPr>
        <w:t>—</w:t>
      </w:r>
      <w:r w:rsidRPr="00E932DB">
        <w:rPr>
          <w:lang w:val="fr-CA"/>
        </w:rPr>
        <w:t xml:space="preserve"> les nombreux ajournements, les récriminations mutuelles concernant le </w:t>
      </w:r>
      <w:r>
        <w:rPr>
          <w:lang w:val="fr-CA"/>
        </w:rPr>
        <w:t>« </w:t>
      </w:r>
      <w:r w:rsidRPr="00E932DB">
        <w:rPr>
          <w:lang w:val="fr-CA"/>
        </w:rPr>
        <w:t>recours à des pièges</w:t>
      </w:r>
      <w:r>
        <w:rPr>
          <w:lang w:val="fr-CA"/>
        </w:rPr>
        <w:t> »</w:t>
      </w:r>
      <w:r w:rsidRPr="00E932DB">
        <w:rPr>
          <w:lang w:val="fr-CA"/>
        </w:rPr>
        <w:t xml:space="preserve"> et les présences périodiques devant les cours d</w:t>
      </w:r>
      <w:r>
        <w:rPr>
          <w:lang w:val="fr-CA"/>
        </w:rPr>
        <w:t>’</w:t>
      </w:r>
      <w:r w:rsidRPr="00E932DB">
        <w:rPr>
          <w:lang w:val="fr-CA"/>
        </w:rPr>
        <w:t xml:space="preserve">appel </w:t>
      </w:r>
      <w:r>
        <w:rPr>
          <w:lang w:val="fr-CA"/>
        </w:rPr>
        <w:t>—</w:t>
      </w:r>
      <w:r w:rsidRPr="00E932DB">
        <w:rPr>
          <w:lang w:val="fr-CA"/>
        </w:rPr>
        <w:t xml:space="preserve"> montre encore une fois qu</w:t>
      </w:r>
      <w:r>
        <w:rPr>
          <w:lang w:val="fr-CA"/>
        </w:rPr>
        <w:t>’</w:t>
      </w:r>
      <w:r w:rsidRPr="00E932DB">
        <w:rPr>
          <w:lang w:val="fr-CA"/>
        </w:rPr>
        <w:t xml:space="preserve">une </w:t>
      </w:r>
      <w:r w:rsidRPr="00E932DB">
        <w:rPr>
          <w:lang w:val="fr-CA"/>
        </w:rPr>
        <w:lastRenderedPageBreak/>
        <w:t>poursuite devant une cour provinciale ne fournit généralement pas, sur le plan procédural, un cadre institutionnel efficace pour résoudre des litiges constitutionnels importants de la nature de celui en l</w:t>
      </w:r>
      <w:r>
        <w:rPr>
          <w:lang w:val="fr-CA"/>
        </w:rPr>
        <w:t>’</w:t>
      </w:r>
      <w:r w:rsidRPr="00E932DB">
        <w:rPr>
          <w:lang w:val="fr-CA"/>
        </w:rPr>
        <w:t>espèce</w:t>
      </w:r>
      <w:r>
        <w:rPr>
          <w:lang w:val="fr-CA"/>
        </w:rPr>
        <w:t> :</w:t>
      </w:r>
      <w:r w:rsidRPr="00E932DB">
        <w:rPr>
          <w:lang w:val="fr-CA"/>
        </w:rPr>
        <w:t xml:space="preserve"> </w:t>
      </w:r>
      <w:r w:rsidRPr="00E932DB">
        <w:rPr>
          <w:i/>
          <w:lang w:val="fr-CA"/>
        </w:rPr>
        <w:t>R. c. Marshall</w:t>
      </w:r>
      <w:r w:rsidRPr="00E932DB">
        <w:rPr>
          <w:lang w:val="fr-CA"/>
        </w:rPr>
        <w:t xml:space="preserve">, 2005 CSC 43, </w:t>
      </w:r>
      <w:r w:rsidRPr="00E932DB">
        <w:rPr>
          <w:lang w:val="fr-FR"/>
        </w:rPr>
        <w:t xml:space="preserve">[2005] 2 R.C.S. 220, </w:t>
      </w:r>
      <w:r>
        <w:rPr>
          <w:lang w:val="fr-FR"/>
        </w:rPr>
        <w:t>par. </w:t>
      </w:r>
      <w:r w:rsidRPr="00E932DB">
        <w:rPr>
          <w:lang w:val="fr-FR"/>
        </w:rPr>
        <w:t>142</w:t>
      </w:r>
      <w:r w:rsidRPr="00E932DB">
        <w:rPr>
          <w:lang w:val="fr-FR"/>
        </w:rPr>
        <w:noBreakHyphen/>
        <w:t>144</w:t>
      </w:r>
      <w:r w:rsidRPr="00E932DB">
        <w:rPr>
          <w:lang w:val="fr-CA"/>
        </w:rPr>
        <w:t>.  Il n</w:t>
      </w:r>
      <w:r>
        <w:rPr>
          <w:lang w:val="fr-CA"/>
        </w:rPr>
        <w:t>’</w:t>
      </w:r>
      <w:r w:rsidRPr="00E932DB">
        <w:rPr>
          <w:lang w:val="fr-CA"/>
        </w:rPr>
        <w:t xml:space="preserve">y a aucune réciprocité entre la poursuite et la défense en ce qui a trait à la communication des documents et à la divulgation préalable au procès.  Les pouvoirs de la Cour provinciale en matière de procédure sont limités (mais, comme il est mentionné au </w:t>
      </w:r>
      <w:r>
        <w:rPr>
          <w:lang w:val="fr-CA"/>
        </w:rPr>
        <w:t>par. </w:t>
      </w:r>
      <w:r w:rsidRPr="00E932DB">
        <w:rPr>
          <w:lang w:val="fr-CA"/>
        </w:rPr>
        <w:t xml:space="preserve">13 </w:t>
      </w:r>
      <w:proofErr w:type="spellStart"/>
      <w:r w:rsidRPr="00E932DB">
        <w:rPr>
          <w:lang w:val="fr-CA"/>
        </w:rPr>
        <w:t>ci</w:t>
      </w:r>
      <w:r w:rsidRPr="00E932DB">
        <w:rPr>
          <w:lang w:val="fr-CA"/>
        </w:rPr>
        <w:noBreakHyphen/>
        <w:t>dessus</w:t>
      </w:r>
      <w:proofErr w:type="spellEnd"/>
      <w:r w:rsidRPr="00E932DB">
        <w:rPr>
          <w:lang w:val="fr-CA"/>
        </w:rPr>
        <w:t>, aucun appel n</w:t>
      </w:r>
      <w:r>
        <w:rPr>
          <w:lang w:val="fr-CA"/>
        </w:rPr>
        <w:t>’</w:t>
      </w:r>
      <w:r w:rsidRPr="00E932DB">
        <w:rPr>
          <w:lang w:val="fr-CA"/>
        </w:rPr>
        <w:t>a été formé contre l</w:t>
      </w:r>
      <w:r>
        <w:rPr>
          <w:lang w:val="fr-CA"/>
        </w:rPr>
        <w:t>’</w:t>
      </w:r>
      <w:r w:rsidRPr="00E932DB">
        <w:rPr>
          <w:lang w:val="fr-CA"/>
        </w:rPr>
        <w:t>annulation, pour absence de compétence, de l</w:t>
      </w:r>
      <w:r>
        <w:rPr>
          <w:lang w:val="fr-CA"/>
        </w:rPr>
        <w:t>’</w:t>
      </w:r>
      <w:r w:rsidRPr="00E932DB">
        <w:rPr>
          <w:lang w:val="fr-CA"/>
        </w:rPr>
        <w:t>ordonnance de provision pour frais rendue par la Cour provinciale, et nous nous abstenons donc d</w:t>
      </w:r>
      <w:r>
        <w:rPr>
          <w:lang w:val="fr-CA"/>
        </w:rPr>
        <w:t>’</w:t>
      </w:r>
      <w:r w:rsidRPr="00E932DB">
        <w:rPr>
          <w:lang w:val="fr-CA"/>
        </w:rPr>
        <w:t xml:space="preserve">exprimer une opinion sur la validité de cette ordonnance).  Toutefois, bien que </w:t>
      </w:r>
      <w:r>
        <w:rPr>
          <w:lang w:val="fr-CA"/>
        </w:rPr>
        <w:t>M. Caron</w:t>
      </w:r>
      <w:r w:rsidRPr="00E932DB">
        <w:rPr>
          <w:lang w:val="fr-CA"/>
        </w:rPr>
        <w:t xml:space="preserve"> ait exprimé son intention d</w:t>
      </w:r>
      <w:r>
        <w:rPr>
          <w:lang w:val="fr-CA"/>
        </w:rPr>
        <w:t>’</w:t>
      </w:r>
      <w:r w:rsidRPr="00E932DB">
        <w:rPr>
          <w:lang w:val="fr-CA"/>
        </w:rPr>
        <w:t xml:space="preserve">utiliser la poursuite comme tremplin de sa contestation de la validité constitutionnelle de la </w:t>
      </w:r>
      <w:r w:rsidRPr="00E932DB">
        <w:rPr>
          <w:i/>
          <w:iCs/>
          <w:lang w:val="fr-CA"/>
        </w:rPr>
        <w:t>Loi linguistique</w:t>
      </w:r>
      <w:r w:rsidRPr="00E932DB">
        <w:rPr>
          <w:lang w:val="fr-CA"/>
        </w:rPr>
        <w:t xml:space="preserve"> de l</w:t>
      </w:r>
      <w:r>
        <w:rPr>
          <w:lang w:val="fr-CA"/>
        </w:rPr>
        <w:t>’</w:t>
      </w:r>
      <w:r w:rsidRPr="00E932DB">
        <w:rPr>
          <w:lang w:val="fr-CA"/>
        </w:rPr>
        <w:t>Alberta, le ministère public a choisi de mainte</w:t>
      </w:r>
      <w:r>
        <w:rPr>
          <w:lang w:val="fr-CA"/>
        </w:rPr>
        <w:t xml:space="preserve">nir la poursuite devant la Cour </w:t>
      </w:r>
      <w:r w:rsidRPr="00E932DB">
        <w:rPr>
          <w:lang w:val="fr-CA"/>
        </w:rPr>
        <w:t>provinciale plutôt que d</w:t>
      </w:r>
      <w:r>
        <w:rPr>
          <w:lang w:val="fr-CA"/>
        </w:rPr>
        <w:t>’</w:t>
      </w:r>
      <w:r w:rsidRPr="00E932DB">
        <w:rPr>
          <w:lang w:val="fr-CA"/>
        </w:rPr>
        <w:t>évoquer la question constitutionnelle devant la cour supérieure (et non l</w:t>
      </w:r>
      <w:r>
        <w:rPr>
          <w:lang w:val="fr-CA"/>
        </w:rPr>
        <w:t>’</w:t>
      </w:r>
      <w:r w:rsidRPr="00E932DB">
        <w:rPr>
          <w:lang w:val="fr-CA"/>
        </w:rPr>
        <w:t>infraction mineure au code de la route).</w:t>
      </w:r>
    </w:p>
    <w:p w:rsidR="007D1503" w:rsidRPr="00E932DB" w:rsidRDefault="007D1503" w:rsidP="00EF00B0">
      <w:pPr>
        <w:pStyle w:val="ReasonsNumbering-AltN"/>
        <w:ind w:left="0" w:firstLine="0"/>
        <w:rPr>
          <w:i/>
          <w:iCs/>
          <w:lang w:val="fr-CA"/>
        </w:rPr>
      </w:pPr>
      <w:r w:rsidRPr="00E932DB">
        <w:rPr>
          <w:lang w:val="fr-CA"/>
        </w:rPr>
        <w:t>Le ministère public convient que, si l</w:t>
      </w:r>
      <w:r>
        <w:rPr>
          <w:lang w:val="fr-CA"/>
        </w:rPr>
        <w:t>’</w:t>
      </w:r>
      <w:r w:rsidRPr="00E932DB">
        <w:rPr>
          <w:lang w:val="fr-CA"/>
        </w:rPr>
        <w:t>on avait débattu de la question linguistique devant la cour supérieure (</w:t>
      </w:r>
      <w:proofErr w:type="spellStart"/>
      <w:r w:rsidRPr="00E932DB">
        <w:rPr>
          <w:lang w:val="fr-CA"/>
        </w:rPr>
        <w:t>p</w:t>
      </w:r>
      <w:r>
        <w:rPr>
          <w:lang w:val="fr-CA"/>
        </w:rPr>
        <w:t>eut</w:t>
      </w:r>
      <w:r>
        <w:rPr>
          <w:lang w:val="fr-CA"/>
        </w:rPr>
        <w:noBreakHyphen/>
      </w:r>
      <w:r w:rsidRPr="00E932DB">
        <w:rPr>
          <w:lang w:val="fr-CA"/>
        </w:rPr>
        <w:t>être</w:t>
      </w:r>
      <w:proofErr w:type="spellEnd"/>
      <w:r w:rsidRPr="00E932DB">
        <w:rPr>
          <w:lang w:val="fr-CA"/>
        </w:rPr>
        <w:t xml:space="preserve"> en contestant directement la validité de la </w:t>
      </w:r>
      <w:r w:rsidRPr="00E932DB">
        <w:rPr>
          <w:i/>
          <w:iCs/>
          <w:lang w:val="fr-CA"/>
        </w:rPr>
        <w:t xml:space="preserve">Loi linguistique </w:t>
      </w:r>
      <w:r w:rsidRPr="00E932DB">
        <w:rPr>
          <w:lang w:val="fr-CA"/>
        </w:rPr>
        <w:t>de l</w:t>
      </w:r>
      <w:r>
        <w:rPr>
          <w:lang w:val="fr-CA"/>
        </w:rPr>
        <w:t>’</w:t>
      </w:r>
      <w:r w:rsidRPr="00E932DB">
        <w:rPr>
          <w:lang w:val="fr-CA"/>
        </w:rPr>
        <w:t xml:space="preserve">Alberta), </w:t>
      </w:r>
      <w:proofErr w:type="spellStart"/>
      <w:r w:rsidRPr="00E932DB">
        <w:rPr>
          <w:lang w:val="fr-CA"/>
        </w:rPr>
        <w:t>celle</w:t>
      </w:r>
      <w:r w:rsidRPr="00E932DB">
        <w:rPr>
          <w:lang w:val="fr-CA"/>
        </w:rPr>
        <w:noBreakHyphen/>
        <w:t>ci</w:t>
      </w:r>
      <w:proofErr w:type="spellEnd"/>
      <w:r w:rsidRPr="00E932DB">
        <w:rPr>
          <w:lang w:val="fr-CA"/>
        </w:rPr>
        <w:t xml:space="preserve"> aurait eu compétence pour accorder une ordonnance de provision pour frais de la nature de celle actuellement en litige.</w:t>
      </w:r>
    </w:p>
    <w:p w:rsidR="007D1503" w:rsidRPr="00E932DB" w:rsidRDefault="007D1503" w:rsidP="00EF00B0">
      <w:pPr>
        <w:pStyle w:val="ReasonsNumbering-AltN"/>
        <w:ind w:left="0" w:firstLine="0"/>
        <w:rPr>
          <w:i/>
          <w:iCs/>
          <w:lang w:val="fr-CA"/>
        </w:rPr>
      </w:pPr>
      <w:r w:rsidRPr="00E932DB">
        <w:rPr>
          <w:lang w:val="fr-CA"/>
        </w:rPr>
        <w:t xml:space="preserve">La Cour provinciale se heurtait à un éventuel déni de justice une fois les ressources financières de </w:t>
      </w:r>
      <w:r>
        <w:rPr>
          <w:lang w:val="fr-CA"/>
        </w:rPr>
        <w:t>M. Caron</w:t>
      </w:r>
      <w:r w:rsidRPr="00E932DB">
        <w:rPr>
          <w:lang w:val="fr-CA"/>
        </w:rPr>
        <w:t xml:space="preserve"> épuisées en raison de la durée inattendue du </w:t>
      </w:r>
      <w:r w:rsidRPr="00E932DB">
        <w:rPr>
          <w:lang w:val="fr-CA"/>
        </w:rPr>
        <w:lastRenderedPageBreak/>
        <w:t>procès.  À ce stade, le procès avait déjà absorbé beaucoup de temps et de dépenses, notamment la somme d</w:t>
      </w:r>
      <w:r>
        <w:rPr>
          <w:lang w:val="fr-CA"/>
        </w:rPr>
        <w:t>’</w:t>
      </w:r>
      <w:r w:rsidRPr="00E932DB">
        <w:rPr>
          <w:lang w:val="fr-CA"/>
        </w:rPr>
        <w:t>argent considérable provenant du Programme de contestation judiciaire.  Au milieu du procès, la Cour provinciale, pour ainsi dire, n</w:t>
      </w:r>
      <w:r>
        <w:rPr>
          <w:lang w:val="fr-CA"/>
        </w:rPr>
        <w:t>’</w:t>
      </w:r>
      <w:r w:rsidRPr="00E932DB">
        <w:rPr>
          <w:lang w:val="fr-CA"/>
        </w:rPr>
        <w:t xml:space="preserve">était plus maître de la situation. </w:t>
      </w:r>
      <w:r>
        <w:rPr>
          <w:lang w:val="fr-CA"/>
        </w:rPr>
        <w:t xml:space="preserve"> </w:t>
      </w:r>
      <w:r w:rsidRPr="00E932DB">
        <w:rPr>
          <w:lang w:val="fr-CA"/>
        </w:rPr>
        <w:t xml:space="preserve">Le ministère public tenait à ce que la poursuite suive son cours devant la Cour provinciale, et </w:t>
      </w:r>
      <w:r>
        <w:rPr>
          <w:lang w:val="fr-CA"/>
        </w:rPr>
        <w:t>M. Caron</w:t>
      </w:r>
      <w:r w:rsidRPr="00E932DB">
        <w:rPr>
          <w:lang w:val="fr-CA"/>
        </w:rPr>
        <w:t xml:space="preserve"> tenait à faire valoir sa défense fondée sur ses droits linguistiques.  Ni l</w:t>
      </w:r>
      <w:r>
        <w:rPr>
          <w:lang w:val="fr-CA"/>
        </w:rPr>
        <w:t>’</w:t>
      </w:r>
      <w:r w:rsidRPr="00E932DB">
        <w:rPr>
          <w:lang w:val="fr-CA"/>
        </w:rPr>
        <w:t>une ni l</w:t>
      </w:r>
      <w:r>
        <w:rPr>
          <w:lang w:val="fr-CA"/>
        </w:rPr>
        <w:t>’</w:t>
      </w:r>
      <w:r w:rsidRPr="00E932DB">
        <w:rPr>
          <w:lang w:val="fr-CA"/>
        </w:rPr>
        <w:t>autre des parties ne souhaitait une suspension d</w:t>
      </w:r>
      <w:r>
        <w:rPr>
          <w:lang w:val="fr-CA"/>
        </w:rPr>
        <w:t>’</w:t>
      </w:r>
      <w:r w:rsidRPr="00E932DB">
        <w:rPr>
          <w:lang w:val="fr-CA"/>
        </w:rPr>
        <w:t>instance.</w:t>
      </w:r>
    </w:p>
    <w:p w:rsidR="007D1503" w:rsidRPr="00E932DB" w:rsidRDefault="007D1503" w:rsidP="00EF00B0">
      <w:pPr>
        <w:pStyle w:val="ReasonsNumbering-AltN"/>
        <w:ind w:left="0" w:firstLine="0"/>
        <w:rPr>
          <w:i/>
          <w:iCs/>
          <w:lang w:val="fr-CA"/>
        </w:rPr>
      </w:pPr>
      <w:r w:rsidRPr="00E932DB">
        <w:rPr>
          <w:lang w:val="fr-CA"/>
        </w:rPr>
        <w:t>Les tribunaux de l</w:t>
      </w:r>
      <w:r>
        <w:rPr>
          <w:lang w:val="fr-CA"/>
        </w:rPr>
        <w:t>’</w:t>
      </w:r>
      <w:r w:rsidRPr="00E932DB">
        <w:rPr>
          <w:lang w:val="fr-CA"/>
        </w:rPr>
        <w:t xml:space="preserve">Alberta craignaient de toute évidence que le ministère public obtienne, en persistant à continuer la poursuite devant la Cour provinciale, un avantage indu (ce que le juge Ritter a appelé </w:t>
      </w:r>
      <w:r>
        <w:rPr>
          <w:lang w:val="fr-CA"/>
        </w:rPr>
        <w:t>« </w:t>
      </w:r>
      <w:r w:rsidRPr="00E932DB">
        <w:rPr>
          <w:lang w:val="fr-CA"/>
        </w:rPr>
        <w:t>une inégalité marquée</w:t>
      </w:r>
      <w:r>
        <w:rPr>
          <w:lang w:val="fr-CA"/>
        </w:rPr>
        <w:t> »</w:t>
      </w:r>
      <w:r w:rsidRPr="00E932DB">
        <w:rPr>
          <w:lang w:val="fr-CA"/>
        </w:rPr>
        <w:t>) par rapport à l</w:t>
      </w:r>
      <w:r>
        <w:rPr>
          <w:lang w:val="fr-CA"/>
        </w:rPr>
        <w:t>’</w:t>
      </w:r>
      <w:r w:rsidRPr="00E932DB">
        <w:rPr>
          <w:lang w:val="fr-CA"/>
        </w:rPr>
        <w:t>accusé en ce qui concerne la constitution d</w:t>
      </w:r>
      <w:r>
        <w:rPr>
          <w:lang w:val="fr-CA"/>
        </w:rPr>
        <w:t>’</w:t>
      </w:r>
      <w:r w:rsidRPr="00E932DB">
        <w:rPr>
          <w:lang w:val="fr-CA"/>
        </w:rPr>
        <w:t xml:space="preserve">un dossier factuel crucial en vue de trancher une importante question constitutionnelle. </w:t>
      </w:r>
      <w:r>
        <w:rPr>
          <w:lang w:val="fr-CA"/>
        </w:rPr>
        <w:t xml:space="preserve"> </w:t>
      </w:r>
      <w:r w:rsidRPr="00E932DB">
        <w:rPr>
          <w:lang w:val="fr-CA"/>
        </w:rPr>
        <w:t>Un procès marqué par l</w:t>
      </w:r>
      <w:r>
        <w:rPr>
          <w:lang w:val="fr-CA"/>
        </w:rPr>
        <w:t>’</w:t>
      </w:r>
      <w:r w:rsidRPr="00E932DB">
        <w:rPr>
          <w:lang w:val="fr-CA"/>
        </w:rPr>
        <w:t>inégalité n</w:t>
      </w:r>
      <w:r>
        <w:rPr>
          <w:lang w:val="fr-CA"/>
        </w:rPr>
        <w:t>’</w:t>
      </w:r>
      <w:r w:rsidRPr="00E932DB">
        <w:rPr>
          <w:lang w:val="fr-CA"/>
        </w:rPr>
        <w:t>aurait pas permis de trancher la question linguistique de façon définitive.  Les tribunaux d</w:t>
      </w:r>
      <w:r>
        <w:rPr>
          <w:lang w:val="fr-CA"/>
        </w:rPr>
        <w:t>’</w:t>
      </w:r>
      <w:r w:rsidRPr="00E932DB">
        <w:rPr>
          <w:lang w:val="fr-CA"/>
        </w:rPr>
        <w:t xml:space="preserve">instance inférieure ont jugé valable la contestation de </w:t>
      </w:r>
      <w:r>
        <w:rPr>
          <w:lang w:val="fr-CA"/>
        </w:rPr>
        <w:t>M. Caron</w:t>
      </w:r>
      <w:r w:rsidRPr="00E932DB">
        <w:rPr>
          <w:lang w:val="fr-CA"/>
        </w:rPr>
        <w:t xml:space="preserve"> et, selon eux, il était dans l</w:t>
      </w:r>
      <w:r>
        <w:rPr>
          <w:lang w:val="fr-CA"/>
        </w:rPr>
        <w:t>’</w:t>
      </w:r>
      <w:r w:rsidRPr="00E932DB">
        <w:rPr>
          <w:lang w:val="fr-CA"/>
        </w:rPr>
        <w:t>intérêt de tous les Albertains qu</w:t>
      </w:r>
      <w:r>
        <w:rPr>
          <w:lang w:val="fr-CA"/>
        </w:rPr>
        <w:t>’</w:t>
      </w:r>
      <w:r w:rsidRPr="00E932DB">
        <w:rPr>
          <w:lang w:val="fr-CA"/>
        </w:rPr>
        <w:t>elle fasse l</w:t>
      </w:r>
      <w:r>
        <w:rPr>
          <w:lang w:val="fr-CA"/>
        </w:rPr>
        <w:t>’</w:t>
      </w:r>
      <w:r w:rsidRPr="00E932DB">
        <w:rPr>
          <w:lang w:val="fr-CA"/>
        </w:rPr>
        <w:t>objet d</w:t>
      </w:r>
      <w:r>
        <w:rPr>
          <w:lang w:val="fr-CA"/>
        </w:rPr>
        <w:t>’</w:t>
      </w:r>
      <w:r w:rsidRPr="00E932DB">
        <w:rPr>
          <w:lang w:val="fr-CA"/>
        </w:rPr>
        <w:t xml:space="preserve">un examen adéquat.  </w:t>
      </w:r>
    </w:p>
    <w:p w:rsidR="007D1503" w:rsidRPr="00E932DB" w:rsidRDefault="007D1503" w:rsidP="00EF00B0">
      <w:pPr>
        <w:pStyle w:val="ReasonsNumbering-AltN"/>
        <w:ind w:left="0" w:firstLine="0"/>
        <w:rPr>
          <w:b/>
          <w:bCs/>
          <w:lang w:val="fr-CA"/>
        </w:rPr>
      </w:pPr>
      <w:r w:rsidRPr="00E932DB">
        <w:rPr>
          <w:lang w:val="fr-CA"/>
        </w:rPr>
        <w:t>Je tiens à préciser que la présente affaire n</w:t>
      </w:r>
      <w:r>
        <w:rPr>
          <w:lang w:val="fr-CA"/>
        </w:rPr>
        <w:t>’</w:t>
      </w:r>
      <w:r w:rsidRPr="00E932DB">
        <w:rPr>
          <w:lang w:val="fr-CA"/>
        </w:rPr>
        <w:t xml:space="preserve">ouvre généralement pas la voie à des demandes de fonds pour financer la défense des accusés dans des affaires pénales ordinaires soulevant de façon incidente des questions constitutionnelles (y compris des questions liées à la </w:t>
      </w:r>
      <w:r w:rsidRPr="00E932DB">
        <w:rPr>
          <w:i/>
          <w:iCs/>
          <w:lang w:val="fr-CA"/>
        </w:rPr>
        <w:t>Charte</w:t>
      </w:r>
      <w:r w:rsidRPr="00E932DB">
        <w:rPr>
          <w:lang w:val="fr-CA"/>
        </w:rPr>
        <w:t>).  Dans de tels cas, l</w:t>
      </w:r>
      <w:r>
        <w:rPr>
          <w:lang w:val="fr-CA"/>
        </w:rPr>
        <w:t>’</w:t>
      </w:r>
      <w:r w:rsidRPr="00E932DB">
        <w:rPr>
          <w:lang w:val="fr-CA"/>
        </w:rPr>
        <w:t>élément essentiel est réellement l</w:t>
      </w:r>
      <w:r>
        <w:rPr>
          <w:lang w:val="fr-CA"/>
        </w:rPr>
        <w:t>’</w:t>
      </w:r>
      <w:r w:rsidRPr="00E932DB">
        <w:rPr>
          <w:lang w:val="fr-CA"/>
        </w:rPr>
        <w:t>infraction.  En l</w:t>
      </w:r>
      <w:r>
        <w:rPr>
          <w:lang w:val="fr-CA"/>
        </w:rPr>
        <w:t>’</w:t>
      </w:r>
      <w:r w:rsidRPr="00E932DB">
        <w:rPr>
          <w:lang w:val="fr-CA"/>
        </w:rPr>
        <w:t xml:space="preserve">espèce, la poursuite relative à une infraction au code de </w:t>
      </w:r>
      <w:r w:rsidRPr="00E932DB">
        <w:rPr>
          <w:lang w:val="fr-CA"/>
        </w:rPr>
        <w:lastRenderedPageBreak/>
        <w:t xml:space="preserve">la route ne constitue que la toile de fond de la bataille constitutionnelle.  Comme nous le verrons, le paradigme proposé dans </w:t>
      </w:r>
      <w:proofErr w:type="spellStart"/>
      <w:r w:rsidRPr="00E932DB">
        <w:rPr>
          <w:i/>
          <w:iCs/>
          <w:lang w:val="fr-CA"/>
        </w:rPr>
        <w:t>Okanagan</w:t>
      </w:r>
      <w:proofErr w:type="spellEnd"/>
      <w:r w:rsidRPr="00E932DB">
        <w:rPr>
          <w:i/>
          <w:iCs/>
          <w:lang w:val="fr-CA"/>
        </w:rPr>
        <w:t xml:space="preserve"> </w:t>
      </w:r>
      <w:r w:rsidRPr="00E932DB">
        <w:rPr>
          <w:iCs/>
          <w:lang w:val="fr-CA"/>
        </w:rPr>
        <w:t>et</w:t>
      </w:r>
      <w:r w:rsidRPr="00E932DB">
        <w:rPr>
          <w:i/>
          <w:iCs/>
          <w:lang w:val="fr-CA"/>
        </w:rPr>
        <w:t xml:space="preserve"> </w:t>
      </w:r>
      <w:proofErr w:type="spellStart"/>
      <w:r>
        <w:rPr>
          <w:i/>
          <w:iCs/>
          <w:lang w:val="fr-CA"/>
        </w:rPr>
        <w:t>Little</w:t>
      </w:r>
      <w:proofErr w:type="spellEnd"/>
      <w:r>
        <w:rPr>
          <w:i/>
          <w:iCs/>
          <w:lang w:val="fr-CA"/>
        </w:rPr>
        <w:t xml:space="preserve"> </w:t>
      </w:r>
      <w:proofErr w:type="spellStart"/>
      <w:r w:rsidRPr="00E932DB">
        <w:rPr>
          <w:i/>
          <w:iCs/>
          <w:lang w:val="fr-CA"/>
        </w:rPr>
        <w:t>Sisters</w:t>
      </w:r>
      <w:proofErr w:type="spellEnd"/>
      <w:r w:rsidRPr="00E932DB">
        <w:rPr>
          <w:i/>
          <w:iCs/>
          <w:lang w:val="fr-CA"/>
        </w:rPr>
        <w:t xml:space="preserve"> (n</w:t>
      </w:r>
      <w:r w:rsidRPr="00E932DB">
        <w:rPr>
          <w:i/>
          <w:iCs/>
          <w:vertAlign w:val="superscript"/>
          <w:lang w:val="fr-CA"/>
        </w:rPr>
        <w:t>o</w:t>
      </w:r>
      <w:r w:rsidRPr="00E932DB">
        <w:rPr>
          <w:i/>
          <w:iCs/>
          <w:lang w:val="fr-CA"/>
        </w:rPr>
        <w:t> 2)</w:t>
      </w:r>
      <w:r w:rsidRPr="00E932DB">
        <w:rPr>
          <w:lang w:val="fr-CA"/>
        </w:rPr>
        <w:t xml:space="preserve"> en ce qui concerne le financement pour des raisons d</w:t>
      </w:r>
      <w:r>
        <w:rPr>
          <w:lang w:val="fr-CA"/>
        </w:rPr>
        <w:t>’</w:t>
      </w:r>
      <w:r w:rsidRPr="00E932DB">
        <w:rPr>
          <w:lang w:val="fr-CA"/>
        </w:rPr>
        <w:t>intérêt public dans une affaire civile constitue une meilleure analogie.</w:t>
      </w:r>
    </w:p>
    <w:p w:rsidR="007D1503" w:rsidRPr="00E31014" w:rsidRDefault="007D1503" w:rsidP="007D1503">
      <w:pPr>
        <w:keepNext/>
        <w:tabs>
          <w:tab w:val="left" w:pos="1170"/>
        </w:tabs>
        <w:spacing w:after="720"/>
        <w:ind w:left="360" w:hanging="360"/>
        <w:jc w:val="both"/>
        <w:rPr>
          <w:i/>
          <w:iCs/>
          <w:lang w:val="fr-CA"/>
        </w:rPr>
      </w:pPr>
      <w:r w:rsidRPr="00E31014">
        <w:rPr>
          <w:lang w:val="fr-CA"/>
        </w:rPr>
        <w:t>A.</w:t>
      </w:r>
      <w:r w:rsidRPr="00E31014">
        <w:rPr>
          <w:lang w:val="fr-CA"/>
        </w:rPr>
        <w:tab/>
      </w:r>
      <w:r w:rsidRPr="00E31014">
        <w:rPr>
          <w:i/>
          <w:iCs/>
          <w:lang w:val="fr-CA"/>
        </w:rPr>
        <w:t>La compétence inhérente de la Cour du Banc de la Reine de l’Alberta s’</w:t>
      </w:r>
      <w:proofErr w:type="spellStart"/>
      <w:r w:rsidRPr="00E31014">
        <w:rPr>
          <w:i/>
          <w:iCs/>
          <w:lang w:val="fr-CA"/>
        </w:rPr>
        <w:t>étend</w:t>
      </w:r>
      <w:r w:rsidRPr="00E31014">
        <w:rPr>
          <w:i/>
          <w:iCs/>
          <w:lang w:val="fr-CA"/>
        </w:rPr>
        <w:noBreakHyphen/>
        <w:t>elle</w:t>
      </w:r>
      <w:proofErr w:type="spellEnd"/>
      <w:r w:rsidRPr="00E31014">
        <w:rPr>
          <w:i/>
          <w:iCs/>
          <w:lang w:val="fr-CA"/>
        </w:rPr>
        <w:t xml:space="preserve"> aux ordonnances de provisions pour frais dans une instance devant la Cour provinciale?</w:t>
      </w:r>
    </w:p>
    <w:p w:rsidR="007D1503" w:rsidRPr="00E932DB" w:rsidRDefault="007D1503" w:rsidP="00EF00B0">
      <w:pPr>
        <w:pStyle w:val="ReasonsNumbering-AltN"/>
        <w:ind w:left="0" w:firstLine="0"/>
        <w:rPr>
          <w:b/>
          <w:bCs/>
          <w:lang w:val="fr-CA"/>
        </w:rPr>
      </w:pPr>
      <w:r w:rsidRPr="00E932DB">
        <w:rPr>
          <w:lang w:val="fr-CA"/>
        </w:rPr>
        <w:t>La compétence inhérente des cours supérieures provinciales est largement définie comme étant [</w:t>
      </w:r>
      <w:r w:rsidRPr="00E932DB">
        <w:rPr>
          <w:smallCaps/>
          <w:lang w:val="fr-CA"/>
        </w:rPr>
        <w:t>traduction</w:t>
      </w:r>
      <w:r w:rsidRPr="00E932DB">
        <w:rPr>
          <w:lang w:val="fr-CA"/>
        </w:rPr>
        <w:t xml:space="preserve">] </w:t>
      </w:r>
      <w:r>
        <w:rPr>
          <w:lang w:val="fr-CA"/>
        </w:rPr>
        <w:t>« </w:t>
      </w:r>
      <w:r w:rsidRPr="00E932DB">
        <w:rPr>
          <w:lang w:val="fr-CA"/>
        </w:rPr>
        <w:t>une source résiduelle de pouvoirs, à laquelle la Cour peut puiser au besoin lorsqu</w:t>
      </w:r>
      <w:r>
        <w:rPr>
          <w:lang w:val="fr-CA"/>
        </w:rPr>
        <w:t>’</w:t>
      </w:r>
      <w:r w:rsidRPr="00E932DB">
        <w:rPr>
          <w:lang w:val="fr-CA"/>
        </w:rPr>
        <w:t>il est juste ou équitable de le faire</w:t>
      </w:r>
      <w:r>
        <w:rPr>
          <w:lang w:val="fr-CA"/>
        </w:rPr>
        <w:t> » :</w:t>
      </w:r>
      <w:r w:rsidRPr="00E932DB">
        <w:rPr>
          <w:lang w:val="fr-CA"/>
        </w:rPr>
        <w:t xml:space="preserve"> I. H. Jacob, </w:t>
      </w:r>
      <w:r>
        <w:rPr>
          <w:lang w:val="fr-CA"/>
        </w:rPr>
        <w:t>« </w:t>
      </w:r>
      <w:r w:rsidRPr="00E932DB">
        <w:rPr>
          <w:iCs/>
          <w:lang w:val="fr-CA"/>
        </w:rPr>
        <w:t xml:space="preserve">The </w:t>
      </w:r>
      <w:proofErr w:type="spellStart"/>
      <w:r w:rsidRPr="00E932DB">
        <w:rPr>
          <w:iCs/>
          <w:lang w:val="fr-CA"/>
        </w:rPr>
        <w:t>Inherent</w:t>
      </w:r>
      <w:proofErr w:type="spellEnd"/>
      <w:r w:rsidRPr="00E932DB">
        <w:rPr>
          <w:iCs/>
          <w:lang w:val="fr-CA"/>
        </w:rPr>
        <w:t xml:space="preserve"> </w:t>
      </w:r>
      <w:proofErr w:type="spellStart"/>
      <w:r w:rsidRPr="00E932DB">
        <w:rPr>
          <w:iCs/>
          <w:lang w:val="fr-CA"/>
        </w:rPr>
        <w:t>Jurisdiction</w:t>
      </w:r>
      <w:proofErr w:type="spellEnd"/>
      <w:r w:rsidRPr="00E932DB">
        <w:rPr>
          <w:iCs/>
          <w:lang w:val="fr-CA"/>
        </w:rPr>
        <w:t xml:space="preserve"> of the Court</w:t>
      </w:r>
      <w:r>
        <w:rPr>
          <w:iCs/>
          <w:lang w:val="fr-CA"/>
        </w:rPr>
        <w:t> »</w:t>
      </w:r>
      <w:r w:rsidRPr="00E932DB">
        <w:rPr>
          <w:lang w:val="fr-CA"/>
        </w:rPr>
        <w:t xml:space="preserve"> (1970), 23 </w:t>
      </w:r>
      <w:proofErr w:type="spellStart"/>
      <w:r w:rsidRPr="00E932DB">
        <w:rPr>
          <w:i/>
          <w:lang w:val="fr-CA"/>
        </w:rPr>
        <w:t>Curr</w:t>
      </w:r>
      <w:proofErr w:type="spellEnd"/>
      <w:r w:rsidR="003B1792">
        <w:rPr>
          <w:i/>
          <w:lang w:val="fr-CA"/>
        </w:rPr>
        <w:t>.</w:t>
      </w:r>
      <w:r w:rsidRPr="00E932DB">
        <w:rPr>
          <w:i/>
          <w:lang w:val="fr-CA"/>
        </w:rPr>
        <w:t xml:space="preserve"> </w:t>
      </w:r>
      <w:proofErr w:type="spellStart"/>
      <w:r w:rsidR="003B1792">
        <w:rPr>
          <w:i/>
          <w:lang w:val="fr-CA"/>
        </w:rPr>
        <w:t>L</w:t>
      </w:r>
      <w:r w:rsidRPr="00E932DB">
        <w:rPr>
          <w:i/>
          <w:lang w:val="fr-CA"/>
        </w:rPr>
        <w:t>egal</w:t>
      </w:r>
      <w:proofErr w:type="spellEnd"/>
      <w:r w:rsidRPr="00E932DB">
        <w:rPr>
          <w:i/>
          <w:lang w:val="fr-CA"/>
        </w:rPr>
        <w:t xml:space="preserve"> </w:t>
      </w:r>
      <w:proofErr w:type="spellStart"/>
      <w:r w:rsidRPr="00E932DB">
        <w:rPr>
          <w:i/>
          <w:lang w:val="fr-CA"/>
        </w:rPr>
        <w:t>Probs</w:t>
      </w:r>
      <w:proofErr w:type="spellEnd"/>
      <w:r w:rsidR="003B1792">
        <w:rPr>
          <w:i/>
          <w:lang w:val="fr-CA"/>
        </w:rPr>
        <w:t>.</w:t>
      </w:r>
      <w:r w:rsidRPr="00E932DB">
        <w:rPr>
          <w:lang w:val="fr-CA"/>
        </w:rPr>
        <w:t xml:space="preserve"> 23, p. 51.  Ces pouvoirs émanent </w:t>
      </w:r>
      <w:r>
        <w:rPr>
          <w:lang w:val="fr-CA"/>
        </w:rPr>
        <w:t>« </w:t>
      </w:r>
      <w:r w:rsidRPr="00E932DB">
        <w:rPr>
          <w:lang w:val="fr-CA"/>
        </w:rPr>
        <w:t>non pas d</w:t>
      </w:r>
      <w:r>
        <w:rPr>
          <w:lang w:val="fr-CA"/>
        </w:rPr>
        <w:t>’</w:t>
      </w:r>
      <w:r w:rsidRPr="00E932DB">
        <w:rPr>
          <w:lang w:val="fr-CA"/>
        </w:rPr>
        <w:t>une loi ou d</w:t>
      </w:r>
      <w:r>
        <w:rPr>
          <w:lang w:val="fr-CA"/>
        </w:rPr>
        <w:t>’</w:t>
      </w:r>
      <w:r w:rsidRPr="00E932DB">
        <w:rPr>
          <w:lang w:val="fr-CA"/>
        </w:rPr>
        <w:t>une règle de droit, mais de la nature même de la cour en tant que cour supérieure de justice</w:t>
      </w:r>
      <w:r>
        <w:rPr>
          <w:lang w:val="fr-CA"/>
        </w:rPr>
        <w:t> »</w:t>
      </w:r>
      <w:r w:rsidRPr="00E932DB">
        <w:rPr>
          <w:lang w:val="fr-CA"/>
        </w:rPr>
        <w:t xml:space="preserve"> (Jacob, p. 27) pour permettre </w:t>
      </w:r>
      <w:r>
        <w:rPr>
          <w:lang w:val="fr-CA"/>
        </w:rPr>
        <w:t>« </w:t>
      </w:r>
      <w:r w:rsidRPr="00E932DB">
        <w:rPr>
          <w:lang w:val="fr-CA"/>
        </w:rPr>
        <w:t>de maintenir, protéger et remplir leur fonction qui est de rendre justice, dans le respect de la loi, d</w:t>
      </w:r>
      <w:r>
        <w:rPr>
          <w:lang w:val="fr-CA"/>
        </w:rPr>
        <w:t>’</w:t>
      </w:r>
      <w:r w:rsidRPr="00E932DB">
        <w:rPr>
          <w:lang w:val="fr-CA"/>
        </w:rPr>
        <w:t>une manière régulière, ordonnée et efficace</w:t>
      </w:r>
      <w:r>
        <w:rPr>
          <w:lang w:val="fr-CA"/>
        </w:rPr>
        <w:t> »</w:t>
      </w:r>
      <w:r w:rsidRPr="00E932DB">
        <w:rPr>
          <w:lang w:val="fr-CA"/>
        </w:rPr>
        <w:t xml:space="preserve"> (p. 28).  S</w:t>
      </w:r>
      <w:r>
        <w:rPr>
          <w:lang w:val="fr-CA"/>
        </w:rPr>
        <w:t>’</w:t>
      </w:r>
      <w:r w:rsidRPr="00E932DB">
        <w:rPr>
          <w:lang w:val="fr-CA"/>
        </w:rPr>
        <w:t>exprimant en des termes tout aussi larges, le juge en chef Lamer qui se référait, en l</w:t>
      </w:r>
      <w:r>
        <w:rPr>
          <w:lang w:val="fr-CA"/>
        </w:rPr>
        <w:t>’</w:t>
      </w:r>
      <w:r w:rsidRPr="00E932DB">
        <w:rPr>
          <w:lang w:val="fr-CA"/>
        </w:rPr>
        <w:t>approuvant, à l</w:t>
      </w:r>
      <w:r>
        <w:rPr>
          <w:lang w:val="fr-CA"/>
        </w:rPr>
        <w:t>’</w:t>
      </w:r>
      <w:r w:rsidRPr="00E932DB">
        <w:rPr>
          <w:lang w:val="fr-CA"/>
        </w:rPr>
        <w:t>analyse de Jacob (</w:t>
      </w:r>
      <w:proofErr w:type="spellStart"/>
      <w:r w:rsidR="003B1792" w:rsidRPr="00E932DB">
        <w:rPr>
          <w:i/>
          <w:iCs/>
          <w:lang w:val="fr-CA"/>
        </w:rPr>
        <w:t>MacMillan</w:t>
      </w:r>
      <w:proofErr w:type="spellEnd"/>
      <w:r w:rsidR="003B1792" w:rsidRPr="00E932DB">
        <w:rPr>
          <w:i/>
          <w:iCs/>
          <w:lang w:val="fr-CA"/>
        </w:rPr>
        <w:t xml:space="preserve"> </w:t>
      </w:r>
      <w:proofErr w:type="spellStart"/>
      <w:r w:rsidR="003B1792" w:rsidRPr="00E932DB">
        <w:rPr>
          <w:i/>
          <w:iCs/>
          <w:lang w:val="fr-CA"/>
        </w:rPr>
        <w:t>Bloedel</w:t>
      </w:r>
      <w:proofErr w:type="spellEnd"/>
      <w:r w:rsidR="003B1792" w:rsidRPr="00E932DB">
        <w:rPr>
          <w:i/>
          <w:iCs/>
          <w:lang w:val="fr-CA"/>
        </w:rPr>
        <w:t xml:space="preserve"> Ltd. c. Simpson</w:t>
      </w:r>
      <w:r w:rsidR="003B1792" w:rsidRPr="00E932DB">
        <w:rPr>
          <w:lang w:val="fr-CA"/>
        </w:rPr>
        <w:t>, [1995] 4 R.C.S. 725,</w:t>
      </w:r>
      <w:r w:rsidR="003B1792">
        <w:rPr>
          <w:lang w:val="fr-CA"/>
        </w:rPr>
        <w:t xml:space="preserve"> </w:t>
      </w:r>
      <w:r>
        <w:rPr>
          <w:lang w:val="fr-CA"/>
        </w:rPr>
        <w:t>par. </w:t>
      </w:r>
      <w:r w:rsidRPr="00E932DB">
        <w:rPr>
          <w:lang w:val="fr-CA"/>
        </w:rPr>
        <w:t>29</w:t>
      </w:r>
      <w:r w:rsidRPr="00E932DB">
        <w:rPr>
          <w:lang w:val="fr-CA"/>
        </w:rPr>
        <w:noBreakHyphen/>
        <w:t xml:space="preserve">30), parle des </w:t>
      </w:r>
      <w:r>
        <w:rPr>
          <w:lang w:val="fr-CA"/>
        </w:rPr>
        <w:t>« </w:t>
      </w:r>
      <w:r w:rsidRPr="00E932DB">
        <w:rPr>
          <w:lang w:val="fr-CA"/>
        </w:rPr>
        <w:t>pouvoirs qui sont essentiels à l</w:t>
      </w:r>
      <w:r>
        <w:rPr>
          <w:lang w:val="fr-CA"/>
        </w:rPr>
        <w:t>’</w:t>
      </w:r>
      <w:r w:rsidRPr="00E932DB">
        <w:rPr>
          <w:lang w:val="fr-CA"/>
        </w:rPr>
        <w:t>administration de la justice et au maintien de la primauté du droit</w:t>
      </w:r>
      <w:r>
        <w:rPr>
          <w:lang w:val="fr-CA"/>
        </w:rPr>
        <w:t> »</w:t>
      </w:r>
      <w:r w:rsidR="003B1792">
        <w:rPr>
          <w:lang w:val="fr-CA"/>
        </w:rPr>
        <w:t>,</w:t>
      </w:r>
      <w:r>
        <w:rPr>
          <w:lang w:val="fr-CA"/>
        </w:rPr>
        <w:t> par. </w:t>
      </w:r>
      <w:r w:rsidRPr="00E932DB">
        <w:rPr>
          <w:lang w:val="fr-CA"/>
        </w:rPr>
        <w:t xml:space="preserve">38.  Voir également </w:t>
      </w:r>
      <w:r w:rsidRPr="00E932DB">
        <w:rPr>
          <w:i/>
          <w:iCs/>
          <w:lang w:val="fr-CA"/>
        </w:rPr>
        <w:t>R. c. Cunningham</w:t>
      </w:r>
      <w:r>
        <w:rPr>
          <w:lang w:val="fr-CA"/>
        </w:rPr>
        <w:t xml:space="preserve">, 2010 CSC 10, [2010] </w:t>
      </w:r>
      <w:r w:rsidRPr="00E932DB">
        <w:rPr>
          <w:lang w:val="fr-CA"/>
        </w:rPr>
        <w:t>1</w:t>
      </w:r>
      <w:r>
        <w:rPr>
          <w:lang w:val="fr-CA"/>
        </w:rPr>
        <w:t xml:space="preserve"> </w:t>
      </w:r>
      <w:r w:rsidRPr="00E932DB">
        <w:rPr>
          <w:lang w:val="fr-CA"/>
        </w:rPr>
        <w:t xml:space="preserve">R.C.S. 331, le </w:t>
      </w:r>
      <w:r>
        <w:rPr>
          <w:lang w:val="fr-CA"/>
        </w:rPr>
        <w:t xml:space="preserve">juge </w:t>
      </w:r>
      <w:proofErr w:type="spellStart"/>
      <w:r w:rsidRPr="00E932DB">
        <w:rPr>
          <w:lang w:val="fr-CA"/>
        </w:rPr>
        <w:t>Rothstein</w:t>
      </w:r>
      <w:proofErr w:type="spellEnd"/>
      <w:r w:rsidRPr="00E932DB">
        <w:rPr>
          <w:lang w:val="fr-CA"/>
        </w:rPr>
        <w:t>, qui se réfère à l</w:t>
      </w:r>
      <w:r>
        <w:rPr>
          <w:lang w:val="fr-CA"/>
        </w:rPr>
        <w:t>’</w:t>
      </w:r>
      <w:r w:rsidRPr="00E932DB">
        <w:rPr>
          <w:lang w:val="fr-CA"/>
        </w:rPr>
        <w:t xml:space="preserve">analyse de Jacob, au </w:t>
      </w:r>
      <w:r>
        <w:rPr>
          <w:lang w:val="fr-CA"/>
        </w:rPr>
        <w:t>par. </w:t>
      </w:r>
      <w:r w:rsidRPr="00E932DB">
        <w:rPr>
          <w:lang w:val="fr-CA"/>
        </w:rPr>
        <w:t>18</w:t>
      </w:r>
      <w:r>
        <w:rPr>
          <w:lang w:val="fr-CA"/>
        </w:rPr>
        <w:t xml:space="preserve">, et </w:t>
      </w:r>
      <w:r w:rsidRPr="00E932DB">
        <w:rPr>
          <w:i/>
          <w:lang w:val="fr-CA"/>
        </w:rPr>
        <w:t>Canada (Commission des droits de la personne) c. Canadian Liberty Net</w:t>
      </w:r>
      <w:r w:rsidRPr="00E932DB">
        <w:rPr>
          <w:lang w:val="fr-CA"/>
        </w:rPr>
        <w:t xml:space="preserve">, </w:t>
      </w:r>
      <w:r w:rsidRPr="00E932DB">
        <w:rPr>
          <w:lang w:val="fr-FR"/>
        </w:rPr>
        <w:t xml:space="preserve">[1998] 1 R.C.S. 626, </w:t>
      </w:r>
      <w:r>
        <w:rPr>
          <w:lang w:val="fr-FR"/>
        </w:rPr>
        <w:t>par. </w:t>
      </w:r>
      <w:r w:rsidRPr="00E932DB">
        <w:rPr>
          <w:lang w:val="fr-FR"/>
        </w:rPr>
        <w:t>29</w:t>
      </w:r>
      <w:r w:rsidR="003B1792">
        <w:rPr>
          <w:lang w:val="fr-FR"/>
        </w:rPr>
        <w:t>-</w:t>
      </w:r>
      <w:r w:rsidRPr="00E932DB">
        <w:rPr>
          <w:lang w:val="fr-CA"/>
        </w:rPr>
        <w:t xml:space="preserve">32. </w:t>
      </w:r>
    </w:p>
    <w:p w:rsidR="007D1503" w:rsidRPr="00953B0E" w:rsidRDefault="007D1503" w:rsidP="00EF00B0">
      <w:pPr>
        <w:pStyle w:val="ReasonsNumbering-AltN"/>
        <w:ind w:left="0" w:firstLine="0"/>
        <w:rPr>
          <w:b/>
          <w:bCs/>
          <w:lang w:val="fr-CA"/>
        </w:rPr>
      </w:pPr>
      <w:r w:rsidRPr="00E932DB">
        <w:rPr>
          <w:lang w:val="fr-CA"/>
        </w:rPr>
        <w:lastRenderedPageBreak/>
        <w:t xml:space="preserve">Dans les premiers temps, les cours supérieures ont exercé leurs pouvoirs inhérents notamment afin de désigner un avocat pour représenter des plaideurs impécunieux </w:t>
      </w:r>
      <w:r w:rsidRPr="00E932DB">
        <w:rPr>
          <w:i/>
          <w:iCs/>
          <w:lang w:val="fr-CA"/>
        </w:rPr>
        <w:t xml:space="preserve">in forma </w:t>
      </w:r>
      <w:proofErr w:type="spellStart"/>
      <w:r w:rsidRPr="00E932DB">
        <w:rPr>
          <w:i/>
          <w:iCs/>
          <w:lang w:val="fr-CA"/>
        </w:rPr>
        <w:t>pauperis</w:t>
      </w:r>
      <w:proofErr w:type="spellEnd"/>
      <w:r w:rsidRPr="00E932DB">
        <w:rPr>
          <w:i/>
          <w:iCs/>
          <w:lang w:val="fr-CA"/>
        </w:rPr>
        <w:t xml:space="preserve"> </w:t>
      </w:r>
      <w:r>
        <w:rPr>
          <w:lang w:val="fr-CA"/>
        </w:rPr>
        <w:t>(W. </w:t>
      </w:r>
      <w:r w:rsidRPr="00E932DB">
        <w:rPr>
          <w:lang w:val="fr-CA"/>
        </w:rPr>
        <w:t xml:space="preserve">S. </w:t>
      </w:r>
      <w:proofErr w:type="spellStart"/>
      <w:r w:rsidRPr="00E932DB">
        <w:rPr>
          <w:lang w:val="fr-CA"/>
        </w:rPr>
        <w:t>Holdsworth</w:t>
      </w:r>
      <w:proofErr w:type="spellEnd"/>
      <w:r w:rsidRPr="00E932DB">
        <w:rPr>
          <w:lang w:val="fr-CA"/>
        </w:rPr>
        <w:t xml:space="preserve">, </w:t>
      </w:r>
      <w:r w:rsidRPr="00E932DB">
        <w:rPr>
          <w:i/>
          <w:iCs/>
          <w:lang w:val="fr-CA"/>
        </w:rPr>
        <w:t>A</w:t>
      </w:r>
      <w:r>
        <w:rPr>
          <w:i/>
          <w:iCs/>
          <w:lang w:val="fr-CA"/>
        </w:rPr>
        <w:t> </w:t>
      </w:r>
      <w:proofErr w:type="spellStart"/>
      <w:r w:rsidRPr="00E932DB">
        <w:rPr>
          <w:i/>
          <w:iCs/>
          <w:lang w:val="fr-CA"/>
        </w:rPr>
        <w:t>History</w:t>
      </w:r>
      <w:proofErr w:type="spellEnd"/>
      <w:r w:rsidRPr="00E932DB">
        <w:rPr>
          <w:i/>
          <w:iCs/>
          <w:lang w:val="fr-CA"/>
        </w:rPr>
        <w:t xml:space="preserve"> of English Law</w:t>
      </w:r>
      <w:r w:rsidRPr="00E932DB">
        <w:rPr>
          <w:lang w:val="fr-CA"/>
        </w:rPr>
        <w:t>, vol. </w:t>
      </w:r>
      <w:r w:rsidRPr="00953B0E">
        <w:rPr>
          <w:lang w:val="fr-CA"/>
        </w:rPr>
        <w:t>IV (3</w:t>
      </w:r>
      <w:r w:rsidRPr="00953B0E">
        <w:rPr>
          <w:vertAlign w:val="superscript"/>
          <w:lang w:val="fr-CA"/>
        </w:rPr>
        <w:t>e</w:t>
      </w:r>
      <w:r w:rsidRPr="00953B0E">
        <w:rPr>
          <w:lang w:val="fr-CA"/>
        </w:rPr>
        <w:t> éd. 1945), p. 538, et G. O. Morgan</w:t>
      </w:r>
      <w:r>
        <w:rPr>
          <w:lang w:val="fr-CA"/>
        </w:rPr>
        <w:t xml:space="preserve"> et H. </w:t>
      </w:r>
      <w:proofErr w:type="spellStart"/>
      <w:r w:rsidRPr="00953B0E">
        <w:rPr>
          <w:lang w:val="fr-CA"/>
        </w:rPr>
        <w:t>Davey</w:t>
      </w:r>
      <w:proofErr w:type="spellEnd"/>
      <w:r w:rsidRPr="00953B0E">
        <w:rPr>
          <w:lang w:val="fr-CA"/>
        </w:rPr>
        <w:t xml:space="preserve">, </w:t>
      </w:r>
      <w:r w:rsidRPr="00953B0E">
        <w:rPr>
          <w:i/>
          <w:iCs/>
          <w:lang w:val="fr-CA"/>
        </w:rPr>
        <w:t>A</w:t>
      </w:r>
      <w:r>
        <w:rPr>
          <w:i/>
          <w:iCs/>
          <w:lang w:val="fr-CA"/>
        </w:rPr>
        <w:t> </w:t>
      </w:r>
      <w:proofErr w:type="spellStart"/>
      <w:r w:rsidRPr="00953B0E">
        <w:rPr>
          <w:i/>
          <w:iCs/>
          <w:lang w:val="fr-CA"/>
        </w:rPr>
        <w:t>Treatise</w:t>
      </w:r>
      <w:proofErr w:type="spellEnd"/>
      <w:r w:rsidRPr="00953B0E">
        <w:rPr>
          <w:i/>
          <w:iCs/>
          <w:lang w:val="fr-CA"/>
        </w:rPr>
        <w:t xml:space="preserve"> on </w:t>
      </w:r>
      <w:proofErr w:type="spellStart"/>
      <w:r w:rsidRPr="00953B0E">
        <w:rPr>
          <w:i/>
          <w:iCs/>
          <w:lang w:val="fr-CA"/>
        </w:rPr>
        <w:t>Costs</w:t>
      </w:r>
      <w:proofErr w:type="spellEnd"/>
      <w:r w:rsidRPr="00953B0E">
        <w:rPr>
          <w:i/>
          <w:iCs/>
          <w:lang w:val="fr-CA"/>
        </w:rPr>
        <w:t xml:space="preserve"> in </w:t>
      </w:r>
      <w:proofErr w:type="spellStart"/>
      <w:r w:rsidRPr="00953B0E">
        <w:rPr>
          <w:i/>
          <w:iCs/>
          <w:lang w:val="fr-CA"/>
        </w:rPr>
        <w:t>Chancery</w:t>
      </w:r>
      <w:proofErr w:type="spellEnd"/>
      <w:r w:rsidRPr="00953B0E">
        <w:rPr>
          <w:lang w:val="fr-CA"/>
        </w:rPr>
        <w:t xml:space="preserve"> (1865), p. 268).</w:t>
      </w:r>
    </w:p>
    <w:p w:rsidR="007D1503" w:rsidRPr="00E932DB" w:rsidRDefault="007D1503" w:rsidP="00EF00B0">
      <w:pPr>
        <w:pStyle w:val="ReasonsNumbering-AltN"/>
        <w:ind w:left="0" w:firstLine="0"/>
        <w:rPr>
          <w:lang w:val="fr-CA"/>
        </w:rPr>
      </w:pPr>
      <w:r w:rsidRPr="00E932DB">
        <w:rPr>
          <w:lang w:val="fr-CA"/>
        </w:rPr>
        <w:t>Le ministère public fait valoir que, quelle que soit l</w:t>
      </w:r>
      <w:r>
        <w:rPr>
          <w:lang w:val="fr-CA"/>
        </w:rPr>
        <w:t>’</w:t>
      </w:r>
      <w:r w:rsidRPr="00E932DB">
        <w:rPr>
          <w:lang w:val="fr-CA"/>
        </w:rPr>
        <w:t>étendue de la compétence inhérente conférée à une cour supérieure à l</w:t>
      </w:r>
      <w:r>
        <w:rPr>
          <w:lang w:val="fr-CA"/>
        </w:rPr>
        <w:t>’</w:t>
      </w:r>
      <w:r w:rsidRPr="00E932DB">
        <w:rPr>
          <w:lang w:val="fr-CA"/>
        </w:rPr>
        <w:t>égard d</w:t>
      </w:r>
      <w:r>
        <w:rPr>
          <w:lang w:val="fr-CA"/>
        </w:rPr>
        <w:t>’</w:t>
      </w:r>
      <w:r w:rsidRPr="00E932DB">
        <w:rPr>
          <w:lang w:val="fr-CA"/>
        </w:rPr>
        <w:t>une affaire qui lui est soumise, la compétence inhérente ne saurait s</w:t>
      </w:r>
      <w:r>
        <w:rPr>
          <w:lang w:val="fr-CA"/>
        </w:rPr>
        <w:t>’</w:t>
      </w:r>
      <w:r w:rsidRPr="00E932DB">
        <w:rPr>
          <w:lang w:val="fr-CA"/>
        </w:rPr>
        <w:t xml:space="preserve">étendre à une ordonnance de provision pour frais dans une affaire dont est saisie la Cour provinciale.  Toutefois, comme le souligne Jacob, les cours supérieures possèdent </w:t>
      </w:r>
      <w:r w:rsidRPr="00E932DB">
        <w:rPr>
          <w:i/>
          <w:lang w:val="fr-CA"/>
        </w:rPr>
        <w:t>effectivement</w:t>
      </w:r>
      <w:r w:rsidRPr="00E932DB">
        <w:rPr>
          <w:lang w:val="fr-CA"/>
        </w:rPr>
        <w:t xml:space="preserve"> le pouvoir inhérent de [</w:t>
      </w:r>
      <w:r w:rsidRPr="00E932DB">
        <w:rPr>
          <w:smallCaps/>
          <w:lang w:val="fr-CA"/>
        </w:rPr>
        <w:t>traduction</w:t>
      </w:r>
      <w:r w:rsidRPr="00E932DB">
        <w:rPr>
          <w:lang w:val="fr-CA"/>
        </w:rPr>
        <w:t xml:space="preserve">] </w:t>
      </w:r>
      <w:r>
        <w:rPr>
          <w:lang w:val="fr-CA"/>
        </w:rPr>
        <w:t>« </w:t>
      </w:r>
      <w:r w:rsidRPr="00E932DB">
        <w:rPr>
          <w:lang w:val="fr-CA"/>
        </w:rPr>
        <w:t>venir en aide aux tribunaux d</w:t>
      </w:r>
      <w:r>
        <w:rPr>
          <w:lang w:val="fr-CA"/>
        </w:rPr>
        <w:t>’</w:t>
      </w:r>
      <w:r w:rsidRPr="00E932DB">
        <w:rPr>
          <w:lang w:val="fr-CA"/>
        </w:rPr>
        <w:t>instance inférieure en vue de leur permettre de s</w:t>
      </w:r>
      <w:r>
        <w:rPr>
          <w:lang w:val="fr-CA"/>
        </w:rPr>
        <w:t>’</w:t>
      </w:r>
      <w:r w:rsidRPr="00E932DB">
        <w:rPr>
          <w:lang w:val="fr-CA"/>
        </w:rPr>
        <w:t>acquitter intégralement et efficacement de leur mandat d</w:t>
      </w:r>
      <w:r>
        <w:rPr>
          <w:lang w:val="fr-CA"/>
        </w:rPr>
        <w:t>’</w:t>
      </w:r>
      <w:r w:rsidRPr="00E932DB">
        <w:rPr>
          <w:lang w:val="fr-CA"/>
        </w:rPr>
        <w:t>administrer la justice</w:t>
      </w:r>
      <w:r>
        <w:rPr>
          <w:lang w:val="fr-CA"/>
        </w:rPr>
        <w:t> »</w:t>
      </w:r>
      <w:r w:rsidRPr="00E932DB">
        <w:rPr>
          <w:lang w:val="fr-CA"/>
        </w:rPr>
        <w:t xml:space="preserve"> (p. 48).  À titre d</w:t>
      </w:r>
      <w:r>
        <w:rPr>
          <w:lang w:val="fr-CA"/>
        </w:rPr>
        <w:t>’</w:t>
      </w:r>
      <w:r w:rsidRPr="00E932DB">
        <w:rPr>
          <w:lang w:val="fr-CA"/>
        </w:rPr>
        <w:t>exemple, les cours supérieures interviennent depuis longtemps dans les cas d</w:t>
      </w:r>
      <w:r>
        <w:rPr>
          <w:lang w:val="fr-CA"/>
        </w:rPr>
        <w:t>’</w:t>
      </w:r>
      <w:r w:rsidRPr="00E932DB">
        <w:rPr>
          <w:lang w:val="fr-CA"/>
        </w:rPr>
        <w:t xml:space="preserve">outrage au tribunal qui ne sont pas commis </w:t>
      </w:r>
      <w:r>
        <w:rPr>
          <w:lang w:val="fr-CA"/>
        </w:rPr>
        <w:t>« </w:t>
      </w:r>
      <w:r w:rsidRPr="00E932DB">
        <w:rPr>
          <w:lang w:val="fr-CA"/>
        </w:rPr>
        <w:t>devant</w:t>
      </w:r>
      <w:r>
        <w:rPr>
          <w:lang w:val="fr-CA"/>
        </w:rPr>
        <w:t> »</w:t>
      </w:r>
      <w:r w:rsidRPr="00E932DB">
        <w:rPr>
          <w:lang w:val="fr-CA"/>
        </w:rPr>
        <w:t xml:space="preserve"> un tribunal d</w:t>
      </w:r>
      <w:r>
        <w:rPr>
          <w:lang w:val="fr-CA"/>
        </w:rPr>
        <w:t>’</w:t>
      </w:r>
      <w:r w:rsidRPr="00E932DB">
        <w:rPr>
          <w:lang w:val="fr-CA"/>
        </w:rPr>
        <w:t xml:space="preserve">instance inférieure parce que </w:t>
      </w:r>
      <w:r>
        <w:rPr>
          <w:lang w:val="fr-CA"/>
        </w:rPr>
        <w:t>« </w:t>
      </w:r>
      <w:r w:rsidRPr="00E932DB">
        <w:rPr>
          <w:lang w:val="fr-CA"/>
        </w:rPr>
        <w:t>les tribunaux d</w:t>
      </w:r>
      <w:r>
        <w:rPr>
          <w:lang w:val="fr-CA"/>
        </w:rPr>
        <w:t>’</w:t>
      </w:r>
      <w:r w:rsidRPr="00E932DB">
        <w:rPr>
          <w:lang w:val="fr-CA"/>
        </w:rPr>
        <w:t>instance inférieure ne possèdent pas les pouvoirs nécessaires pour assurer leur propre protection</w:t>
      </w:r>
      <w:r>
        <w:rPr>
          <w:lang w:val="fr-CA"/>
        </w:rPr>
        <w:t> »</w:t>
      </w:r>
      <w:r w:rsidRPr="00E932DB">
        <w:rPr>
          <w:lang w:val="fr-CA"/>
        </w:rPr>
        <w:t xml:space="preserve"> (p. 48).  Voir notamment </w:t>
      </w:r>
      <w:r w:rsidRPr="00E932DB">
        <w:rPr>
          <w:i/>
          <w:iCs/>
          <w:lang w:val="fr-CA"/>
        </w:rPr>
        <w:t xml:space="preserve">R. c. Peel </w:t>
      </w:r>
      <w:proofErr w:type="spellStart"/>
      <w:r w:rsidRPr="00E932DB">
        <w:rPr>
          <w:i/>
          <w:iCs/>
          <w:lang w:val="fr-CA"/>
        </w:rPr>
        <w:t>Regional</w:t>
      </w:r>
      <w:proofErr w:type="spellEnd"/>
      <w:r w:rsidRPr="00E932DB">
        <w:rPr>
          <w:i/>
          <w:iCs/>
          <w:lang w:val="fr-CA"/>
        </w:rPr>
        <w:t xml:space="preserve"> Police Service</w:t>
      </w:r>
      <w:r w:rsidRPr="00E932DB">
        <w:rPr>
          <w:lang w:val="fr-CA"/>
        </w:rPr>
        <w:t xml:space="preserve"> (2000), 149 C.C.C. (3d) 356 (C.S.J. Ont.), et </w:t>
      </w:r>
      <w:r w:rsidRPr="00E932DB">
        <w:rPr>
          <w:i/>
          <w:lang w:val="fr-CA"/>
        </w:rPr>
        <w:t>United Nurses of Alberta c. Alberta (Procureur général)</w:t>
      </w:r>
      <w:r w:rsidRPr="00E932DB">
        <w:rPr>
          <w:lang w:val="fr-CA"/>
        </w:rPr>
        <w:t xml:space="preserve">, </w:t>
      </w:r>
      <w:r w:rsidRPr="00E932DB">
        <w:rPr>
          <w:lang w:val="fr-FR"/>
        </w:rPr>
        <w:t>[1992] 1 R.C.S. 901.</w:t>
      </w:r>
      <w:r w:rsidRPr="00E932DB">
        <w:rPr>
          <w:lang w:val="fr-CA"/>
        </w:rPr>
        <w:t xml:space="preserve">  Dans le même ordre d</w:t>
      </w:r>
      <w:r>
        <w:rPr>
          <w:lang w:val="fr-CA"/>
        </w:rPr>
        <w:t>’</w:t>
      </w:r>
      <w:r w:rsidRPr="00E932DB">
        <w:rPr>
          <w:lang w:val="fr-CA"/>
        </w:rPr>
        <w:t xml:space="preserve">idées, M. Keith </w:t>
      </w:r>
      <w:proofErr w:type="spellStart"/>
      <w:r w:rsidRPr="00E932DB">
        <w:rPr>
          <w:lang w:val="fr-CA"/>
        </w:rPr>
        <w:t>Mason</w:t>
      </w:r>
      <w:proofErr w:type="spellEnd"/>
      <w:r w:rsidRPr="00E932DB">
        <w:rPr>
          <w:lang w:val="fr-CA"/>
        </w:rPr>
        <w:t>, c.r., un ancien président de la Cour d</w:t>
      </w:r>
      <w:r>
        <w:rPr>
          <w:lang w:val="fr-CA"/>
        </w:rPr>
        <w:t>’</w:t>
      </w:r>
      <w:r w:rsidRPr="00E932DB">
        <w:rPr>
          <w:lang w:val="fr-CA"/>
        </w:rPr>
        <w:t xml:space="preserve">appel de la </w:t>
      </w:r>
      <w:proofErr w:type="spellStart"/>
      <w:r w:rsidRPr="00E932DB">
        <w:rPr>
          <w:lang w:val="fr-CA"/>
        </w:rPr>
        <w:t>Nouvelle</w:t>
      </w:r>
      <w:r>
        <w:rPr>
          <w:lang w:val="fr-CA"/>
        </w:rPr>
        <w:noBreakHyphen/>
      </w:r>
      <w:r w:rsidRPr="00E932DB">
        <w:rPr>
          <w:lang w:val="fr-CA"/>
        </w:rPr>
        <w:t>Galles</w:t>
      </w:r>
      <w:proofErr w:type="spellEnd"/>
      <w:r w:rsidRPr="00E932DB">
        <w:rPr>
          <w:lang w:val="fr-CA"/>
        </w:rPr>
        <w:t xml:space="preserve"> du Sud, a écrit ce qui suit dans un article intitulé </w:t>
      </w:r>
      <w:r>
        <w:rPr>
          <w:lang w:val="fr-CA"/>
        </w:rPr>
        <w:t>« </w:t>
      </w:r>
      <w:r w:rsidRPr="00E932DB">
        <w:rPr>
          <w:iCs/>
          <w:lang w:val="fr-CA"/>
        </w:rPr>
        <w:t xml:space="preserve">The </w:t>
      </w:r>
      <w:proofErr w:type="spellStart"/>
      <w:r w:rsidRPr="00E932DB">
        <w:rPr>
          <w:iCs/>
          <w:lang w:val="fr-CA"/>
        </w:rPr>
        <w:t>Inherent</w:t>
      </w:r>
      <w:proofErr w:type="spellEnd"/>
      <w:r w:rsidRPr="00E932DB">
        <w:rPr>
          <w:iCs/>
          <w:lang w:val="fr-CA"/>
        </w:rPr>
        <w:t xml:space="preserve"> </w:t>
      </w:r>
      <w:proofErr w:type="spellStart"/>
      <w:r w:rsidRPr="00E932DB">
        <w:rPr>
          <w:iCs/>
          <w:lang w:val="fr-CA"/>
        </w:rPr>
        <w:t>Jurisdiction</w:t>
      </w:r>
      <w:proofErr w:type="spellEnd"/>
      <w:r w:rsidRPr="00E932DB">
        <w:rPr>
          <w:iCs/>
          <w:lang w:val="fr-CA"/>
        </w:rPr>
        <w:t xml:space="preserve"> of the Court</w:t>
      </w:r>
      <w:r>
        <w:rPr>
          <w:lang w:val="fr-CA"/>
        </w:rPr>
        <w:t> »</w:t>
      </w:r>
      <w:r w:rsidRPr="00E932DB">
        <w:rPr>
          <w:lang w:val="fr-CA"/>
        </w:rPr>
        <w:t xml:space="preserve"> (1983), 57 </w:t>
      </w:r>
      <w:proofErr w:type="spellStart"/>
      <w:r w:rsidRPr="00E932DB">
        <w:rPr>
          <w:i/>
          <w:lang w:val="fr-CA"/>
        </w:rPr>
        <w:t>Aust</w:t>
      </w:r>
      <w:r w:rsidR="00CD1640">
        <w:rPr>
          <w:i/>
          <w:lang w:val="fr-CA"/>
        </w:rPr>
        <w:t>l</w:t>
      </w:r>
      <w:proofErr w:type="spellEnd"/>
      <w:r w:rsidR="001E04DB">
        <w:rPr>
          <w:i/>
          <w:lang w:val="fr-CA"/>
        </w:rPr>
        <w:t>.</w:t>
      </w:r>
      <w:r w:rsidRPr="00E932DB">
        <w:rPr>
          <w:i/>
          <w:lang w:val="fr-CA"/>
        </w:rPr>
        <w:t xml:space="preserve"> L</w:t>
      </w:r>
      <w:r w:rsidR="001E04DB">
        <w:rPr>
          <w:i/>
          <w:lang w:val="fr-CA"/>
        </w:rPr>
        <w:t>.</w:t>
      </w:r>
      <w:r w:rsidRPr="00E932DB">
        <w:rPr>
          <w:i/>
          <w:lang w:val="fr-CA"/>
        </w:rPr>
        <w:t>J</w:t>
      </w:r>
      <w:r w:rsidR="001E04DB">
        <w:rPr>
          <w:i/>
          <w:lang w:val="fr-CA"/>
        </w:rPr>
        <w:t>.</w:t>
      </w:r>
      <w:r w:rsidRPr="00E932DB">
        <w:rPr>
          <w:lang w:val="fr-CA"/>
        </w:rPr>
        <w:t xml:space="preserve"> 449</w:t>
      </w:r>
      <w:r>
        <w:rPr>
          <w:lang w:val="fr-CA"/>
        </w:rPr>
        <w:t> :</w:t>
      </w:r>
    </w:p>
    <w:p w:rsidR="007D1503" w:rsidRPr="00E1584B" w:rsidRDefault="00DD5855" w:rsidP="00DD5855">
      <w:pPr>
        <w:pStyle w:val="Citation1"/>
        <w:tabs>
          <w:tab w:val="left" w:pos="1530"/>
        </w:tabs>
        <w:spacing w:after="240"/>
        <w:ind w:hanging="1166"/>
        <w:contextualSpacing w:val="0"/>
        <w:rPr>
          <w:lang w:val="fr-CA"/>
        </w:rPr>
      </w:pPr>
      <w:r>
        <w:rPr>
          <w:lang w:val="fr-CA"/>
        </w:rPr>
        <w:lastRenderedPageBreak/>
        <w:tab/>
      </w:r>
      <w:r>
        <w:rPr>
          <w:lang w:val="fr-CA"/>
        </w:rPr>
        <w:tab/>
      </w:r>
      <w:r w:rsidRPr="00E1584B">
        <w:rPr>
          <w:lang w:val="fr-CA"/>
        </w:rPr>
        <w:t>[</w:t>
      </w:r>
      <w:r w:rsidRPr="00E1584B">
        <w:rPr>
          <w:smallCaps/>
          <w:lang w:val="fr-CA"/>
        </w:rPr>
        <w:t>traduction</w:t>
      </w:r>
      <w:r w:rsidRPr="00E1584B">
        <w:rPr>
          <w:lang w:val="fr-CA"/>
        </w:rPr>
        <w:t>]</w:t>
      </w:r>
      <w:r>
        <w:rPr>
          <w:lang w:val="fr-CA"/>
        </w:rPr>
        <w:t xml:space="preserve"> </w:t>
      </w:r>
      <w:r w:rsidR="007D1503" w:rsidRPr="00E1584B">
        <w:rPr>
          <w:lang w:val="fr-CA"/>
        </w:rPr>
        <w:t>Il n</w:t>
      </w:r>
      <w:r w:rsidR="007D1503">
        <w:rPr>
          <w:lang w:val="fr-CA"/>
        </w:rPr>
        <w:t>’</w:t>
      </w:r>
      <w:r w:rsidR="007D1503" w:rsidRPr="00E1584B">
        <w:rPr>
          <w:lang w:val="fr-CA"/>
        </w:rPr>
        <w:t>est pas surprenant que le souci général de veiller à la « bonne administration de la justice</w:t>
      </w:r>
      <w:r w:rsidR="007D1503">
        <w:rPr>
          <w:lang w:val="fr-CA"/>
        </w:rPr>
        <w:t> »</w:t>
      </w:r>
      <w:r w:rsidR="007D1503" w:rsidRPr="00E1584B">
        <w:rPr>
          <w:lang w:val="fr-CA"/>
        </w:rPr>
        <w:t xml:space="preserve"> ait été invoqué pour justifier que la Cour suprême crée ou fasse respecter des droits procéduraux </w:t>
      </w:r>
      <w:r w:rsidR="007D1503" w:rsidRPr="00E1584B">
        <w:rPr>
          <w:u w:val="single"/>
          <w:lang w:val="fr-CA"/>
        </w:rPr>
        <w:t>susceptibles d</w:t>
      </w:r>
      <w:r w:rsidR="007D1503">
        <w:rPr>
          <w:u w:val="single"/>
          <w:lang w:val="fr-CA"/>
        </w:rPr>
        <w:t>’</w:t>
      </w:r>
      <w:r w:rsidR="007D1503" w:rsidRPr="00E1584B">
        <w:rPr>
          <w:u w:val="single"/>
          <w:lang w:val="fr-CA"/>
        </w:rPr>
        <w:t>être exercés devant d</w:t>
      </w:r>
      <w:r w:rsidR="007D1503">
        <w:rPr>
          <w:u w:val="single"/>
          <w:lang w:val="fr-CA"/>
        </w:rPr>
        <w:t>’</w:t>
      </w:r>
      <w:r w:rsidR="007D1503" w:rsidRPr="00E1584B">
        <w:rPr>
          <w:u w:val="single"/>
          <w:lang w:val="fr-CA"/>
        </w:rPr>
        <w:t>autres tribunaux</w:t>
      </w:r>
      <w:r w:rsidR="007D1503" w:rsidRPr="00E1584B">
        <w:rPr>
          <w:lang w:val="fr-CA"/>
        </w:rPr>
        <w:t xml:space="preserve">. </w:t>
      </w:r>
      <w:r w:rsidR="007D1503">
        <w:rPr>
          <w:lang w:val="fr-CA"/>
        </w:rPr>
        <w:t xml:space="preserve"> </w:t>
      </w:r>
      <w:r w:rsidR="007D1503" w:rsidRPr="00E1584B">
        <w:rPr>
          <w:lang w:val="fr-CA"/>
        </w:rPr>
        <w:t xml:space="preserve">Une intervention en ce sens a été permise </w:t>
      </w:r>
      <w:r w:rsidR="007D1503" w:rsidRPr="00E1584B">
        <w:rPr>
          <w:u w:val="single"/>
          <w:lang w:val="fr-CA"/>
        </w:rPr>
        <w:t>lorsque l’autre instance décisionnelle a été jugée dépourvue des pouvoirs nécessaires pour intervenir</w:t>
      </w:r>
      <w:r w:rsidR="007D1503" w:rsidRPr="00E1584B">
        <w:rPr>
          <w:lang w:val="fr-CA"/>
        </w:rPr>
        <w:t xml:space="preserve"> ou lorsque le fait de forcer les parties de s’adresser à </w:t>
      </w:r>
      <w:proofErr w:type="spellStart"/>
      <w:r w:rsidR="007D1503" w:rsidRPr="00E1584B">
        <w:rPr>
          <w:lang w:val="fr-CA"/>
        </w:rPr>
        <w:t>celle</w:t>
      </w:r>
      <w:r w:rsidR="007D1503" w:rsidRPr="00E1584B">
        <w:rPr>
          <w:lang w:val="fr-CA"/>
        </w:rPr>
        <w:noBreakHyphen/>
        <w:t>ci</w:t>
      </w:r>
      <w:proofErr w:type="spellEnd"/>
      <w:r w:rsidR="007D1503" w:rsidRPr="00E1584B">
        <w:rPr>
          <w:lang w:val="fr-CA"/>
        </w:rPr>
        <w:t xml:space="preserve"> entraînerait des coûts ou des délais indus.</w:t>
      </w:r>
    </w:p>
    <w:p w:rsidR="007D1503" w:rsidRPr="00E1584B" w:rsidRDefault="007D1503" w:rsidP="00DD5855">
      <w:pPr>
        <w:pStyle w:val="Citation1"/>
        <w:spacing w:after="240"/>
        <w:contextualSpacing w:val="0"/>
        <w:jc w:val="center"/>
        <w:rPr>
          <w:lang w:val="fr-CA"/>
        </w:rPr>
      </w:pPr>
      <w:r>
        <w:rPr>
          <w:lang w:val="fr-CA"/>
        </w:rPr>
        <w:t>. . .</w:t>
      </w:r>
    </w:p>
    <w:p w:rsidR="007D1503" w:rsidRPr="00E1584B" w:rsidRDefault="00DD5855" w:rsidP="00DD5855">
      <w:pPr>
        <w:pStyle w:val="Citation1"/>
        <w:tabs>
          <w:tab w:val="left" w:pos="1530"/>
        </w:tabs>
        <w:ind w:hanging="1166"/>
        <w:contextualSpacing w:val="0"/>
        <w:rPr>
          <w:lang w:val="fr-CA"/>
        </w:rPr>
      </w:pPr>
      <w:r>
        <w:rPr>
          <w:lang w:val="fr-CA"/>
        </w:rPr>
        <w:tab/>
      </w:r>
      <w:r>
        <w:rPr>
          <w:lang w:val="fr-CA"/>
        </w:rPr>
        <w:tab/>
      </w:r>
      <w:r w:rsidR="007D1503" w:rsidRPr="00BA5872">
        <w:rPr>
          <w:lang w:val="fr-CA"/>
        </w:rPr>
        <w:t>Plusieurs des changements les plus récents en droit administratif ont un lien avec la compétence générale inhérente que s</w:t>
      </w:r>
      <w:r w:rsidR="007D1503">
        <w:rPr>
          <w:lang w:val="fr-CA"/>
        </w:rPr>
        <w:t>’</w:t>
      </w:r>
      <w:r w:rsidR="007D1503" w:rsidRPr="00BA5872">
        <w:rPr>
          <w:lang w:val="fr-CA"/>
        </w:rPr>
        <w:t xml:space="preserve">attribuent les cours supérieures de recourir à leurs procédures </w:t>
      </w:r>
      <w:r w:rsidR="007D1503" w:rsidRPr="00BA5872">
        <w:rPr>
          <w:u w:val="single"/>
          <w:lang w:val="fr-CA"/>
        </w:rPr>
        <w:t>pour contribuer à la bonne administration de la justice</w:t>
      </w:r>
      <w:r w:rsidR="00CD1640" w:rsidRPr="00CD1640">
        <w:rPr>
          <w:lang w:val="fr-CA"/>
        </w:rPr>
        <w:t xml:space="preserve"> </w:t>
      </w:r>
      <w:r w:rsidR="007D1503" w:rsidRPr="00BA5872">
        <w:rPr>
          <w:lang w:val="fr-CA"/>
        </w:rPr>
        <w:t xml:space="preserve">. </w:t>
      </w:r>
      <w:r w:rsidR="00CD1640">
        <w:rPr>
          <w:lang w:val="fr-CA"/>
        </w:rPr>
        <w:t>.</w:t>
      </w:r>
      <w:r w:rsidR="007D1503" w:rsidRPr="00BA5872">
        <w:rPr>
          <w:lang w:val="fr-CA"/>
        </w:rPr>
        <w:t xml:space="preserve"> </w:t>
      </w:r>
      <w:r w:rsidR="00CD1640">
        <w:rPr>
          <w:lang w:val="fr-CA"/>
        </w:rPr>
        <w:t xml:space="preserve">. </w:t>
      </w:r>
      <w:r w:rsidR="007D1503">
        <w:rPr>
          <w:lang w:val="fr-CA"/>
        </w:rPr>
        <w:t>[Je souligne; p. </w:t>
      </w:r>
      <w:r w:rsidR="007D1503" w:rsidRPr="00E1584B">
        <w:rPr>
          <w:lang w:val="fr-CA"/>
        </w:rPr>
        <w:t xml:space="preserve">456.] </w:t>
      </w:r>
    </w:p>
    <w:p w:rsidR="007D1503" w:rsidRPr="00E31014" w:rsidRDefault="007D1503" w:rsidP="007D1503">
      <w:pPr>
        <w:pStyle w:val="SCCNormalDoubleSpacing"/>
        <w:spacing w:after="480"/>
        <w:rPr>
          <w:lang w:val="fr-CA"/>
        </w:rPr>
      </w:pPr>
      <w:r w:rsidRPr="00E31014">
        <w:rPr>
          <w:lang w:val="fr-CA"/>
        </w:rPr>
        <w:t xml:space="preserve">L’article de </w:t>
      </w:r>
      <w:proofErr w:type="spellStart"/>
      <w:r w:rsidRPr="00E31014">
        <w:rPr>
          <w:lang w:val="fr-CA"/>
        </w:rPr>
        <w:t>Mason</w:t>
      </w:r>
      <w:proofErr w:type="spellEnd"/>
      <w:r w:rsidRPr="00E31014">
        <w:rPr>
          <w:lang w:val="fr-CA"/>
        </w:rPr>
        <w:t xml:space="preserve"> a aussi été cité avec approbation par le juge en chef Lamer dans </w:t>
      </w:r>
      <w:proofErr w:type="spellStart"/>
      <w:r w:rsidRPr="00E31014">
        <w:rPr>
          <w:i/>
          <w:iCs/>
          <w:lang w:val="fr-CA"/>
        </w:rPr>
        <w:t>MacMillan</w:t>
      </w:r>
      <w:proofErr w:type="spellEnd"/>
      <w:r w:rsidRPr="00E31014">
        <w:rPr>
          <w:i/>
          <w:iCs/>
          <w:lang w:val="fr-CA"/>
        </w:rPr>
        <w:t xml:space="preserve"> </w:t>
      </w:r>
      <w:proofErr w:type="spellStart"/>
      <w:r w:rsidRPr="00E31014">
        <w:rPr>
          <w:i/>
          <w:iCs/>
          <w:lang w:val="fr-CA"/>
        </w:rPr>
        <w:t>Bloedel</w:t>
      </w:r>
      <w:proofErr w:type="spellEnd"/>
      <w:r w:rsidRPr="00E31014">
        <w:rPr>
          <w:i/>
          <w:iCs/>
          <w:lang w:val="fr-CA"/>
        </w:rPr>
        <w:t xml:space="preserve"> </w:t>
      </w:r>
      <w:r w:rsidRPr="00E31014">
        <w:rPr>
          <w:lang w:val="fr-CA"/>
        </w:rPr>
        <w:t>(par. 33).</w:t>
      </w:r>
    </w:p>
    <w:p w:rsidR="007D1503" w:rsidRPr="00E932DB" w:rsidRDefault="007D1503" w:rsidP="00EF00B0">
      <w:pPr>
        <w:pStyle w:val="ReasonsNumbering-AltN"/>
        <w:ind w:left="0" w:firstLine="0"/>
        <w:rPr>
          <w:i/>
          <w:iCs/>
          <w:lang w:val="fr-CA"/>
        </w:rPr>
      </w:pPr>
      <w:r w:rsidRPr="00E932DB">
        <w:rPr>
          <w:lang w:val="fr-CA"/>
        </w:rPr>
        <w:t>Il est arrivé aux cours de justice canadiennes d</w:t>
      </w:r>
      <w:r>
        <w:rPr>
          <w:lang w:val="fr-CA"/>
        </w:rPr>
        <w:t>’</w:t>
      </w:r>
      <w:r w:rsidRPr="00E932DB">
        <w:rPr>
          <w:lang w:val="fr-CA"/>
        </w:rPr>
        <w:t>exercer leur compétence inhérente pour venir en aide aux tribunaux d</w:t>
      </w:r>
      <w:r>
        <w:rPr>
          <w:lang w:val="fr-CA"/>
        </w:rPr>
        <w:t>’</w:t>
      </w:r>
      <w:r w:rsidRPr="00E932DB">
        <w:rPr>
          <w:lang w:val="fr-CA"/>
        </w:rPr>
        <w:t>instance inférieure lorsque les circonstances s</w:t>
      </w:r>
      <w:r>
        <w:rPr>
          <w:lang w:val="fr-CA"/>
        </w:rPr>
        <w:t>’</w:t>
      </w:r>
      <w:r w:rsidRPr="00E932DB">
        <w:rPr>
          <w:lang w:val="fr-CA"/>
        </w:rPr>
        <w:t>y prêtaient.  Le caractère inédit d</w:t>
      </w:r>
      <w:r>
        <w:rPr>
          <w:lang w:val="fr-CA"/>
        </w:rPr>
        <w:t>’</w:t>
      </w:r>
      <w:r w:rsidRPr="00E932DB">
        <w:rPr>
          <w:lang w:val="fr-CA"/>
        </w:rPr>
        <w:t>une situation n</w:t>
      </w:r>
      <w:r>
        <w:rPr>
          <w:lang w:val="fr-CA"/>
        </w:rPr>
        <w:t>’</w:t>
      </w:r>
      <w:r w:rsidRPr="00E932DB">
        <w:rPr>
          <w:lang w:val="fr-CA"/>
        </w:rPr>
        <w:t>a pas empêché les cours supérieures de prendre les mesures qui s</w:t>
      </w:r>
      <w:r>
        <w:rPr>
          <w:lang w:val="fr-CA"/>
        </w:rPr>
        <w:t>’</w:t>
      </w:r>
      <w:r w:rsidRPr="00E932DB">
        <w:rPr>
          <w:lang w:val="fr-CA"/>
        </w:rPr>
        <w:t>imposaient.  Dans l</w:t>
      </w:r>
      <w:r>
        <w:rPr>
          <w:lang w:val="fr-CA"/>
        </w:rPr>
        <w:t>’</w:t>
      </w:r>
      <w:r w:rsidRPr="00E932DB">
        <w:rPr>
          <w:lang w:val="fr-CA"/>
        </w:rPr>
        <w:t xml:space="preserve">affaire </w:t>
      </w:r>
      <w:r w:rsidRPr="00E932DB">
        <w:rPr>
          <w:i/>
          <w:iCs/>
          <w:lang w:val="fr-CA"/>
        </w:rPr>
        <w:t xml:space="preserve">Peel </w:t>
      </w:r>
      <w:proofErr w:type="spellStart"/>
      <w:r w:rsidRPr="00E932DB">
        <w:rPr>
          <w:i/>
          <w:iCs/>
          <w:lang w:val="fr-CA"/>
        </w:rPr>
        <w:t>Regional</w:t>
      </w:r>
      <w:proofErr w:type="spellEnd"/>
      <w:r w:rsidRPr="00E932DB">
        <w:rPr>
          <w:i/>
          <w:iCs/>
          <w:lang w:val="fr-CA"/>
        </w:rPr>
        <w:t xml:space="preserve"> Police</w:t>
      </w:r>
      <w:r w:rsidRPr="00E932DB">
        <w:rPr>
          <w:lang w:val="fr-CA"/>
        </w:rPr>
        <w:t>, la Cour supérieure de justice a assigné le corps de police régional et la commission de police pour outrage au tribunal en raison des nombreux retards dans le transfert des détenus aux salles d</w:t>
      </w:r>
      <w:r>
        <w:rPr>
          <w:lang w:val="fr-CA"/>
        </w:rPr>
        <w:t>’</w:t>
      </w:r>
      <w:r w:rsidRPr="00E932DB">
        <w:rPr>
          <w:lang w:val="fr-CA"/>
        </w:rPr>
        <w:t>audience.  Des journées entières d</w:t>
      </w:r>
      <w:r>
        <w:rPr>
          <w:lang w:val="fr-CA"/>
        </w:rPr>
        <w:t>’</w:t>
      </w:r>
      <w:r w:rsidRPr="00E932DB">
        <w:rPr>
          <w:lang w:val="fr-CA"/>
        </w:rPr>
        <w:t>audience avaient été perdues en raison de cette situation qui avait aussi causé des inconvénients aux avocats, aux témoins et aux membres du public (</w:t>
      </w:r>
      <w:r>
        <w:rPr>
          <w:lang w:val="fr-CA"/>
        </w:rPr>
        <w:t>par. </w:t>
      </w:r>
      <w:r w:rsidRPr="00E932DB">
        <w:rPr>
          <w:lang w:val="fr-CA"/>
        </w:rPr>
        <w:t>20</w:t>
      </w:r>
      <w:r w:rsidRPr="00E932DB">
        <w:rPr>
          <w:lang w:val="fr-CA"/>
        </w:rPr>
        <w:noBreakHyphen/>
        <w:t xml:space="preserve">28).  La Cour supérieure a estimé que les retards sapaient la primauté du droit.  Se référant à </w:t>
      </w:r>
      <w:proofErr w:type="spellStart"/>
      <w:r w:rsidRPr="00E932DB">
        <w:rPr>
          <w:i/>
          <w:iCs/>
          <w:lang w:val="fr-CA"/>
        </w:rPr>
        <w:t>MacMillan</w:t>
      </w:r>
      <w:proofErr w:type="spellEnd"/>
      <w:r w:rsidRPr="00E932DB">
        <w:rPr>
          <w:i/>
          <w:iCs/>
          <w:lang w:val="fr-CA"/>
        </w:rPr>
        <w:t xml:space="preserve"> </w:t>
      </w:r>
      <w:proofErr w:type="spellStart"/>
      <w:r w:rsidRPr="00E932DB">
        <w:rPr>
          <w:i/>
          <w:iCs/>
          <w:lang w:val="fr-CA"/>
        </w:rPr>
        <w:t>Bloedel</w:t>
      </w:r>
      <w:proofErr w:type="spellEnd"/>
      <w:r w:rsidRPr="00E932DB">
        <w:rPr>
          <w:lang w:val="fr-CA"/>
        </w:rPr>
        <w:t>, elle explique ainsi les raisons ayant motivé son intervention</w:t>
      </w:r>
      <w:r>
        <w:rPr>
          <w:lang w:val="fr-CA"/>
        </w:rPr>
        <w:t> :</w:t>
      </w:r>
    </w:p>
    <w:p w:rsidR="007D1503" w:rsidRPr="007525B7" w:rsidRDefault="00DD5855" w:rsidP="00DD5855">
      <w:pPr>
        <w:pStyle w:val="Citation1"/>
        <w:tabs>
          <w:tab w:val="left" w:pos="1620"/>
        </w:tabs>
        <w:ind w:hanging="1166"/>
        <w:contextualSpacing w:val="0"/>
        <w:rPr>
          <w:lang w:val="fr-CA"/>
        </w:rPr>
      </w:pPr>
      <w:r>
        <w:rPr>
          <w:lang w:val="fr-CA"/>
        </w:rPr>
        <w:lastRenderedPageBreak/>
        <w:tab/>
      </w:r>
      <w:r w:rsidR="007D1503" w:rsidRPr="007525B7">
        <w:rPr>
          <w:lang w:val="fr-CA"/>
        </w:rPr>
        <w:tab/>
      </w:r>
      <w:r w:rsidRPr="007525B7">
        <w:rPr>
          <w:lang w:val="fr-CA"/>
        </w:rPr>
        <w:t>[</w:t>
      </w:r>
      <w:r w:rsidRPr="007525B7">
        <w:rPr>
          <w:smallCaps/>
          <w:lang w:val="fr-CA"/>
        </w:rPr>
        <w:t>traduction</w:t>
      </w:r>
      <w:r w:rsidRPr="007525B7">
        <w:rPr>
          <w:lang w:val="fr-CA"/>
        </w:rPr>
        <w:t xml:space="preserve">] </w:t>
      </w:r>
      <w:r w:rsidR="007D1503" w:rsidRPr="007525B7">
        <w:rPr>
          <w:lang w:val="fr-CA"/>
        </w:rPr>
        <w:t>La Cour est intervenue afin de mettre un terme aux retards qui surviennent systématiquement lorsque les détenus sont amenés dans les salles d</w:t>
      </w:r>
      <w:r w:rsidR="007D1503">
        <w:rPr>
          <w:lang w:val="fr-CA"/>
        </w:rPr>
        <w:t>’</w:t>
      </w:r>
      <w:r w:rsidR="007D1503" w:rsidRPr="007525B7">
        <w:rPr>
          <w:lang w:val="fr-CA"/>
        </w:rPr>
        <w:t xml:space="preserve">audience du Palais de justice de Peel.  </w:t>
      </w:r>
      <w:r w:rsidR="007D1503" w:rsidRPr="00E1584B">
        <w:rPr>
          <w:lang w:val="fr-CA"/>
        </w:rPr>
        <w:t xml:space="preserve">La Cour souhaitait prévenir la multiplicité des procédures coercitives.  De plus, </w:t>
      </w:r>
      <w:r w:rsidR="007D1503" w:rsidRPr="00E1584B">
        <w:rPr>
          <w:u w:val="single"/>
          <w:lang w:val="fr-CA"/>
        </w:rPr>
        <w:t>la cour supérieure était consciente du devoir qui lui incombait de venir en aide aux cours provinciales pour rétablir la primauté du droit</w:t>
      </w:r>
      <w:r w:rsidR="007D1503" w:rsidRPr="00E1584B">
        <w:rPr>
          <w:lang w:val="fr-CA"/>
        </w:rPr>
        <w:t xml:space="preserve">.  </w:t>
      </w:r>
      <w:r w:rsidR="007D1503" w:rsidRPr="007525B7">
        <w:rPr>
          <w:lang w:val="fr-CA"/>
        </w:rPr>
        <w:t xml:space="preserve">[Je souligne; </w:t>
      </w:r>
      <w:r w:rsidR="007D1503">
        <w:rPr>
          <w:lang w:val="fr-CA"/>
        </w:rPr>
        <w:t>par. </w:t>
      </w:r>
      <w:r w:rsidR="007D1503" w:rsidRPr="007525B7">
        <w:rPr>
          <w:lang w:val="fr-CA"/>
        </w:rPr>
        <w:t>68.]</w:t>
      </w:r>
    </w:p>
    <w:p w:rsidR="007D1503" w:rsidRPr="00E932DB" w:rsidRDefault="007D1503" w:rsidP="00EF00B0">
      <w:pPr>
        <w:pStyle w:val="ReasonsNumbering-AltN"/>
        <w:ind w:left="0" w:firstLine="0"/>
        <w:rPr>
          <w:i/>
          <w:iCs/>
          <w:lang w:val="fr-CA"/>
        </w:rPr>
      </w:pPr>
      <w:r w:rsidRPr="00E932DB">
        <w:rPr>
          <w:lang w:val="fr-CA"/>
        </w:rPr>
        <w:t xml:space="preserve">Dans </w:t>
      </w:r>
      <w:r w:rsidRPr="00E932DB">
        <w:rPr>
          <w:i/>
          <w:iCs/>
          <w:lang w:val="fr-CA"/>
        </w:rPr>
        <w:t>United Nurses of Alberta</w:t>
      </w:r>
      <w:r w:rsidRPr="00E932DB">
        <w:rPr>
          <w:lang w:val="fr-CA"/>
        </w:rPr>
        <w:t>, notre Cour a maintenu une condamnation pour outrage criminel rendue par la cour supérieure contre un syndicat qui avait désobéi à une ordonnance de la commission des relations de travail de la province.  La cour supérieure s</w:t>
      </w:r>
      <w:r>
        <w:rPr>
          <w:lang w:val="fr-CA"/>
        </w:rPr>
        <w:t>’</w:t>
      </w:r>
      <w:r w:rsidRPr="00E932DB">
        <w:rPr>
          <w:lang w:val="fr-CA"/>
        </w:rPr>
        <w:t xml:space="preserve">est appuyée sur sa compétence inhérente pour venir en aide au tribunal administratif.  </w:t>
      </w:r>
    </w:p>
    <w:p w:rsidR="007D1503" w:rsidRPr="00E932DB" w:rsidRDefault="007D1503" w:rsidP="00EF00B0">
      <w:pPr>
        <w:pStyle w:val="ReasonsNumbering-AltN"/>
        <w:ind w:left="0" w:firstLine="0"/>
        <w:rPr>
          <w:i/>
          <w:iCs/>
          <w:lang w:val="fr-CA"/>
        </w:rPr>
      </w:pPr>
      <w:r w:rsidRPr="00E932DB">
        <w:rPr>
          <w:lang w:val="fr-CA"/>
        </w:rPr>
        <w:t>Bien que la procédure pour outrage soit le moyen le mieux connu pour venir [</w:t>
      </w:r>
      <w:r w:rsidRPr="00E932DB">
        <w:rPr>
          <w:smallCaps/>
          <w:lang w:val="fr-CA"/>
        </w:rPr>
        <w:t>traduction</w:t>
      </w:r>
      <w:r w:rsidRPr="00E932DB">
        <w:rPr>
          <w:lang w:val="fr-CA"/>
        </w:rPr>
        <w:t xml:space="preserve">] </w:t>
      </w:r>
      <w:r>
        <w:rPr>
          <w:lang w:val="fr-CA"/>
        </w:rPr>
        <w:t>« </w:t>
      </w:r>
      <w:r w:rsidRPr="00E932DB">
        <w:rPr>
          <w:lang w:val="fr-CA"/>
        </w:rPr>
        <w:t>en aide aux tribunaux d</w:t>
      </w:r>
      <w:r>
        <w:rPr>
          <w:lang w:val="fr-CA"/>
        </w:rPr>
        <w:t>’</w:t>
      </w:r>
      <w:r w:rsidRPr="00E932DB">
        <w:rPr>
          <w:lang w:val="fr-CA"/>
        </w:rPr>
        <w:t>instance inférieure</w:t>
      </w:r>
      <w:r>
        <w:rPr>
          <w:lang w:val="fr-CA"/>
        </w:rPr>
        <w:t> »</w:t>
      </w:r>
      <w:r w:rsidRPr="00E932DB">
        <w:rPr>
          <w:lang w:val="fr-CA"/>
        </w:rPr>
        <w:t>, la compétence inhérente de la cour supérieure ne se limite pas à ce moyen.  D</w:t>
      </w:r>
      <w:r>
        <w:rPr>
          <w:lang w:val="fr-CA"/>
        </w:rPr>
        <w:t>’</w:t>
      </w:r>
      <w:r w:rsidR="00DD5855">
        <w:rPr>
          <w:lang w:val="fr-CA"/>
        </w:rPr>
        <w:t xml:space="preserve">autres exemples comprennent </w:t>
      </w:r>
      <w:r>
        <w:rPr>
          <w:lang w:val="fr-CA"/>
        </w:rPr>
        <w:t>« </w:t>
      </w:r>
      <w:r w:rsidRPr="00E932DB">
        <w:rPr>
          <w:lang w:val="fr-CA"/>
        </w:rPr>
        <w:t>l</w:t>
      </w:r>
      <w:r>
        <w:rPr>
          <w:lang w:val="fr-CA"/>
        </w:rPr>
        <w:t>’</w:t>
      </w:r>
      <w:r w:rsidRPr="00E932DB">
        <w:rPr>
          <w:lang w:val="fr-CA"/>
        </w:rPr>
        <w:t>assignation à comparaître et l</w:t>
      </w:r>
      <w:r>
        <w:rPr>
          <w:lang w:val="fr-CA"/>
        </w:rPr>
        <w:t>’</w:t>
      </w:r>
      <w:r w:rsidRPr="00E932DB">
        <w:rPr>
          <w:lang w:val="fr-CA"/>
        </w:rPr>
        <w:t>exercice du pouvoir général de surveillance sur les procédures des cours d</w:t>
      </w:r>
      <w:r>
        <w:rPr>
          <w:lang w:val="fr-CA"/>
        </w:rPr>
        <w:t>’</w:t>
      </w:r>
      <w:r w:rsidRPr="00E932DB">
        <w:rPr>
          <w:lang w:val="fr-CA"/>
        </w:rPr>
        <w:t>instance inférieure, notamment la mise en liberté sous caution</w:t>
      </w:r>
      <w:r>
        <w:rPr>
          <w:lang w:val="fr-CA"/>
        </w:rPr>
        <w:t> »</w:t>
      </w:r>
      <w:r w:rsidRPr="00E932DB">
        <w:rPr>
          <w:lang w:val="fr-CA"/>
        </w:rPr>
        <w:t xml:space="preserve"> (Jacob, p. 48</w:t>
      </w:r>
      <w:r w:rsidRPr="00E932DB">
        <w:rPr>
          <w:lang w:val="fr-CA"/>
        </w:rPr>
        <w:noBreakHyphen/>
        <w:t>49).  En bref, Jacob dit ce qui suit</w:t>
      </w:r>
      <w:r>
        <w:rPr>
          <w:lang w:val="fr-CA"/>
        </w:rPr>
        <w:t> :</w:t>
      </w:r>
      <w:r w:rsidRPr="00E932DB">
        <w:rPr>
          <w:lang w:val="fr-CA"/>
        </w:rPr>
        <w:t xml:space="preserve"> </w:t>
      </w:r>
      <w:r>
        <w:rPr>
          <w:lang w:val="fr-CA"/>
        </w:rPr>
        <w:t>« </w:t>
      </w:r>
      <w:r w:rsidRPr="00E932DB">
        <w:rPr>
          <w:lang w:val="fr-CA"/>
        </w:rPr>
        <w:t xml:space="preserve">La compétence inhérente de la cour peut être invoquée </w:t>
      </w:r>
      <w:r w:rsidRPr="00E932DB">
        <w:rPr>
          <w:u w:val="single"/>
          <w:lang w:val="fr-CA"/>
        </w:rPr>
        <w:t>dans un nombre apparemment infini de circonstances</w:t>
      </w:r>
      <w:r w:rsidRPr="00E932DB">
        <w:rPr>
          <w:lang w:val="fr-CA"/>
        </w:rPr>
        <w:t xml:space="preserve"> et peut être exercée de différentes façons</w:t>
      </w:r>
      <w:r>
        <w:rPr>
          <w:lang w:val="fr-CA"/>
        </w:rPr>
        <w:t> »</w:t>
      </w:r>
      <w:r w:rsidRPr="00E932DB">
        <w:rPr>
          <w:lang w:val="fr-CA"/>
        </w:rPr>
        <w:t xml:space="preserve"> (p. 23 </w:t>
      </w:r>
      <w:r w:rsidRPr="00E932DB">
        <w:rPr>
          <w:lang w:val="fr-FR"/>
        </w:rPr>
        <w:t>(</w:t>
      </w:r>
      <w:r w:rsidRPr="00E932DB">
        <w:rPr>
          <w:lang w:val="fr-CA"/>
        </w:rPr>
        <w:t>je souligne</w:t>
      </w:r>
      <w:r w:rsidRPr="00E932DB">
        <w:rPr>
          <w:sz w:val="26"/>
          <w:szCs w:val="26"/>
          <w:lang w:val="fr-CA"/>
        </w:rPr>
        <w:t>)).  Je souscris à cette analyse.  Il n</w:t>
      </w:r>
      <w:r>
        <w:rPr>
          <w:sz w:val="26"/>
          <w:szCs w:val="26"/>
          <w:lang w:val="fr-CA"/>
        </w:rPr>
        <w:t>’</w:t>
      </w:r>
      <w:r w:rsidRPr="00E932DB">
        <w:rPr>
          <w:sz w:val="26"/>
          <w:szCs w:val="26"/>
          <w:lang w:val="fr-CA"/>
        </w:rPr>
        <w:t>est pas opportun d</w:t>
      </w:r>
      <w:r>
        <w:rPr>
          <w:sz w:val="26"/>
          <w:szCs w:val="26"/>
          <w:lang w:val="fr-CA"/>
        </w:rPr>
        <w:t>’</w:t>
      </w:r>
      <w:r w:rsidRPr="00E932DB">
        <w:rPr>
          <w:sz w:val="26"/>
          <w:szCs w:val="26"/>
          <w:lang w:val="fr-CA"/>
        </w:rPr>
        <w:t xml:space="preserve">adopter une approche fondée sur des </w:t>
      </w:r>
      <w:r>
        <w:rPr>
          <w:sz w:val="26"/>
          <w:szCs w:val="26"/>
          <w:lang w:val="fr-CA"/>
        </w:rPr>
        <w:t>« </w:t>
      </w:r>
      <w:r w:rsidRPr="00E932DB">
        <w:rPr>
          <w:sz w:val="26"/>
          <w:szCs w:val="26"/>
          <w:lang w:val="fr-CA"/>
        </w:rPr>
        <w:t>catégories</w:t>
      </w:r>
      <w:r>
        <w:rPr>
          <w:sz w:val="26"/>
          <w:szCs w:val="26"/>
          <w:lang w:val="fr-CA"/>
        </w:rPr>
        <w:t> »</w:t>
      </w:r>
      <w:r w:rsidRPr="00E932DB">
        <w:rPr>
          <w:sz w:val="26"/>
          <w:szCs w:val="26"/>
          <w:lang w:val="fr-CA"/>
        </w:rPr>
        <w:t>.</w:t>
      </w:r>
    </w:p>
    <w:p w:rsidR="007D1503" w:rsidRPr="00E932DB" w:rsidRDefault="007D1503" w:rsidP="00EF00B0">
      <w:pPr>
        <w:pStyle w:val="ReasonsNumbering-AltN"/>
        <w:ind w:left="0" w:firstLine="0"/>
        <w:rPr>
          <w:i/>
          <w:iCs/>
          <w:lang w:val="fr-CA"/>
        </w:rPr>
      </w:pPr>
      <w:r w:rsidRPr="00E932DB">
        <w:rPr>
          <w:lang w:val="fr-CA"/>
        </w:rPr>
        <w:lastRenderedPageBreak/>
        <w:t>Bien sûr, vu son ampleur, la compétence inhérente doit être exercée avec circonspection.  Lorsque des tribunaux d</w:t>
      </w:r>
      <w:r>
        <w:rPr>
          <w:lang w:val="fr-CA"/>
        </w:rPr>
        <w:t>’</w:t>
      </w:r>
      <w:r w:rsidRPr="00E932DB">
        <w:rPr>
          <w:lang w:val="fr-CA"/>
        </w:rPr>
        <w:t xml:space="preserve">instance inférieure sont visés, la cour supérieure peut leur venir en </w:t>
      </w:r>
      <w:r>
        <w:rPr>
          <w:lang w:val="fr-CA"/>
        </w:rPr>
        <w:t>« </w:t>
      </w:r>
      <w:r w:rsidRPr="00E932DB">
        <w:rPr>
          <w:lang w:val="fr-CA"/>
        </w:rPr>
        <w:t>aide</w:t>
      </w:r>
      <w:r>
        <w:rPr>
          <w:lang w:val="fr-CA"/>
        </w:rPr>
        <w:t> »</w:t>
      </w:r>
      <w:r w:rsidRPr="00E932DB">
        <w:rPr>
          <w:lang w:val="fr-CA"/>
        </w:rPr>
        <w:t xml:space="preserve"> (sans s</w:t>
      </w:r>
      <w:r>
        <w:rPr>
          <w:lang w:val="fr-CA"/>
        </w:rPr>
        <w:t>’</w:t>
      </w:r>
      <w:r w:rsidRPr="00E932DB">
        <w:rPr>
          <w:lang w:val="fr-CA"/>
        </w:rPr>
        <w:t>ingérer) et intervenir dans les seuls cas où ils n</w:t>
      </w:r>
      <w:r>
        <w:rPr>
          <w:lang w:val="fr-CA"/>
        </w:rPr>
        <w:t>’</w:t>
      </w:r>
      <w:r w:rsidRPr="00E932DB">
        <w:rPr>
          <w:lang w:val="fr-CA"/>
        </w:rPr>
        <w:t xml:space="preserve">ont pas les pouvoirs nécessaires pour intervenir et où il est essentiel de prévenir une injustice.  Comme nous le verrons plus loin, cette exigence est compatible avec le critère des </w:t>
      </w:r>
      <w:r w:rsidRPr="00E932DB">
        <w:rPr>
          <w:lang w:val="fr-FR"/>
        </w:rPr>
        <w:t xml:space="preserve">circonstances </w:t>
      </w:r>
      <w:r>
        <w:rPr>
          <w:lang w:val="fr-FR"/>
        </w:rPr>
        <w:t>« </w:t>
      </w:r>
      <w:r w:rsidRPr="00E932DB">
        <w:rPr>
          <w:lang w:val="fr-FR"/>
        </w:rPr>
        <w:t>suffisamment particulières</w:t>
      </w:r>
      <w:r>
        <w:rPr>
          <w:lang w:val="fr-FR"/>
        </w:rPr>
        <w:t> »</w:t>
      </w:r>
      <w:r w:rsidRPr="00E932DB">
        <w:rPr>
          <w:lang w:val="fr-FR"/>
        </w:rPr>
        <w:t xml:space="preserve"> appliqué en matière d</w:t>
      </w:r>
      <w:r>
        <w:rPr>
          <w:lang w:val="fr-FR"/>
        </w:rPr>
        <w:t>’</w:t>
      </w:r>
      <w:r w:rsidRPr="00E932DB">
        <w:rPr>
          <w:lang w:val="fr-FR"/>
        </w:rPr>
        <w:t xml:space="preserve">ordonnances de </w:t>
      </w:r>
      <w:r w:rsidRPr="00E932DB">
        <w:rPr>
          <w:lang w:val="fr-CA"/>
        </w:rPr>
        <w:t xml:space="preserve">provision pour frais dans </w:t>
      </w:r>
      <w:proofErr w:type="spellStart"/>
      <w:r w:rsidRPr="00E932DB">
        <w:rPr>
          <w:i/>
          <w:iCs/>
          <w:lang w:val="fr-CA"/>
        </w:rPr>
        <w:t>Little</w:t>
      </w:r>
      <w:proofErr w:type="spellEnd"/>
      <w:r w:rsidRPr="00E932DB">
        <w:rPr>
          <w:i/>
          <w:iCs/>
          <w:lang w:val="fr-CA"/>
        </w:rPr>
        <w:t xml:space="preserve"> </w:t>
      </w:r>
      <w:proofErr w:type="spellStart"/>
      <w:r w:rsidRPr="00E932DB">
        <w:rPr>
          <w:i/>
          <w:iCs/>
          <w:lang w:val="fr-CA"/>
        </w:rPr>
        <w:t>Sisters</w:t>
      </w:r>
      <w:proofErr w:type="spellEnd"/>
      <w:r w:rsidRPr="00E932DB">
        <w:rPr>
          <w:i/>
          <w:iCs/>
          <w:lang w:val="fr-CA"/>
        </w:rPr>
        <w:t xml:space="preserve"> (n</w:t>
      </w:r>
      <w:r w:rsidRPr="00E932DB">
        <w:rPr>
          <w:i/>
          <w:iCs/>
          <w:vertAlign w:val="superscript"/>
          <w:lang w:val="fr-CA"/>
        </w:rPr>
        <w:t>o</w:t>
      </w:r>
      <w:r w:rsidRPr="00E932DB">
        <w:rPr>
          <w:i/>
          <w:iCs/>
          <w:lang w:val="fr-CA"/>
        </w:rPr>
        <w:t> 2)</w:t>
      </w:r>
      <w:r w:rsidRPr="00E932DB">
        <w:rPr>
          <w:lang w:val="fr-CA"/>
        </w:rPr>
        <w:t xml:space="preserve">, </w:t>
      </w:r>
      <w:r>
        <w:rPr>
          <w:lang w:val="fr-CA"/>
        </w:rPr>
        <w:t>par. </w:t>
      </w:r>
      <w:r w:rsidRPr="00E932DB">
        <w:rPr>
          <w:lang w:val="fr-CA"/>
        </w:rPr>
        <w:t>37.</w:t>
      </w:r>
    </w:p>
    <w:p w:rsidR="007D1503" w:rsidRPr="00E932DB" w:rsidRDefault="007D1503" w:rsidP="00EF00B0">
      <w:pPr>
        <w:pStyle w:val="ReasonsNumbering-AltN"/>
        <w:ind w:left="0" w:firstLine="0"/>
        <w:rPr>
          <w:i/>
          <w:iCs/>
          <w:lang w:val="fr-CA"/>
        </w:rPr>
      </w:pPr>
      <w:r w:rsidRPr="00E932DB">
        <w:rPr>
          <w:lang w:val="fr-CA"/>
        </w:rPr>
        <w:t>Je suis donc d</w:t>
      </w:r>
      <w:r>
        <w:rPr>
          <w:lang w:val="fr-CA"/>
        </w:rPr>
        <w:t>’</w:t>
      </w:r>
      <w:r w:rsidRPr="00E932DB">
        <w:rPr>
          <w:lang w:val="fr-CA"/>
        </w:rPr>
        <w:t>avis de rejeter l</w:t>
      </w:r>
      <w:r>
        <w:rPr>
          <w:lang w:val="fr-CA"/>
        </w:rPr>
        <w:t>’</w:t>
      </w:r>
      <w:r w:rsidRPr="00E932DB">
        <w:rPr>
          <w:lang w:val="fr-CA"/>
        </w:rPr>
        <w:t>argument voulant que l</w:t>
      </w:r>
      <w:r>
        <w:rPr>
          <w:lang w:val="fr-CA"/>
        </w:rPr>
        <w:t>’</w:t>
      </w:r>
      <w:r w:rsidRPr="00E932DB">
        <w:rPr>
          <w:lang w:val="fr-CA"/>
        </w:rPr>
        <w:t>ordonnance de provision pour frais outrepasse la compétence inhérente de la Cour du Banc de la Reine en raison du caractère inédit qu</w:t>
      </w:r>
      <w:r>
        <w:rPr>
          <w:lang w:val="fr-CA"/>
        </w:rPr>
        <w:t>’</w:t>
      </w:r>
      <w:r w:rsidRPr="00E932DB">
        <w:rPr>
          <w:lang w:val="fr-CA"/>
        </w:rPr>
        <w:t>elle revêt en l</w:t>
      </w:r>
      <w:r>
        <w:rPr>
          <w:lang w:val="fr-CA"/>
        </w:rPr>
        <w:t>’</w:t>
      </w:r>
      <w:r w:rsidRPr="00E932DB">
        <w:rPr>
          <w:lang w:val="fr-CA"/>
        </w:rPr>
        <w:t>espèce.</w:t>
      </w:r>
    </w:p>
    <w:p w:rsidR="007D1503" w:rsidRPr="00E932DB" w:rsidRDefault="007D1503" w:rsidP="00EF00B0">
      <w:pPr>
        <w:pStyle w:val="ReasonsNumbering-AltN"/>
        <w:ind w:left="0" w:firstLine="0"/>
        <w:rPr>
          <w:i/>
          <w:iCs/>
          <w:lang w:val="fr-CA"/>
        </w:rPr>
      </w:pPr>
      <w:r w:rsidRPr="00E932DB">
        <w:rPr>
          <w:lang w:val="fr-CA"/>
        </w:rPr>
        <w:t>Le ministère public soutient que, même s</w:t>
      </w:r>
      <w:r>
        <w:rPr>
          <w:lang w:val="fr-CA"/>
        </w:rPr>
        <w:t>’</w:t>
      </w:r>
      <w:r w:rsidRPr="00E932DB">
        <w:rPr>
          <w:lang w:val="fr-CA"/>
        </w:rPr>
        <w:t xml:space="preserve">il est possible </w:t>
      </w:r>
      <w:r w:rsidRPr="00E932DB">
        <w:rPr>
          <w:i/>
          <w:iCs/>
          <w:lang w:val="fr-CA"/>
        </w:rPr>
        <w:t>en théorie</w:t>
      </w:r>
      <w:r w:rsidRPr="00E932DB">
        <w:rPr>
          <w:lang w:val="fr-CA"/>
        </w:rPr>
        <w:t xml:space="preserve"> qu</w:t>
      </w:r>
      <w:r>
        <w:rPr>
          <w:lang w:val="fr-CA"/>
        </w:rPr>
        <w:t>’</w:t>
      </w:r>
      <w:r w:rsidRPr="00E932DB">
        <w:rPr>
          <w:lang w:val="fr-CA"/>
        </w:rPr>
        <w:t>une ordonnance de provision pour frais relève de la compétence inhérente de la cour supérieure, l</w:t>
      </w:r>
      <w:r>
        <w:rPr>
          <w:lang w:val="fr-CA"/>
        </w:rPr>
        <w:t>’</w:t>
      </w:r>
      <w:r w:rsidRPr="00E932DB">
        <w:rPr>
          <w:lang w:val="fr-CA"/>
        </w:rPr>
        <w:t>adoption de dispositions législatives en matière de dépens a eu pour effet de lui retirer ce pouvoir.  À cet égard, le ministère public s</w:t>
      </w:r>
      <w:r>
        <w:rPr>
          <w:lang w:val="fr-CA"/>
        </w:rPr>
        <w:t>’</w:t>
      </w:r>
      <w:r w:rsidRPr="00E932DB">
        <w:rPr>
          <w:lang w:val="fr-CA"/>
        </w:rPr>
        <w:t xml:space="preserve">appuie sur la </w:t>
      </w:r>
      <w:r w:rsidRPr="00E932DB">
        <w:rPr>
          <w:i/>
          <w:iCs/>
          <w:lang w:val="fr-CA"/>
        </w:rPr>
        <w:t xml:space="preserve">Provincial </w:t>
      </w:r>
      <w:proofErr w:type="spellStart"/>
      <w:r w:rsidRPr="00E932DB">
        <w:rPr>
          <w:i/>
          <w:iCs/>
          <w:lang w:val="fr-CA"/>
        </w:rPr>
        <w:t>Offences</w:t>
      </w:r>
      <w:proofErr w:type="spellEnd"/>
      <w:r w:rsidRPr="00E932DB">
        <w:rPr>
          <w:i/>
          <w:iCs/>
          <w:lang w:val="fr-CA"/>
        </w:rPr>
        <w:t xml:space="preserve"> </w:t>
      </w:r>
      <w:proofErr w:type="spellStart"/>
      <w:r w:rsidRPr="00E932DB">
        <w:rPr>
          <w:i/>
          <w:iCs/>
          <w:lang w:val="fr-CA"/>
        </w:rPr>
        <w:t>Procedure</w:t>
      </w:r>
      <w:proofErr w:type="spellEnd"/>
      <w:r w:rsidRPr="00E932DB">
        <w:rPr>
          <w:i/>
          <w:iCs/>
          <w:lang w:val="fr-CA"/>
        </w:rPr>
        <w:t xml:space="preserve"> </w:t>
      </w:r>
      <w:proofErr w:type="spellStart"/>
      <w:r w:rsidRPr="00E932DB">
        <w:rPr>
          <w:i/>
          <w:iCs/>
          <w:lang w:val="fr-CA"/>
        </w:rPr>
        <w:t>Act</w:t>
      </w:r>
      <w:proofErr w:type="spellEnd"/>
      <w:r>
        <w:rPr>
          <w:lang w:val="fr-CA"/>
        </w:rPr>
        <w:t>, R.S.A. 2000, ch. P</w:t>
      </w:r>
      <w:r>
        <w:rPr>
          <w:lang w:val="fr-CA"/>
        </w:rPr>
        <w:noBreakHyphen/>
      </w:r>
      <w:r w:rsidRPr="00E932DB">
        <w:rPr>
          <w:lang w:val="fr-CA"/>
        </w:rPr>
        <w:t xml:space="preserve">34, et le </w:t>
      </w:r>
      <w:r w:rsidRPr="00E932DB">
        <w:rPr>
          <w:i/>
          <w:iCs/>
          <w:lang w:val="fr-CA"/>
        </w:rPr>
        <w:t>Code criminel</w:t>
      </w:r>
      <w:r w:rsidRPr="00E932DB">
        <w:rPr>
          <w:lang w:val="fr-CA"/>
        </w:rPr>
        <w:t>, L.R.C. 1985, ch. C</w:t>
      </w:r>
      <w:r w:rsidRPr="00E932DB">
        <w:rPr>
          <w:lang w:val="fr-CA"/>
        </w:rPr>
        <w:noBreakHyphen/>
        <w:t>46, art. 809 et</w:t>
      </w:r>
      <w:r>
        <w:rPr>
          <w:lang w:val="fr-CA"/>
        </w:rPr>
        <w:t xml:space="preserve"> </w:t>
      </w:r>
      <w:r w:rsidRPr="00E932DB">
        <w:rPr>
          <w:lang w:val="fr-CA"/>
        </w:rPr>
        <w:t>840, qui prévoient notamment le versement de 4 $ aux témoins pour chaque jour de présence au procès.  Le ministère public soutient que si ces dispositions ne limitent pas expressément la compétence inhérente de la Cour du Banc de la Reine, elles l</w:t>
      </w:r>
      <w:r>
        <w:rPr>
          <w:lang w:val="fr-CA"/>
        </w:rPr>
        <w:t>’</w:t>
      </w:r>
      <w:r w:rsidRPr="00E932DB">
        <w:rPr>
          <w:lang w:val="fr-CA"/>
        </w:rPr>
        <w:t xml:space="preserve">écartent </w:t>
      </w:r>
      <w:r w:rsidRPr="00E932DB">
        <w:rPr>
          <w:i/>
          <w:iCs/>
          <w:lang w:val="fr-CA"/>
        </w:rPr>
        <w:t>implicitement</w:t>
      </w:r>
      <w:r w:rsidRPr="00E932DB">
        <w:rPr>
          <w:lang w:val="fr-CA"/>
        </w:rPr>
        <w:t>.  Toutefois, sur ce point également, il est utile de se reporter à l</w:t>
      </w:r>
      <w:r>
        <w:rPr>
          <w:lang w:val="fr-CA"/>
        </w:rPr>
        <w:t>’</w:t>
      </w:r>
      <w:r w:rsidRPr="00E932DB">
        <w:rPr>
          <w:lang w:val="fr-CA"/>
        </w:rPr>
        <w:t>analyse de Jacob</w:t>
      </w:r>
      <w:r>
        <w:rPr>
          <w:lang w:val="fr-CA"/>
        </w:rPr>
        <w:t> :</w:t>
      </w:r>
    </w:p>
    <w:p w:rsidR="007D1503" w:rsidRPr="00E1584B" w:rsidRDefault="00DD5855" w:rsidP="007D1503">
      <w:pPr>
        <w:pStyle w:val="Citation1"/>
        <w:contextualSpacing w:val="0"/>
        <w:rPr>
          <w:lang w:val="fr-CA"/>
        </w:rPr>
      </w:pPr>
      <w:r w:rsidRPr="00E1584B">
        <w:rPr>
          <w:lang w:val="fr-CA"/>
        </w:rPr>
        <w:lastRenderedPageBreak/>
        <w:t>[</w:t>
      </w:r>
      <w:r w:rsidRPr="00E1584B">
        <w:rPr>
          <w:smallCaps/>
          <w:lang w:val="fr-CA"/>
        </w:rPr>
        <w:t>traduction</w:t>
      </w:r>
      <w:r w:rsidRPr="00E1584B">
        <w:rPr>
          <w:lang w:val="fr-CA"/>
        </w:rPr>
        <w:t>]</w:t>
      </w:r>
      <w:r>
        <w:rPr>
          <w:lang w:val="fr-CA"/>
        </w:rPr>
        <w:t xml:space="preserve"> </w:t>
      </w:r>
      <w:r w:rsidR="00A027FA">
        <w:rPr>
          <w:lang w:val="fr-CA"/>
        </w:rPr>
        <w:t xml:space="preserve">. . . </w:t>
      </w:r>
      <w:r w:rsidR="007D1503" w:rsidRPr="00E1584B">
        <w:rPr>
          <w:lang w:val="fr-CA"/>
        </w:rPr>
        <w:t xml:space="preserve">la cour peut exercer sa compétence inhérente même à l’égard de questions qui sont régies par une loi ou par une règle de la cour, à condition qu’elle puisse le faire sans </w:t>
      </w:r>
      <w:r w:rsidR="007D1503" w:rsidRPr="00E1584B">
        <w:rPr>
          <w:u w:val="single"/>
          <w:lang w:val="fr-CA"/>
        </w:rPr>
        <w:t>enfreindre</w:t>
      </w:r>
      <w:r w:rsidR="007D1503" w:rsidRPr="00E1584B">
        <w:rPr>
          <w:lang w:val="fr-CA"/>
        </w:rPr>
        <w:t xml:space="preserve"> une disposition législative.  [Je souligne; p. 24.]</w:t>
      </w:r>
    </w:p>
    <w:p w:rsidR="007D1503" w:rsidRPr="00E31014" w:rsidRDefault="007D1503" w:rsidP="007D1503">
      <w:pPr>
        <w:pStyle w:val="SCCNormalDoubleSpacing"/>
        <w:spacing w:after="720" w:line="240" w:lineRule="auto"/>
        <w:rPr>
          <w:lang w:val="fr-CA"/>
        </w:rPr>
      </w:pPr>
      <w:r w:rsidRPr="00E31014">
        <w:rPr>
          <w:lang w:val="fr-CA"/>
        </w:rPr>
        <w:t>Je suis d’accord avec Jacob sur ce point également.</w:t>
      </w:r>
    </w:p>
    <w:p w:rsidR="007D1503" w:rsidRPr="00E932DB" w:rsidRDefault="007D1503" w:rsidP="00EF00B0">
      <w:pPr>
        <w:pStyle w:val="ReasonsNumbering-AltN"/>
        <w:ind w:left="0" w:firstLine="0"/>
        <w:rPr>
          <w:i/>
          <w:iCs/>
          <w:lang w:val="fr-CA"/>
        </w:rPr>
      </w:pPr>
      <w:r w:rsidRPr="00E932DB">
        <w:rPr>
          <w:lang w:val="fr-CA"/>
        </w:rPr>
        <w:t>Cet argument et d</w:t>
      </w:r>
      <w:r>
        <w:rPr>
          <w:lang w:val="fr-CA"/>
        </w:rPr>
        <w:t>’</w:t>
      </w:r>
      <w:r w:rsidRPr="00E932DB">
        <w:rPr>
          <w:lang w:val="fr-CA"/>
        </w:rPr>
        <w:t>autres aspects de l</w:t>
      </w:r>
      <w:r>
        <w:rPr>
          <w:lang w:val="fr-CA"/>
        </w:rPr>
        <w:t>’</w:t>
      </w:r>
      <w:r w:rsidRPr="00E932DB">
        <w:rPr>
          <w:lang w:val="fr-CA"/>
        </w:rPr>
        <w:t>argumentation du ministère public supposent qu</w:t>
      </w:r>
      <w:r>
        <w:rPr>
          <w:lang w:val="fr-CA"/>
        </w:rPr>
        <w:t>’</w:t>
      </w:r>
      <w:r w:rsidRPr="00E932DB">
        <w:rPr>
          <w:lang w:val="fr-CA"/>
        </w:rPr>
        <w:t>il s</w:t>
      </w:r>
      <w:r>
        <w:rPr>
          <w:lang w:val="fr-CA"/>
        </w:rPr>
        <w:t>’</w:t>
      </w:r>
      <w:r w:rsidRPr="00E932DB">
        <w:rPr>
          <w:lang w:val="fr-CA"/>
        </w:rPr>
        <w:t>agit d</w:t>
      </w:r>
      <w:r>
        <w:rPr>
          <w:lang w:val="fr-CA"/>
        </w:rPr>
        <w:t>’</w:t>
      </w:r>
      <w:r w:rsidRPr="00E932DB">
        <w:rPr>
          <w:lang w:val="fr-CA"/>
        </w:rPr>
        <w:t>une procédure relative à une infraction réglementaire banale, du genre de celles qui sont censées être visées par les dispositions susmentionnées applicables à la Cour provinciale en matière de dépens.  Il s</w:t>
      </w:r>
      <w:r>
        <w:rPr>
          <w:lang w:val="fr-CA"/>
        </w:rPr>
        <w:t>’</w:t>
      </w:r>
      <w:r w:rsidRPr="00E932DB">
        <w:rPr>
          <w:lang w:val="fr-CA"/>
        </w:rPr>
        <w:t>agit d</w:t>
      </w:r>
      <w:r>
        <w:rPr>
          <w:lang w:val="fr-CA"/>
        </w:rPr>
        <w:t>’</w:t>
      </w:r>
      <w:r w:rsidRPr="00E932DB">
        <w:rPr>
          <w:lang w:val="fr-CA"/>
        </w:rPr>
        <w:t>une prémisse que je ne puis accepter.  La Cour provinciale était aux prises avec un litige relatif aux droits linguistiques qui revêtait une grande importance et qui, après des mois de procès, risquait fort de ne pas aboutir.  L</w:t>
      </w:r>
      <w:r>
        <w:rPr>
          <w:lang w:val="fr-CA"/>
        </w:rPr>
        <w:t>’</w:t>
      </w:r>
      <w:r w:rsidRPr="00E932DB">
        <w:rPr>
          <w:lang w:val="fr-CA"/>
        </w:rPr>
        <w:t>intervention de la cour supérieure n</w:t>
      </w:r>
      <w:r>
        <w:rPr>
          <w:lang w:val="fr-CA"/>
        </w:rPr>
        <w:t>’</w:t>
      </w:r>
      <w:r w:rsidRPr="00E932DB">
        <w:rPr>
          <w:lang w:val="fr-CA"/>
        </w:rPr>
        <w:t>était pas une intervention habituelle.  Elle s</w:t>
      </w:r>
      <w:r>
        <w:rPr>
          <w:lang w:val="fr-CA"/>
        </w:rPr>
        <w:t>’</w:t>
      </w:r>
      <w:r w:rsidRPr="00E932DB">
        <w:rPr>
          <w:lang w:val="fr-CA"/>
        </w:rPr>
        <w:t>inscrivait dans une opération de sauvetage visant à éviter que des mois d</w:t>
      </w:r>
      <w:r>
        <w:rPr>
          <w:lang w:val="fr-CA"/>
        </w:rPr>
        <w:t>’</w:t>
      </w:r>
      <w:r w:rsidRPr="00E932DB">
        <w:rPr>
          <w:lang w:val="fr-CA"/>
        </w:rPr>
        <w:t>efforts ainsi que les frais engagés et les ressources judiciaires mises à contribution à ce jour soient gaspillés.</w:t>
      </w:r>
    </w:p>
    <w:p w:rsidR="007D1503" w:rsidRPr="00E932DB" w:rsidRDefault="007D1503" w:rsidP="00EF00B0">
      <w:pPr>
        <w:pStyle w:val="ReasonsNumbering-AltN"/>
        <w:ind w:left="0" w:firstLine="0"/>
        <w:rPr>
          <w:b/>
          <w:bCs/>
          <w:lang w:val="fr-CA"/>
        </w:rPr>
      </w:pPr>
      <w:r w:rsidRPr="00E932DB">
        <w:rPr>
          <w:lang w:val="fr-CA"/>
        </w:rPr>
        <w:t>Le ministère public s</w:t>
      </w:r>
      <w:r>
        <w:rPr>
          <w:lang w:val="fr-CA"/>
        </w:rPr>
        <w:t>’</w:t>
      </w:r>
      <w:r w:rsidRPr="00E932DB">
        <w:rPr>
          <w:lang w:val="fr-CA"/>
        </w:rPr>
        <w:t>appuie également sur diverses lois traitant de l</w:t>
      </w:r>
      <w:r>
        <w:rPr>
          <w:lang w:val="fr-CA"/>
        </w:rPr>
        <w:t>’</w:t>
      </w:r>
      <w:r w:rsidRPr="00E932DB">
        <w:rPr>
          <w:lang w:val="fr-CA"/>
        </w:rPr>
        <w:t xml:space="preserve">attribution des dépens dans des affaires soumises à la Cour du Banc de la Reine </w:t>
      </w:r>
      <w:proofErr w:type="spellStart"/>
      <w:r w:rsidRPr="00E932DB">
        <w:rPr>
          <w:lang w:val="fr-CA"/>
        </w:rPr>
        <w:t>elle</w:t>
      </w:r>
      <w:r w:rsidRPr="00E932DB">
        <w:rPr>
          <w:lang w:val="fr-CA"/>
        </w:rPr>
        <w:noBreakHyphen/>
        <w:t>même</w:t>
      </w:r>
      <w:proofErr w:type="spellEnd"/>
      <w:r w:rsidRPr="00E932DB">
        <w:rPr>
          <w:lang w:val="fr-CA"/>
        </w:rPr>
        <w:t xml:space="preserve">, y compris la </w:t>
      </w:r>
      <w:r w:rsidRPr="00E932DB">
        <w:rPr>
          <w:i/>
          <w:iCs/>
          <w:lang w:val="fr-CA"/>
        </w:rPr>
        <w:t xml:space="preserve">Court of </w:t>
      </w:r>
      <w:proofErr w:type="spellStart"/>
      <w:r w:rsidRPr="00E932DB">
        <w:rPr>
          <w:i/>
          <w:iCs/>
          <w:lang w:val="fr-CA"/>
        </w:rPr>
        <w:t>Queen</w:t>
      </w:r>
      <w:r>
        <w:rPr>
          <w:i/>
          <w:iCs/>
          <w:lang w:val="fr-CA"/>
        </w:rPr>
        <w:t>’</w:t>
      </w:r>
      <w:r w:rsidRPr="00E932DB">
        <w:rPr>
          <w:i/>
          <w:iCs/>
          <w:lang w:val="fr-CA"/>
        </w:rPr>
        <w:t>s</w:t>
      </w:r>
      <w:proofErr w:type="spellEnd"/>
      <w:r w:rsidRPr="00E932DB">
        <w:rPr>
          <w:i/>
          <w:iCs/>
          <w:lang w:val="fr-CA"/>
        </w:rPr>
        <w:t xml:space="preserve"> </w:t>
      </w:r>
      <w:proofErr w:type="spellStart"/>
      <w:r w:rsidRPr="00E932DB">
        <w:rPr>
          <w:i/>
          <w:iCs/>
          <w:lang w:val="fr-CA"/>
        </w:rPr>
        <w:t>Bench</w:t>
      </w:r>
      <w:proofErr w:type="spellEnd"/>
      <w:r w:rsidRPr="00E932DB">
        <w:rPr>
          <w:i/>
          <w:iCs/>
          <w:lang w:val="fr-CA"/>
        </w:rPr>
        <w:t xml:space="preserve"> </w:t>
      </w:r>
      <w:proofErr w:type="spellStart"/>
      <w:r w:rsidRPr="00E932DB">
        <w:rPr>
          <w:i/>
          <w:iCs/>
          <w:lang w:val="fr-CA"/>
        </w:rPr>
        <w:t>Act</w:t>
      </w:r>
      <w:proofErr w:type="spellEnd"/>
      <w:r w:rsidRPr="00E932DB">
        <w:rPr>
          <w:lang w:val="fr-CA"/>
        </w:rPr>
        <w:t>, R.S.A. 2000, ch.</w:t>
      </w:r>
      <w:r>
        <w:rPr>
          <w:lang w:val="fr-CA"/>
        </w:rPr>
        <w:t> </w:t>
      </w:r>
      <w:r w:rsidRPr="00E932DB">
        <w:rPr>
          <w:lang w:val="fr-CA"/>
        </w:rPr>
        <w:t>C</w:t>
      </w:r>
      <w:r>
        <w:rPr>
          <w:lang w:val="fr-CA"/>
        </w:rPr>
        <w:noBreakHyphen/>
      </w:r>
      <w:r w:rsidRPr="00E932DB">
        <w:rPr>
          <w:lang w:val="fr-CA"/>
        </w:rPr>
        <w:t xml:space="preserve">31, art. 21, la </w:t>
      </w:r>
      <w:r w:rsidRPr="00E932DB">
        <w:rPr>
          <w:i/>
          <w:iCs/>
          <w:lang w:val="fr-CA"/>
        </w:rPr>
        <w:t xml:space="preserve">Judicature </w:t>
      </w:r>
      <w:proofErr w:type="spellStart"/>
      <w:r w:rsidRPr="00E932DB">
        <w:rPr>
          <w:i/>
          <w:iCs/>
          <w:lang w:val="fr-CA"/>
        </w:rPr>
        <w:t>Act</w:t>
      </w:r>
      <w:proofErr w:type="spellEnd"/>
      <w:r w:rsidRPr="00E932DB">
        <w:rPr>
          <w:lang w:val="fr-CA"/>
        </w:rPr>
        <w:t>, R.S.A. 2000, ch.</w:t>
      </w:r>
      <w:r>
        <w:rPr>
          <w:lang w:val="fr-CA"/>
        </w:rPr>
        <w:t> </w:t>
      </w:r>
      <w:r w:rsidRPr="00E932DB">
        <w:rPr>
          <w:lang w:val="fr-CA"/>
        </w:rPr>
        <w:t>J</w:t>
      </w:r>
      <w:r>
        <w:rPr>
          <w:lang w:val="fr-CA"/>
        </w:rPr>
        <w:noBreakHyphen/>
      </w:r>
      <w:r w:rsidRPr="00E932DB">
        <w:rPr>
          <w:lang w:val="fr-CA"/>
        </w:rPr>
        <w:t xml:space="preserve">2, art. 8, et les </w:t>
      </w:r>
      <w:r w:rsidRPr="00E932DB">
        <w:rPr>
          <w:i/>
          <w:iCs/>
          <w:lang w:val="fr-CA"/>
        </w:rPr>
        <w:t xml:space="preserve">Alberta </w:t>
      </w:r>
      <w:proofErr w:type="spellStart"/>
      <w:r w:rsidRPr="00E932DB">
        <w:rPr>
          <w:i/>
          <w:iCs/>
          <w:lang w:val="fr-CA"/>
        </w:rPr>
        <w:t>Rules</w:t>
      </w:r>
      <w:proofErr w:type="spellEnd"/>
      <w:r w:rsidRPr="00E932DB">
        <w:rPr>
          <w:i/>
          <w:iCs/>
          <w:lang w:val="fr-CA"/>
        </w:rPr>
        <w:t xml:space="preserve"> of Court</w:t>
      </w:r>
      <w:r w:rsidRPr="00E932DB">
        <w:rPr>
          <w:lang w:val="fr-CA"/>
        </w:rPr>
        <w:t xml:space="preserve">, </w:t>
      </w:r>
      <w:r>
        <w:rPr>
          <w:lang w:val="fr-CA"/>
        </w:rPr>
        <w:t xml:space="preserve">Alta. </w:t>
      </w:r>
      <w:r w:rsidRPr="00E932DB">
        <w:rPr>
          <w:lang w:val="fr-CA"/>
        </w:rPr>
        <w:t>Reg.</w:t>
      </w:r>
      <w:r>
        <w:rPr>
          <w:lang w:val="fr-CA"/>
        </w:rPr>
        <w:t xml:space="preserve"> </w:t>
      </w:r>
      <w:r w:rsidR="00A027FA">
        <w:rPr>
          <w:lang w:val="fr-CA"/>
        </w:rPr>
        <w:t>390/</w:t>
      </w:r>
      <w:r w:rsidRPr="00E932DB">
        <w:rPr>
          <w:lang w:val="fr-CA"/>
        </w:rPr>
        <w:t>68, règles 600 et</w:t>
      </w:r>
      <w:r>
        <w:rPr>
          <w:lang w:val="fr-CA"/>
        </w:rPr>
        <w:t xml:space="preserve"> </w:t>
      </w:r>
      <w:r w:rsidRPr="00E932DB">
        <w:rPr>
          <w:lang w:val="fr-CA"/>
        </w:rPr>
        <w:t>601.  Ces dispositions autorisent certainement l</w:t>
      </w:r>
      <w:r>
        <w:rPr>
          <w:lang w:val="fr-CA"/>
        </w:rPr>
        <w:t>’</w:t>
      </w:r>
      <w:r w:rsidRPr="00E932DB">
        <w:rPr>
          <w:lang w:val="fr-CA"/>
        </w:rPr>
        <w:t xml:space="preserve">attribution de dépens dans diverses circonstances, mais un texte autorisant ces mesures ne devrait pas être interprété comme limitant la compétence inhérente de la cour de faire ce qui </w:t>
      </w:r>
      <w:r w:rsidRPr="00E932DB">
        <w:rPr>
          <w:lang w:val="fr-CA"/>
        </w:rPr>
        <w:lastRenderedPageBreak/>
        <w:t>est nécessaire pour [</w:t>
      </w:r>
      <w:r w:rsidRPr="00E932DB">
        <w:rPr>
          <w:smallCaps/>
          <w:lang w:val="fr-CA"/>
        </w:rPr>
        <w:t>traduction</w:t>
      </w:r>
      <w:r w:rsidRPr="00E932DB">
        <w:rPr>
          <w:lang w:val="fr-CA"/>
        </w:rPr>
        <w:t xml:space="preserve">] </w:t>
      </w:r>
      <w:r>
        <w:rPr>
          <w:lang w:val="fr-CA"/>
        </w:rPr>
        <w:t>« </w:t>
      </w:r>
      <w:r w:rsidRPr="00E932DB">
        <w:rPr>
          <w:lang w:val="fr-CA"/>
        </w:rPr>
        <w:t>remplir sa fonction qui est de rendre justice, dans le respect de la loi, d</w:t>
      </w:r>
      <w:r>
        <w:rPr>
          <w:lang w:val="fr-CA"/>
        </w:rPr>
        <w:t>’</w:t>
      </w:r>
      <w:r w:rsidRPr="00E932DB">
        <w:rPr>
          <w:lang w:val="fr-CA"/>
        </w:rPr>
        <w:t>une manière régulière, ordonnée et efficace</w:t>
      </w:r>
      <w:r>
        <w:rPr>
          <w:lang w:val="fr-CA"/>
        </w:rPr>
        <w:t> »</w:t>
      </w:r>
      <w:r w:rsidRPr="00E932DB">
        <w:rPr>
          <w:lang w:val="fr-CA"/>
        </w:rPr>
        <w:t xml:space="preserve"> (Jacob, p. 28).  Il serait contraire à la jurisprudence et à la doctrine de tirer, à partir d</w:t>
      </w:r>
      <w:r>
        <w:rPr>
          <w:lang w:val="fr-CA"/>
        </w:rPr>
        <w:t>’</w:t>
      </w:r>
      <w:r w:rsidRPr="00E932DB">
        <w:rPr>
          <w:lang w:val="fr-CA"/>
        </w:rPr>
        <w:t xml:space="preserve">une </w:t>
      </w:r>
      <w:r>
        <w:rPr>
          <w:lang w:val="fr-CA"/>
        </w:rPr>
        <w:t>« </w:t>
      </w:r>
      <w:r w:rsidRPr="00E932DB">
        <w:rPr>
          <w:lang w:val="fr-CA"/>
        </w:rPr>
        <w:t>déduction</w:t>
      </w:r>
      <w:r>
        <w:rPr>
          <w:lang w:val="fr-CA"/>
        </w:rPr>
        <w:t> »</w:t>
      </w:r>
      <w:r w:rsidRPr="00E932DB">
        <w:rPr>
          <w:lang w:val="fr-CA"/>
        </w:rPr>
        <w:t xml:space="preserve"> ou de conjectures quant à l</w:t>
      </w:r>
      <w:r>
        <w:rPr>
          <w:lang w:val="fr-CA"/>
        </w:rPr>
        <w:t>’</w:t>
      </w:r>
      <w:r w:rsidRPr="00E932DB">
        <w:rPr>
          <w:lang w:val="fr-CA"/>
        </w:rPr>
        <w:t>intention du législateur, une inférence négative écartant la compétence inhérente de la cour supérieure</w:t>
      </w:r>
      <w:r>
        <w:rPr>
          <w:lang w:val="fr-CA"/>
        </w:rPr>
        <w:t> :</w:t>
      </w:r>
      <w:r w:rsidRPr="00E932DB">
        <w:rPr>
          <w:lang w:val="fr-CA"/>
        </w:rPr>
        <w:t xml:space="preserve"> </w:t>
      </w:r>
      <w:r w:rsidRPr="00E932DB">
        <w:rPr>
          <w:i/>
          <w:lang w:val="fr-CA"/>
        </w:rPr>
        <w:t xml:space="preserve">Succession </w:t>
      </w:r>
      <w:r w:rsidRPr="00E932DB">
        <w:rPr>
          <w:i/>
          <w:iCs/>
          <w:lang w:val="fr-CA"/>
        </w:rPr>
        <w:t xml:space="preserve">Ordon c. </w:t>
      </w:r>
      <w:proofErr w:type="spellStart"/>
      <w:r w:rsidRPr="00E932DB">
        <w:rPr>
          <w:i/>
          <w:iCs/>
          <w:lang w:val="fr-CA"/>
        </w:rPr>
        <w:t>Grail</w:t>
      </w:r>
      <w:proofErr w:type="spellEnd"/>
      <w:r>
        <w:rPr>
          <w:lang w:val="fr-CA"/>
        </w:rPr>
        <w:t xml:space="preserve">, [1998] 3 </w:t>
      </w:r>
      <w:r w:rsidRPr="00E932DB">
        <w:rPr>
          <w:lang w:val="fr-CA"/>
        </w:rPr>
        <w:t>R.C.S.</w:t>
      </w:r>
      <w:r>
        <w:rPr>
          <w:lang w:val="fr-CA"/>
        </w:rPr>
        <w:t xml:space="preserve"> </w:t>
      </w:r>
      <w:r w:rsidRPr="00E932DB">
        <w:rPr>
          <w:lang w:val="fr-CA"/>
        </w:rPr>
        <w:t>437</w:t>
      </w:r>
      <w:r w:rsidRPr="00E932DB">
        <w:rPr>
          <w:i/>
          <w:iCs/>
          <w:lang w:val="fr-CA"/>
        </w:rPr>
        <w:t>.</w:t>
      </w:r>
    </w:p>
    <w:p w:rsidR="007D1503" w:rsidRPr="00E932DB" w:rsidRDefault="007D1503" w:rsidP="00EF00B0">
      <w:pPr>
        <w:pStyle w:val="ReasonsNumbering-AltN"/>
        <w:ind w:left="0" w:firstLine="0"/>
        <w:rPr>
          <w:b/>
          <w:bCs/>
          <w:lang w:val="fr-CA"/>
        </w:rPr>
      </w:pPr>
      <w:r w:rsidRPr="00E932DB">
        <w:rPr>
          <w:lang w:val="fr-CA"/>
        </w:rPr>
        <w:t>J</w:t>
      </w:r>
      <w:r>
        <w:rPr>
          <w:lang w:val="fr-CA"/>
        </w:rPr>
        <w:t>’</w:t>
      </w:r>
      <w:r w:rsidRPr="00E932DB">
        <w:rPr>
          <w:lang w:val="fr-CA"/>
        </w:rPr>
        <w:t xml:space="preserve">estime que le rôle de surveillance des cours supérieures </w:t>
      </w:r>
      <w:proofErr w:type="spellStart"/>
      <w:r w:rsidRPr="00E932DB">
        <w:rPr>
          <w:lang w:val="fr-CA"/>
        </w:rPr>
        <w:t>vis</w:t>
      </w:r>
      <w:r>
        <w:rPr>
          <w:lang w:val="fr-CA"/>
        </w:rPr>
        <w:noBreakHyphen/>
      </w:r>
      <w:r w:rsidRPr="00E932DB">
        <w:rPr>
          <w:lang w:val="fr-CA"/>
        </w:rPr>
        <w:t>à</w:t>
      </w:r>
      <w:r>
        <w:rPr>
          <w:lang w:val="fr-CA"/>
        </w:rPr>
        <w:noBreakHyphen/>
      </w:r>
      <w:r w:rsidRPr="00E932DB">
        <w:rPr>
          <w:lang w:val="fr-CA"/>
        </w:rPr>
        <w:t>vis</w:t>
      </w:r>
      <w:proofErr w:type="spellEnd"/>
      <w:r w:rsidRPr="00E932DB">
        <w:rPr>
          <w:lang w:val="fr-CA"/>
        </w:rPr>
        <w:t xml:space="preserve"> des cours provinciales en Alberta englobe le pouvoir d</w:t>
      </w:r>
      <w:r>
        <w:rPr>
          <w:lang w:val="fr-CA"/>
        </w:rPr>
        <w:t>’</w:t>
      </w:r>
      <w:r w:rsidRPr="00E932DB">
        <w:rPr>
          <w:lang w:val="fr-CA"/>
        </w:rPr>
        <w:t>accorder une provision pour frais devant un tribunal d</w:t>
      </w:r>
      <w:r>
        <w:rPr>
          <w:lang w:val="fr-CA"/>
        </w:rPr>
        <w:t>’</w:t>
      </w:r>
      <w:r w:rsidRPr="00E932DB">
        <w:rPr>
          <w:lang w:val="fr-CA"/>
        </w:rPr>
        <w:t>instance inférieure lorsqu</w:t>
      </w:r>
      <w:r>
        <w:rPr>
          <w:lang w:val="fr-CA"/>
        </w:rPr>
        <w:t>’</w:t>
      </w:r>
      <w:r w:rsidRPr="00E932DB">
        <w:rPr>
          <w:lang w:val="fr-CA"/>
        </w:rPr>
        <w:t>il s</w:t>
      </w:r>
      <w:r>
        <w:rPr>
          <w:lang w:val="fr-CA"/>
        </w:rPr>
        <w:t>’</w:t>
      </w:r>
      <w:r w:rsidRPr="00E932DB">
        <w:rPr>
          <w:lang w:val="fr-CA"/>
        </w:rPr>
        <w:t>agit d</w:t>
      </w:r>
      <w:r>
        <w:rPr>
          <w:lang w:val="fr-CA"/>
        </w:rPr>
        <w:t>’</w:t>
      </w:r>
      <w:r w:rsidRPr="00E932DB">
        <w:rPr>
          <w:lang w:val="fr-CA"/>
        </w:rPr>
        <w:t xml:space="preserve">une mesure </w:t>
      </w:r>
      <w:r>
        <w:rPr>
          <w:lang w:val="fr-CA"/>
        </w:rPr>
        <w:t>« </w:t>
      </w:r>
      <w:r w:rsidRPr="00E932DB">
        <w:rPr>
          <w:u w:val="single"/>
          <w:lang w:val="fr-CA"/>
        </w:rPr>
        <w:t>essentiel[le]</w:t>
      </w:r>
      <w:r w:rsidRPr="00E932DB">
        <w:rPr>
          <w:lang w:val="fr-CA"/>
        </w:rPr>
        <w:t xml:space="preserve"> à l</w:t>
      </w:r>
      <w:r>
        <w:rPr>
          <w:lang w:val="fr-CA"/>
        </w:rPr>
        <w:t>’</w:t>
      </w:r>
      <w:r w:rsidRPr="00E932DB">
        <w:rPr>
          <w:lang w:val="fr-CA"/>
        </w:rPr>
        <w:t>administration de la justice et au maintien de la primauté du droit</w:t>
      </w:r>
      <w:r>
        <w:rPr>
          <w:lang w:val="fr-CA"/>
        </w:rPr>
        <w:t> »</w:t>
      </w:r>
      <w:r w:rsidRPr="00E932DB">
        <w:rPr>
          <w:lang w:val="fr-CA"/>
        </w:rPr>
        <w:t xml:space="preserve"> (</w:t>
      </w:r>
      <w:proofErr w:type="spellStart"/>
      <w:r w:rsidRPr="00E932DB">
        <w:rPr>
          <w:i/>
          <w:iCs/>
          <w:lang w:val="fr-CA"/>
        </w:rPr>
        <w:t>MacMillan</w:t>
      </w:r>
      <w:proofErr w:type="spellEnd"/>
      <w:r w:rsidRPr="00E932DB">
        <w:rPr>
          <w:i/>
          <w:iCs/>
          <w:lang w:val="fr-CA"/>
        </w:rPr>
        <w:t xml:space="preserve"> </w:t>
      </w:r>
      <w:proofErr w:type="spellStart"/>
      <w:r w:rsidRPr="00E932DB">
        <w:rPr>
          <w:i/>
          <w:iCs/>
          <w:lang w:val="fr-CA"/>
        </w:rPr>
        <w:t>Bloedel</w:t>
      </w:r>
      <w:proofErr w:type="spellEnd"/>
      <w:r w:rsidRPr="00E932DB">
        <w:rPr>
          <w:lang w:val="fr-CA"/>
        </w:rPr>
        <w:t xml:space="preserve">, </w:t>
      </w:r>
      <w:r>
        <w:rPr>
          <w:lang w:val="fr-CA"/>
        </w:rPr>
        <w:t>par. </w:t>
      </w:r>
      <w:r w:rsidRPr="00E932DB">
        <w:rPr>
          <w:lang w:val="fr-CA"/>
        </w:rPr>
        <w:t xml:space="preserve">38 </w:t>
      </w:r>
      <w:r w:rsidR="00BE7BCE">
        <w:rPr>
          <w:lang w:val="fr-CA"/>
        </w:rPr>
        <w:t>(</w:t>
      </w:r>
      <w:r w:rsidRPr="00E932DB">
        <w:rPr>
          <w:lang w:val="fr-FR"/>
        </w:rPr>
        <w:t>je souligne</w:t>
      </w:r>
      <w:r w:rsidR="00BE7BCE">
        <w:rPr>
          <w:lang w:val="fr-FR"/>
        </w:rPr>
        <w:t>)</w:t>
      </w:r>
      <w:r w:rsidRPr="00E932DB">
        <w:rPr>
          <w:lang w:val="fr-CA"/>
        </w:rPr>
        <w:t>).  Bien entendu, il reste à établir les conditions de l</w:t>
      </w:r>
      <w:r>
        <w:rPr>
          <w:lang w:val="fr-CA"/>
        </w:rPr>
        <w:t>’</w:t>
      </w:r>
      <w:r w:rsidRPr="00E932DB">
        <w:rPr>
          <w:lang w:val="fr-CA"/>
        </w:rPr>
        <w:t>exercice de cette compétence en l</w:t>
      </w:r>
      <w:r>
        <w:rPr>
          <w:lang w:val="fr-CA"/>
        </w:rPr>
        <w:t>’</w:t>
      </w:r>
      <w:r w:rsidRPr="00E932DB">
        <w:rPr>
          <w:lang w:val="fr-CA"/>
        </w:rPr>
        <w:t xml:space="preserve">espèce. </w:t>
      </w:r>
      <w:r>
        <w:rPr>
          <w:lang w:val="fr-CA"/>
        </w:rPr>
        <w:t xml:space="preserve"> </w:t>
      </w:r>
      <w:r w:rsidRPr="00E932DB">
        <w:rPr>
          <w:lang w:val="fr-CA"/>
        </w:rPr>
        <w:t xml:space="preserve">À mon avis, les conditions fixées dans </w:t>
      </w:r>
      <w:proofErr w:type="spellStart"/>
      <w:r w:rsidRPr="00E932DB">
        <w:rPr>
          <w:i/>
          <w:iCs/>
          <w:lang w:val="fr-CA"/>
        </w:rPr>
        <w:t>Okanagan</w:t>
      </w:r>
      <w:proofErr w:type="spellEnd"/>
      <w:r w:rsidRPr="00E932DB">
        <w:rPr>
          <w:i/>
          <w:iCs/>
          <w:lang w:val="fr-CA"/>
        </w:rPr>
        <w:t xml:space="preserve"> </w:t>
      </w:r>
      <w:r w:rsidRPr="00E932DB">
        <w:rPr>
          <w:iCs/>
          <w:lang w:val="fr-CA"/>
        </w:rPr>
        <w:t>et</w:t>
      </w:r>
      <w:r w:rsidRPr="00E932DB">
        <w:rPr>
          <w:i/>
          <w:iCs/>
          <w:lang w:val="fr-CA"/>
        </w:rPr>
        <w:t xml:space="preserve"> </w:t>
      </w:r>
      <w:proofErr w:type="spellStart"/>
      <w:r w:rsidRPr="00E932DB">
        <w:rPr>
          <w:i/>
          <w:iCs/>
          <w:lang w:val="fr-CA"/>
        </w:rPr>
        <w:t>Little</w:t>
      </w:r>
      <w:proofErr w:type="spellEnd"/>
      <w:r w:rsidRPr="00E932DB">
        <w:rPr>
          <w:i/>
          <w:iCs/>
          <w:lang w:val="fr-CA"/>
        </w:rPr>
        <w:t xml:space="preserve"> </w:t>
      </w:r>
      <w:proofErr w:type="spellStart"/>
      <w:r w:rsidRPr="00E932DB">
        <w:rPr>
          <w:i/>
          <w:iCs/>
          <w:lang w:val="fr-CA"/>
        </w:rPr>
        <w:t>Sisters</w:t>
      </w:r>
      <w:proofErr w:type="spellEnd"/>
      <w:r w:rsidRPr="00E932DB">
        <w:rPr>
          <w:i/>
          <w:iCs/>
          <w:lang w:val="fr-CA"/>
        </w:rPr>
        <w:t xml:space="preserve"> (n</w:t>
      </w:r>
      <w:r w:rsidRPr="00E932DB">
        <w:rPr>
          <w:i/>
          <w:iCs/>
          <w:vertAlign w:val="superscript"/>
          <w:lang w:val="fr-CA"/>
        </w:rPr>
        <w:t>o</w:t>
      </w:r>
      <w:r w:rsidRPr="00E932DB">
        <w:rPr>
          <w:i/>
          <w:iCs/>
          <w:lang w:val="fr-CA"/>
        </w:rPr>
        <w:t> 2)</w:t>
      </w:r>
      <w:r w:rsidRPr="00E932DB">
        <w:rPr>
          <w:lang w:val="fr-CA"/>
        </w:rPr>
        <w:t xml:space="preserve"> sont utiles à cette fin.</w:t>
      </w:r>
    </w:p>
    <w:p w:rsidR="007D1503" w:rsidRPr="00E31014" w:rsidRDefault="007D1503" w:rsidP="00DD5855">
      <w:pPr>
        <w:keepNext/>
        <w:tabs>
          <w:tab w:val="left" w:pos="540"/>
        </w:tabs>
        <w:spacing w:after="720"/>
        <w:ind w:left="540" w:hanging="540"/>
        <w:rPr>
          <w:i/>
          <w:iCs/>
          <w:lang w:val="fr-CA"/>
        </w:rPr>
      </w:pPr>
      <w:r w:rsidRPr="00E31014">
        <w:rPr>
          <w:lang w:val="fr-CA"/>
        </w:rPr>
        <w:t>B.</w:t>
      </w:r>
      <w:r w:rsidR="00DD5855">
        <w:rPr>
          <w:lang w:val="fr-CA"/>
        </w:rPr>
        <w:tab/>
      </w:r>
      <w:r w:rsidRPr="00E31014">
        <w:rPr>
          <w:i/>
          <w:iCs/>
          <w:lang w:val="fr-CA"/>
        </w:rPr>
        <w:t>Conditions relatives à l’octroi d’une ordonnance de provision pour frais pour des raisons d’intérêt public</w:t>
      </w:r>
    </w:p>
    <w:p w:rsidR="007D1503" w:rsidRPr="00E932DB" w:rsidRDefault="007D1503" w:rsidP="00EF00B0">
      <w:pPr>
        <w:pStyle w:val="ReasonsNumbering-AltN"/>
        <w:ind w:left="0" w:firstLine="0"/>
        <w:rPr>
          <w:lang w:val="fr-CA"/>
        </w:rPr>
      </w:pPr>
      <w:r w:rsidRPr="00E932DB">
        <w:rPr>
          <w:lang w:val="fr-CA"/>
        </w:rPr>
        <w:t xml:space="preserve">Bien que </w:t>
      </w:r>
      <w:r>
        <w:rPr>
          <w:lang w:val="fr-CA"/>
        </w:rPr>
        <w:t>M. Caron</w:t>
      </w:r>
      <w:r w:rsidRPr="00E932DB">
        <w:rPr>
          <w:lang w:val="fr-CA"/>
        </w:rPr>
        <w:t xml:space="preserve"> cherche à obtenir ce qu</w:t>
      </w:r>
      <w:r>
        <w:rPr>
          <w:lang w:val="fr-CA"/>
        </w:rPr>
        <w:t>’</w:t>
      </w:r>
      <w:r w:rsidRPr="00E932DB">
        <w:rPr>
          <w:lang w:val="fr-CA"/>
        </w:rPr>
        <w:t>il appelle une ordonnance fondée sur l</w:t>
      </w:r>
      <w:r>
        <w:rPr>
          <w:lang w:val="fr-CA"/>
        </w:rPr>
        <w:t>’</w:t>
      </w:r>
      <w:r w:rsidRPr="00E932DB">
        <w:rPr>
          <w:lang w:val="fr-CA"/>
        </w:rPr>
        <w:t xml:space="preserve">arrêt </w:t>
      </w:r>
      <w:proofErr w:type="spellStart"/>
      <w:r w:rsidRPr="00E932DB">
        <w:rPr>
          <w:i/>
          <w:iCs/>
          <w:lang w:val="fr-CA"/>
        </w:rPr>
        <w:t>Okanagan</w:t>
      </w:r>
      <w:proofErr w:type="spellEnd"/>
      <w:r w:rsidRPr="00E932DB">
        <w:rPr>
          <w:lang w:val="fr-CA"/>
        </w:rPr>
        <w:t xml:space="preserve">, le ministère public fait observer que cette affaire se distingue à bien des égards de la présente espèce.  </w:t>
      </w:r>
      <w:proofErr w:type="spellStart"/>
      <w:r w:rsidRPr="00E932DB">
        <w:rPr>
          <w:i/>
          <w:iCs/>
          <w:lang w:val="fr-CA"/>
        </w:rPr>
        <w:t>Okanagan</w:t>
      </w:r>
      <w:proofErr w:type="spellEnd"/>
      <w:r w:rsidRPr="00E932DB">
        <w:rPr>
          <w:lang w:val="fr-CA"/>
        </w:rPr>
        <w:t xml:space="preserve"> était une affaire civile alors qu</w:t>
      </w:r>
      <w:r>
        <w:rPr>
          <w:lang w:val="fr-CA"/>
        </w:rPr>
        <w:t>’</w:t>
      </w:r>
      <w:r w:rsidRPr="00E932DB">
        <w:rPr>
          <w:lang w:val="fr-CA"/>
        </w:rPr>
        <w:t>en l</w:t>
      </w:r>
      <w:r>
        <w:rPr>
          <w:lang w:val="fr-CA"/>
        </w:rPr>
        <w:t>’</w:t>
      </w:r>
      <w:r w:rsidRPr="00E932DB">
        <w:rPr>
          <w:lang w:val="fr-CA"/>
        </w:rPr>
        <w:t>espèce, une procédure quasi criminelle est à l</w:t>
      </w:r>
      <w:r>
        <w:rPr>
          <w:lang w:val="fr-CA"/>
        </w:rPr>
        <w:t>’</w:t>
      </w:r>
      <w:r w:rsidRPr="00E932DB">
        <w:rPr>
          <w:lang w:val="fr-CA"/>
        </w:rPr>
        <w:t xml:space="preserve">origine du litige, et de façon générale, comme le souligne le ministère public, les dépens sont régis par des règles </w:t>
      </w:r>
      <w:proofErr w:type="gramStart"/>
      <w:r w:rsidRPr="00E932DB">
        <w:rPr>
          <w:lang w:val="fr-CA"/>
        </w:rPr>
        <w:t>fort</w:t>
      </w:r>
      <w:proofErr w:type="gramEnd"/>
      <w:r w:rsidRPr="00E932DB">
        <w:rPr>
          <w:lang w:val="fr-CA"/>
        </w:rPr>
        <w:t xml:space="preserve"> différentes selon qu</w:t>
      </w:r>
      <w:r>
        <w:rPr>
          <w:lang w:val="fr-CA"/>
        </w:rPr>
        <w:t>’</w:t>
      </w:r>
      <w:r w:rsidRPr="00E932DB">
        <w:rPr>
          <w:lang w:val="fr-CA"/>
        </w:rPr>
        <w:t>il s</w:t>
      </w:r>
      <w:r>
        <w:rPr>
          <w:lang w:val="fr-CA"/>
        </w:rPr>
        <w:t>’</w:t>
      </w:r>
      <w:r w:rsidRPr="00E932DB">
        <w:rPr>
          <w:lang w:val="fr-CA"/>
        </w:rPr>
        <w:t>agit d</w:t>
      </w:r>
      <w:r>
        <w:rPr>
          <w:lang w:val="fr-CA"/>
        </w:rPr>
        <w:t>’</w:t>
      </w:r>
      <w:r w:rsidRPr="00E932DB">
        <w:rPr>
          <w:lang w:val="fr-CA"/>
        </w:rPr>
        <w:t xml:space="preserve">affaires civiles ou criminelles.  </w:t>
      </w:r>
      <w:r w:rsidRPr="00E932DB">
        <w:rPr>
          <w:lang w:val="fr-CA"/>
        </w:rPr>
        <w:lastRenderedPageBreak/>
        <w:t>Deuxièmement, l</w:t>
      </w:r>
      <w:r>
        <w:rPr>
          <w:lang w:val="fr-CA"/>
        </w:rPr>
        <w:t>’</w:t>
      </w:r>
      <w:r w:rsidRPr="00E932DB">
        <w:rPr>
          <w:lang w:val="fr-CA"/>
        </w:rPr>
        <w:t xml:space="preserve">arrêt </w:t>
      </w:r>
      <w:proofErr w:type="spellStart"/>
      <w:r w:rsidRPr="00E932DB">
        <w:rPr>
          <w:i/>
          <w:iCs/>
          <w:lang w:val="fr-CA"/>
        </w:rPr>
        <w:t>Okanagan</w:t>
      </w:r>
      <w:proofErr w:type="spellEnd"/>
      <w:r w:rsidRPr="00E932DB">
        <w:rPr>
          <w:i/>
          <w:iCs/>
          <w:lang w:val="fr-CA"/>
        </w:rPr>
        <w:t xml:space="preserve"> </w:t>
      </w:r>
      <w:r w:rsidRPr="00E932DB">
        <w:rPr>
          <w:lang w:val="fr-CA"/>
        </w:rPr>
        <w:t>ne concernait pas l</w:t>
      </w:r>
      <w:r>
        <w:rPr>
          <w:lang w:val="fr-CA"/>
        </w:rPr>
        <w:t>’</w:t>
      </w:r>
      <w:r w:rsidRPr="00E932DB">
        <w:rPr>
          <w:lang w:val="fr-CA"/>
        </w:rPr>
        <w:t>exercice de la compétence inhérente de la cour, mais plutôt l</w:t>
      </w:r>
      <w:r>
        <w:rPr>
          <w:lang w:val="fr-CA"/>
        </w:rPr>
        <w:t>’</w:t>
      </w:r>
      <w:r w:rsidRPr="00E932DB">
        <w:rPr>
          <w:lang w:val="fr-CA"/>
        </w:rPr>
        <w:t xml:space="preserve">exercice, en </w:t>
      </w:r>
      <w:proofErr w:type="spellStart"/>
      <w:r w:rsidRPr="00E932DB">
        <w:rPr>
          <w:i/>
          <w:lang w:val="fr-CA"/>
        </w:rPr>
        <w:t>equity</w:t>
      </w:r>
      <w:proofErr w:type="spellEnd"/>
      <w:r w:rsidRPr="00E932DB">
        <w:rPr>
          <w:lang w:val="fr-CA"/>
        </w:rPr>
        <w:t>, d</w:t>
      </w:r>
      <w:r>
        <w:rPr>
          <w:lang w:val="fr-CA"/>
        </w:rPr>
        <w:t>’</w:t>
      </w:r>
      <w:r w:rsidRPr="00E932DB">
        <w:rPr>
          <w:lang w:val="fr-CA"/>
        </w:rPr>
        <w:t>un pouvoir conféré par la loi en matière de dépens.  Troisièmement, l</w:t>
      </w:r>
      <w:r>
        <w:rPr>
          <w:lang w:val="fr-CA"/>
        </w:rPr>
        <w:t>’</w:t>
      </w:r>
      <w:r w:rsidRPr="00E932DB">
        <w:rPr>
          <w:lang w:val="fr-CA"/>
        </w:rPr>
        <w:t xml:space="preserve">ordonnance initiale dans </w:t>
      </w:r>
      <w:proofErr w:type="spellStart"/>
      <w:r w:rsidRPr="00E932DB">
        <w:rPr>
          <w:i/>
          <w:iCs/>
          <w:lang w:val="fr-CA"/>
        </w:rPr>
        <w:t>Okanagan</w:t>
      </w:r>
      <w:proofErr w:type="spellEnd"/>
      <w:r w:rsidRPr="00E932DB">
        <w:rPr>
          <w:i/>
          <w:iCs/>
          <w:lang w:val="fr-CA"/>
        </w:rPr>
        <w:t xml:space="preserve"> </w:t>
      </w:r>
      <w:r w:rsidRPr="00E932DB">
        <w:rPr>
          <w:lang w:val="fr-CA"/>
        </w:rPr>
        <w:t>visait des procédures devant la cour ayant rendu l</w:t>
      </w:r>
      <w:r>
        <w:rPr>
          <w:lang w:val="fr-CA"/>
        </w:rPr>
        <w:t>’</w:t>
      </w:r>
      <w:r w:rsidRPr="00E932DB">
        <w:rPr>
          <w:lang w:val="fr-CA"/>
        </w:rPr>
        <w:t xml:space="preserve">ordonnance de provision pour frais, soit la cour supérieure de la </w:t>
      </w:r>
      <w:proofErr w:type="spellStart"/>
      <w:r w:rsidRPr="00E932DB">
        <w:rPr>
          <w:lang w:val="fr-CA"/>
        </w:rPr>
        <w:t>Colombie</w:t>
      </w:r>
      <w:r w:rsidRPr="00E932DB">
        <w:rPr>
          <w:lang w:val="fr-CA"/>
        </w:rPr>
        <w:noBreakHyphen/>
        <w:t>Britannique</w:t>
      </w:r>
      <w:proofErr w:type="spellEnd"/>
      <w:r w:rsidRPr="00E932DB">
        <w:rPr>
          <w:lang w:val="fr-CA"/>
        </w:rPr>
        <w:t>.  L</w:t>
      </w:r>
      <w:r>
        <w:rPr>
          <w:lang w:val="fr-CA"/>
        </w:rPr>
        <w:t>’</w:t>
      </w:r>
      <w:r w:rsidRPr="00E932DB">
        <w:rPr>
          <w:lang w:val="fr-CA"/>
        </w:rPr>
        <w:t>arrêt concernait l</w:t>
      </w:r>
      <w:r>
        <w:rPr>
          <w:lang w:val="fr-CA"/>
        </w:rPr>
        <w:t>’</w:t>
      </w:r>
      <w:r w:rsidRPr="00E932DB">
        <w:rPr>
          <w:lang w:val="fr-CA"/>
        </w:rPr>
        <w:t>octroi d</w:t>
      </w:r>
      <w:r>
        <w:rPr>
          <w:lang w:val="fr-CA"/>
        </w:rPr>
        <w:t>’</w:t>
      </w:r>
      <w:r w:rsidRPr="00E932DB">
        <w:rPr>
          <w:lang w:val="fr-CA"/>
        </w:rPr>
        <w:t>une provision pour frais à une partie demanderesse et non à un accusé.  Ces observations valent tout autant à l</w:t>
      </w:r>
      <w:r>
        <w:rPr>
          <w:lang w:val="fr-CA"/>
        </w:rPr>
        <w:t>’</w:t>
      </w:r>
      <w:r w:rsidRPr="00E932DB">
        <w:rPr>
          <w:lang w:val="fr-CA"/>
        </w:rPr>
        <w:t xml:space="preserve">égard de </w:t>
      </w:r>
      <w:proofErr w:type="spellStart"/>
      <w:r w:rsidRPr="00E932DB">
        <w:rPr>
          <w:i/>
          <w:iCs/>
          <w:lang w:val="fr-CA"/>
        </w:rPr>
        <w:t>Little</w:t>
      </w:r>
      <w:proofErr w:type="spellEnd"/>
      <w:r w:rsidRPr="00E932DB">
        <w:rPr>
          <w:i/>
          <w:iCs/>
          <w:lang w:val="fr-CA"/>
        </w:rPr>
        <w:t xml:space="preserve"> </w:t>
      </w:r>
      <w:proofErr w:type="spellStart"/>
      <w:r w:rsidRPr="00E932DB">
        <w:rPr>
          <w:i/>
          <w:iCs/>
          <w:lang w:val="fr-CA"/>
        </w:rPr>
        <w:t>Sisters</w:t>
      </w:r>
      <w:proofErr w:type="spellEnd"/>
      <w:r w:rsidRPr="00E932DB">
        <w:rPr>
          <w:i/>
          <w:iCs/>
          <w:lang w:val="fr-CA"/>
        </w:rPr>
        <w:t xml:space="preserve"> (n</w:t>
      </w:r>
      <w:r w:rsidRPr="00E932DB">
        <w:rPr>
          <w:i/>
          <w:iCs/>
          <w:vertAlign w:val="superscript"/>
          <w:lang w:val="fr-CA"/>
        </w:rPr>
        <w:t>o</w:t>
      </w:r>
      <w:r w:rsidRPr="00E932DB">
        <w:rPr>
          <w:i/>
          <w:iCs/>
          <w:lang w:val="fr-CA"/>
        </w:rPr>
        <w:t> 2)</w:t>
      </w:r>
      <w:r w:rsidRPr="00E932DB">
        <w:rPr>
          <w:lang w:val="fr-CA"/>
        </w:rPr>
        <w:t>.</w:t>
      </w:r>
    </w:p>
    <w:p w:rsidR="007D1503" w:rsidRPr="00E932DB" w:rsidRDefault="007D1503" w:rsidP="00EF00B0">
      <w:pPr>
        <w:pStyle w:val="ReasonsNumbering-AltN"/>
        <w:ind w:left="0" w:firstLine="0"/>
        <w:rPr>
          <w:lang w:val="fr-CA"/>
        </w:rPr>
      </w:pPr>
      <w:r w:rsidRPr="00E932DB">
        <w:rPr>
          <w:lang w:val="fr-CA"/>
        </w:rPr>
        <w:t>Le ministère public fait valoir que les tribunaux ne peuvent pas créer un autre régime d</w:t>
      </w:r>
      <w:r>
        <w:rPr>
          <w:lang w:val="fr-CA"/>
        </w:rPr>
        <w:t>’</w:t>
      </w:r>
      <w:r w:rsidRPr="00E932DB">
        <w:rPr>
          <w:lang w:val="fr-CA"/>
        </w:rPr>
        <w:t>aide juridique par décision judiciaire.  Il ajoute que les tribunaux ne peuvent non plus réinstaurer le Programme de contestation judiciaire.  Ces points sont en soi valides, mais à mon avis, ils ne dictent pas l</w:t>
      </w:r>
      <w:r>
        <w:rPr>
          <w:lang w:val="fr-CA"/>
        </w:rPr>
        <w:t>’</w:t>
      </w:r>
      <w:r w:rsidRPr="00E932DB">
        <w:rPr>
          <w:lang w:val="fr-CA"/>
        </w:rPr>
        <w:t>issue du pourvoi.</w:t>
      </w:r>
    </w:p>
    <w:p w:rsidR="007D1503" w:rsidRPr="00E932DB" w:rsidRDefault="007D1503" w:rsidP="00EF00B0">
      <w:pPr>
        <w:pStyle w:val="ReasonsNumbering-AltN"/>
        <w:ind w:left="0" w:firstLine="0"/>
        <w:rPr>
          <w:lang w:val="fr-CA"/>
        </w:rPr>
      </w:pPr>
      <w:r w:rsidRPr="00E932DB">
        <w:rPr>
          <w:lang w:val="fr-CA"/>
        </w:rPr>
        <w:t>Il est clair que les circonstances du présent pourvoi ne sont pas les mêmes que celles de l</w:t>
      </w:r>
      <w:r>
        <w:rPr>
          <w:lang w:val="fr-CA"/>
        </w:rPr>
        <w:t>’</w:t>
      </w:r>
      <w:r w:rsidRPr="00E932DB">
        <w:rPr>
          <w:lang w:val="fr-CA"/>
        </w:rPr>
        <w:t xml:space="preserve">arrêt </w:t>
      </w:r>
      <w:proofErr w:type="spellStart"/>
      <w:r w:rsidRPr="00E932DB">
        <w:rPr>
          <w:i/>
          <w:iCs/>
          <w:lang w:val="fr-CA"/>
        </w:rPr>
        <w:t>Okanagan</w:t>
      </w:r>
      <w:proofErr w:type="spellEnd"/>
      <w:r w:rsidRPr="00E932DB">
        <w:rPr>
          <w:i/>
          <w:iCs/>
          <w:lang w:val="fr-CA"/>
        </w:rPr>
        <w:t xml:space="preserve"> </w:t>
      </w:r>
      <w:r w:rsidRPr="00E932DB">
        <w:rPr>
          <w:lang w:val="fr-CA"/>
        </w:rPr>
        <w:t>où notre Cour a considéré la question du financement dans le contexte d</w:t>
      </w:r>
      <w:r>
        <w:rPr>
          <w:lang w:val="fr-CA"/>
        </w:rPr>
        <w:t>’</w:t>
      </w:r>
      <w:r w:rsidRPr="00E932DB">
        <w:rPr>
          <w:lang w:val="fr-CA"/>
        </w:rPr>
        <w:t>un recours civil non encore engagé.  Nous sommes saisis de la question du financement pour des raisons d</w:t>
      </w:r>
      <w:r>
        <w:rPr>
          <w:lang w:val="fr-CA"/>
        </w:rPr>
        <w:t>’</w:t>
      </w:r>
      <w:r w:rsidRPr="00E932DB">
        <w:rPr>
          <w:lang w:val="fr-CA"/>
        </w:rPr>
        <w:t xml:space="preserve">intérêt public dans une situation différente.  Les arrêts </w:t>
      </w:r>
      <w:proofErr w:type="spellStart"/>
      <w:r w:rsidRPr="00E932DB">
        <w:rPr>
          <w:i/>
          <w:iCs/>
          <w:lang w:val="fr-CA"/>
        </w:rPr>
        <w:t>Okanagan</w:t>
      </w:r>
      <w:proofErr w:type="spellEnd"/>
      <w:r w:rsidRPr="00E932DB">
        <w:rPr>
          <w:i/>
          <w:iCs/>
          <w:lang w:val="fr-CA"/>
        </w:rPr>
        <w:t xml:space="preserve"> </w:t>
      </w:r>
      <w:r w:rsidRPr="00E932DB">
        <w:rPr>
          <w:iCs/>
          <w:lang w:val="fr-CA"/>
        </w:rPr>
        <w:t>et</w:t>
      </w:r>
      <w:r w:rsidRPr="00E932DB">
        <w:rPr>
          <w:i/>
          <w:iCs/>
          <w:lang w:val="fr-CA"/>
        </w:rPr>
        <w:t xml:space="preserve"> </w:t>
      </w:r>
      <w:proofErr w:type="spellStart"/>
      <w:r w:rsidRPr="00E932DB">
        <w:rPr>
          <w:i/>
          <w:iCs/>
          <w:lang w:val="fr-CA"/>
        </w:rPr>
        <w:t>Little</w:t>
      </w:r>
      <w:proofErr w:type="spellEnd"/>
      <w:r w:rsidRPr="00E932DB">
        <w:rPr>
          <w:i/>
          <w:iCs/>
          <w:lang w:val="fr-CA"/>
        </w:rPr>
        <w:t xml:space="preserve"> </w:t>
      </w:r>
      <w:proofErr w:type="spellStart"/>
      <w:r w:rsidRPr="00E932DB">
        <w:rPr>
          <w:i/>
          <w:iCs/>
          <w:lang w:val="fr-CA"/>
        </w:rPr>
        <w:t>Sisters</w:t>
      </w:r>
      <w:proofErr w:type="spellEnd"/>
      <w:r w:rsidRPr="00E932DB">
        <w:rPr>
          <w:i/>
          <w:iCs/>
          <w:lang w:val="fr-CA"/>
        </w:rPr>
        <w:t xml:space="preserve"> (n</w:t>
      </w:r>
      <w:r w:rsidRPr="00E932DB">
        <w:rPr>
          <w:i/>
          <w:iCs/>
          <w:vertAlign w:val="superscript"/>
          <w:lang w:val="fr-CA"/>
        </w:rPr>
        <w:t>o</w:t>
      </w:r>
      <w:r w:rsidRPr="00E932DB">
        <w:rPr>
          <w:i/>
          <w:iCs/>
          <w:lang w:val="fr-CA"/>
        </w:rPr>
        <w:t xml:space="preserve"> 2) </w:t>
      </w:r>
      <w:r w:rsidRPr="00E932DB">
        <w:rPr>
          <w:lang w:val="fr-CA"/>
        </w:rPr>
        <w:t>fournissent néanmoins des indications importantes en ce qui concerne le paradigme relatif aux provisions pour frais octroyées pour des raisons d</w:t>
      </w:r>
      <w:r>
        <w:rPr>
          <w:lang w:val="fr-CA"/>
        </w:rPr>
        <w:t>’</w:t>
      </w:r>
      <w:r w:rsidRPr="00E932DB">
        <w:rPr>
          <w:lang w:val="fr-CA"/>
        </w:rPr>
        <w:t xml:space="preserve">intérêt public. </w:t>
      </w:r>
      <w:r>
        <w:rPr>
          <w:lang w:val="fr-CA"/>
        </w:rPr>
        <w:t xml:space="preserve"> </w:t>
      </w:r>
      <w:r w:rsidRPr="00E932DB">
        <w:rPr>
          <w:lang w:val="fr-CA"/>
        </w:rPr>
        <w:t>Dans ces arrêts, comme il ressort de l</w:t>
      </w:r>
      <w:r>
        <w:rPr>
          <w:lang w:val="fr-CA"/>
        </w:rPr>
        <w:t>’</w:t>
      </w:r>
      <w:r w:rsidRPr="00E932DB">
        <w:rPr>
          <w:lang w:val="fr-CA"/>
        </w:rPr>
        <w:t xml:space="preserve">examen </w:t>
      </w:r>
      <w:proofErr w:type="spellStart"/>
      <w:r w:rsidRPr="00E932DB">
        <w:rPr>
          <w:lang w:val="fr-CA"/>
        </w:rPr>
        <w:t>ci</w:t>
      </w:r>
      <w:r w:rsidRPr="00E932DB">
        <w:rPr>
          <w:lang w:val="fr-CA"/>
        </w:rPr>
        <w:noBreakHyphen/>
        <w:t>dessus</w:t>
      </w:r>
      <w:proofErr w:type="spellEnd"/>
      <w:r w:rsidRPr="00E932DB">
        <w:rPr>
          <w:lang w:val="fr-CA"/>
        </w:rPr>
        <w:t xml:space="preserve"> portant sur la compétence inhérente, l</w:t>
      </w:r>
      <w:r>
        <w:rPr>
          <w:lang w:val="fr-CA"/>
        </w:rPr>
        <w:t>’</w:t>
      </w:r>
      <w:r w:rsidRPr="00E932DB">
        <w:rPr>
          <w:lang w:val="fr-CA"/>
        </w:rPr>
        <w:t>objet fondamental de l</w:t>
      </w:r>
      <w:r>
        <w:rPr>
          <w:lang w:val="fr-CA"/>
        </w:rPr>
        <w:t>’</w:t>
      </w:r>
      <w:r w:rsidRPr="00E932DB">
        <w:rPr>
          <w:lang w:val="fr-CA"/>
        </w:rPr>
        <w:t>intervention judiciaire (et du même coup sa limite) consiste à faire uniquement ce qui est nécessaire pour éviter une injustice.</w:t>
      </w:r>
    </w:p>
    <w:p w:rsidR="007D1503" w:rsidRPr="00E932DB" w:rsidRDefault="007D1503" w:rsidP="00EF00B0">
      <w:pPr>
        <w:pStyle w:val="ReasonsNumbering-AltN"/>
        <w:ind w:left="0" w:firstLine="0"/>
        <w:rPr>
          <w:lang w:val="fr-CA"/>
        </w:rPr>
      </w:pPr>
      <w:r w:rsidRPr="00E932DB">
        <w:rPr>
          <w:lang w:val="fr-CA"/>
        </w:rPr>
        <w:lastRenderedPageBreak/>
        <w:t>Formulées par le juge </w:t>
      </w:r>
      <w:proofErr w:type="spellStart"/>
      <w:r w:rsidRPr="00E932DB">
        <w:rPr>
          <w:lang w:val="fr-CA"/>
        </w:rPr>
        <w:t>LeBel</w:t>
      </w:r>
      <w:proofErr w:type="spellEnd"/>
      <w:r w:rsidRPr="00E932DB">
        <w:rPr>
          <w:lang w:val="fr-CA"/>
        </w:rPr>
        <w:t xml:space="preserve"> au </w:t>
      </w:r>
      <w:r>
        <w:rPr>
          <w:lang w:val="fr-CA"/>
        </w:rPr>
        <w:t>par. </w:t>
      </w:r>
      <w:r w:rsidRPr="00E932DB">
        <w:rPr>
          <w:lang w:val="fr-CA"/>
        </w:rPr>
        <w:t>40 de l</w:t>
      </w:r>
      <w:r>
        <w:rPr>
          <w:lang w:val="fr-CA"/>
        </w:rPr>
        <w:t>’</w:t>
      </w:r>
      <w:r w:rsidRPr="00E932DB">
        <w:rPr>
          <w:lang w:val="fr-CA"/>
        </w:rPr>
        <w:t xml:space="preserve">arrêt </w:t>
      </w:r>
      <w:proofErr w:type="spellStart"/>
      <w:r w:rsidRPr="00E932DB">
        <w:rPr>
          <w:i/>
          <w:iCs/>
          <w:lang w:val="fr-CA"/>
        </w:rPr>
        <w:t>Okanagan</w:t>
      </w:r>
      <w:proofErr w:type="spellEnd"/>
      <w:r w:rsidRPr="00E932DB">
        <w:rPr>
          <w:lang w:val="fr-CA"/>
        </w:rPr>
        <w:t>,</w:t>
      </w:r>
      <w:r w:rsidRPr="00E932DB">
        <w:rPr>
          <w:i/>
          <w:iCs/>
          <w:lang w:val="fr-CA"/>
        </w:rPr>
        <w:t xml:space="preserve"> </w:t>
      </w:r>
      <w:r w:rsidRPr="00E932DB">
        <w:rPr>
          <w:iCs/>
          <w:lang w:val="fr-CA"/>
        </w:rPr>
        <w:t xml:space="preserve">les trois conditions </w:t>
      </w:r>
      <w:r w:rsidRPr="00E932DB">
        <w:rPr>
          <w:lang w:val="fr-CA"/>
        </w:rPr>
        <w:t>régissant l</w:t>
      </w:r>
      <w:r>
        <w:rPr>
          <w:lang w:val="fr-CA"/>
        </w:rPr>
        <w:t>’</w:t>
      </w:r>
      <w:r w:rsidRPr="00E932DB">
        <w:rPr>
          <w:lang w:val="fr-CA"/>
        </w:rPr>
        <w:t>octroi discrétionnaire de provisions pour frais sont les suivantes</w:t>
      </w:r>
      <w:r>
        <w:rPr>
          <w:lang w:val="fr-CA"/>
        </w:rPr>
        <w:t> :</w:t>
      </w:r>
    </w:p>
    <w:p w:rsidR="007D1503" w:rsidRPr="00E932DB" w:rsidRDefault="00DD5855" w:rsidP="00DD5855">
      <w:pPr>
        <w:pStyle w:val="Citation1"/>
        <w:tabs>
          <w:tab w:val="left" w:pos="1170"/>
        </w:tabs>
        <w:spacing w:after="240"/>
        <w:ind w:left="1627" w:hanging="1627"/>
        <w:contextualSpacing w:val="0"/>
        <w:rPr>
          <w:lang w:val="fr-CA"/>
        </w:rPr>
      </w:pPr>
      <w:r>
        <w:rPr>
          <w:lang w:val="fr-CA"/>
        </w:rPr>
        <w:tab/>
      </w:r>
      <w:r w:rsidR="0084124E">
        <w:rPr>
          <w:lang w:val="fr-CA"/>
        </w:rPr>
        <w:t>1.</w:t>
      </w:r>
      <w:r w:rsidR="0084124E">
        <w:rPr>
          <w:lang w:val="fr-CA"/>
        </w:rPr>
        <w:tab/>
      </w:r>
      <w:r w:rsidR="007D1503" w:rsidRPr="00E932DB">
        <w:rPr>
          <w:lang w:val="fr-CA"/>
        </w:rPr>
        <w:t>La partie qui demande une provision pour frais n</w:t>
      </w:r>
      <w:r w:rsidR="007D1503">
        <w:rPr>
          <w:lang w:val="fr-CA"/>
        </w:rPr>
        <w:t>’</w:t>
      </w:r>
      <w:r w:rsidR="007D1503" w:rsidRPr="00E932DB">
        <w:rPr>
          <w:lang w:val="fr-CA"/>
        </w:rPr>
        <w:t>a véritablement pas les moyens de payer les frais occasionnés par le litige et ne dispose réalistement d</w:t>
      </w:r>
      <w:r w:rsidR="007D1503">
        <w:rPr>
          <w:lang w:val="fr-CA"/>
        </w:rPr>
        <w:t>’</w:t>
      </w:r>
      <w:r w:rsidR="007D1503" w:rsidRPr="00E932DB">
        <w:rPr>
          <w:lang w:val="fr-CA"/>
        </w:rPr>
        <w:t xml:space="preserve">aucune autre source de financement lui permettant de soumettre les questions en cause au tribunal </w:t>
      </w:r>
      <w:r w:rsidR="007D1503">
        <w:rPr>
          <w:lang w:val="fr-CA"/>
        </w:rPr>
        <w:t>—</w:t>
      </w:r>
      <w:r w:rsidR="007D1503" w:rsidRPr="00E932DB">
        <w:rPr>
          <w:lang w:val="fr-CA"/>
        </w:rPr>
        <w:t xml:space="preserve"> bref, elle serait incapable d</w:t>
      </w:r>
      <w:r w:rsidR="007D1503">
        <w:rPr>
          <w:lang w:val="fr-CA"/>
        </w:rPr>
        <w:t>’</w:t>
      </w:r>
      <w:r w:rsidR="007D1503" w:rsidRPr="00E932DB">
        <w:rPr>
          <w:lang w:val="fr-CA"/>
        </w:rPr>
        <w:t>agir en justice sans l</w:t>
      </w:r>
      <w:r w:rsidR="007D1503">
        <w:rPr>
          <w:lang w:val="fr-CA"/>
        </w:rPr>
        <w:t>’</w:t>
      </w:r>
      <w:r w:rsidR="007D1503" w:rsidRPr="00E932DB">
        <w:rPr>
          <w:lang w:val="fr-CA"/>
        </w:rPr>
        <w:t>ordonnance.</w:t>
      </w:r>
    </w:p>
    <w:p w:rsidR="007D1503" w:rsidRPr="00E932DB" w:rsidRDefault="00DD5855" w:rsidP="00DD5855">
      <w:pPr>
        <w:pStyle w:val="Citation1"/>
        <w:tabs>
          <w:tab w:val="left" w:pos="1170"/>
        </w:tabs>
        <w:spacing w:after="240"/>
        <w:ind w:left="1627" w:hanging="1627"/>
        <w:contextualSpacing w:val="0"/>
        <w:rPr>
          <w:lang w:val="fr-CA"/>
        </w:rPr>
      </w:pPr>
      <w:r>
        <w:rPr>
          <w:lang w:val="fr-CA"/>
        </w:rPr>
        <w:tab/>
      </w:r>
      <w:r w:rsidR="0084124E">
        <w:rPr>
          <w:lang w:val="fr-CA"/>
        </w:rPr>
        <w:t>2.</w:t>
      </w:r>
      <w:r w:rsidR="0084124E">
        <w:rPr>
          <w:lang w:val="fr-CA"/>
        </w:rPr>
        <w:tab/>
      </w:r>
      <w:r w:rsidR="007D1503" w:rsidRPr="00E932DB">
        <w:rPr>
          <w:lang w:val="fr-CA"/>
        </w:rPr>
        <w:t xml:space="preserve">La demande vaut </w:t>
      </w:r>
      <w:r w:rsidR="007D1503" w:rsidRPr="00E932DB">
        <w:rPr>
          <w:i/>
          <w:iCs/>
          <w:lang w:val="fr-CA"/>
        </w:rPr>
        <w:t xml:space="preserve">prima </w:t>
      </w:r>
      <w:proofErr w:type="spellStart"/>
      <w:r w:rsidR="007D1503" w:rsidRPr="00E932DB">
        <w:rPr>
          <w:i/>
          <w:iCs/>
          <w:lang w:val="fr-CA"/>
        </w:rPr>
        <w:t>facie</w:t>
      </w:r>
      <w:proofErr w:type="spellEnd"/>
      <w:r w:rsidR="007D1503" w:rsidRPr="00E932DB">
        <w:rPr>
          <w:lang w:val="fr-CA"/>
        </w:rPr>
        <w:t xml:space="preserve"> d</w:t>
      </w:r>
      <w:r w:rsidR="007D1503">
        <w:rPr>
          <w:lang w:val="fr-CA"/>
        </w:rPr>
        <w:t>’</w:t>
      </w:r>
      <w:r w:rsidR="007D1503" w:rsidRPr="00E932DB">
        <w:rPr>
          <w:lang w:val="fr-CA"/>
        </w:rPr>
        <w:t>être instruite, c</w:t>
      </w:r>
      <w:r w:rsidR="007D1503">
        <w:rPr>
          <w:lang w:val="fr-CA"/>
        </w:rPr>
        <w:t>’</w:t>
      </w:r>
      <w:r w:rsidR="007D1503" w:rsidRPr="00E932DB">
        <w:rPr>
          <w:lang w:val="fr-CA"/>
        </w:rPr>
        <w:t>est</w:t>
      </w:r>
      <w:r w:rsidR="007D1503" w:rsidRPr="00E932DB">
        <w:rPr>
          <w:lang w:val="fr-CA"/>
        </w:rPr>
        <w:noBreakHyphen/>
      </w:r>
      <w:proofErr w:type="spellStart"/>
      <w:r w:rsidR="007D1503" w:rsidRPr="00E932DB">
        <w:rPr>
          <w:lang w:val="fr-CA"/>
        </w:rPr>
        <w:t>à</w:t>
      </w:r>
      <w:r w:rsidR="007D1503" w:rsidRPr="00E932DB">
        <w:rPr>
          <w:lang w:val="fr-CA"/>
        </w:rPr>
        <w:noBreakHyphen/>
        <w:t>dire</w:t>
      </w:r>
      <w:proofErr w:type="spellEnd"/>
      <w:r w:rsidR="007D1503" w:rsidRPr="00E932DB">
        <w:rPr>
          <w:lang w:val="fr-CA"/>
        </w:rPr>
        <w:t xml:space="preserve"> qu</w:t>
      </w:r>
      <w:r w:rsidR="007D1503">
        <w:rPr>
          <w:lang w:val="fr-CA"/>
        </w:rPr>
        <w:t>’</w:t>
      </w:r>
      <w:r w:rsidR="007D1503" w:rsidRPr="00E932DB">
        <w:rPr>
          <w:lang w:val="fr-CA"/>
        </w:rPr>
        <w:t>elle paraît au moins suffisamment valable et, de ce fait, il serait contraire aux intérêts de la justice que le plaideur renonce à agir en justice parce qu</w:t>
      </w:r>
      <w:r w:rsidR="007D1503">
        <w:rPr>
          <w:lang w:val="fr-CA"/>
        </w:rPr>
        <w:t>’</w:t>
      </w:r>
      <w:r w:rsidR="007D1503" w:rsidRPr="00E932DB">
        <w:rPr>
          <w:lang w:val="fr-CA"/>
        </w:rPr>
        <w:t>il n</w:t>
      </w:r>
      <w:r w:rsidR="007D1503">
        <w:rPr>
          <w:lang w:val="fr-CA"/>
        </w:rPr>
        <w:t>’</w:t>
      </w:r>
      <w:r w:rsidR="007D1503" w:rsidRPr="00E932DB">
        <w:rPr>
          <w:lang w:val="fr-CA"/>
        </w:rPr>
        <w:t>en a pas les moyens financiers.</w:t>
      </w:r>
    </w:p>
    <w:p w:rsidR="007D1503" w:rsidRPr="00E932DB" w:rsidRDefault="00DD5855" w:rsidP="00DD5855">
      <w:pPr>
        <w:pStyle w:val="Citation1"/>
        <w:tabs>
          <w:tab w:val="left" w:pos="1170"/>
        </w:tabs>
        <w:ind w:left="1627" w:hanging="1627"/>
        <w:rPr>
          <w:lang w:val="fr-CA"/>
        </w:rPr>
      </w:pPr>
      <w:r>
        <w:rPr>
          <w:lang w:val="fr-CA"/>
        </w:rPr>
        <w:tab/>
      </w:r>
      <w:r w:rsidR="0084124E">
        <w:rPr>
          <w:lang w:val="fr-CA"/>
        </w:rPr>
        <w:t>3.</w:t>
      </w:r>
      <w:r w:rsidR="0084124E">
        <w:rPr>
          <w:lang w:val="fr-CA"/>
        </w:rPr>
        <w:tab/>
      </w:r>
      <w:r w:rsidR="007D1503" w:rsidRPr="00E932DB">
        <w:rPr>
          <w:lang w:val="fr-CA"/>
        </w:rPr>
        <w:t>Les questions soulevées dépassent le cadre des intérêts du plaideur, revêtent une importance pour le public et n</w:t>
      </w:r>
      <w:r w:rsidR="007D1503">
        <w:rPr>
          <w:lang w:val="fr-CA"/>
        </w:rPr>
        <w:t>’</w:t>
      </w:r>
      <w:r w:rsidR="007D1503" w:rsidRPr="00E932DB">
        <w:rPr>
          <w:lang w:val="fr-CA"/>
        </w:rPr>
        <w:t>ont pas encore été tranchées.</w:t>
      </w:r>
    </w:p>
    <w:p w:rsidR="007D1503" w:rsidRPr="00E31014" w:rsidRDefault="007D1503" w:rsidP="007D1503">
      <w:pPr>
        <w:spacing w:after="480" w:line="480" w:lineRule="auto"/>
        <w:rPr>
          <w:lang w:val="fr-CA"/>
        </w:rPr>
      </w:pPr>
      <w:r w:rsidRPr="00E31014">
        <w:rPr>
          <w:lang w:val="fr-CA"/>
        </w:rPr>
        <w:t>Même le respect de ces trois conditions ne confère pas le « droit » d’obtenir une provision pour frais.  Comme l’ont dit les juges </w:t>
      </w:r>
      <w:proofErr w:type="spellStart"/>
      <w:r w:rsidRPr="00E31014">
        <w:rPr>
          <w:lang w:val="fr-CA"/>
        </w:rPr>
        <w:t>Bastarache</w:t>
      </w:r>
      <w:proofErr w:type="spellEnd"/>
      <w:r w:rsidRPr="00E31014">
        <w:rPr>
          <w:lang w:val="fr-CA"/>
        </w:rPr>
        <w:t xml:space="preserve"> et </w:t>
      </w:r>
      <w:proofErr w:type="spellStart"/>
      <w:r w:rsidRPr="00E31014">
        <w:rPr>
          <w:lang w:val="fr-CA"/>
        </w:rPr>
        <w:t>LeBel</w:t>
      </w:r>
      <w:proofErr w:type="spellEnd"/>
      <w:r w:rsidRPr="00E31014">
        <w:rPr>
          <w:lang w:val="fr-CA"/>
        </w:rPr>
        <w:t xml:space="preserve">, au nom de la majorité, dans </w:t>
      </w:r>
      <w:proofErr w:type="spellStart"/>
      <w:r w:rsidRPr="00E31014">
        <w:rPr>
          <w:i/>
          <w:iCs/>
          <w:lang w:val="fr-CA"/>
        </w:rPr>
        <w:t>Little</w:t>
      </w:r>
      <w:proofErr w:type="spellEnd"/>
      <w:r w:rsidRPr="00E31014">
        <w:rPr>
          <w:i/>
          <w:iCs/>
          <w:lang w:val="fr-CA"/>
        </w:rPr>
        <w:t xml:space="preserve"> </w:t>
      </w:r>
      <w:proofErr w:type="spellStart"/>
      <w:r w:rsidRPr="00E31014">
        <w:rPr>
          <w:i/>
          <w:iCs/>
          <w:lang w:val="fr-CA"/>
        </w:rPr>
        <w:t>Sisters</w:t>
      </w:r>
      <w:proofErr w:type="spellEnd"/>
      <w:r w:rsidRPr="00E31014">
        <w:rPr>
          <w:i/>
          <w:iCs/>
          <w:lang w:val="fr-CA"/>
        </w:rPr>
        <w:t xml:space="preserve"> (n</w:t>
      </w:r>
      <w:r w:rsidRPr="00E31014">
        <w:rPr>
          <w:i/>
          <w:iCs/>
          <w:vertAlign w:val="superscript"/>
          <w:lang w:val="fr-CA"/>
        </w:rPr>
        <w:t>o</w:t>
      </w:r>
      <w:r w:rsidRPr="00E31014">
        <w:rPr>
          <w:i/>
          <w:iCs/>
          <w:lang w:val="fr-CA"/>
        </w:rPr>
        <w:t> 2) </w:t>
      </w:r>
      <w:r w:rsidRPr="00E31014">
        <w:rPr>
          <w:iCs/>
          <w:lang w:val="fr-CA"/>
        </w:rPr>
        <w:t>:</w:t>
      </w:r>
    </w:p>
    <w:p w:rsidR="007D1503" w:rsidRPr="00E1584B" w:rsidRDefault="00DD5855" w:rsidP="00DD5855">
      <w:pPr>
        <w:pStyle w:val="Citation1"/>
        <w:tabs>
          <w:tab w:val="left" w:pos="1170"/>
        </w:tabs>
        <w:ind w:left="1170" w:hanging="1170"/>
        <w:contextualSpacing w:val="0"/>
        <w:rPr>
          <w:lang w:val="fr-CA"/>
        </w:rPr>
      </w:pPr>
      <w:r>
        <w:rPr>
          <w:lang w:val="fr-CA"/>
        </w:rPr>
        <w:tab/>
      </w:r>
      <w:r w:rsidR="007D1503" w:rsidRPr="00E1584B">
        <w:rPr>
          <w:lang w:val="fr-CA"/>
        </w:rPr>
        <w:t xml:space="preserve">En analysant ces conditions, le tribunal doit décider, eu égard à toutes les circonstances, </w:t>
      </w:r>
      <w:r w:rsidR="007D1503" w:rsidRPr="00E1584B">
        <w:rPr>
          <w:u w:val="single"/>
          <w:lang w:val="fr-CA"/>
        </w:rPr>
        <w:t>si l’affaire est si particulière qu’il serait contraire aux intérêts de la justice de rejeter la demande de provision pour frais</w:t>
      </w:r>
      <w:r w:rsidR="007D1503" w:rsidRPr="00E1584B">
        <w:rPr>
          <w:lang w:val="fr-CA"/>
        </w:rPr>
        <w:t xml:space="preserve">, ou s’il devrait envisager d’autres moyens de faciliter l’audition de l’affaire.  </w:t>
      </w:r>
      <w:r w:rsidR="007D1503" w:rsidRPr="00E1584B">
        <w:rPr>
          <w:u w:val="single"/>
          <w:lang w:val="fr-CA"/>
        </w:rPr>
        <w:t>Le pouvoir discrétionnaire</w:t>
      </w:r>
      <w:r w:rsidR="007D1503" w:rsidRPr="00E1584B">
        <w:rPr>
          <w:lang w:val="fr-CA"/>
        </w:rPr>
        <w:t xml:space="preserve"> du tribunal lui permet de tenir compte de tous les facteurs pertinents qui émanent des faits.  [Je souligne; </w:t>
      </w:r>
      <w:r w:rsidR="007D1503">
        <w:rPr>
          <w:lang w:val="fr-CA"/>
        </w:rPr>
        <w:t>par. </w:t>
      </w:r>
      <w:r w:rsidR="007D1503" w:rsidRPr="00E1584B">
        <w:rPr>
          <w:lang w:val="fr-CA"/>
        </w:rPr>
        <w:t>37.]</w:t>
      </w:r>
    </w:p>
    <w:p w:rsidR="007D1503" w:rsidRPr="00E31014" w:rsidRDefault="007D1503" w:rsidP="007D1503">
      <w:pPr>
        <w:pStyle w:val="SCCNormalDoubleSpacing"/>
        <w:spacing w:after="480"/>
        <w:rPr>
          <w:lang w:val="fr-CA"/>
        </w:rPr>
      </w:pPr>
      <w:r w:rsidRPr="00E31014">
        <w:rPr>
          <w:lang w:val="fr-CA"/>
        </w:rPr>
        <w:t xml:space="preserve">Bien que ces conditions aient été énoncées dans le contexte fort différent des arrêts </w:t>
      </w:r>
      <w:proofErr w:type="spellStart"/>
      <w:r w:rsidRPr="00E31014">
        <w:rPr>
          <w:i/>
          <w:iCs/>
          <w:lang w:val="fr-CA"/>
        </w:rPr>
        <w:t>Okanagan</w:t>
      </w:r>
      <w:proofErr w:type="spellEnd"/>
      <w:r w:rsidRPr="00E31014">
        <w:rPr>
          <w:lang w:val="fr-CA"/>
        </w:rPr>
        <w:t xml:space="preserve"> et </w:t>
      </w:r>
      <w:proofErr w:type="spellStart"/>
      <w:r w:rsidRPr="00E31014">
        <w:rPr>
          <w:i/>
          <w:iCs/>
          <w:lang w:val="fr-CA"/>
        </w:rPr>
        <w:t>Little</w:t>
      </w:r>
      <w:proofErr w:type="spellEnd"/>
      <w:r w:rsidRPr="00E31014">
        <w:rPr>
          <w:i/>
          <w:iCs/>
          <w:lang w:val="fr-CA"/>
        </w:rPr>
        <w:t xml:space="preserve"> </w:t>
      </w:r>
      <w:proofErr w:type="spellStart"/>
      <w:r w:rsidRPr="00E31014">
        <w:rPr>
          <w:i/>
          <w:iCs/>
          <w:lang w:val="fr-CA"/>
        </w:rPr>
        <w:t>Sisters</w:t>
      </w:r>
      <w:proofErr w:type="spellEnd"/>
      <w:r w:rsidRPr="00E31014">
        <w:rPr>
          <w:i/>
          <w:iCs/>
          <w:lang w:val="fr-CA"/>
        </w:rPr>
        <w:t xml:space="preserve"> (n</w:t>
      </w:r>
      <w:r w:rsidRPr="00E31014">
        <w:rPr>
          <w:i/>
          <w:iCs/>
          <w:vertAlign w:val="superscript"/>
          <w:lang w:val="fr-CA"/>
        </w:rPr>
        <w:t>o</w:t>
      </w:r>
      <w:r w:rsidRPr="00E31014">
        <w:rPr>
          <w:i/>
          <w:iCs/>
          <w:lang w:val="fr-CA"/>
        </w:rPr>
        <w:t> 2)</w:t>
      </w:r>
      <w:r w:rsidRPr="00E31014">
        <w:rPr>
          <w:lang w:val="fr-CA"/>
        </w:rPr>
        <w:t xml:space="preserve">, je suis d’avis qu’elles s’appliquent aussi lorsqu’il </w:t>
      </w:r>
      <w:r w:rsidRPr="00E31014">
        <w:rPr>
          <w:lang w:val="fr-CA"/>
        </w:rPr>
        <w:lastRenderedPageBreak/>
        <w:t xml:space="preserve">s’agit de décider si l’ordonnance de provision pour frais de la Cour du Banc de la Reine était nécessaire pour permettre à la cour provinciale de </w:t>
      </w:r>
      <w:r w:rsidR="00A027FA">
        <w:rPr>
          <w:lang w:val="fr-CA"/>
        </w:rPr>
        <w:t>[</w:t>
      </w:r>
      <w:r w:rsidR="00A027FA">
        <w:rPr>
          <w:smallCaps/>
          <w:lang w:val="fr-CA"/>
        </w:rPr>
        <w:t>traduction</w:t>
      </w:r>
      <w:r w:rsidR="00A027FA">
        <w:rPr>
          <w:lang w:val="fr-CA"/>
        </w:rPr>
        <w:t xml:space="preserve">] </w:t>
      </w:r>
      <w:r w:rsidRPr="00E31014">
        <w:rPr>
          <w:lang w:val="fr-CA"/>
        </w:rPr>
        <w:t>« s’acquitter intégralement et efficacement de son mandat d’administrer la justice », et si, en conséquence, la cour supérieure avait le pouvoir inhérent d’intervenir comme elle l’a fait.</w:t>
      </w:r>
    </w:p>
    <w:p w:rsidR="007D1503" w:rsidRPr="00E932DB" w:rsidRDefault="007D1503" w:rsidP="00A027FA">
      <w:pPr>
        <w:pStyle w:val="ReasonsNumbering-AltN"/>
        <w:numPr>
          <w:ilvl w:val="0"/>
          <w:numId w:val="0"/>
        </w:numPr>
        <w:rPr>
          <w:i/>
          <w:iCs/>
          <w:lang w:val="fr-CA"/>
        </w:rPr>
      </w:pPr>
      <w:r>
        <w:rPr>
          <w:lang w:val="fr-CA"/>
        </w:rPr>
        <w:t>C.</w:t>
      </w:r>
      <w:r w:rsidR="00DD5855">
        <w:rPr>
          <w:lang w:val="fr-CA"/>
        </w:rPr>
        <w:tab/>
      </w:r>
      <w:r w:rsidRPr="00E932DB">
        <w:rPr>
          <w:i/>
          <w:iCs/>
          <w:lang w:val="fr-CA"/>
        </w:rPr>
        <w:t>Application aux faits de l</w:t>
      </w:r>
      <w:r>
        <w:rPr>
          <w:i/>
          <w:iCs/>
          <w:lang w:val="fr-CA"/>
        </w:rPr>
        <w:t>’</w:t>
      </w:r>
      <w:r w:rsidRPr="00E932DB">
        <w:rPr>
          <w:i/>
          <w:iCs/>
          <w:lang w:val="fr-CA"/>
        </w:rPr>
        <w:t>espèce du critère relatif à la provision pour frais octroyée po</w:t>
      </w:r>
      <w:r>
        <w:rPr>
          <w:i/>
          <w:iCs/>
          <w:lang w:val="fr-CA"/>
        </w:rPr>
        <w:t>ur des raisons d’intérêt public</w:t>
      </w:r>
    </w:p>
    <w:p w:rsidR="007D1503" w:rsidRPr="00E932DB" w:rsidRDefault="007D1503" w:rsidP="00EF00B0">
      <w:pPr>
        <w:pStyle w:val="ReasonsNumbering-AltN"/>
        <w:ind w:left="0" w:firstLine="0"/>
        <w:rPr>
          <w:lang w:val="fr-CA"/>
        </w:rPr>
      </w:pPr>
      <w:r w:rsidRPr="00E932DB">
        <w:rPr>
          <w:lang w:val="fr-CA"/>
        </w:rPr>
        <w:t>Les juridictions inférieures ont appliqué chacune des conditions susmentionnées.</w:t>
      </w:r>
    </w:p>
    <w:p w:rsidR="007D1503" w:rsidRPr="00DD5855" w:rsidRDefault="007D1503" w:rsidP="00DD5855">
      <w:pPr>
        <w:keepNext/>
        <w:tabs>
          <w:tab w:val="left" w:pos="-1440"/>
          <w:tab w:val="left" w:pos="-720"/>
          <w:tab w:val="left" w:pos="0"/>
          <w:tab w:val="left" w:pos="1152"/>
          <w:tab w:val="left" w:pos="1620"/>
          <w:tab w:val="left" w:pos="1843"/>
          <w:tab w:val="left" w:pos="2261"/>
          <w:tab w:val="left" w:pos="6480"/>
        </w:tabs>
        <w:spacing w:after="720"/>
        <w:rPr>
          <w:lang w:val="fr-CA"/>
        </w:rPr>
      </w:pPr>
      <w:r w:rsidRPr="00E31014">
        <w:rPr>
          <w:lang w:val="fr-CA"/>
        </w:rPr>
        <w:tab/>
      </w:r>
      <w:r w:rsidRPr="00DD5855">
        <w:rPr>
          <w:lang w:val="fr-CA"/>
        </w:rPr>
        <w:t>(1)</w:t>
      </w:r>
      <w:r w:rsidR="00DD5855">
        <w:rPr>
          <w:lang w:val="fr-CA"/>
        </w:rPr>
        <w:tab/>
      </w:r>
      <w:r w:rsidRPr="00DD5855">
        <w:rPr>
          <w:u w:val="single"/>
          <w:lang w:val="fr-CA"/>
        </w:rPr>
        <w:t>Plaideur impécunieux</w:t>
      </w:r>
    </w:p>
    <w:p w:rsidR="007D1503" w:rsidRPr="00E932DB" w:rsidRDefault="007D1503" w:rsidP="00EF00B0">
      <w:pPr>
        <w:pStyle w:val="ReasonsNumbering-AltN"/>
        <w:ind w:left="0" w:firstLine="0"/>
        <w:rPr>
          <w:lang w:val="fr-CA"/>
        </w:rPr>
      </w:pPr>
      <w:r w:rsidRPr="00E932DB">
        <w:rPr>
          <w:lang w:val="fr-CA"/>
        </w:rPr>
        <w:t xml:space="preserve">En ce qui concerne la situation financière de </w:t>
      </w:r>
      <w:r>
        <w:rPr>
          <w:lang w:val="fr-CA"/>
        </w:rPr>
        <w:t>M. Caron</w:t>
      </w:r>
      <w:r w:rsidRPr="00E932DB">
        <w:rPr>
          <w:lang w:val="fr-CA"/>
        </w:rPr>
        <w:t>, le juge de la cour supérieure a conclu que, bien qu</w:t>
      </w:r>
      <w:r>
        <w:rPr>
          <w:lang w:val="fr-CA"/>
        </w:rPr>
        <w:t>’</w:t>
      </w:r>
      <w:r w:rsidRPr="00E932DB">
        <w:rPr>
          <w:lang w:val="fr-CA"/>
        </w:rPr>
        <w:t>il ait été prêt à dépenser, jusqu</w:t>
      </w:r>
      <w:r>
        <w:rPr>
          <w:lang w:val="fr-CA"/>
        </w:rPr>
        <w:t>’</w:t>
      </w:r>
      <w:r w:rsidRPr="00E932DB">
        <w:rPr>
          <w:lang w:val="fr-CA"/>
        </w:rPr>
        <w:t>à la limite, ses fonds personnels et les sommes qu</w:t>
      </w:r>
      <w:r>
        <w:rPr>
          <w:lang w:val="fr-CA"/>
        </w:rPr>
        <w:t>’</w:t>
      </w:r>
      <w:r w:rsidRPr="00E932DB">
        <w:rPr>
          <w:lang w:val="fr-CA"/>
        </w:rPr>
        <w:t>il avait empruntées (ainsi que l</w:t>
      </w:r>
      <w:r>
        <w:rPr>
          <w:lang w:val="fr-CA"/>
        </w:rPr>
        <w:t>’</w:t>
      </w:r>
      <w:r w:rsidRPr="00E932DB">
        <w:rPr>
          <w:lang w:val="fr-CA"/>
        </w:rPr>
        <w:t>argent provenant du Progra</w:t>
      </w:r>
      <w:r>
        <w:rPr>
          <w:lang w:val="fr-CA"/>
        </w:rPr>
        <w:t>mme de contestation judiciaire) —</w:t>
      </w:r>
      <w:r w:rsidRPr="00E932DB">
        <w:rPr>
          <w:lang w:val="fr-CA"/>
        </w:rPr>
        <w:t xml:space="preserve"> ce qu</w:t>
      </w:r>
      <w:r>
        <w:rPr>
          <w:lang w:val="fr-CA"/>
        </w:rPr>
        <w:t>’</w:t>
      </w:r>
      <w:r w:rsidRPr="00E932DB">
        <w:rPr>
          <w:lang w:val="fr-CA"/>
        </w:rPr>
        <w:t>il a d</w:t>
      </w:r>
      <w:r>
        <w:rPr>
          <w:lang w:val="fr-CA"/>
        </w:rPr>
        <w:t>’ailleurs fait —</w:t>
      </w:r>
      <w:r w:rsidRPr="00E932DB">
        <w:rPr>
          <w:lang w:val="fr-CA"/>
        </w:rPr>
        <w:t xml:space="preserve">, </w:t>
      </w:r>
      <w:r>
        <w:rPr>
          <w:lang w:val="fr-CA"/>
        </w:rPr>
        <w:t>M. Caron</w:t>
      </w:r>
      <w:r w:rsidRPr="00E932DB">
        <w:rPr>
          <w:lang w:val="fr-CA"/>
        </w:rPr>
        <w:t xml:space="preserve"> avait épuisé ses ressources au moment où il a présenté ses demandes de provision pour frais.  Il n</w:t>
      </w:r>
      <w:r>
        <w:rPr>
          <w:lang w:val="fr-CA"/>
        </w:rPr>
        <w:t>’</w:t>
      </w:r>
      <w:r w:rsidRPr="00E932DB">
        <w:rPr>
          <w:lang w:val="fr-CA"/>
        </w:rPr>
        <w:t xml:space="preserve">était pas en mesure de financer la dernière étape de son long procès.  Le ministère public soutient que </w:t>
      </w:r>
      <w:r>
        <w:rPr>
          <w:lang w:val="fr-CA"/>
        </w:rPr>
        <w:t>M. Caron</w:t>
      </w:r>
      <w:r w:rsidRPr="00E932DB">
        <w:rPr>
          <w:lang w:val="fr-CA"/>
        </w:rPr>
        <w:t xml:space="preserve"> aurait dû faire une campagne de financement plus musclée, particulièrement au sein de la communauté francophone de l</w:t>
      </w:r>
      <w:r>
        <w:rPr>
          <w:lang w:val="fr-CA"/>
        </w:rPr>
        <w:t>’</w:t>
      </w:r>
      <w:r w:rsidRPr="00E932DB">
        <w:rPr>
          <w:lang w:val="fr-CA"/>
        </w:rPr>
        <w:t xml:space="preserve">Alberta.  Le juge de la Cour du Banc de la Reine a au contraire été impressionné par la </w:t>
      </w:r>
      <w:r>
        <w:rPr>
          <w:lang w:val="fr-CA"/>
        </w:rPr>
        <w:t>« </w:t>
      </w:r>
      <w:r w:rsidRPr="00E932DB">
        <w:rPr>
          <w:lang w:val="fr-CA"/>
        </w:rPr>
        <w:t xml:space="preserve">façon </w:t>
      </w:r>
      <w:r w:rsidRPr="00E932DB">
        <w:rPr>
          <w:lang w:val="fr-CA"/>
        </w:rPr>
        <w:lastRenderedPageBreak/>
        <w:t>responsable</w:t>
      </w:r>
      <w:r>
        <w:rPr>
          <w:lang w:val="fr-CA"/>
        </w:rPr>
        <w:t> »</w:t>
      </w:r>
      <w:r w:rsidRPr="00E932DB">
        <w:rPr>
          <w:lang w:val="fr-CA"/>
        </w:rPr>
        <w:t xml:space="preserve"> dont </w:t>
      </w:r>
      <w:r>
        <w:rPr>
          <w:lang w:val="fr-CA"/>
        </w:rPr>
        <w:t>M. Caron</w:t>
      </w:r>
      <w:r w:rsidRPr="00E932DB">
        <w:rPr>
          <w:lang w:val="fr-CA"/>
        </w:rPr>
        <w:t xml:space="preserve"> s</w:t>
      </w:r>
      <w:r>
        <w:rPr>
          <w:lang w:val="fr-CA"/>
        </w:rPr>
        <w:t>’</w:t>
      </w:r>
      <w:r w:rsidRPr="00E932DB">
        <w:rPr>
          <w:lang w:val="fr-CA"/>
        </w:rPr>
        <w:t>y est pris pour rassembler des fonds en vue de ce qui risquait d</w:t>
      </w:r>
      <w:r>
        <w:rPr>
          <w:lang w:val="fr-CA"/>
        </w:rPr>
        <w:t>’</w:t>
      </w:r>
      <w:r w:rsidRPr="00E932DB">
        <w:rPr>
          <w:lang w:val="fr-CA"/>
        </w:rPr>
        <w:t>être un long procès, ponctué de remises imprévues.  Toutefois, au fur et à mesure que la preuve d</w:t>
      </w:r>
      <w:r>
        <w:rPr>
          <w:lang w:val="fr-CA"/>
        </w:rPr>
        <w:t>’</w:t>
      </w:r>
      <w:r w:rsidRPr="00E932DB">
        <w:rPr>
          <w:lang w:val="fr-CA"/>
        </w:rPr>
        <w:t>expert a pris de l</w:t>
      </w:r>
      <w:r>
        <w:rPr>
          <w:lang w:val="fr-CA"/>
        </w:rPr>
        <w:t>’</w:t>
      </w:r>
      <w:r w:rsidRPr="00E932DB">
        <w:rPr>
          <w:lang w:val="fr-CA"/>
        </w:rPr>
        <w:t>ampleur, une collecte de fonds officielle n</w:t>
      </w:r>
      <w:r>
        <w:rPr>
          <w:lang w:val="fr-CA"/>
        </w:rPr>
        <w:t>’</w:t>
      </w:r>
      <w:r w:rsidRPr="00E932DB">
        <w:rPr>
          <w:lang w:val="fr-CA"/>
        </w:rPr>
        <w:t xml:space="preserve">était plus </w:t>
      </w:r>
      <w:r>
        <w:rPr>
          <w:lang w:val="fr-CA"/>
        </w:rPr>
        <w:t>« </w:t>
      </w:r>
      <w:r w:rsidRPr="00E932DB">
        <w:rPr>
          <w:lang w:val="fr-CA"/>
        </w:rPr>
        <w:t>vraiment possible</w:t>
      </w:r>
      <w:r>
        <w:rPr>
          <w:lang w:val="fr-CA"/>
        </w:rPr>
        <w:t> »</w:t>
      </w:r>
      <w:r w:rsidRPr="00E932DB">
        <w:rPr>
          <w:lang w:val="fr-CA"/>
        </w:rPr>
        <w:t xml:space="preserve"> étant donné l</w:t>
      </w:r>
      <w:r>
        <w:rPr>
          <w:lang w:val="fr-CA"/>
        </w:rPr>
        <w:t>’</w:t>
      </w:r>
      <w:r w:rsidRPr="00E932DB">
        <w:rPr>
          <w:lang w:val="fr-CA"/>
        </w:rPr>
        <w:t>échéancier et les exigences du procès (</w:t>
      </w:r>
      <w:r>
        <w:rPr>
          <w:lang w:val="fr-CA"/>
        </w:rPr>
        <w:t xml:space="preserve">2007 ABQB </w:t>
      </w:r>
      <w:r w:rsidRPr="00E932DB">
        <w:rPr>
          <w:lang w:val="fr-CA"/>
        </w:rPr>
        <w:t>632,</w:t>
      </w:r>
      <w:r w:rsidR="00A027FA">
        <w:rPr>
          <w:lang w:val="fr-CA"/>
        </w:rPr>
        <w:t xml:space="preserve"> [2007] A.J. No. 1166 (QL),</w:t>
      </w:r>
      <w:r w:rsidRPr="00E932DB">
        <w:rPr>
          <w:lang w:val="fr-CA"/>
        </w:rPr>
        <w:t xml:space="preserve"> </w:t>
      </w:r>
      <w:r>
        <w:rPr>
          <w:lang w:val="fr-CA"/>
        </w:rPr>
        <w:t>par. </w:t>
      </w:r>
      <w:r w:rsidRPr="00E932DB">
        <w:rPr>
          <w:lang w:val="fr-CA"/>
        </w:rPr>
        <w:t>30).  Le juge de la Cour du Banc de la Reine s</w:t>
      </w:r>
      <w:r>
        <w:rPr>
          <w:lang w:val="fr-CA"/>
        </w:rPr>
        <w:t>’</w:t>
      </w:r>
      <w:r w:rsidRPr="00E932DB">
        <w:rPr>
          <w:lang w:val="fr-CA"/>
        </w:rPr>
        <w:t xml:space="preserve">est dit </w:t>
      </w:r>
      <w:r>
        <w:rPr>
          <w:lang w:val="fr-CA"/>
        </w:rPr>
        <w:t>« </w:t>
      </w:r>
      <w:r w:rsidRPr="00E932DB">
        <w:rPr>
          <w:lang w:val="fr-CA"/>
        </w:rPr>
        <w:t xml:space="preserve">satisfait que </w:t>
      </w:r>
      <w:r>
        <w:rPr>
          <w:lang w:val="fr-CA"/>
        </w:rPr>
        <w:t>M. Caron</w:t>
      </w:r>
      <w:r w:rsidRPr="00E932DB">
        <w:rPr>
          <w:lang w:val="fr-CA"/>
        </w:rPr>
        <w:t xml:space="preserve"> </w:t>
      </w:r>
      <w:proofErr w:type="gramStart"/>
      <w:r w:rsidRPr="00E932DB">
        <w:rPr>
          <w:lang w:val="fr-CA"/>
        </w:rPr>
        <w:t>n</w:t>
      </w:r>
      <w:r>
        <w:rPr>
          <w:lang w:val="fr-CA"/>
        </w:rPr>
        <w:t>’</w:t>
      </w:r>
      <w:r w:rsidRPr="00E932DB">
        <w:rPr>
          <w:lang w:val="fr-CA"/>
        </w:rPr>
        <w:t>[</w:t>
      </w:r>
      <w:proofErr w:type="gramEnd"/>
      <w:r w:rsidRPr="00E932DB">
        <w:rPr>
          <w:lang w:val="fr-CA"/>
        </w:rPr>
        <w:t>avait] véritablement pas les moyens de payer les frais occasionnés par ce litige et que toutes autres possibilités de financement [avaient] été étudiées, mais en vain</w:t>
      </w:r>
      <w:r>
        <w:rPr>
          <w:lang w:val="fr-CA"/>
        </w:rPr>
        <w:t> »</w:t>
      </w:r>
      <w:r w:rsidRPr="00E932DB">
        <w:rPr>
          <w:lang w:val="fr-CA"/>
        </w:rPr>
        <w:t xml:space="preserve"> (</w:t>
      </w:r>
      <w:r>
        <w:rPr>
          <w:lang w:val="fr-CA"/>
        </w:rPr>
        <w:t>par. </w:t>
      </w:r>
      <w:r w:rsidRPr="00E932DB">
        <w:rPr>
          <w:lang w:val="fr-CA"/>
        </w:rPr>
        <w:t>31).  L</w:t>
      </w:r>
      <w:r>
        <w:rPr>
          <w:lang w:val="fr-CA"/>
        </w:rPr>
        <w:t>’</w:t>
      </w:r>
      <w:r w:rsidRPr="00E932DB">
        <w:rPr>
          <w:lang w:val="fr-CA"/>
        </w:rPr>
        <w:t>objection du ministère public à cet égard n</w:t>
      </w:r>
      <w:r>
        <w:rPr>
          <w:lang w:val="fr-CA"/>
        </w:rPr>
        <w:t>’</w:t>
      </w:r>
      <w:r w:rsidRPr="00E932DB">
        <w:rPr>
          <w:lang w:val="fr-CA"/>
        </w:rPr>
        <w:t>a pas été acceptée par les juridictions inférieures, et ces dernières n</w:t>
      </w:r>
      <w:r>
        <w:rPr>
          <w:lang w:val="fr-CA"/>
        </w:rPr>
        <w:t>’</w:t>
      </w:r>
      <w:r w:rsidRPr="00E932DB">
        <w:rPr>
          <w:lang w:val="fr-CA"/>
        </w:rPr>
        <w:t>ont commis aucune erreur manifeste en concluant comme elles l</w:t>
      </w:r>
      <w:r>
        <w:rPr>
          <w:lang w:val="fr-CA"/>
        </w:rPr>
        <w:t>’</w:t>
      </w:r>
      <w:r w:rsidRPr="00E932DB">
        <w:rPr>
          <w:lang w:val="fr-CA"/>
        </w:rPr>
        <w:t>ont fait.</w:t>
      </w:r>
    </w:p>
    <w:p w:rsidR="007D1503" w:rsidRPr="00E31014" w:rsidRDefault="007D1503" w:rsidP="00DD5855">
      <w:pPr>
        <w:keepNext/>
        <w:tabs>
          <w:tab w:val="left" w:pos="1170"/>
          <w:tab w:val="left" w:pos="1620"/>
        </w:tabs>
        <w:spacing w:after="720"/>
        <w:rPr>
          <w:u w:val="single"/>
          <w:lang w:val="fr-CA"/>
        </w:rPr>
      </w:pPr>
      <w:r w:rsidRPr="00E31014">
        <w:rPr>
          <w:lang w:val="fr-CA"/>
        </w:rPr>
        <w:tab/>
        <w:t>(2)</w:t>
      </w:r>
      <w:r w:rsidR="00DD5855">
        <w:rPr>
          <w:lang w:val="fr-CA"/>
        </w:rPr>
        <w:tab/>
      </w:r>
      <w:r w:rsidRPr="00E31014">
        <w:rPr>
          <w:u w:val="single"/>
          <w:lang w:val="fr-CA"/>
        </w:rPr>
        <w:t xml:space="preserve">L’affaire vaut </w:t>
      </w:r>
      <w:r w:rsidRPr="00E31014">
        <w:rPr>
          <w:i/>
          <w:u w:val="single"/>
          <w:lang w:val="fr-CA"/>
        </w:rPr>
        <w:t>p</w:t>
      </w:r>
      <w:r w:rsidRPr="00E31014">
        <w:rPr>
          <w:i/>
          <w:iCs/>
          <w:u w:val="single"/>
          <w:lang w:val="fr-CA"/>
        </w:rPr>
        <w:t xml:space="preserve">rima </w:t>
      </w:r>
      <w:proofErr w:type="spellStart"/>
      <w:r w:rsidRPr="00E31014">
        <w:rPr>
          <w:i/>
          <w:iCs/>
          <w:u w:val="single"/>
          <w:lang w:val="fr-CA"/>
        </w:rPr>
        <w:t>facie</w:t>
      </w:r>
      <w:proofErr w:type="spellEnd"/>
      <w:r w:rsidRPr="00E31014">
        <w:rPr>
          <w:u w:val="single"/>
          <w:lang w:val="fr-CA"/>
        </w:rPr>
        <w:t xml:space="preserve"> d’être instruite</w:t>
      </w:r>
    </w:p>
    <w:p w:rsidR="007D1503" w:rsidRPr="00E932DB" w:rsidRDefault="007D1503" w:rsidP="00EF00B0">
      <w:pPr>
        <w:pStyle w:val="ReasonsNumbering-AltN"/>
        <w:ind w:left="0" w:firstLine="0"/>
        <w:rPr>
          <w:lang w:val="fr-CA"/>
        </w:rPr>
      </w:pPr>
      <w:r w:rsidRPr="00E932DB">
        <w:rPr>
          <w:lang w:val="fr-CA"/>
        </w:rPr>
        <w:t>L</w:t>
      </w:r>
      <w:r>
        <w:rPr>
          <w:lang w:val="fr-CA"/>
        </w:rPr>
        <w:t>’</w:t>
      </w:r>
      <w:r w:rsidRPr="00E932DB">
        <w:rPr>
          <w:lang w:val="fr-CA"/>
        </w:rPr>
        <w:t>ordonnance de provision pour frais en l</w:t>
      </w:r>
      <w:r>
        <w:rPr>
          <w:lang w:val="fr-CA"/>
        </w:rPr>
        <w:t>’</w:t>
      </w:r>
      <w:r w:rsidRPr="00E932DB">
        <w:rPr>
          <w:lang w:val="fr-CA"/>
        </w:rPr>
        <w:t>espèce ne préjugeait pas de l</w:t>
      </w:r>
      <w:r>
        <w:rPr>
          <w:lang w:val="fr-CA"/>
        </w:rPr>
        <w:t>’</w:t>
      </w:r>
      <w:r w:rsidRPr="00E932DB">
        <w:rPr>
          <w:lang w:val="fr-CA"/>
        </w:rPr>
        <w:t xml:space="preserve">issue du litige.  </w:t>
      </w:r>
      <w:r>
        <w:rPr>
          <w:lang w:val="fr-CA"/>
        </w:rPr>
        <w:t>M. Caron</w:t>
      </w:r>
      <w:r w:rsidRPr="00E932DB">
        <w:rPr>
          <w:lang w:val="fr-CA"/>
        </w:rPr>
        <w:t xml:space="preserve"> a</w:t>
      </w:r>
      <w:r>
        <w:rPr>
          <w:lang w:val="fr-CA"/>
        </w:rPr>
        <w:t xml:space="preserve"> toutefois</w:t>
      </w:r>
      <w:r w:rsidRPr="00E932DB">
        <w:rPr>
          <w:lang w:val="fr-CA"/>
        </w:rPr>
        <w:t xml:space="preserve"> convaincu les tribunaux albertains que sa contestation était différente des contestations soulevées dans </w:t>
      </w:r>
      <w:r w:rsidRPr="00E932DB">
        <w:rPr>
          <w:i/>
          <w:iCs/>
          <w:lang w:val="fr-CA"/>
        </w:rPr>
        <w:t>Mercure</w:t>
      </w:r>
      <w:r w:rsidRPr="00E932DB">
        <w:rPr>
          <w:iCs/>
          <w:lang w:val="fr-CA"/>
        </w:rPr>
        <w:t>,</w:t>
      </w:r>
      <w:r w:rsidRPr="00E932DB">
        <w:rPr>
          <w:i/>
          <w:iCs/>
          <w:lang w:val="fr-CA"/>
        </w:rPr>
        <w:t xml:space="preserve"> Paquette </w:t>
      </w:r>
      <w:r w:rsidRPr="00E932DB">
        <w:rPr>
          <w:iCs/>
          <w:lang w:val="fr-CA"/>
        </w:rPr>
        <w:t xml:space="preserve">et </w:t>
      </w:r>
      <w:r w:rsidRPr="00E932DB">
        <w:rPr>
          <w:i/>
          <w:iCs/>
          <w:lang w:val="fr-CA"/>
        </w:rPr>
        <w:t>Lefebvre</w:t>
      </w:r>
      <w:r w:rsidRPr="00E932DB">
        <w:rPr>
          <w:iCs/>
          <w:lang w:val="fr-CA"/>
        </w:rPr>
        <w:t xml:space="preserve">. </w:t>
      </w:r>
      <w:r w:rsidRPr="00E932DB">
        <w:rPr>
          <w:lang w:val="fr-CA"/>
        </w:rPr>
        <w:t xml:space="preserve"> On se souviendra que, dans </w:t>
      </w:r>
      <w:r w:rsidRPr="00E932DB">
        <w:rPr>
          <w:i/>
          <w:iCs/>
          <w:lang w:val="fr-CA"/>
        </w:rPr>
        <w:t>Mercure</w:t>
      </w:r>
      <w:r w:rsidRPr="00E932DB">
        <w:rPr>
          <w:lang w:val="fr-CA"/>
        </w:rPr>
        <w:t>, les droits linguistiques des minorités des Prairies étaient visés par l</w:t>
      </w:r>
      <w:r>
        <w:rPr>
          <w:lang w:val="fr-CA"/>
        </w:rPr>
        <w:t>’</w:t>
      </w:r>
      <w:r>
        <w:rPr>
          <w:i/>
          <w:iCs/>
          <w:lang w:val="fr-FR"/>
        </w:rPr>
        <w:t xml:space="preserve">Acte des Territoires du </w:t>
      </w:r>
      <w:proofErr w:type="spellStart"/>
      <w:r>
        <w:rPr>
          <w:i/>
          <w:iCs/>
          <w:lang w:val="fr-FR"/>
        </w:rPr>
        <w:t>Nord</w:t>
      </w:r>
      <w:r>
        <w:rPr>
          <w:i/>
          <w:iCs/>
          <w:lang w:val="fr-FR"/>
        </w:rPr>
        <w:noBreakHyphen/>
      </w:r>
      <w:r w:rsidRPr="00E932DB">
        <w:rPr>
          <w:i/>
          <w:iCs/>
          <w:lang w:val="fr-FR"/>
        </w:rPr>
        <w:t>Ouest</w:t>
      </w:r>
      <w:proofErr w:type="spellEnd"/>
      <w:r w:rsidRPr="00A027FA">
        <w:rPr>
          <w:i/>
          <w:lang w:val="fr-CA"/>
        </w:rPr>
        <w:t>, 1875</w:t>
      </w:r>
      <w:r w:rsidRPr="00E932DB">
        <w:rPr>
          <w:lang w:val="fr-CA"/>
        </w:rPr>
        <w:t>, S.C. 1875</w:t>
      </w:r>
      <w:r w:rsidR="00A027FA">
        <w:rPr>
          <w:lang w:val="fr-CA"/>
        </w:rPr>
        <w:t>,</w:t>
      </w:r>
      <w:r>
        <w:rPr>
          <w:lang w:val="fr-CA"/>
        </w:rPr>
        <w:t xml:space="preserve"> ch. </w:t>
      </w:r>
      <w:r w:rsidRPr="00E932DB">
        <w:rPr>
          <w:lang w:val="fr-CA"/>
        </w:rPr>
        <w:t>49.  La disposition clé, qui est pour ainsi dire identique à l</w:t>
      </w:r>
      <w:r>
        <w:rPr>
          <w:lang w:val="fr-CA"/>
        </w:rPr>
        <w:t>’</w:t>
      </w:r>
      <w:r w:rsidRPr="00E932DB">
        <w:rPr>
          <w:lang w:val="fr-CA"/>
        </w:rPr>
        <w:t xml:space="preserve">art. 133 de la </w:t>
      </w:r>
      <w:r w:rsidRPr="00E932DB">
        <w:rPr>
          <w:i/>
          <w:iCs/>
          <w:lang w:val="fr-CA"/>
        </w:rPr>
        <w:t>Loi constitutionnelle de</w:t>
      </w:r>
      <w:r w:rsidRPr="00E932DB">
        <w:rPr>
          <w:lang w:val="fr-CA"/>
        </w:rPr>
        <w:t xml:space="preserve"> </w:t>
      </w:r>
      <w:r w:rsidRPr="00E932DB">
        <w:rPr>
          <w:i/>
          <w:iCs/>
          <w:lang w:val="fr-CA"/>
        </w:rPr>
        <w:t>1867</w:t>
      </w:r>
      <w:r w:rsidRPr="00E932DB">
        <w:rPr>
          <w:lang w:val="fr-CA"/>
        </w:rPr>
        <w:t>, figure dans la codification de 1886 où elle est devenue l</w:t>
      </w:r>
      <w:r>
        <w:rPr>
          <w:lang w:val="fr-CA"/>
        </w:rPr>
        <w:t>’</w:t>
      </w:r>
      <w:r w:rsidRPr="00E932DB">
        <w:rPr>
          <w:lang w:val="fr-CA"/>
        </w:rPr>
        <w:t>art. 110</w:t>
      </w:r>
      <w:r w:rsidR="00A027FA">
        <w:rPr>
          <w:lang w:val="fr-CA"/>
        </w:rPr>
        <w:t xml:space="preserve"> (</w:t>
      </w:r>
      <w:proofErr w:type="spellStart"/>
      <w:r w:rsidR="00A027FA">
        <w:rPr>
          <w:lang w:val="fr-CA"/>
        </w:rPr>
        <w:t>abr</w:t>
      </w:r>
      <w:proofErr w:type="spellEnd"/>
      <w:r w:rsidR="00A027FA">
        <w:rPr>
          <w:lang w:val="fr-CA"/>
        </w:rPr>
        <w:t xml:space="preserve">. et </w:t>
      </w:r>
      <w:proofErr w:type="spellStart"/>
      <w:r w:rsidR="00A027FA">
        <w:rPr>
          <w:lang w:val="fr-CA"/>
        </w:rPr>
        <w:t>rempl</w:t>
      </w:r>
      <w:proofErr w:type="spellEnd"/>
      <w:r w:rsidR="00A027FA">
        <w:rPr>
          <w:lang w:val="fr-CA"/>
        </w:rPr>
        <w:t>.</w:t>
      </w:r>
      <w:r w:rsidRPr="00E932DB">
        <w:rPr>
          <w:lang w:val="fr-CA"/>
        </w:rPr>
        <w:t xml:space="preserve"> par 1891, ch.</w:t>
      </w:r>
      <w:r>
        <w:rPr>
          <w:lang w:val="fr-CA"/>
        </w:rPr>
        <w:t> </w:t>
      </w:r>
      <w:r w:rsidRPr="00E932DB">
        <w:rPr>
          <w:lang w:val="fr-CA"/>
        </w:rPr>
        <w:t>22, art. 18)</w:t>
      </w:r>
      <w:r>
        <w:rPr>
          <w:lang w:val="fr-CA"/>
        </w:rPr>
        <w:t> :</w:t>
      </w:r>
    </w:p>
    <w:p w:rsidR="007D1503" w:rsidRPr="00E1584B" w:rsidRDefault="00DD5855" w:rsidP="00A027FA">
      <w:pPr>
        <w:pStyle w:val="Citation1"/>
        <w:tabs>
          <w:tab w:val="left" w:pos="1170"/>
          <w:tab w:val="left" w:pos="1800"/>
          <w:tab w:val="left" w:pos="2610"/>
        </w:tabs>
        <w:ind w:left="1170" w:hanging="1170"/>
        <w:rPr>
          <w:lang w:val="fr-CA"/>
        </w:rPr>
      </w:pPr>
      <w:r>
        <w:rPr>
          <w:b/>
          <w:lang w:val="fr-CA"/>
        </w:rPr>
        <w:tab/>
      </w:r>
      <w:r w:rsidR="00AF0E6B">
        <w:rPr>
          <w:b/>
          <w:lang w:val="fr-CA"/>
        </w:rPr>
        <w:tab/>
      </w:r>
      <w:r w:rsidR="007D1503" w:rsidRPr="00B620BD">
        <w:rPr>
          <w:b/>
          <w:lang w:val="fr-CA"/>
        </w:rPr>
        <w:t>110.</w:t>
      </w:r>
      <w:r>
        <w:rPr>
          <w:b/>
          <w:lang w:val="fr-CA"/>
        </w:rPr>
        <w:tab/>
      </w:r>
      <w:r w:rsidR="007D1503" w:rsidRPr="00B620BD">
        <w:rPr>
          <w:u w:val="single"/>
          <w:lang w:val="fr-CA"/>
        </w:rPr>
        <w:t>Toute personne pourra faire usage soit de la langue anglaise, soit de la langue française</w:t>
      </w:r>
      <w:r w:rsidR="007D1503" w:rsidRPr="00B620BD">
        <w:rPr>
          <w:lang w:val="fr-CA"/>
        </w:rPr>
        <w:t>, dans les débats de l</w:t>
      </w:r>
      <w:r w:rsidR="007D1503">
        <w:rPr>
          <w:lang w:val="fr-CA"/>
        </w:rPr>
        <w:t>’</w:t>
      </w:r>
      <w:r w:rsidR="007D1503" w:rsidRPr="00B620BD">
        <w:rPr>
          <w:lang w:val="fr-CA"/>
        </w:rPr>
        <w:t xml:space="preserve">Assemblée </w:t>
      </w:r>
      <w:r w:rsidR="007D1503" w:rsidRPr="00B620BD">
        <w:rPr>
          <w:lang w:val="fr-CA"/>
        </w:rPr>
        <w:lastRenderedPageBreak/>
        <w:t xml:space="preserve">législative des territoires, </w:t>
      </w:r>
      <w:r w:rsidR="007D1503" w:rsidRPr="00A027FA">
        <w:rPr>
          <w:lang w:val="fr-CA"/>
        </w:rPr>
        <w:t xml:space="preserve">ainsi que </w:t>
      </w:r>
      <w:r w:rsidR="007D1503" w:rsidRPr="00B620BD">
        <w:rPr>
          <w:u w:val="single"/>
          <w:lang w:val="fr-CA"/>
        </w:rPr>
        <w:t>dans les procédures devant les cours de justice</w:t>
      </w:r>
      <w:r w:rsidR="007D1503" w:rsidRPr="00B620BD">
        <w:rPr>
          <w:lang w:val="fr-CA"/>
        </w:rPr>
        <w:t>; et ces deux langues seront employé</w:t>
      </w:r>
      <w:r w:rsidR="007D1503">
        <w:rPr>
          <w:lang w:val="fr-CA"/>
        </w:rPr>
        <w:t xml:space="preserve">es pour la rédaction des </w:t>
      </w:r>
      <w:proofErr w:type="spellStart"/>
      <w:r w:rsidR="007D1503">
        <w:rPr>
          <w:lang w:val="fr-CA"/>
        </w:rPr>
        <w:t>procès</w:t>
      </w:r>
      <w:r w:rsidR="007D1503">
        <w:rPr>
          <w:lang w:val="fr-CA"/>
        </w:rPr>
        <w:noBreakHyphen/>
      </w:r>
      <w:r w:rsidR="007D1503" w:rsidRPr="00B620BD">
        <w:rPr>
          <w:lang w:val="fr-CA"/>
        </w:rPr>
        <w:t>verbaux</w:t>
      </w:r>
      <w:proofErr w:type="spellEnd"/>
      <w:r w:rsidR="007D1503" w:rsidRPr="00B620BD">
        <w:rPr>
          <w:lang w:val="fr-CA"/>
        </w:rPr>
        <w:t xml:space="preserve"> et journaux de l</w:t>
      </w:r>
      <w:r w:rsidR="007D1503">
        <w:rPr>
          <w:lang w:val="fr-CA"/>
        </w:rPr>
        <w:t>’</w:t>
      </w:r>
      <w:r w:rsidR="007D1503" w:rsidRPr="00B620BD">
        <w:rPr>
          <w:lang w:val="fr-CA"/>
        </w:rPr>
        <w:t xml:space="preserve">Assemblée; </w:t>
      </w:r>
      <w:r w:rsidR="007D1503" w:rsidRPr="00B620BD">
        <w:rPr>
          <w:u w:val="single"/>
          <w:lang w:val="fr-CA"/>
        </w:rPr>
        <w:t>et toutes les ordonnances rendues sous l</w:t>
      </w:r>
      <w:r w:rsidR="007D1503">
        <w:rPr>
          <w:u w:val="single"/>
          <w:lang w:val="fr-CA"/>
        </w:rPr>
        <w:t>’</w:t>
      </w:r>
      <w:r w:rsidR="007D1503" w:rsidRPr="00B620BD">
        <w:rPr>
          <w:u w:val="single"/>
          <w:lang w:val="fr-CA"/>
        </w:rPr>
        <w:t>empire du présent acte seront imprimées dans ces deux langues</w:t>
      </w:r>
      <w:r w:rsidR="007D1503" w:rsidRPr="00B620BD">
        <w:rPr>
          <w:lang w:val="fr-CA"/>
        </w:rPr>
        <w:t>; néanmoins, après la prochaine élection générale de l</w:t>
      </w:r>
      <w:r w:rsidR="007D1503">
        <w:rPr>
          <w:lang w:val="fr-CA"/>
        </w:rPr>
        <w:t>’</w:t>
      </w:r>
      <w:r w:rsidR="007D1503" w:rsidRPr="00B620BD">
        <w:rPr>
          <w:lang w:val="fr-CA"/>
        </w:rPr>
        <w:t>Assemblée législative, cette Assemblée pourra, par ordonnance ou autrement, réglementer ses délibérations et la manière d</w:t>
      </w:r>
      <w:r w:rsidR="007D1503">
        <w:rPr>
          <w:lang w:val="fr-CA"/>
        </w:rPr>
        <w:t xml:space="preserve">’en tenir </w:t>
      </w:r>
      <w:proofErr w:type="spellStart"/>
      <w:r w:rsidR="007D1503">
        <w:rPr>
          <w:lang w:val="fr-CA"/>
        </w:rPr>
        <w:t>procès</w:t>
      </w:r>
      <w:r w:rsidR="007D1503">
        <w:rPr>
          <w:lang w:val="fr-CA"/>
        </w:rPr>
        <w:noBreakHyphen/>
      </w:r>
      <w:r w:rsidR="007D1503" w:rsidRPr="00B620BD">
        <w:rPr>
          <w:lang w:val="fr-CA"/>
        </w:rPr>
        <w:t>verbal</w:t>
      </w:r>
      <w:proofErr w:type="spellEnd"/>
      <w:r w:rsidR="007D1503" w:rsidRPr="00B620BD">
        <w:rPr>
          <w:lang w:val="fr-CA"/>
        </w:rPr>
        <w:t xml:space="preserve"> et de les publier; et les règlements ainsi faits seront incorporés dans une proclamation qui sera immédiatement promulgu</w:t>
      </w:r>
      <w:r w:rsidR="007D1503">
        <w:rPr>
          <w:lang w:val="fr-CA"/>
        </w:rPr>
        <w:t xml:space="preserve">ée et publiée par le </w:t>
      </w:r>
      <w:proofErr w:type="spellStart"/>
      <w:r w:rsidR="007D1503">
        <w:rPr>
          <w:lang w:val="fr-CA"/>
        </w:rPr>
        <w:t>lieutenant</w:t>
      </w:r>
      <w:r w:rsidR="007D1503">
        <w:rPr>
          <w:lang w:val="fr-CA"/>
        </w:rPr>
        <w:noBreakHyphen/>
      </w:r>
      <w:r w:rsidR="007D1503" w:rsidRPr="00B620BD">
        <w:rPr>
          <w:lang w:val="fr-CA"/>
        </w:rPr>
        <w:t>gouverneur</w:t>
      </w:r>
      <w:proofErr w:type="spellEnd"/>
      <w:r w:rsidR="007D1503" w:rsidRPr="00B620BD">
        <w:rPr>
          <w:lang w:val="fr-CA"/>
        </w:rPr>
        <w:t xml:space="preserve"> en conformité de la loi, et ils auront </w:t>
      </w:r>
      <w:r>
        <w:rPr>
          <w:lang w:val="fr-CA"/>
        </w:rPr>
        <w:t>ensuite plein effet et vigueur.</w:t>
      </w:r>
    </w:p>
    <w:p w:rsidR="007D1503" w:rsidRPr="00E31014" w:rsidRDefault="007D1503" w:rsidP="007D1503">
      <w:pPr>
        <w:pStyle w:val="SCCNormalDoubleSpacing"/>
        <w:spacing w:after="480"/>
        <w:rPr>
          <w:lang w:val="fr-CA"/>
        </w:rPr>
      </w:pPr>
      <w:r w:rsidRPr="00E31014">
        <w:rPr>
          <w:lang w:val="fr-CA"/>
        </w:rPr>
        <w:t xml:space="preserve">Dans l’arrêt </w:t>
      </w:r>
      <w:r w:rsidRPr="00E31014">
        <w:rPr>
          <w:i/>
          <w:iCs/>
          <w:lang w:val="fr-CA"/>
        </w:rPr>
        <w:t>Mercure</w:t>
      </w:r>
      <w:r w:rsidRPr="00E31014">
        <w:rPr>
          <w:lang w:val="fr-CA"/>
        </w:rPr>
        <w:t xml:space="preserve"> </w:t>
      </w:r>
      <w:proofErr w:type="spellStart"/>
      <w:r w:rsidRPr="00E31014">
        <w:rPr>
          <w:lang w:val="fr-CA"/>
        </w:rPr>
        <w:t>lui</w:t>
      </w:r>
      <w:r w:rsidRPr="00E31014">
        <w:rPr>
          <w:lang w:val="fr-CA"/>
        </w:rPr>
        <w:noBreakHyphen/>
        <w:t>même</w:t>
      </w:r>
      <w:proofErr w:type="spellEnd"/>
      <w:r w:rsidRPr="00E31014">
        <w:rPr>
          <w:lang w:val="fr-CA"/>
        </w:rPr>
        <w:t>, notre Cour a statué qu’en Saskatchewan, cette disposition pouvait être abrogée en vertu de l’art. 14 et du par. 16(1) de l</w:t>
      </w:r>
      <w:r w:rsidR="00A027FA">
        <w:rPr>
          <w:lang w:val="fr-CA"/>
        </w:rPr>
        <w:t>a</w:t>
      </w:r>
      <w:r w:rsidRPr="00DD5855">
        <w:rPr>
          <w:i/>
          <w:lang w:val="fr-CA"/>
        </w:rPr>
        <w:t xml:space="preserve"> </w:t>
      </w:r>
      <w:r w:rsidR="00A027FA">
        <w:rPr>
          <w:i/>
          <w:lang w:val="fr-CA"/>
        </w:rPr>
        <w:t xml:space="preserve">Loi sur </w:t>
      </w:r>
      <w:r w:rsidRPr="00E31014">
        <w:rPr>
          <w:i/>
          <w:lang w:val="fr-CA"/>
        </w:rPr>
        <w:t xml:space="preserve">la </w:t>
      </w:r>
      <w:r w:rsidRPr="00E31014">
        <w:rPr>
          <w:i/>
          <w:iCs/>
          <w:lang w:val="fr-CA"/>
        </w:rPr>
        <w:t xml:space="preserve">Saskatchewan </w:t>
      </w:r>
      <w:r w:rsidRPr="00E31014">
        <w:rPr>
          <w:lang w:val="fr-CA"/>
        </w:rPr>
        <w:t xml:space="preserve">et de l’art. 45 de la </w:t>
      </w:r>
      <w:r w:rsidRPr="00E31014">
        <w:rPr>
          <w:i/>
          <w:iCs/>
          <w:lang w:val="fr-CA"/>
        </w:rPr>
        <w:t>Loi constitutionnelle</w:t>
      </w:r>
      <w:r w:rsidRPr="00A027FA">
        <w:rPr>
          <w:i/>
          <w:lang w:val="fr-CA"/>
        </w:rPr>
        <w:t xml:space="preserve"> de</w:t>
      </w:r>
      <w:r w:rsidRPr="00A027FA">
        <w:rPr>
          <w:i/>
          <w:iCs/>
          <w:lang w:val="fr-CA"/>
        </w:rPr>
        <w:t xml:space="preserve"> </w:t>
      </w:r>
      <w:r w:rsidRPr="00E31014">
        <w:rPr>
          <w:i/>
          <w:iCs/>
          <w:lang w:val="fr-CA"/>
        </w:rPr>
        <w:t xml:space="preserve">1982 </w:t>
      </w:r>
      <w:r w:rsidRPr="00E31014">
        <w:rPr>
          <w:iCs/>
          <w:lang w:val="fr-CA"/>
        </w:rPr>
        <w:t>(p. 271)</w:t>
      </w:r>
      <w:r w:rsidRPr="00E31014">
        <w:rPr>
          <w:lang w:val="fr-CA"/>
        </w:rPr>
        <w:t>.</w:t>
      </w:r>
    </w:p>
    <w:p w:rsidR="007D1503" w:rsidRPr="00E932DB" w:rsidRDefault="007D1503" w:rsidP="00EF00B0">
      <w:pPr>
        <w:pStyle w:val="ReasonsNumbering-AltN"/>
        <w:ind w:left="0" w:firstLine="0"/>
        <w:rPr>
          <w:lang w:val="fr-CA"/>
        </w:rPr>
      </w:pPr>
      <w:r>
        <w:rPr>
          <w:lang w:val="fr-CA"/>
        </w:rPr>
        <w:t>M. Caron</w:t>
      </w:r>
      <w:r w:rsidRPr="00E932DB">
        <w:rPr>
          <w:lang w:val="fr-CA"/>
        </w:rPr>
        <w:t xml:space="preserve"> soutient qu</w:t>
      </w:r>
      <w:r>
        <w:rPr>
          <w:lang w:val="fr-CA"/>
        </w:rPr>
        <w:t>’</w:t>
      </w:r>
      <w:r w:rsidRPr="00E932DB">
        <w:rPr>
          <w:lang w:val="fr-CA"/>
        </w:rPr>
        <w:t>une large part de la preuve historique pertinente n</w:t>
      </w:r>
      <w:r>
        <w:rPr>
          <w:lang w:val="fr-CA"/>
        </w:rPr>
        <w:t>’</w:t>
      </w:r>
      <w:r w:rsidRPr="00E932DB">
        <w:rPr>
          <w:lang w:val="fr-CA"/>
        </w:rPr>
        <w:t xml:space="preserve">a pas été examinée dans </w:t>
      </w:r>
      <w:r w:rsidRPr="00E932DB">
        <w:rPr>
          <w:i/>
          <w:iCs/>
          <w:lang w:val="fr-CA"/>
        </w:rPr>
        <w:t>Mercure</w:t>
      </w:r>
      <w:r w:rsidRPr="00E932DB">
        <w:rPr>
          <w:iCs/>
          <w:lang w:val="fr-CA"/>
        </w:rPr>
        <w:t>,</w:t>
      </w:r>
      <w:r w:rsidRPr="00E932DB">
        <w:rPr>
          <w:lang w:val="fr-CA"/>
        </w:rPr>
        <w:t xml:space="preserve"> y compris, notamment, la </w:t>
      </w:r>
      <w:r w:rsidRPr="00E932DB">
        <w:rPr>
          <w:i/>
          <w:iCs/>
          <w:lang w:val="fr-CA"/>
        </w:rPr>
        <w:t xml:space="preserve">Proclamation royale </w:t>
      </w:r>
      <w:r w:rsidRPr="00E932DB">
        <w:rPr>
          <w:iCs/>
          <w:lang w:val="fr-CA"/>
        </w:rPr>
        <w:t>du 6 décembre 1869</w:t>
      </w:r>
      <w:r w:rsidRPr="00E932DB">
        <w:rPr>
          <w:lang w:val="fr-CA"/>
        </w:rPr>
        <w:t xml:space="preserve">, par laquelle les territoires alors appelés les Territoires du </w:t>
      </w:r>
      <w:proofErr w:type="spellStart"/>
      <w:r w:rsidRPr="00E932DB">
        <w:rPr>
          <w:lang w:val="fr-CA"/>
        </w:rPr>
        <w:t>Nord</w:t>
      </w:r>
      <w:r w:rsidRPr="00E932DB">
        <w:rPr>
          <w:lang w:val="fr-CA"/>
        </w:rPr>
        <w:noBreakHyphen/>
        <w:t>Ouest</w:t>
      </w:r>
      <w:proofErr w:type="spellEnd"/>
      <w:r w:rsidRPr="00E932DB">
        <w:rPr>
          <w:lang w:val="fr-CA"/>
        </w:rPr>
        <w:t xml:space="preserve"> ont été annexés au Canada, et qui, selon le juge de la Cour provinciale, a eu l</w:t>
      </w:r>
      <w:r>
        <w:rPr>
          <w:lang w:val="fr-CA"/>
        </w:rPr>
        <w:t>’</w:t>
      </w:r>
      <w:r w:rsidRPr="00E932DB">
        <w:rPr>
          <w:lang w:val="fr-CA"/>
        </w:rPr>
        <w:t>effet suivant</w:t>
      </w:r>
      <w:r>
        <w:rPr>
          <w:lang w:val="fr-CA"/>
        </w:rPr>
        <w:t> :</w:t>
      </w:r>
      <w:r w:rsidRPr="00E932DB">
        <w:rPr>
          <w:lang w:val="fr-CA"/>
        </w:rPr>
        <w:t xml:space="preserve"> </w:t>
      </w:r>
    </w:p>
    <w:p w:rsidR="007D1503" w:rsidRPr="00E1584B" w:rsidRDefault="007D1503" w:rsidP="00DD5855">
      <w:pPr>
        <w:pStyle w:val="Citation1"/>
        <w:tabs>
          <w:tab w:val="left" w:pos="1170"/>
          <w:tab w:val="left" w:pos="1620"/>
        </w:tabs>
        <w:spacing w:after="240"/>
        <w:ind w:left="1170" w:hanging="1170"/>
        <w:contextualSpacing w:val="0"/>
        <w:rPr>
          <w:lang w:val="fr-CA"/>
        </w:rPr>
      </w:pPr>
      <w:r w:rsidRPr="00E1584B">
        <w:rPr>
          <w:lang w:val="fr-CA"/>
        </w:rPr>
        <w:tab/>
      </w:r>
      <w:r w:rsidR="00DD5855">
        <w:rPr>
          <w:lang w:val="fr-CA"/>
        </w:rPr>
        <w:tab/>
      </w:r>
      <w:r w:rsidRPr="00E1584B">
        <w:rPr>
          <w:lang w:val="fr-CA"/>
        </w:rPr>
        <w:t xml:space="preserve">En conséquence, à mon avis, il était nécessaire que la proclamation soit constitutionnelle pour apaiser les Métis, en leur donnant plus de certitude.  </w:t>
      </w:r>
      <w:r w:rsidRPr="00B620BD">
        <w:rPr>
          <w:lang w:val="fr-CA"/>
        </w:rPr>
        <w:t>Une garantie politique peut être annulée plus facilement qu</w:t>
      </w:r>
      <w:r>
        <w:rPr>
          <w:lang w:val="fr-CA"/>
        </w:rPr>
        <w:t>’</w:t>
      </w:r>
      <w:r w:rsidRPr="00B620BD">
        <w:rPr>
          <w:lang w:val="fr-CA"/>
        </w:rPr>
        <w:t>une garantie constitutionnelle</w:t>
      </w:r>
      <w:r w:rsidR="00EB5FBE">
        <w:rPr>
          <w:lang w:val="fr-CA"/>
        </w:rPr>
        <w:t>.</w:t>
      </w:r>
      <w:r w:rsidRPr="00B620BD">
        <w:rPr>
          <w:lang w:val="fr-CA"/>
        </w:rPr>
        <w:t xml:space="preserve"> [</w:t>
      </w:r>
      <w:r>
        <w:rPr>
          <w:lang w:val="fr-CA"/>
        </w:rPr>
        <w:t>. . .</w:t>
      </w:r>
      <w:r w:rsidRPr="00B620BD">
        <w:rPr>
          <w:lang w:val="fr-CA"/>
        </w:rPr>
        <w:t xml:space="preserve">] Selon moi, étant donné le contexte historique, la proclamation est un document constitutionnel.  Par conséquent, </w:t>
      </w:r>
      <w:r>
        <w:rPr>
          <w:lang w:val="fr-CA"/>
        </w:rPr>
        <w:t>« </w:t>
      </w:r>
      <w:r w:rsidRPr="00B620BD">
        <w:rPr>
          <w:i/>
          <w:lang w:val="fr-CA"/>
        </w:rPr>
        <w:t xml:space="preserve">all </w:t>
      </w:r>
      <w:proofErr w:type="spellStart"/>
      <w:r w:rsidRPr="00B620BD">
        <w:rPr>
          <w:i/>
          <w:lang w:val="fr-CA"/>
        </w:rPr>
        <w:t>your</w:t>
      </w:r>
      <w:proofErr w:type="spellEnd"/>
      <w:r w:rsidRPr="00B620BD">
        <w:rPr>
          <w:i/>
          <w:lang w:val="fr-CA"/>
        </w:rPr>
        <w:t xml:space="preserve"> civil </w:t>
      </w:r>
      <w:r w:rsidRPr="00B620BD">
        <w:rPr>
          <w:lang w:val="fr-CA"/>
        </w:rPr>
        <w:t>[</w:t>
      </w:r>
      <w:r>
        <w:rPr>
          <w:lang w:val="fr-CA"/>
        </w:rPr>
        <w:t>. . .</w:t>
      </w:r>
      <w:r w:rsidRPr="00B620BD">
        <w:rPr>
          <w:lang w:val="fr-CA"/>
        </w:rPr>
        <w:t xml:space="preserve">] </w:t>
      </w:r>
      <w:proofErr w:type="spellStart"/>
      <w:r w:rsidRPr="00B620BD">
        <w:rPr>
          <w:i/>
          <w:lang w:val="fr-CA"/>
        </w:rPr>
        <w:t>rights</w:t>
      </w:r>
      <w:proofErr w:type="spellEnd"/>
      <w:r>
        <w:rPr>
          <w:lang w:val="fr-CA"/>
        </w:rPr>
        <w:t> »</w:t>
      </w:r>
      <w:r w:rsidRPr="00B620BD">
        <w:rPr>
          <w:lang w:val="fr-CA"/>
        </w:rPr>
        <w:t xml:space="preserve"> mentionnés dans la proclamation bénéficient d</w:t>
      </w:r>
      <w:r>
        <w:rPr>
          <w:lang w:val="fr-CA"/>
        </w:rPr>
        <w:t>’</w:t>
      </w:r>
      <w:r w:rsidRPr="00B620BD">
        <w:rPr>
          <w:lang w:val="fr-CA"/>
        </w:rPr>
        <w:t xml:space="preserve">une protection constitutionnelle.  </w:t>
      </w:r>
      <w:r w:rsidRPr="00E1584B">
        <w:rPr>
          <w:lang w:val="fr-CA"/>
        </w:rPr>
        <w:t>J</w:t>
      </w:r>
      <w:r>
        <w:rPr>
          <w:lang w:val="fr-CA"/>
        </w:rPr>
        <w:t>’</w:t>
      </w:r>
      <w:r w:rsidRPr="00E1584B">
        <w:rPr>
          <w:lang w:val="fr-CA"/>
        </w:rPr>
        <w:t>ai déjà statué que, en se fondant sur la preuve historique, « </w:t>
      </w:r>
      <w:r w:rsidRPr="00E1584B">
        <w:rPr>
          <w:i/>
          <w:lang w:val="fr-CA"/>
        </w:rPr>
        <w:t xml:space="preserve">civil </w:t>
      </w:r>
      <w:proofErr w:type="spellStart"/>
      <w:r w:rsidRPr="00E1584B">
        <w:rPr>
          <w:i/>
          <w:lang w:val="fr-CA"/>
        </w:rPr>
        <w:t>rights</w:t>
      </w:r>
      <w:proofErr w:type="spellEnd"/>
      <w:r>
        <w:rPr>
          <w:lang w:val="fr-CA"/>
        </w:rPr>
        <w:t> »</w:t>
      </w:r>
      <w:r w:rsidRPr="00E1584B">
        <w:rPr>
          <w:lang w:val="fr-CA"/>
        </w:rPr>
        <w:t xml:space="preserve"> était une expression assez large pour comprendre les droits linguistiques, donc les droits linguistiques jouissent de la même protection.</w:t>
      </w:r>
    </w:p>
    <w:p w:rsidR="007D1503" w:rsidRPr="00A027FA" w:rsidRDefault="007D1503" w:rsidP="0084124E">
      <w:pPr>
        <w:pStyle w:val="Citation1"/>
        <w:rPr>
          <w:lang w:val="en-US"/>
        </w:rPr>
      </w:pPr>
      <w:r w:rsidRPr="00A027FA">
        <w:rPr>
          <w:lang w:val="en-US"/>
        </w:rPr>
        <w:t xml:space="preserve">(2008 ABPC 232, </w:t>
      </w:r>
      <w:r w:rsidR="00A027FA" w:rsidRPr="00A027FA">
        <w:rPr>
          <w:lang w:val="en-US"/>
        </w:rPr>
        <w:t xml:space="preserve">95 Alta. L.R. (4th) 307, </w:t>
      </w:r>
      <w:r w:rsidRPr="00A027FA">
        <w:rPr>
          <w:lang w:val="en-US"/>
        </w:rPr>
        <w:t>par. 561)</w:t>
      </w:r>
    </w:p>
    <w:p w:rsidR="007D1503" w:rsidRPr="00E31014" w:rsidRDefault="007D1503" w:rsidP="007D1503">
      <w:pPr>
        <w:pStyle w:val="SCCNormalDoubleSpacing"/>
        <w:spacing w:after="480"/>
        <w:rPr>
          <w:lang w:val="fr-CA"/>
        </w:rPr>
      </w:pPr>
      <w:r w:rsidRPr="00E31014">
        <w:rPr>
          <w:lang w:val="fr-CA"/>
        </w:rPr>
        <w:lastRenderedPageBreak/>
        <w:t>Bien sûr, il ne s’agit pas en l’espèce de savoir si ce point de vue sur la Proclamation de 1869 sera ultimement maintenu, une fois les appels épuisés.  Tous les tribunaux d’instance inférieure ont reconnu que la prétention de M. Caron était valable à première vue (</w:t>
      </w:r>
      <w:r w:rsidRPr="00E31014">
        <w:rPr>
          <w:i/>
          <w:iCs/>
          <w:lang w:val="fr-CA"/>
        </w:rPr>
        <w:t>R. c. Caron</w:t>
      </w:r>
      <w:r w:rsidRPr="00E31014">
        <w:rPr>
          <w:lang w:val="fr-CA"/>
        </w:rPr>
        <w:t>, 2006 ABPC 278, 416 A.R. 63, par</w:t>
      </w:r>
      <w:r w:rsidR="00A027FA">
        <w:rPr>
          <w:lang w:val="fr-CA"/>
        </w:rPr>
        <w:t>. 149; 2007 ABQB 632, [2007] A.J. No. 1166 (QL), par. 32-</w:t>
      </w:r>
      <w:r w:rsidRPr="00E31014">
        <w:rPr>
          <w:lang w:val="fr-CA"/>
        </w:rPr>
        <w:t>36 et 40; 2009 ABCA 34,</w:t>
      </w:r>
      <w:r w:rsidR="00A027FA">
        <w:rPr>
          <w:lang w:val="fr-CA"/>
        </w:rPr>
        <w:t xml:space="preserve"> [2009] A.J. No. 71 (QL),</w:t>
      </w:r>
      <w:r w:rsidRPr="00E31014">
        <w:rPr>
          <w:lang w:val="fr-CA"/>
        </w:rPr>
        <w:t xml:space="preserve"> par. 58</w:t>
      </w:r>
      <w:r w:rsidRPr="00E31014">
        <w:rPr>
          <w:lang w:val="fr-CA"/>
        </w:rPr>
        <w:noBreakHyphen/>
        <w:t xml:space="preserve">61).  Il serait, suivant l’arrêt </w:t>
      </w:r>
      <w:proofErr w:type="spellStart"/>
      <w:r w:rsidRPr="00E31014">
        <w:rPr>
          <w:i/>
          <w:iCs/>
          <w:lang w:val="fr-CA"/>
        </w:rPr>
        <w:t>Okanagan</w:t>
      </w:r>
      <w:proofErr w:type="spellEnd"/>
      <w:r w:rsidRPr="00E31014">
        <w:rPr>
          <w:lang w:val="fr-CA"/>
        </w:rPr>
        <w:t xml:space="preserve">, contraire à l’intérêt de la justice que le litige ne soit pas tranché de façon adéquate sur le fond parce que M. Caron — le </w:t>
      </w:r>
      <w:proofErr w:type="spellStart"/>
      <w:r w:rsidRPr="00E31014">
        <w:rPr>
          <w:lang w:val="fr-CA"/>
        </w:rPr>
        <w:t>porte</w:t>
      </w:r>
      <w:r w:rsidRPr="00E31014">
        <w:rPr>
          <w:lang w:val="fr-CA"/>
        </w:rPr>
        <w:noBreakHyphen/>
        <w:t>étendard</w:t>
      </w:r>
      <w:proofErr w:type="spellEnd"/>
      <w:r w:rsidRPr="00E31014">
        <w:rPr>
          <w:lang w:val="fr-CA"/>
        </w:rPr>
        <w:t xml:space="preserve"> présumé des </w:t>
      </w:r>
      <w:proofErr w:type="spellStart"/>
      <w:r w:rsidRPr="00E31014">
        <w:rPr>
          <w:lang w:val="fr-CA"/>
        </w:rPr>
        <w:t>Franco</w:t>
      </w:r>
      <w:r w:rsidRPr="00E31014">
        <w:rPr>
          <w:lang w:val="fr-CA"/>
        </w:rPr>
        <w:noBreakHyphen/>
        <w:t>Albertains</w:t>
      </w:r>
      <w:proofErr w:type="spellEnd"/>
      <w:r w:rsidRPr="00E31014">
        <w:rPr>
          <w:lang w:val="fr-CA"/>
        </w:rPr>
        <w:t xml:space="preserve"> dans la présente affaire — ne disposait pas des ressources financières nécessaires pour terminer ce qu’il a commencé.</w:t>
      </w:r>
      <w:r w:rsidRPr="00E31014">
        <w:rPr>
          <w:lang w:val="fr-CA"/>
        </w:rPr>
        <w:tab/>
      </w:r>
    </w:p>
    <w:p w:rsidR="007D1503" w:rsidRPr="00E932DB" w:rsidRDefault="007D1503" w:rsidP="00DD5855">
      <w:pPr>
        <w:keepNext/>
        <w:tabs>
          <w:tab w:val="left" w:pos="1170"/>
          <w:tab w:val="left" w:pos="1620"/>
        </w:tabs>
        <w:spacing w:after="720"/>
        <w:rPr>
          <w:u w:val="single"/>
          <w:lang w:val="fr-CA"/>
        </w:rPr>
      </w:pPr>
      <w:r w:rsidRPr="00E932DB">
        <w:rPr>
          <w:lang w:val="fr-CA"/>
        </w:rPr>
        <w:tab/>
        <w:t>(3)</w:t>
      </w:r>
      <w:r w:rsidR="00DD5855">
        <w:rPr>
          <w:lang w:val="fr-CA"/>
        </w:rPr>
        <w:tab/>
      </w:r>
      <w:r w:rsidRPr="00E932DB">
        <w:rPr>
          <w:u w:val="single"/>
          <w:lang w:val="fr-CA"/>
        </w:rPr>
        <w:t>L</w:t>
      </w:r>
      <w:r>
        <w:rPr>
          <w:u w:val="single"/>
          <w:lang w:val="fr-CA"/>
        </w:rPr>
        <w:t>’</w:t>
      </w:r>
      <w:r w:rsidRPr="00E932DB">
        <w:rPr>
          <w:u w:val="single"/>
          <w:lang w:val="fr-CA"/>
        </w:rPr>
        <w:t>importance pour le public</w:t>
      </w:r>
    </w:p>
    <w:p w:rsidR="007D1503" w:rsidRPr="00E932DB" w:rsidRDefault="007D1503" w:rsidP="00EF00B0">
      <w:pPr>
        <w:pStyle w:val="ReasonsNumbering-AltN"/>
        <w:ind w:left="0" w:firstLine="0"/>
        <w:rPr>
          <w:lang w:val="fr-CA"/>
        </w:rPr>
      </w:pPr>
      <w:r w:rsidRPr="00E932DB">
        <w:rPr>
          <w:lang w:val="fr-CA"/>
        </w:rPr>
        <w:t xml:space="preserve">Suivant le critère établi dans </w:t>
      </w:r>
      <w:proofErr w:type="spellStart"/>
      <w:r w:rsidRPr="00E932DB">
        <w:rPr>
          <w:i/>
          <w:iCs/>
          <w:lang w:val="fr-CA"/>
        </w:rPr>
        <w:t>Okanagan</w:t>
      </w:r>
      <w:proofErr w:type="spellEnd"/>
      <w:r w:rsidRPr="00E932DB">
        <w:rPr>
          <w:lang w:val="fr-CA"/>
        </w:rPr>
        <w:t>, la condition relative à l</w:t>
      </w:r>
      <w:r>
        <w:rPr>
          <w:lang w:val="fr-CA"/>
        </w:rPr>
        <w:t>’</w:t>
      </w:r>
      <w:r w:rsidRPr="00E932DB">
        <w:rPr>
          <w:lang w:val="fr-CA"/>
        </w:rPr>
        <w:t>importance que le litige revêt pour le public comporte trois aspects</w:t>
      </w:r>
      <w:r>
        <w:rPr>
          <w:lang w:val="fr-CA"/>
        </w:rPr>
        <w:t> :</w:t>
      </w:r>
      <w:r w:rsidRPr="00E932DB">
        <w:rPr>
          <w:lang w:val="fr-CA"/>
        </w:rPr>
        <w:t xml:space="preserve"> </w:t>
      </w:r>
      <w:r>
        <w:rPr>
          <w:lang w:val="fr-CA"/>
        </w:rPr>
        <w:t>« </w:t>
      </w:r>
      <w:r w:rsidRPr="00E932DB">
        <w:rPr>
          <w:lang w:val="fr-FR"/>
        </w:rPr>
        <w:t>[l]</w:t>
      </w:r>
      <w:r w:rsidRPr="00E932DB">
        <w:rPr>
          <w:lang w:val="fr-CA"/>
        </w:rPr>
        <w:t>es questions soulevées dépassent le cadre des intérêts du plaideur, revêtent une importance pour le public et n</w:t>
      </w:r>
      <w:r>
        <w:rPr>
          <w:lang w:val="fr-CA"/>
        </w:rPr>
        <w:t>’</w:t>
      </w:r>
      <w:r w:rsidRPr="00E932DB">
        <w:rPr>
          <w:lang w:val="fr-CA"/>
        </w:rPr>
        <w:t>ont pas encore été tranchées</w:t>
      </w:r>
      <w:r>
        <w:rPr>
          <w:lang w:val="fr-CA"/>
        </w:rPr>
        <w:t> »</w:t>
      </w:r>
      <w:r w:rsidRPr="00E932DB">
        <w:rPr>
          <w:lang w:val="fr-CA"/>
        </w:rPr>
        <w:t xml:space="preserve"> (</w:t>
      </w:r>
      <w:r>
        <w:rPr>
          <w:lang w:val="fr-CA"/>
        </w:rPr>
        <w:t>par. </w:t>
      </w:r>
      <w:r w:rsidRPr="00E932DB">
        <w:rPr>
          <w:lang w:val="fr-CA"/>
        </w:rPr>
        <w:t>40).  Les litiges constitutionnels ne répondent pas tous à cette condition, étant donné qu</w:t>
      </w:r>
      <w:r>
        <w:rPr>
          <w:lang w:val="fr-CA"/>
        </w:rPr>
        <w:t>’</w:t>
      </w:r>
      <w:r w:rsidRPr="00E932DB">
        <w:rPr>
          <w:lang w:val="fr-CA"/>
        </w:rPr>
        <w:t xml:space="preserve">on ne peut dire dans tous les cas que </w:t>
      </w:r>
      <w:r>
        <w:rPr>
          <w:lang w:val="fr-CA"/>
        </w:rPr>
        <w:t>« </w:t>
      </w:r>
      <w:r w:rsidRPr="00E932DB">
        <w:rPr>
          <w:lang w:val="fr-CA"/>
        </w:rPr>
        <w:t>l</w:t>
      </w:r>
      <w:r>
        <w:rPr>
          <w:lang w:val="fr-CA"/>
        </w:rPr>
        <w:t>’</w:t>
      </w:r>
      <w:r w:rsidRPr="00E932DB">
        <w:rPr>
          <w:lang w:val="fr-CA"/>
        </w:rPr>
        <w:t>affaire est si particulière qu</w:t>
      </w:r>
      <w:r>
        <w:rPr>
          <w:lang w:val="fr-CA"/>
        </w:rPr>
        <w:t>’</w:t>
      </w:r>
      <w:r w:rsidRPr="00E932DB">
        <w:rPr>
          <w:lang w:val="fr-CA"/>
        </w:rPr>
        <w:t>il serait contraire aux intérêts de la justice de rejeter la demande de provision pour frais</w:t>
      </w:r>
      <w:r>
        <w:rPr>
          <w:lang w:val="fr-CA"/>
        </w:rPr>
        <w:t> »</w:t>
      </w:r>
      <w:r w:rsidRPr="00E932DB">
        <w:rPr>
          <w:lang w:val="fr-CA"/>
        </w:rPr>
        <w:t xml:space="preserve"> (</w:t>
      </w:r>
      <w:proofErr w:type="spellStart"/>
      <w:r w:rsidRPr="00E932DB">
        <w:rPr>
          <w:i/>
          <w:iCs/>
          <w:lang w:val="fr-CA"/>
        </w:rPr>
        <w:t>Little</w:t>
      </w:r>
      <w:proofErr w:type="spellEnd"/>
      <w:r w:rsidRPr="00E932DB">
        <w:rPr>
          <w:i/>
          <w:iCs/>
          <w:lang w:val="fr-CA"/>
        </w:rPr>
        <w:t xml:space="preserve"> </w:t>
      </w:r>
      <w:proofErr w:type="spellStart"/>
      <w:r w:rsidRPr="00E932DB">
        <w:rPr>
          <w:i/>
          <w:iCs/>
          <w:lang w:val="fr-CA"/>
        </w:rPr>
        <w:t>Sisters</w:t>
      </w:r>
      <w:proofErr w:type="spellEnd"/>
      <w:r w:rsidRPr="00E932DB">
        <w:rPr>
          <w:i/>
          <w:iCs/>
          <w:lang w:val="fr-CA"/>
        </w:rPr>
        <w:t xml:space="preserve"> (n</w:t>
      </w:r>
      <w:r w:rsidRPr="00E932DB">
        <w:rPr>
          <w:i/>
          <w:iCs/>
          <w:vertAlign w:val="superscript"/>
          <w:lang w:val="fr-CA"/>
        </w:rPr>
        <w:t>o</w:t>
      </w:r>
      <w:r w:rsidRPr="00E932DB">
        <w:rPr>
          <w:i/>
          <w:iCs/>
          <w:lang w:val="fr-CA"/>
        </w:rPr>
        <w:t> 2)</w:t>
      </w:r>
      <w:r w:rsidRPr="00A027FA">
        <w:rPr>
          <w:iCs/>
          <w:lang w:val="fr-CA"/>
        </w:rPr>
        <w:t>,</w:t>
      </w:r>
      <w:r w:rsidRPr="00E932DB">
        <w:rPr>
          <w:i/>
          <w:iCs/>
          <w:lang w:val="fr-CA"/>
        </w:rPr>
        <w:t xml:space="preserve"> </w:t>
      </w:r>
      <w:r>
        <w:rPr>
          <w:lang w:val="fr-CA"/>
        </w:rPr>
        <w:t>par. </w:t>
      </w:r>
      <w:r w:rsidRPr="00E932DB">
        <w:rPr>
          <w:lang w:val="fr-CA"/>
        </w:rPr>
        <w:t>37</w:t>
      </w:r>
      <w:r w:rsidRPr="00A027FA">
        <w:rPr>
          <w:iCs/>
          <w:lang w:val="fr-CA"/>
        </w:rPr>
        <w:t>)</w:t>
      </w:r>
      <w:r w:rsidRPr="00E932DB">
        <w:rPr>
          <w:lang w:val="fr-CA"/>
        </w:rPr>
        <w:t xml:space="preserve">.  Ce qui est </w:t>
      </w:r>
      <w:r>
        <w:rPr>
          <w:lang w:val="fr-CA"/>
        </w:rPr>
        <w:t>« </w:t>
      </w:r>
      <w:r w:rsidRPr="00E932DB">
        <w:rPr>
          <w:lang w:val="fr-CA"/>
        </w:rPr>
        <w:t xml:space="preserve">si </w:t>
      </w:r>
      <w:proofErr w:type="spellStart"/>
      <w:proofErr w:type="gramStart"/>
      <w:r w:rsidRPr="00E932DB">
        <w:rPr>
          <w:lang w:val="fr-CA"/>
        </w:rPr>
        <w:t>particuli</w:t>
      </w:r>
      <w:proofErr w:type="spellEnd"/>
      <w:r w:rsidRPr="00E932DB">
        <w:rPr>
          <w:lang w:val="fr-CA"/>
        </w:rPr>
        <w:t>[</w:t>
      </w:r>
      <w:proofErr w:type="gramEnd"/>
      <w:r w:rsidRPr="00E932DB">
        <w:rPr>
          <w:lang w:val="fr-CA"/>
        </w:rPr>
        <w:t>er]</w:t>
      </w:r>
      <w:r>
        <w:rPr>
          <w:lang w:val="fr-CA"/>
        </w:rPr>
        <w:t> »</w:t>
      </w:r>
      <w:r w:rsidRPr="00E932DB">
        <w:rPr>
          <w:lang w:val="fr-CA"/>
        </w:rPr>
        <w:t xml:space="preserve"> en l</w:t>
      </w:r>
      <w:r>
        <w:rPr>
          <w:lang w:val="fr-CA"/>
        </w:rPr>
        <w:t>’</w:t>
      </w:r>
      <w:r w:rsidRPr="00E932DB">
        <w:rPr>
          <w:lang w:val="fr-CA"/>
        </w:rPr>
        <w:t>espèce, c</w:t>
      </w:r>
      <w:r>
        <w:rPr>
          <w:lang w:val="fr-CA"/>
        </w:rPr>
        <w:t>’</w:t>
      </w:r>
      <w:r w:rsidRPr="00E932DB">
        <w:rPr>
          <w:lang w:val="fr-CA"/>
        </w:rPr>
        <w:t>est que l</w:t>
      </w:r>
      <w:r>
        <w:rPr>
          <w:lang w:val="fr-CA"/>
        </w:rPr>
        <w:t>’</w:t>
      </w:r>
      <w:r w:rsidRPr="00E932DB">
        <w:rPr>
          <w:lang w:val="fr-CA"/>
        </w:rPr>
        <w:t xml:space="preserve">affaire vaut </w:t>
      </w:r>
      <w:r w:rsidRPr="00E932DB">
        <w:rPr>
          <w:i/>
          <w:iCs/>
          <w:lang w:val="fr-CA"/>
        </w:rPr>
        <w:t xml:space="preserve">prima </w:t>
      </w:r>
      <w:proofErr w:type="spellStart"/>
      <w:r w:rsidRPr="00E932DB">
        <w:rPr>
          <w:i/>
          <w:iCs/>
          <w:lang w:val="fr-CA"/>
        </w:rPr>
        <w:t>facie</w:t>
      </w:r>
      <w:proofErr w:type="spellEnd"/>
      <w:r w:rsidRPr="00E932DB">
        <w:rPr>
          <w:lang w:val="fr-CA"/>
        </w:rPr>
        <w:t xml:space="preserve"> d</w:t>
      </w:r>
      <w:r>
        <w:rPr>
          <w:lang w:val="fr-CA"/>
        </w:rPr>
        <w:t>’</w:t>
      </w:r>
      <w:r w:rsidRPr="00E932DB">
        <w:rPr>
          <w:lang w:val="fr-CA"/>
        </w:rPr>
        <w:t xml:space="preserve">être instruite (suivant la terminologie utilisée dans </w:t>
      </w:r>
      <w:proofErr w:type="spellStart"/>
      <w:r w:rsidRPr="00E932DB">
        <w:rPr>
          <w:i/>
          <w:iCs/>
          <w:lang w:val="fr-CA"/>
        </w:rPr>
        <w:t>Okanagan</w:t>
      </w:r>
      <w:proofErr w:type="spellEnd"/>
      <w:r w:rsidRPr="00E932DB">
        <w:rPr>
          <w:lang w:val="fr-CA"/>
        </w:rPr>
        <w:t>) en tant que contestation visant tout le corpus des textes juridiques unilingues de l</w:t>
      </w:r>
      <w:r>
        <w:rPr>
          <w:lang w:val="fr-CA"/>
        </w:rPr>
        <w:t>’</w:t>
      </w:r>
      <w:r w:rsidRPr="00E932DB">
        <w:rPr>
          <w:lang w:val="fr-CA"/>
        </w:rPr>
        <w:t xml:space="preserve">Alberta.  </w:t>
      </w:r>
      <w:r w:rsidRPr="00E932DB">
        <w:rPr>
          <w:lang w:val="fr-CA"/>
        </w:rPr>
        <w:lastRenderedPageBreak/>
        <w:t>Les répercussions d</w:t>
      </w:r>
      <w:r>
        <w:rPr>
          <w:lang w:val="fr-CA"/>
        </w:rPr>
        <w:t>’</w:t>
      </w:r>
      <w:r w:rsidRPr="00E932DB">
        <w:rPr>
          <w:lang w:val="fr-CA"/>
        </w:rPr>
        <w:t xml:space="preserve">une issue favorable à </w:t>
      </w:r>
      <w:r>
        <w:rPr>
          <w:lang w:val="fr-CA"/>
        </w:rPr>
        <w:t>M. Caron</w:t>
      </w:r>
      <w:r w:rsidRPr="00E932DB">
        <w:rPr>
          <w:lang w:val="fr-CA"/>
        </w:rPr>
        <w:t xml:space="preserve"> sur la législation de l</w:t>
      </w:r>
      <w:r>
        <w:rPr>
          <w:lang w:val="fr-CA"/>
        </w:rPr>
        <w:t>’</w:t>
      </w:r>
      <w:r w:rsidRPr="00E932DB">
        <w:rPr>
          <w:lang w:val="fr-CA"/>
        </w:rPr>
        <w:t>Alberta pourraient être extrêmement graves et les difficultés qui en résulteraient devraient, si cela devenait nécessaire, être résolues sans tarder.  Une contestation marquée par l</w:t>
      </w:r>
      <w:r>
        <w:rPr>
          <w:lang w:val="fr-CA"/>
        </w:rPr>
        <w:t>’</w:t>
      </w:r>
      <w:r w:rsidRPr="00E932DB">
        <w:rPr>
          <w:lang w:val="fr-CA"/>
        </w:rPr>
        <w:t>inégalité, où l</w:t>
      </w:r>
      <w:r>
        <w:rPr>
          <w:lang w:val="fr-CA"/>
        </w:rPr>
        <w:t>’</w:t>
      </w:r>
      <w:r w:rsidRPr="00E932DB">
        <w:rPr>
          <w:lang w:val="fr-CA"/>
        </w:rPr>
        <w:t>auteur de la contestation, faute de moyens financiers, aurait eu à abandonner sa défense en cours de procès laisserait irrésolue la question.  L</w:t>
      </w:r>
      <w:r>
        <w:rPr>
          <w:lang w:val="fr-CA"/>
        </w:rPr>
        <w:t>’</w:t>
      </w:r>
      <w:r w:rsidRPr="00E932DB">
        <w:rPr>
          <w:lang w:val="fr-CA"/>
        </w:rPr>
        <w:t xml:space="preserve">abandon par </w:t>
      </w:r>
      <w:r>
        <w:rPr>
          <w:lang w:val="fr-CA"/>
        </w:rPr>
        <w:t>M. Caron</w:t>
      </w:r>
      <w:r w:rsidRPr="00E932DB">
        <w:rPr>
          <w:lang w:val="fr-CA"/>
        </w:rPr>
        <w:t xml:space="preserve"> à la dernière étape du procès ferait simplement en sorte que les frais engagés et les ressources judiciaires mises à contribution jusqu</w:t>
      </w:r>
      <w:r>
        <w:rPr>
          <w:lang w:val="fr-CA"/>
        </w:rPr>
        <w:t>’</w:t>
      </w:r>
      <w:r w:rsidRPr="00E932DB">
        <w:rPr>
          <w:lang w:val="fr-CA"/>
        </w:rPr>
        <w:t xml:space="preserve">à présent par le public ainsi que par </w:t>
      </w:r>
      <w:r>
        <w:rPr>
          <w:lang w:val="fr-CA"/>
        </w:rPr>
        <w:t>M. Caron</w:t>
      </w:r>
      <w:r w:rsidRPr="00E932DB">
        <w:rPr>
          <w:lang w:val="fr-CA"/>
        </w:rPr>
        <w:t xml:space="preserve"> pour régler cette question soient gaspillés. </w:t>
      </w:r>
    </w:p>
    <w:p w:rsidR="007D1503" w:rsidRPr="00E932DB" w:rsidRDefault="007D1503" w:rsidP="00EF00B0">
      <w:pPr>
        <w:pStyle w:val="ReasonsNumbering-AltN"/>
        <w:ind w:left="0" w:firstLine="0"/>
        <w:rPr>
          <w:lang w:val="fr-CA"/>
        </w:rPr>
      </w:pPr>
      <w:r w:rsidRPr="00E932DB">
        <w:rPr>
          <w:lang w:val="fr-CA"/>
        </w:rPr>
        <w:t>Le préjudice découlant de l</w:t>
      </w:r>
      <w:r>
        <w:rPr>
          <w:lang w:val="fr-CA"/>
        </w:rPr>
        <w:t>’</w:t>
      </w:r>
      <w:r w:rsidRPr="00E932DB">
        <w:rPr>
          <w:lang w:val="fr-CA"/>
        </w:rPr>
        <w:t xml:space="preserve">incertitude persistante concernant les droits linguistiques de la minorité francophone en Alberta transcende la situation particulière de </w:t>
      </w:r>
      <w:r>
        <w:rPr>
          <w:lang w:val="fr-CA"/>
        </w:rPr>
        <w:t>M. Caron</w:t>
      </w:r>
      <w:r w:rsidRPr="00E932DB">
        <w:rPr>
          <w:lang w:val="fr-CA"/>
        </w:rPr>
        <w:t xml:space="preserve"> et risque de porter atteinte à l</w:t>
      </w:r>
      <w:r>
        <w:rPr>
          <w:lang w:val="fr-CA"/>
        </w:rPr>
        <w:t>’</w:t>
      </w:r>
      <w:r w:rsidRPr="00E932DB">
        <w:rPr>
          <w:lang w:val="fr-CA"/>
        </w:rPr>
        <w:t>intérêt public général des Albertains.  Selon les tribunaux de l</w:t>
      </w:r>
      <w:r>
        <w:rPr>
          <w:lang w:val="fr-CA"/>
        </w:rPr>
        <w:t>’</w:t>
      </w:r>
      <w:r w:rsidRPr="00E932DB">
        <w:rPr>
          <w:lang w:val="fr-CA"/>
        </w:rPr>
        <w:t>Alberta, la question du statut et de l</w:t>
      </w:r>
      <w:r>
        <w:rPr>
          <w:lang w:val="fr-CA"/>
        </w:rPr>
        <w:t>’</w:t>
      </w:r>
      <w:r w:rsidRPr="00E932DB">
        <w:rPr>
          <w:lang w:val="fr-CA"/>
        </w:rPr>
        <w:t>effet de la Proclamation de 1869 n</w:t>
      </w:r>
      <w:r>
        <w:rPr>
          <w:lang w:val="fr-CA"/>
        </w:rPr>
        <w:t>’</w:t>
      </w:r>
      <w:r w:rsidRPr="00E932DB">
        <w:rPr>
          <w:lang w:val="fr-CA"/>
        </w:rPr>
        <w:t>a pas été entièrement réglée dans le cadre du litige précédent.  Il est dans l</w:t>
      </w:r>
      <w:r>
        <w:rPr>
          <w:lang w:val="fr-CA"/>
        </w:rPr>
        <w:t>’</w:t>
      </w:r>
      <w:r w:rsidRPr="00E932DB">
        <w:rPr>
          <w:lang w:val="fr-CA"/>
        </w:rPr>
        <w:t>intérêt public que cette question soit examinée dès maintenant.  À mon avis, c</w:t>
      </w:r>
      <w:r>
        <w:rPr>
          <w:lang w:val="fr-CA"/>
        </w:rPr>
        <w:t>’</w:t>
      </w:r>
      <w:r w:rsidRPr="00E932DB">
        <w:rPr>
          <w:lang w:val="fr-CA"/>
        </w:rPr>
        <w:t>est ce qui rend l</w:t>
      </w:r>
      <w:r>
        <w:rPr>
          <w:lang w:val="fr-CA"/>
        </w:rPr>
        <w:t>’</w:t>
      </w:r>
      <w:r w:rsidRPr="00E932DB">
        <w:rPr>
          <w:lang w:val="fr-CA"/>
        </w:rPr>
        <w:t xml:space="preserve">affaire </w:t>
      </w:r>
      <w:r>
        <w:rPr>
          <w:lang w:val="fr-CA"/>
        </w:rPr>
        <w:t>« </w:t>
      </w:r>
      <w:r w:rsidRPr="00E932DB">
        <w:rPr>
          <w:lang w:val="fr-CA"/>
        </w:rPr>
        <w:t>suffisamment particulière</w:t>
      </w:r>
      <w:r>
        <w:rPr>
          <w:lang w:val="fr-CA"/>
        </w:rPr>
        <w:t> »</w:t>
      </w:r>
      <w:r w:rsidRPr="00E932DB">
        <w:rPr>
          <w:lang w:val="fr-CA"/>
        </w:rPr>
        <w:t xml:space="preserve"> au sens des arrêts </w:t>
      </w:r>
      <w:proofErr w:type="spellStart"/>
      <w:r w:rsidRPr="00E932DB">
        <w:rPr>
          <w:i/>
          <w:iCs/>
          <w:lang w:val="fr-CA"/>
        </w:rPr>
        <w:t>Okanagan</w:t>
      </w:r>
      <w:proofErr w:type="spellEnd"/>
      <w:r w:rsidRPr="00E932DB">
        <w:rPr>
          <w:i/>
          <w:iCs/>
          <w:lang w:val="fr-CA"/>
        </w:rPr>
        <w:t xml:space="preserve"> </w:t>
      </w:r>
      <w:r w:rsidRPr="00E932DB">
        <w:rPr>
          <w:iCs/>
          <w:lang w:val="fr-CA"/>
        </w:rPr>
        <w:t>et</w:t>
      </w:r>
      <w:r w:rsidRPr="00E932DB">
        <w:rPr>
          <w:i/>
          <w:iCs/>
          <w:lang w:val="fr-CA"/>
        </w:rPr>
        <w:t xml:space="preserve"> </w:t>
      </w:r>
      <w:proofErr w:type="spellStart"/>
      <w:r w:rsidRPr="00E932DB">
        <w:rPr>
          <w:i/>
          <w:iCs/>
          <w:lang w:val="fr-CA"/>
        </w:rPr>
        <w:t>Little</w:t>
      </w:r>
      <w:proofErr w:type="spellEnd"/>
      <w:r w:rsidRPr="00E932DB">
        <w:rPr>
          <w:i/>
          <w:iCs/>
          <w:lang w:val="fr-CA"/>
        </w:rPr>
        <w:t xml:space="preserve"> </w:t>
      </w:r>
      <w:proofErr w:type="spellStart"/>
      <w:r w:rsidRPr="00E932DB">
        <w:rPr>
          <w:i/>
          <w:iCs/>
          <w:lang w:val="fr-CA"/>
        </w:rPr>
        <w:t>Sisters</w:t>
      </w:r>
      <w:proofErr w:type="spellEnd"/>
      <w:r w:rsidRPr="00E932DB">
        <w:rPr>
          <w:i/>
          <w:iCs/>
          <w:lang w:val="fr-CA"/>
        </w:rPr>
        <w:t xml:space="preserve"> (n</w:t>
      </w:r>
      <w:r w:rsidRPr="00E932DB">
        <w:rPr>
          <w:i/>
          <w:iCs/>
          <w:vertAlign w:val="superscript"/>
          <w:lang w:val="fr-CA"/>
        </w:rPr>
        <w:t>o</w:t>
      </w:r>
      <w:r w:rsidRPr="00E932DB">
        <w:rPr>
          <w:i/>
          <w:iCs/>
          <w:lang w:val="fr-CA"/>
        </w:rPr>
        <w:t> 2)</w:t>
      </w:r>
      <w:r w:rsidRPr="00E932DB">
        <w:rPr>
          <w:lang w:val="fr-CA"/>
        </w:rPr>
        <w:t>.</w:t>
      </w:r>
    </w:p>
    <w:p w:rsidR="007D1503" w:rsidRPr="00E31014" w:rsidRDefault="007D1503" w:rsidP="00DD5855">
      <w:pPr>
        <w:keepNext/>
        <w:tabs>
          <w:tab w:val="left" w:pos="540"/>
        </w:tabs>
        <w:spacing w:after="720"/>
        <w:rPr>
          <w:i/>
          <w:iCs/>
          <w:lang w:val="fr-CA"/>
        </w:rPr>
      </w:pPr>
      <w:r w:rsidRPr="00E31014">
        <w:rPr>
          <w:lang w:val="fr-CA"/>
        </w:rPr>
        <w:t>D.</w:t>
      </w:r>
      <w:r w:rsidR="00DD5855">
        <w:rPr>
          <w:lang w:val="fr-CA"/>
        </w:rPr>
        <w:tab/>
      </w:r>
      <w:r w:rsidRPr="00E31014">
        <w:rPr>
          <w:i/>
          <w:iCs/>
          <w:lang w:val="fr-CA"/>
        </w:rPr>
        <w:t xml:space="preserve">L’exercice de la compétence inhérente de la cour supérieure </w:t>
      </w:r>
    </w:p>
    <w:p w:rsidR="007D1503" w:rsidRPr="00E932DB" w:rsidRDefault="00A027FA" w:rsidP="00EF00B0">
      <w:pPr>
        <w:pStyle w:val="ReasonsNumbering-AltN"/>
        <w:ind w:left="0" w:firstLine="0"/>
        <w:rPr>
          <w:lang w:val="fr-CA"/>
        </w:rPr>
      </w:pPr>
      <w:r>
        <w:rPr>
          <w:lang w:val="fr-CA"/>
        </w:rPr>
        <w:t>E</w:t>
      </w:r>
      <w:r w:rsidRPr="00E932DB">
        <w:rPr>
          <w:lang w:val="fr-CA"/>
        </w:rPr>
        <w:t>n l</w:t>
      </w:r>
      <w:r>
        <w:rPr>
          <w:lang w:val="fr-CA"/>
        </w:rPr>
        <w:t>’</w:t>
      </w:r>
      <w:r w:rsidRPr="00E932DB">
        <w:rPr>
          <w:lang w:val="fr-CA"/>
        </w:rPr>
        <w:t>espèce</w:t>
      </w:r>
      <w:r>
        <w:rPr>
          <w:lang w:val="fr-CA"/>
        </w:rPr>
        <w:t>, i</w:t>
      </w:r>
      <w:r w:rsidR="007D1503" w:rsidRPr="00E932DB">
        <w:rPr>
          <w:lang w:val="fr-CA"/>
        </w:rPr>
        <w:t>l convient (comme l</w:t>
      </w:r>
      <w:r w:rsidR="007D1503">
        <w:rPr>
          <w:lang w:val="fr-CA"/>
        </w:rPr>
        <w:t>’</w:t>
      </w:r>
      <w:r w:rsidR="007D1503" w:rsidRPr="00E932DB">
        <w:rPr>
          <w:lang w:val="fr-CA"/>
        </w:rPr>
        <w:t>a d</w:t>
      </w:r>
      <w:r w:rsidR="007D1503">
        <w:rPr>
          <w:lang w:val="fr-CA"/>
        </w:rPr>
        <w:t>’</w:t>
      </w:r>
      <w:r w:rsidR="007D1503" w:rsidRPr="00E932DB">
        <w:rPr>
          <w:lang w:val="fr-CA"/>
        </w:rPr>
        <w:t>ailleurs fait la Cour du Banc de la Reine) de se placer dans la situation du juge de la Cour provinciale qui, à la dernière étape d</w:t>
      </w:r>
      <w:r w:rsidR="007D1503">
        <w:rPr>
          <w:lang w:val="fr-CA"/>
        </w:rPr>
        <w:t>’</w:t>
      </w:r>
      <w:r w:rsidR="007D1503" w:rsidRPr="00E932DB">
        <w:rPr>
          <w:lang w:val="fr-CA"/>
        </w:rPr>
        <w:t xml:space="preserve">un procès complexe ayant occasionné des frais substantiels et des mois </w:t>
      </w:r>
      <w:r w:rsidR="007D1503" w:rsidRPr="00E932DB">
        <w:rPr>
          <w:lang w:val="fr-CA"/>
        </w:rPr>
        <w:lastRenderedPageBreak/>
        <w:t>d</w:t>
      </w:r>
      <w:r w:rsidR="007D1503">
        <w:rPr>
          <w:lang w:val="fr-CA"/>
        </w:rPr>
        <w:t>’</w:t>
      </w:r>
      <w:r w:rsidR="007D1503" w:rsidRPr="00E932DB">
        <w:rPr>
          <w:lang w:val="fr-CA"/>
        </w:rPr>
        <w:t>audience, se heurtait à la possibilité</w:t>
      </w:r>
      <w:r w:rsidRPr="00E932DB">
        <w:rPr>
          <w:lang w:val="fr-CA"/>
        </w:rPr>
        <w:t xml:space="preserve"> que </w:t>
      </w:r>
      <w:r>
        <w:rPr>
          <w:lang w:val="fr-CA"/>
        </w:rPr>
        <w:t>—</w:t>
      </w:r>
      <w:r w:rsidRPr="00E932DB">
        <w:rPr>
          <w:lang w:val="fr-CA"/>
        </w:rPr>
        <w:t xml:space="preserve"> en dépit de l</w:t>
      </w:r>
      <w:r>
        <w:rPr>
          <w:lang w:val="fr-CA"/>
        </w:rPr>
        <w:t>’</w:t>
      </w:r>
      <w:r w:rsidRPr="00E932DB">
        <w:rPr>
          <w:lang w:val="fr-CA"/>
        </w:rPr>
        <w:t>importan</w:t>
      </w:r>
      <w:r>
        <w:rPr>
          <w:lang w:val="fr-CA"/>
        </w:rPr>
        <w:t>c</w:t>
      </w:r>
      <w:r w:rsidRPr="00E932DB">
        <w:rPr>
          <w:lang w:val="fr-CA"/>
        </w:rPr>
        <w:t xml:space="preserve">e du litige sur le plan constitutionnel </w:t>
      </w:r>
      <w:r>
        <w:rPr>
          <w:lang w:val="fr-CA"/>
        </w:rPr>
        <w:t xml:space="preserve">— </w:t>
      </w:r>
      <w:r w:rsidR="007D1503" w:rsidRPr="00E932DB">
        <w:rPr>
          <w:lang w:val="fr-CA"/>
        </w:rPr>
        <w:t xml:space="preserve">tous les efforts déployés et les frais engagés soient gaspillés en raison du manque de ressources financières de </w:t>
      </w:r>
      <w:r w:rsidR="007D1503">
        <w:rPr>
          <w:lang w:val="fr-CA"/>
        </w:rPr>
        <w:t>M. Caron</w:t>
      </w:r>
      <w:r w:rsidR="007D1503" w:rsidRPr="00E932DB">
        <w:rPr>
          <w:lang w:val="fr-CA"/>
        </w:rPr>
        <w:t>.  J</w:t>
      </w:r>
      <w:r w:rsidR="007D1503">
        <w:rPr>
          <w:lang w:val="fr-CA"/>
        </w:rPr>
        <w:t>’</w:t>
      </w:r>
      <w:r w:rsidR="007D1503" w:rsidRPr="00E932DB">
        <w:rPr>
          <w:lang w:val="fr-CA"/>
        </w:rPr>
        <w:t>estime que, dans ces circonstances exceptionnelles, le juge de la Cour du Banc de la Reine pouvait décider, dans l</w:t>
      </w:r>
      <w:r w:rsidR="007D1503">
        <w:rPr>
          <w:lang w:val="fr-CA"/>
        </w:rPr>
        <w:t>’</w:t>
      </w:r>
      <w:r w:rsidR="007D1503" w:rsidRPr="00E932DB">
        <w:rPr>
          <w:lang w:val="fr-CA"/>
        </w:rPr>
        <w:t>exercice de son pouvoir discrétionnaire, s</w:t>
      </w:r>
      <w:r w:rsidR="007D1503">
        <w:rPr>
          <w:lang w:val="fr-CA"/>
        </w:rPr>
        <w:t>’</w:t>
      </w:r>
      <w:r w:rsidR="007D1503" w:rsidRPr="00E932DB">
        <w:rPr>
          <w:lang w:val="fr-CA"/>
        </w:rPr>
        <w:t>il y avait lieu de venir en aide à la Cour provinciale en rendant une ordonnance de provision pour frais et qu</w:t>
      </w:r>
      <w:r w:rsidR="007D1503">
        <w:rPr>
          <w:lang w:val="fr-CA"/>
        </w:rPr>
        <w:t>’</w:t>
      </w:r>
      <w:r w:rsidR="007D1503" w:rsidRPr="00E932DB">
        <w:rPr>
          <w:lang w:val="fr-CA"/>
        </w:rPr>
        <w:t xml:space="preserve">une telle ordonnance était, suivant les termes employés dans </w:t>
      </w:r>
      <w:proofErr w:type="spellStart"/>
      <w:r w:rsidR="007D1503" w:rsidRPr="00E932DB">
        <w:rPr>
          <w:i/>
          <w:iCs/>
          <w:lang w:val="fr-CA"/>
        </w:rPr>
        <w:t>MacMillan</w:t>
      </w:r>
      <w:proofErr w:type="spellEnd"/>
      <w:r w:rsidR="007D1503" w:rsidRPr="00E932DB">
        <w:rPr>
          <w:i/>
          <w:iCs/>
          <w:lang w:val="fr-CA"/>
        </w:rPr>
        <w:t xml:space="preserve"> </w:t>
      </w:r>
      <w:proofErr w:type="spellStart"/>
      <w:r w:rsidR="007D1503" w:rsidRPr="00E932DB">
        <w:rPr>
          <w:i/>
          <w:iCs/>
          <w:lang w:val="fr-CA"/>
        </w:rPr>
        <w:t>Bloedel</w:t>
      </w:r>
      <w:proofErr w:type="spellEnd"/>
      <w:r w:rsidR="007D1503" w:rsidRPr="00E932DB">
        <w:rPr>
          <w:lang w:val="fr-CA"/>
        </w:rPr>
        <w:t xml:space="preserve">, </w:t>
      </w:r>
      <w:r w:rsidR="007D1503">
        <w:rPr>
          <w:lang w:val="fr-CA"/>
        </w:rPr>
        <w:t>« </w:t>
      </w:r>
      <w:r w:rsidR="007D1503" w:rsidRPr="00E932DB">
        <w:rPr>
          <w:lang w:val="fr-CA"/>
        </w:rPr>
        <w:t>essentiel[le] à l</w:t>
      </w:r>
      <w:r w:rsidR="007D1503">
        <w:rPr>
          <w:lang w:val="fr-CA"/>
        </w:rPr>
        <w:t>’</w:t>
      </w:r>
      <w:r w:rsidR="007D1503" w:rsidRPr="00E932DB">
        <w:rPr>
          <w:lang w:val="fr-CA"/>
        </w:rPr>
        <w:t>administration de la justice et au maintien de la primauté du droit</w:t>
      </w:r>
      <w:r w:rsidR="007D1503">
        <w:rPr>
          <w:lang w:val="fr-CA"/>
        </w:rPr>
        <w:t> »</w:t>
      </w:r>
      <w:r w:rsidR="007D1503" w:rsidRPr="00E932DB">
        <w:rPr>
          <w:lang w:val="fr-CA"/>
        </w:rPr>
        <w:t xml:space="preserve"> (</w:t>
      </w:r>
      <w:r w:rsidR="007D1503">
        <w:rPr>
          <w:lang w:val="fr-CA"/>
        </w:rPr>
        <w:t>par. </w:t>
      </w:r>
      <w:r w:rsidR="007D1503" w:rsidRPr="00E932DB">
        <w:rPr>
          <w:lang w:val="fr-CA"/>
        </w:rPr>
        <w:t xml:space="preserve">38).  Bien que le juge ne se soit pas exprimé en ces termes, cet extrait reflète selon moi la teneur de son jugement. </w:t>
      </w:r>
    </w:p>
    <w:p w:rsidR="007D1503" w:rsidRPr="00E932DB" w:rsidRDefault="007D1503" w:rsidP="00EF00B0">
      <w:pPr>
        <w:pStyle w:val="ReasonsNumbering-AltN"/>
        <w:ind w:left="0" w:firstLine="0"/>
        <w:rPr>
          <w:lang w:val="fr-CA"/>
        </w:rPr>
      </w:pPr>
      <w:r w:rsidRPr="00E932DB">
        <w:rPr>
          <w:lang w:val="fr-CA"/>
        </w:rPr>
        <w:t xml:space="preserve">De telles ordonnances de provision pour frais, si elles sont rendues, </w:t>
      </w:r>
      <w:r>
        <w:rPr>
          <w:lang w:val="fr-CA"/>
        </w:rPr>
        <w:t>« </w:t>
      </w:r>
      <w:r w:rsidRPr="00E932DB">
        <w:rPr>
          <w:lang w:val="fr-CA"/>
        </w:rPr>
        <w:t>doivent être formulées avec soin et révisées en cours d</w:t>
      </w:r>
      <w:r>
        <w:rPr>
          <w:lang w:val="fr-CA"/>
        </w:rPr>
        <w:t>’</w:t>
      </w:r>
      <w:r w:rsidRPr="00E932DB">
        <w:rPr>
          <w:lang w:val="fr-CA"/>
        </w:rPr>
        <w:t>instance de façon à assurer l</w:t>
      </w:r>
      <w:r>
        <w:rPr>
          <w:lang w:val="fr-CA"/>
        </w:rPr>
        <w:t>’</w:t>
      </w:r>
      <w:r w:rsidRPr="00E932DB">
        <w:rPr>
          <w:lang w:val="fr-CA"/>
        </w:rPr>
        <w:t>équilibre entre les préoccupations concernant l</w:t>
      </w:r>
      <w:r>
        <w:rPr>
          <w:lang w:val="fr-CA"/>
        </w:rPr>
        <w:t>’</w:t>
      </w:r>
      <w:r w:rsidRPr="00E932DB">
        <w:rPr>
          <w:lang w:val="fr-CA"/>
        </w:rPr>
        <w:t>accès à la justice et la nécessité de favoriser le déroulement raisonnable et efficace de la poursuite, qui est également l</w:t>
      </w:r>
      <w:r>
        <w:rPr>
          <w:lang w:val="fr-CA"/>
        </w:rPr>
        <w:t>’</w:t>
      </w:r>
      <w:r w:rsidRPr="00E932DB">
        <w:rPr>
          <w:lang w:val="fr-CA"/>
        </w:rPr>
        <w:t>un des objectifs de l</w:t>
      </w:r>
      <w:r>
        <w:rPr>
          <w:lang w:val="fr-CA"/>
        </w:rPr>
        <w:t>’</w:t>
      </w:r>
      <w:r w:rsidRPr="00E932DB">
        <w:rPr>
          <w:lang w:val="fr-CA"/>
        </w:rPr>
        <w:t>attribution de dépens</w:t>
      </w:r>
      <w:r>
        <w:rPr>
          <w:lang w:val="fr-CA"/>
        </w:rPr>
        <w:t> »</w:t>
      </w:r>
      <w:r w:rsidRPr="00E932DB">
        <w:rPr>
          <w:lang w:val="fr-CA"/>
        </w:rPr>
        <w:t xml:space="preserve"> (</w:t>
      </w:r>
      <w:proofErr w:type="spellStart"/>
      <w:r w:rsidRPr="00E932DB">
        <w:rPr>
          <w:i/>
          <w:iCs/>
          <w:lang w:val="fr-CA"/>
        </w:rPr>
        <w:t>Okanagan</w:t>
      </w:r>
      <w:proofErr w:type="spellEnd"/>
      <w:r w:rsidRPr="00E932DB">
        <w:rPr>
          <w:lang w:val="fr-CA"/>
        </w:rPr>
        <w:t xml:space="preserve">, </w:t>
      </w:r>
      <w:r>
        <w:rPr>
          <w:lang w:val="fr-CA"/>
        </w:rPr>
        <w:t>par. </w:t>
      </w:r>
      <w:r w:rsidRPr="00E932DB">
        <w:rPr>
          <w:lang w:val="fr-CA"/>
        </w:rPr>
        <w:t>41).  En l</w:t>
      </w:r>
      <w:r>
        <w:rPr>
          <w:lang w:val="fr-CA"/>
        </w:rPr>
        <w:t>’</w:t>
      </w:r>
      <w:r w:rsidRPr="00E932DB">
        <w:rPr>
          <w:lang w:val="fr-CA"/>
        </w:rPr>
        <w:t>espèce, les juges étaient appelés à intervenir dans le cadre d</w:t>
      </w:r>
      <w:r>
        <w:rPr>
          <w:lang w:val="fr-CA"/>
        </w:rPr>
        <w:t>’</w:t>
      </w:r>
      <w:r w:rsidRPr="00E932DB">
        <w:rPr>
          <w:lang w:val="fr-CA"/>
        </w:rPr>
        <w:t>un procès en cours.  Quoi qu</w:t>
      </w:r>
      <w:r>
        <w:rPr>
          <w:lang w:val="fr-CA"/>
        </w:rPr>
        <w:t>’</w:t>
      </w:r>
      <w:r w:rsidRPr="00E932DB">
        <w:rPr>
          <w:lang w:val="fr-CA"/>
        </w:rPr>
        <w:t>il en soit, dans son ordonnance, le juge Ouellette, de la Cour du Banc de la Reine, prévoit un nombre maximal d</w:t>
      </w:r>
      <w:r>
        <w:rPr>
          <w:lang w:val="fr-CA"/>
        </w:rPr>
        <w:t>’</w:t>
      </w:r>
      <w:r w:rsidRPr="00E932DB">
        <w:rPr>
          <w:lang w:val="fr-CA"/>
        </w:rPr>
        <w:t>heures pour les témoins experts et il a refusé le paiement d</w:t>
      </w:r>
      <w:r>
        <w:rPr>
          <w:lang w:val="fr-CA"/>
        </w:rPr>
        <w:t>’</w:t>
      </w:r>
      <w:r w:rsidRPr="00E932DB">
        <w:rPr>
          <w:lang w:val="fr-CA"/>
        </w:rPr>
        <w:t xml:space="preserve">une somme de 3 504,60 $ pour que </w:t>
      </w:r>
      <w:r>
        <w:rPr>
          <w:lang w:val="fr-CA"/>
        </w:rPr>
        <w:t>M. Caron</w:t>
      </w:r>
      <w:r w:rsidRPr="00E932DB">
        <w:rPr>
          <w:lang w:val="fr-CA"/>
        </w:rPr>
        <w:t xml:space="preserve"> ait recours aux services d</w:t>
      </w:r>
      <w:r>
        <w:rPr>
          <w:lang w:val="fr-CA"/>
        </w:rPr>
        <w:t>’</w:t>
      </w:r>
      <w:r w:rsidRPr="00E932DB">
        <w:rPr>
          <w:lang w:val="fr-CA"/>
        </w:rPr>
        <w:t xml:space="preserve">une </w:t>
      </w:r>
      <w:r>
        <w:rPr>
          <w:lang w:val="fr-CA"/>
        </w:rPr>
        <w:t>« </w:t>
      </w:r>
      <w:r w:rsidRPr="00E932DB">
        <w:rPr>
          <w:lang w:val="fr-CA"/>
        </w:rPr>
        <w:t>assistante temporaire</w:t>
      </w:r>
      <w:r>
        <w:rPr>
          <w:lang w:val="fr-CA"/>
        </w:rPr>
        <w:t xml:space="preserve"> ».  Il semble que le juge </w:t>
      </w:r>
      <w:proofErr w:type="spellStart"/>
      <w:r w:rsidRPr="00E932DB">
        <w:rPr>
          <w:lang w:val="fr-CA"/>
        </w:rPr>
        <w:t>Wenden</w:t>
      </w:r>
      <w:proofErr w:type="spellEnd"/>
      <w:r w:rsidRPr="00E932DB">
        <w:rPr>
          <w:lang w:val="fr-CA"/>
        </w:rPr>
        <w:t>, de la Cour provinciale, ait eu accès à des factures qui ne figurent pas au dossier de notre C</w:t>
      </w:r>
      <w:r>
        <w:rPr>
          <w:lang w:val="fr-CA"/>
        </w:rPr>
        <w:t>our.  Dans son ordonnance du 18 </w:t>
      </w:r>
      <w:r w:rsidRPr="00E932DB">
        <w:rPr>
          <w:lang w:val="fr-CA"/>
        </w:rPr>
        <w:t>octobre 2006 (</w:t>
      </w:r>
      <w:proofErr w:type="gramStart"/>
      <w:r w:rsidRPr="00E932DB">
        <w:rPr>
          <w:lang w:val="fr-CA"/>
        </w:rPr>
        <w:t>d.a.,</w:t>
      </w:r>
      <w:proofErr w:type="gramEnd"/>
      <w:r w:rsidRPr="00E932DB">
        <w:rPr>
          <w:lang w:val="fr-CA"/>
        </w:rPr>
        <w:t xml:space="preserve"> vol. 1, p. </w:t>
      </w:r>
      <w:r>
        <w:rPr>
          <w:lang w:val="fr-CA"/>
        </w:rPr>
        <w:t>2</w:t>
      </w:r>
      <w:r>
        <w:rPr>
          <w:lang w:val="fr-CA"/>
        </w:rPr>
        <w:noBreakHyphen/>
      </w:r>
      <w:r w:rsidRPr="00E932DB">
        <w:rPr>
          <w:lang w:val="fr-CA"/>
        </w:rPr>
        <w:t xml:space="preserve">13), le juge </w:t>
      </w:r>
      <w:proofErr w:type="spellStart"/>
      <w:r w:rsidRPr="00E932DB">
        <w:rPr>
          <w:lang w:val="fr-CA"/>
        </w:rPr>
        <w:t>Wenden</w:t>
      </w:r>
      <w:proofErr w:type="spellEnd"/>
      <w:r w:rsidRPr="00E932DB">
        <w:rPr>
          <w:lang w:val="fr-CA"/>
        </w:rPr>
        <w:t xml:space="preserve"> a clairement refusé d</w:t>
      </w:r>
      <w:r>
        <w:rPr>
          <w:lang w:val="fr-CA"/>
        </w:rPr>
        <w:t>’</w:t>
      </w:r>
      <w:r w:rsidRPr="00E932DB">
        <w:rPr>
          <w:lang w:val="fr-CA"/>
        </w:rPr>
        <w:t xml:space="preserve">émettre, </w:t>
      </w:r>
      <w:r w:rsidRPr="00E932DB">
        <w:rPr>
          <w:lang w:val="fr-CA"/>
        </w:rPr>
        <w:lastRenderedPageBreak/>
        <w:t>à l</w:t>
      </w:r>
      <w:r>
        <w:rPr>
          <w:lang w:val="fr-CA"/>
        </w:rPr>
        <w:t>’</w:t>
      </w:r>
      <w:r w:rsidRPr="00E932DB">
        <w:rPr>
          <w:lang w:val="fr-CA"/>
        </w:rPr>
        <w:t>avance,</w:t>
      </w:r>
      <w:r>
        <w:rPr>
          <w:lang w:val="fr-CA"/>
        </w:rPr>
        <w:t xml:space="preserve"> un chèque en blanc.  Le 2 août </w:t>
      </w:r>
      <w:r w:rsidRPr="00E932DB">
        <w:rPr>
          <w:lang w:val="fr-CA"/>
        </w:rPr>
        <w:t xml:space="preserve">2006, il a ordonné au ministère public de payer les frais juridiques déjà engagés (et donc chiffrés) par </w:t>
      </w:r>
      <w:r>
        <w:rPr>
          <w:lang w:val="fr-CA"/>
        </w:rPr>
        <w:t>M. Caron</w:t>
      </w:r>
      <w:r w:rsidRPr="00E932DB">
        <w:rPr>
          <w:lang w:val="fr-CA"/>
        </w:rPr>
        <w:t>.  Somme toute, j</w:t>
      </w:r>
      <w:r>
        <w:rPr>
          <w:lang w:val="fr-CA"/>
        </w:rPr>
        <w:t>’</w:t>
      </w:r>
      <w:r w:rsidRPr="00E932DB">
        <w:rPr>
          <w:lang w:val="fr-CA"/>
        </w:rPr>
        <w:t>accepte la conclusion de la Cour d</w:t>
      </w:r>
      <w:r>
        <w:rPr>
          <w:lang w:val="fr-CA"/>
        </w:rPr>
        <w:t>’</w:t>
      </w:r>
      <w:r w:rsidRPr="00E932DB">
        <w:rPr>
          <w:lang w:val="fr-CA"/>
        </w:rPr>
        <w:t>appel que les contrôles financiers en place étaient adéquats et répondaient à la norme établie dans l</w:t>
      </w:r>
      <w:r>
        <w:rPr>
          <w:lang w:val="fr-CA"/>
        </w:rPr>
        <w:t>’</w:t>
      </w:r>
      <w:r w:rsidRPr="00E932DB">
        <w:rPr>
          <w:lang w:val="fr-CA"/>
        </w:rPr>
        <w:t xml:space="preserve">arrêt </w:t>
      </w:r>
      <w:proofErr w:type="spellStart"/>
      <w:r w:rsidRPr="00E932DB">
        <w:rPr>
          <w:i/>
          <w:lang w:val="fr-CA"/>
        </w:rPr>
        <w:t>Okanagan</w:t>
      </w:r>
      <w:proofErr w:type="spellEnd"/>
      <w:r w:rsidRPr="00E932DB">
        <w:rPr>
          <w:lang w:val="fr-CA"/>
        </w:rPr>
        <w:t>.</w:t>
      </w:r>
    </w:p>
    <w:p w:rsidR="007D1503" w:rsidRPr="00E932DB" w:rsidRDefault="007D1503" w:rsidP="00DD5855">
      <w:pPr>
        <w:tabs>
          <w:tab w:val="left" w:pos="540"/>
        </w:tabs>
        <w:spacing w:after="720"/>
        <w:rPr>
          <w:u w:val="single"/>
          <w:lang w:val="fr-CA"/>
        </w:rPr>
      </w:pPr>
      <w:r>
        <w:rPr>
          <w:lang w:val="fr-CA"/>
        </w:rPr>
        <w:t>V.</w:t>
      </w:r>
      <w:r w:rsidR="00DD5855">
        <w:rPr>
          <w:lang w:val="fr-CA"/>
        </w:rPr>
        <w:tab/>
      </w:r>
      <w:r w:rsidRPr="00E932DB">
        <w:rPr>
          <w:u w:val="single"/>
          <w:lang w:val="fr-CA"/>
        </w:rPr>
        <w:t>Conclusion</w:t>
      </w:r>
    </w:p>
    <w:p w:rsidR="007D1503" w:rsidRPr="00E932DB" w:rsidRDefault="007D1503" w:rsidP="00EF00B0">
      <w:pPr>
        <w:pStyle w:val="ReasonsNumbering-AltN"/>
        <w:ind w:left="0" w:firstLine="0"/>
        <w:rPr>
          <w:i/>
          <w:iCs/>
          <w:lang w:val="fr-CA"/>
        </w:rPr>
      </w:pPr>
      <w:r w:rsidRPr="00E932DB">
        <w:rPr>
          <w:lang w:val="fr-CA"/>
        </w:rPr>
        <w:t>J</w:t>
      </w:r>
      <w:r>
        <w:rPr>
          <w:lang w:val="fr-CA"/>
        </w:rPr>
        <w:t>’</w:t>
      </w:r>
      <w:r w:rsidRPr="00E932DB">
        <w:rPr>
          <w:lang w:val="fr-CA"/>
        </w:rPr>
        <w:t>estime que la Cour du Banc de la Reine de l</w:t>
      </w:r>
      <w:r>
        <w:rPr>
          <w:lang w:val="fr-CA"/>
        </w:rPr>
        <w:t>’</w:t>
      </w:r>
      <w:r w:rsidRPr="00E932DB">
        <w:rPr>
          <w:lang w:val="fr-CA"/>
        </w:rPr>
        <w:t>Alberta possède la compétence inhérente de rendre l</w:t>
      </w:r>
      <w:r>
        <w:rPr>
          <w:lang w:val="fr-CA"/>
        </w:rPr>
        <w:t>’</w:t>
      </w:r>
      <w:r w:rsidRPr="00E932DB">
        <w:rPr>
          <w:lang w:val="fr-CA"/>
        </w:rPr>
        <w:t>ordonnance de provision pour frais qu</w:t>
      </w:r>
      <w:r>
        <w:rPr>
          <w:lang w:val="fr-CA"/>
        </w:rPr>
        <w:t>’</w:t>
      </w:r>
      <w:r w:rsidRPr="00E932DB">
        <w:rPr>
          <w:lang w:val="fr-CA"/>
        </w:rPr>
        <w:t>elle a prononcée en l</w:t>
      </w:r>
      <w:r>
        <w:rPr>
          <w:lang w:val="fr-CA"/>
        </w:rPr>
        <w:t>’</w:t>
      </w:r>
      <w:r w:rsidRPr="00E932DB">
        <w:rPr>
          <w:lang w:val="fr-CA"/>
        </w:rPr>
        <w:t>espèce relativement à une instance devant la Cour provinciale.  Dans l</w:t>
      </w:r>
      <w:r>
        <w:rPr>
          <w:lang w:val="fr-CA"/>
        </w:rPr>
        <w:t>’</w:t>
      </w:r>
      <w:r w:rsidRPr="00E932DB">
        <w:rPr>
          <w:lang w:val="fr-CA"/>
        </w:rPr>
        <w:t>exercice de cette compétence inhérente, elle n</w:t>
      </w:r>
      <w:r>
        <w:rPr>
          <w:lang w:val="fr-CA"/>
        </w:rPr>
        <w:t>’</w:t>
      </w:r>
      <w:r w:rsidRPr="00E932DB">
        <w:rPr>
          <w:lang w:val="fr-CA"/>
        </w:rPr>
        <w:t xml:space="preserve">a commis aucune erreur de principe en tenant compte des critères des arrêts </w:t>
      </w:r>
      <w:proofErr w:type="spellStart"/>
      <w:r w:rsidRPr="00E932DB">
        <w:rPr>
          <w:i/>
          <w:iCs/>
          <w:lang w:val="fr-CA"/>
        </w:rPr>
        <w:t>Okanagan</w:t>
      </w:r>
      <w:proofErr w:type="spellEnd"/>
      <w:r w:rsidRPr="00E932DB">
        <w:rPr>
          <w:i/>
          <w:iCs/>
          <w:lang w:val="fr-CA"/>
        </w:rPr>
        <w:t xml:space="preserve"> </w:t>
      </w:r>
      <w:r w:rsidRPr="00E932DB">
        <w:rPr>
          <w:iCs/>
          <w:lang w:val="fr-CA"/>
        </w:rPr>
        <w:t>et</w:t>
      </w:r>
      <w:r w:rsidRPr="00E932DB">
        <w:rPr>
          <w:i/>
          <w:iCs/>
          <w:lang w:val="fr-CA"/>
        </w:rPr>
        <w:t xml:space="preserve"> </w:t>
      </w:r>
      <w:proofErr w:type="spellStart"/>
      <w:r w:rsidRPr="00E932DB">
        <w:rPr>
          <w:i/>
          <w:iCs/>
          <w:lang w:val="fr-CA"/>
        </w:rPr>
        <w:t>Little</w:t>
      </w:r>
      <w:proofErr w:type="spellEnd"/>
      <w:r w:rsidRPr="00E932DB">
        <w:rPr>
          <w:i/>
          <w:iCs/>
          <w:lang w:val="fr-CA"/>
        </w:rPr>
        <w:t xml:space="preserve"> </w:t>
      </w:r>
      <w:proofErr w:type="spellStart"/>
      <w:r w:rsidRPr="00E932DB">
        <w:rPr>
          <w:i/>
          <w:iCs/>
          <w:lang w:val="fr-CA"/>
        </w:rPr>
        <w:t>Sisters</w:t>
      </w:r>
      <w:proofErr w:type="spellEnd"/>
      <w:r w:rsidRPr="00E932DB">
        <w:rPr>
          <w:i/>
          <w:iCs/>
          <w:lang w:val="fr-CA"/>
        </w:rPr>
        <w:t xml:space="preserve"> (n</w:t>
      </w:r>
      <w:r w:rsidRPr="00E932DB">
        <w:rPr>
          <w:i/>
          <w:iCs/>
          <w:vertAlign w:val="superscript"/>
          <w:lang w:val="fr-CA"/>
        </w:rPr>
        <w:t>o</w:t>
      </w:r>
      <w:r w:rsidRPr="00E932DB">
        <w:rPr>
          <w:i/>
          <w:iCs/>
          <w:lang w:val="fr-CA"/>
        </w:rPr>
        <w:t> 2)</w:t>
      </w:r>
      <w:r w:rsidRPr="00E932DB">
        <w:rPr>
          <w:lang w:val="fr-CA"/>
        </w:rPr>
        <w:t>.  Sur le fond, je m</w:t>
      </w:r>
      <w:r>
        <w:rPr>
          <w:lang w:val="fr-CA"/>
        </w:rPr>
        <w:t>’</w:t>
      </w:r>
      <w:r w:rsidRPr="00E932DB">
        <w:rPr>
          <w:lang w:val="fr-CA"/>
        </w:rPr>
        <w:t>en remets à ce qui me semble être l</w:t>
      </w:r>
      <w:r>
        <w:rPr>
          <w:lang w:val="fr-CA"/>
        </w:rPr>
        <w:t>’</w:t>
      </w:r>
      <w:r w:rsidRPr="00E932DB">
        <w:rPr>
          <w:lang w:val="fr-CA"/>
        </w:rPr>
        <w:t xml:space="preserve">exercice raisonnable du pouvoir discrétionnaire du juge de la Cour du Banc de la Reine. </w:t>
      </w:r>
      <w:r>
        <w:rPr>
          <w:lang w:val="fr-CA"/>
        </w:rPr>
        <w:t xml:space="preserve"> </w:t>
      </w:r>
      <w:r w:rsidRPr="00E932DB">
        <w:rPr>
          <w:lang w:val="fr-CA"/>
        </w:rPr>
        <w:t>Je suis donc d</w:t>
      </w:r>
      <w:r>
        <w:rPr>
          <w:lang w:val="fr-CA"/>
        </w:rPr>
        <w:t>’</w:t>
      </w:r>
      <w:r w:rsidRPr="00E932DB">
        <w:rPr>
          <w:lang w:val="fr-CA"/>
        </w:rPr>
        <w:t>avis de confirmer la décision de la Cour d</w:t>
      </w:r>
      <w:r>
        <w:rPr>
          <w:lang w:val="fr-CA"/>
        </w:rPr>
        <w:t>’</w:t>
      </w:r>
      <w:r w:rsidRPr="00E932DB">
        <w:rPr>
          <w:lang w:val="fr-CA"/>
        </w:rPr>
        <w:t>appel de l</w:t>
      </w:r>
      <w:r>
        <w:rPr>
          <w:lang w:val="fr-CA"/>
        </w:rPr>
        <w:t>’</w:t>
      </w:r>
      <w:r w:rsidRPr="00E932DB">
        <w:rPr>
          <w:lang w:val="fr-CA"/>
        </w:rPr>
        <w:t>Alberta et de rejeter le pourvoi.</w:t>
      </w:r>
    </w:p>
    <w:p w:rsidR="007D1503" w:rsidRPr="00DD5855" w:rsidRDefault="007D1503" w:rsidP="00EF00B0">
      <w:pPr>
        <w:pStyle w:val="ReasonsNumbering-AltN"/>
        <w:ind w:left="0" w:firstLine="0"/>
        <w:rPr>
          <w:i/>
          <w:iCs/>
          <w:lang w:val="fr-CA"/>
        </w:rPr>
      </w:pPr>
      <w:r w:rsidRPr="00E932DB">
        <w:rPr>
          <w:lang w:val="fr-CA"/>
        </w:rPr>
        <w:t>Il n</w:t>
      </w:r>
      <w:r>
        <w:rPr>
          <w:lang w:val="fr-CA"/>
        </w:rPr>
        <w:t>’</w:t>
      </w:r>
      <w:r w:rsidRPr="00E932DB">
        <w:rPr>
          <w:lang w:val="fr-CA"/>
        </w:rPr>
        <w:t>est généralement pas possible d</w:t>
      </w:r>
      <w:r>
        <w:rPr>
          <w:lang w:val="fr-CA"/>
        </w:rPr>
        <w:t>’</w:t>
      </w:r>
      <w:r w:rsidRPr="00E932DB">
        <w:rPr>
          <w:lang w:val="fr-CA"/>
        </w:rPr>
        <w:t>obtenir les dépens dans une instance quasi criminelle (sauf dans des circonstances particulières, notamment une inconduite du ministère public, ce qui n</w:t>
      </w:r>
      <w:r>
        <w:rPr>
          <w:lang w:val="fr-CA"/>
        </w:rPr>
        <w:t>’</w:t>
      </w:r>
      <w:r w:rsidRPr="00E932DB">
        <w:rPr>
          <w:lang w:val="fr-CA"/>
        </w:rPr>
        <w:t>est pas le cas en l</w:t>
      </w:r>
      <w:r>
        <w:rPr>
          <w:lang w:val="fr-CA"/>
        </w:rPr>
        <w:t>’</w:t>
      </w:r>
      <w:r w:rsidRPr="00E932DB">
        <w:rPr>
          <w:lang w:val="fr-CA"/>
        </w:rPr>
        <w:t>espèce), mais la présente affaire constitue davantage un litige constitutionnel ordinaire qui a été engagé (comme je l</w:t>
      </w:r>
      <w:r>
        <w:rPr>
          <w:lang w:val="fr-CA"/>
        </w:rPr>
        <w:t>’</w:t>
      </w:r>
      <w:r w:rsidRPr="00E932DB">
        <w:rPr>
          <w:lang w:val="fr-CA"/>
        </w:rPr>
        <w:t xml:space="preserve">ai dit) par un plaideur impécunieux au profit de la communauté </w:t>
      </w:r>
      <w:proofErr w:type="spellStart"/>
      <w:r w:rsidRPr="00E932DB">
        <w:rPr>
          <w:lang w:val="fr-CA"/>
        </w:rPr>
        <w:t>franco</w:t>
      </w:r>
      <w:r>
        <w:rPr>
          <w:lang w:val="fr-CA"/>
        </w:rPr>
        <w:noBreakHyphen/>
      </w:r>
      <w:r w:rsidRPr="00E932DB">
        <w:rPr>
          <w:lang w:val="fr-CA"/>
        </w:rPr>
        <w:t>albertaine</w:t>
      </w:r>
      <w:proofErr w:type="spellEnd"/>
      <w:r w:rsidRPr="00E932DB">
        <w:rPr>
          <w:lang w:val="fr-CA"/>
        </w:rPr>
        <w:t xml:space="preserve"> dans son ensemble.  Dans ces </w:t>
      </w:r>
      <w:r>
        <w:rPr>
          <w:lang w:val="fr-CA"/>
        </w:rPr>
        <w:t>circonstances inhabituelles, M. Caron</w:t>
      </w:r>
      <w:r w:rsidRPr="00E932DB">
        <w:rPr>
          <w:lang w:val="fr-CA"/>
        </w:rPr>
        <w:t xml:space="preserve"> devrait avoir droit aux dépens devant </w:t>
      </w:r>
      <w:r>
        <w:rPr>
          <w:lang w:val="fr-CA"/>
        </w:rPr>
        <w:t>cette</w:t>
      </w:r>
      <w:r w:rsidRPr="00E932DB">
        <w:rPr>
          <w:lang w:val="fr-CA"/>
        </w:rPr>
        <w:t xml:space="preserve"> Cour</w:t>
      </w:r>
      <w:r>
        <w:rPr>
          <w:lang w:val="fr-CA"/>
        </w:rPr>
        <w:t xml:space="preserve"> sur la base</w:t>
      </w:r>
      <w:r w:rsidRPr="00E932DB">
        <w:rPr>
          <w:lang w:val="fr-CA"/>
        </w:rPr>
        <w:t xml:space="preserve"> </w:t>
      </w:r>
      <w:proofErr w:type="spellStart"/>
      <w:r w:rsidRPr="00E932DB">
        <w:rPr>
          <w:lang w:val="fr-CA"/>
        </w:rPr>
        <w:t>partie</w:t>
      </w:r>
      <w:r>
        <w:rPr>
          <w:lang w:val="fr-CA"/>
        </w:rPr>
        <w:noBreakHyphen/>
        <w:t>partie</w:t>
      </w:r>
      <w:proofErr w:type="spellEnd"/>
      <w:r w:rsidRPr="00E932DB">
        <w:rPr>
          <w:lang w:val="fr-CA"/>
        </w:rPr>
        <w:t>.</w:t>
      </w:r>
    </w:p>
    <w:p w:rsidR="00DD5855" w:rsidRPr="00284778" w:rsidRDefault="007D1503" w:rsidP="006743AB">
      <w:pPr>
        <w:tabs>
          <w:tab w:val="left" w:pos="1170"/>
        </w:tabs>
        <w:spacing w:after="720"/>
        <w:rPr>
          <w:lang w:val="fr-CA"/>
        </w:rPr>
      </w:pPr>
      <w:r w:rsidRPr="00E31014">
        <w:rPr>
          <w:smallCaps/>
          <w:lang w:val="fr-CA"/>
        </w:rPr>
        <w:lastRenderedPageBreak/>
        <w:tab/>
      </w:r>
      <w:r w:rsidR="00DD5855" w:rsidRPr="00284778">
        <w:rPr>
          <w:szCs w:val="24"/>
          <w:lang w:val="fr-CA"/>
        </w:rPr>
        <w:t xml:space="preserve">Version française des motifs </w:t>
      </w:r>
      <w:r w:rsidR="00DD5855">
        <w:rPr>
          <w:szCs w:val="24"/>
          <w:lang w:val="fr-CA"/>
        </w:rPr>
        <w:t>r</w:t>
      </w:r>
      <w:r w:rsidR="00DD5855" w:rsidRPr="00284778">
        <w:rPr>
          <w:szCs w:val="24"/>
          <w:lang w:val="fr-CA"/>
        </w:rPr>
        <w:t>endus par</w:t>
      </w:r>
    </w:p>
    <w:p w:rsidR="007D1503" w:rsidRPr="009026C0" w:rsidRDefault="00DD5855" w:rsidP="00EF00B0">
      <w:pPr>
        <w:pStyle w:val="ReasonsNumbering-AltN"/>
        <w:ind w:left="0" w:firstLine="0"/>
        <w:rPr>
          <w:lang w:val="fr-FR"/>
        </w:rPr>
      </w:pPr>
      <w:r w:rsidRPr="00DD5855">
        <w:rPr>
          <w:smallCaps/>
          <w:lang w:val="fr-CA"/>
        </w:rPr>
        <w:t>La juge Abella</w:t>
      </w:r>
      <w:r w:rsidRPr="00DD5855">
        <w:rPr>
          <w:lang w:val="fr-CA"/>
        </w:rPr>
        <w:t xml:space="preserve"> — </w:t>
      </w:r>
      <w:r w:rsidR="007D1503" w:rsidRPr="009026C0">
        <w:rPr>
          <w:lang w:val="fr-FR"/>
        </w:rPr>
        <w:t xml:space="preserve">Je suis d’accord avec le juge </w:t>
      </w:r>
      <w:proofErr w:type="spellStart"/>
      <w:r w:rsidR="007D1503" w:rsidRPr="009026C0">
        <w:rPr>
          <w:lang w:val="fr-FR"/>
        </w:rPr>
        <w:t>Binnie</w:t>
      </w:r>
      <w:proofErr w:type="spellEnd"/>
      <w:r w:rsidR="007D1503" w:rsidRPr="009026C0">
        <w:rPr>
          <w:lang w:val="fr-FR"/>
        </w:rPr>
        <w:t xml:space="preserve"> pour dire que les circonstances exceptionnelles de la présente affaire justifient à bon droit l’octroi d’une provision pour frais dans l’intérêt </w:t>
      </w:r>
      <w:r w:rsidR="007D1503" w:rsidRPr="00E31014">
        <w:rPr>
          <w:lang w:val="fr-CA"/>
        </w:rPr>
        <w:t>public</w:t>
      </w:r>
      <w:r w:rsidR="007D1503" w:rsidRPr="009026C0">
        <w:rPr>
          <w:lang w:val="fr-FR"/>
        </w:rPr>
        <w:t xml:space="preserve"> en fonction des principes établis par cette Cour dans </w:t>
      </w:r>
      <w:proofErr w:type="spellStart"/>
      <w:r w:rsidR="007D1503" w:rsidRPr="009026C0">
        <w:rPr>
          <w:i/>
          <w:lang w:val="fr-FR"/>
        </w:rPr>
        <w:t>Colombie</w:t>
      </w:r>
      <w:r w:rsidR="007D1503" w:rsidRPr="009026C0">
        <w:rPr>
          <w:i/>
          <w:lang w:val="fr-FR"/>
        </w:rPr>
        <w:noBreakHyphen/>
        <w:t>Britannique</w:t>
      </w:r>
      <w:proofErr w:type="spellEnd"/>
      <w:r w:rsidR="007D1503" w:rsidRPr="009026C0">
        <w:rPr>
          <w:i/>
          <w:lang w:val="fr-FR"/>
        </w:rPr>
        <w:t xml:space="preserve"> (Ministre des Forêts) c. Bande indienne </w:t>
      </w:r>
      <w:proofErr w:type="spellStart"/>
      <w:r w:rsidR="007D1503" w:rsidRPr="009026C0">
        <w:rPr>
          <w:i/>
          <w:lang w:val="fr-FR"/>
        </w:rPr>
        <w:t>Okanagan</w:t>
      </w:r>
      <w:proofErr w:type="spellEnd"/>
      <w:r w:rsidR="007D1503" w:rsidRPr="009026C0">
        <w:rPr>
          <w:lang w:val="fr-FR"/>
        </w:rPr>
        <w:t xml:space="preserve">, 2003 CSC 71, [2003] 3 R.C.S. 371, et </w:t>
      </w:r>
      <w:proofErr w:type="spellStart"/>
      <w:r w:rsidR="007D1503" w:rsidRPr="009026C0">
        <w:rPr>
          <w:i/>
          <w:lang w:val="fr-FR"/>
        </w:rPr>
        <w:t>Little</w:t>
      </w:r>
      <w:proofErr w:type="spellEnd"/>
      <w:r w:rsidR="007D1503" w:rsidRPr="009026C0">
        <w:rPr>
          <w:i/>
          <w:lang w:val="fr-FR"/>
        </w:rPr>
        <w:t xml:space="preserve"> </w:t>
      </w:r>
      <w:proofErr w:type="spellStart"/>
      <w:r w:rsidR="007D1503" w:rsidRPr="009026C0">
        <w:rPr>
          <w:i/>
          <w:lang w:val="fr-FR"/>
        </w:rPr>
        <w:t>Sisters</w:t>
      </w:r>
      <w:proofErr w:type="spellEnd"/>
      <w:r w:rsidR="007D1503" w:rsidRPr="009026C0">
        <w:rPr>
          <w:i/>
          <w:lang w:val="fr-FR"/>
        </w:rPr>
        <w:t xml:space="preserve"> Book and Art Emporium c. Canada (Commissaire des Douanes et du Revenu)</w:t>
      </w:r>
      <w:r w:rsidR="007D1503" w:rsidRPr="009026C0">
        <w:rPr>
          <w:lang w:val="fr-FR"/>
        </w:rPr>
        <w:t xml:space="preserve">, 2007 CSC 2, [2007] 1 R.C.S. 38.  Je crains toutefois que les motifs du juge </w:t>
      </w:r>
      <w:proofErr w:type="spellStart"/>
      <w:r w:rsidR="007D1503" w:rsidRPr="009026C0">
        <w:rPr>
          <w:lang w:val="fr-FR"/>
        </w:rPr>
        <w:t>Binnie</w:t>
      </w:r>
      <w:proofErr w:type="spellEnd"/>
      <w:r w:rsidR="007D1503" w:rsidRPr="009026C0">
        <w:rPr>
          <w:lang w:val="fr-FR"/>
        </w:rPr>
        <w:t xml:space="preserve"> puissent être perçus comme élargissant indûment la portée du pouvoir que la </w:t>
      </w:r>
      <w:proofErr w:type="spellStart"/>
      <w:r w:rsidR="007D1503" w:rsidRPr="009026C0">
        <w:rPr>
          <w:lang w:val="fr-FR"/>
        </w:rPr>
        <w:t>common</w:t>
      </w:r>
      <w:proofErr w:type="spellEnd"/>
      <w:r w:rsidR="007D1503" w:rsidRPr="009026C0">
        <w:rPr>
          <w:lang w:val="fr-FR"/>
        </w:rPr>
        <w:t xml:space="preserve"> </w:t>
      </w:r>
      <w:proofErr w:type="spellStart"/>
      <w:r w:rsidR="007D1503" w:rsidRPr="009026C0">
        <w:rPr>
          <w:lang w:val="fr-FR"/>
        </w:rPr>
        <w:t>law</w:t>
      </w:r>
      <w:proofErr w:type="spellEnd"/>
      <w:r w:rsidR="007D1503" w:rsidRPr="009026C0">
        <w:rPr>
          <w:lang w:val="fr-FR"/>
        </w:rPr>
        <w:t xml:space="preserve"> accorde à une cour supérieure dans l’exercice de sa compétence inhérente.</w:t>
      </w:r>
    </w:p>
    <w:p w:rsidR="007D1503" w:rsidRPr="009026C0" w:rsidRDefault="007D1503" w:rsidP="00EF00B0">
      <w:pPr>
        <w:pStyle w:val="ReasonsNumbering-AltN"/>
        <w:ind w:left="0" w:firstLine="0"/>
        <w:rPr>
          <w:lang w:val="fr-FR"/>
        </w:rPr>
      </w:pPr>
      <w:r w:rsidRPr="009026C0">
        <w:rPr>
          <w:lang w:val="fr-FR"/>
        </w:rPr>
        <w:t xml:space="preserve">Plus précisément, il importe de ne pas voir ces motifs comme favorisant l’élargissement indu de la </w:t>
      </w:r>
      <w:r w:rsidRPr="00E31014">
        <w:rPr>
          <w:lang w:val="fr-CA"/>
        </w:rPr>
        <w:t>compétence</w:t>
      </w:r>
      <w:r w:rsidRPr="009026C0">
        <w:rPr>
          <w:lang w:val="fr-FR"/>
        </w:rPr>
        <w:t xml:space="preserve"> inhérente d’une cour supérieure sur des questions que cette Cour considère de plus en plus comme relevant du pouvoir implicite d’une cour d’origine législative de faire ce qui est nécessaire, dans l’exécution de son mandat, pour « administrer pleinement et efficacement la justice » (voir </w:t>
      </w:r>
      <w:r w:rsidRPr="009026C0">
        <w:rPr>
          <w:i/>
          <w:lang w:val="fr-FR"/>
        </w:rPr>
        <w:t xml:space="preserve">ATCO </w:t>
      </w:r>
      <w:proofErr w:type="spellStart"/>
      <w:r w:rsidRPr="009026C0">
        <w:rPr>
          <w:i/>
          <w:lang w:val="fr-FR"/>
        </w:rPr>
        <w:t>Gas</w:t>
      </w:r>
      <w:proofErr w:type="spellEnd"/>
      <w:r w:rsidRPr="009026C0">
        <w:rPr>
          <w:i/>
          <w:lang w:val="fr-FR"/>
        </w:rPr>
        <w:t xml:space="preserve"> and Pipelines Ltd. c. Alberta (</w:t>
      </w:r>
      <w:proofErr w:type="spellStart"/>
      <w:r w:rsidRPr="009026C0">
        <w:rPr>
          <w:i/>
          <w:lang w:val="fr-FR"/>
        </w:rPr>
        <w:t>Energy</w:t>
      </w:r>
      <w:proofErr w:type="spellEnd"/>
      <w:r w:rsidRPr="009026C0">
        <w:rPr>
          <w:i/>
          <w:lang w:val="fr-FR"/>
        </w:rPr>
        <w:t xml:space="preserve"> and Utilities </w:t>
      </w:r>
      <w:proofErr w:type="spellStart"/>
      <w:r w:rsidRPr="009026C0">
        <w:rPr>
          <w:i/>
          <w:lang w:val="fr-FR"/>
        </w:rPr>
        <w:t>Board</w:t>
      </w:r>
      <w:proofErr w:type="spellEnd"/>
      <w:r w:rsidRPr="009026C0">
        <w:rPr>
          <w:i/>
          <w:lang w:val="fr-FR"/>
        </w:rPr>
        <w:t>)</w:t>
      </w:r>
      <w:r w:rsidRPr="009026C0">
        <w:rPr>
          <w:lang w:val="fr-FR"/>
        </w:rPr>
        <w:t xml:space="preserve">, 2006 CSC 4, [2006] 1 R.C.S. 140, par. 51; </w:t>
      </w:r>
      <w:r w:rsidRPr="009026C0">
        <w:rPr>
          <w:i/>
          <w:lang w:val="fr-FR"/>
        </w:rPr>
        <w:t>R. c. 974649 Ontario Inc</w:t>
      </w:r>
      <w:r w:rsidRPr="009026C0">
        <w:rPr>
          <w:lang w:val="fr-FR"/>
        </w:rPr>
        <w:t>., 2001 CSC 81, [2001] 3 R.C.S. 575, par. 70 et 71 (« </w:t>
      </w:r>
      <w:r w:rsidRPr="009026C0">
        <w:rPr>
          <w:i/>
          <w:lang w:val="fr-FR"/>
        </w:rPr>
        <w:t>Dunedin</w:t>
      </w:r>
      <w:r w:rsidRPr="009026C0">
        <w:rPr>
          <w:lang w:val="fr-FR"/>
        </w:rPr>
        <w:t xml:space="preserve"> »); </w:t>
      </w:r>
      <w:r w:rsidRPr="009026C0">
        <w:rPr>
          <w:i/>
          <w:lang w:val="fr-FR"/>
        </w:rPr>
        <w:t>R. c. Cunningham</w:t>
      </w:r>
      <w:r w:rsidRPr="009026C0">
        <w:rPr>
          <w:lang w:val="fr-FR"/>
        </w:rPr>
        <w:t xml:space="preserve">, 2010 CSC 10, [2010] 1 R.C.S. 331, par. 19; </w:t>
      </w:r>
      <w:r w:rsidRPr="009026C0">
        <w:rPr>
          <w:i/>
          <w:lang w:val="fr-FR"/>
        </w:rPr>
        <w:t>Bell Canada c. Canada (Conseil de la radiodiffusion et des télécommunications canadiennes)</w:t>
      </w:r>
      <w:r w:rsidRPr="009026C0">
        <w:rPr>
          <w:lang w:val="fr-FR"/>
        </w:rPr>
        <w:t xml:space="preserve">, [1989] 1 R.C.S. 1722; voir aussi </w:t>
      </w:r>
      <w:r w:rsidRPr="009026C0">
        <w:rPr>
          <w:i/>
          <w:lang w:val="fr-FR"/>
        </w:rPr>
        <w:t>Interprovincial Pipe Line Ltd. c. Office national de l’énergie</w:t>
      </w:r>
      <w:r w:rsidRPr="009026C0">
        <w:rPr>
          <w:lang w:val="fr-FR"/>
        </w:rPr>
        <w:t xml:space="preserve">, [1978] 1 C.F. 601 (C.A.); </w:t>
      </w:r>
      <w:r w:rsidRPr="009026C0">
        <w:rPr>
          <w:i/>
          <w:lang w:val="fr-FR"/>
        </w:rPr>
        <w:t xml:space="preserve">Commission </w:t>
      </w:r>
      <w:r w:rsidRPr="009026C0">
        <w:rPr>
          <w:i/>
          <w:lang w:val="fr-FR"/>
        </w:rPr>
        <w:lastRenderedPageBreak/>
        <w:t xml:space="preserve">d’énergie électrique du </w:t>
      </w:r>
      <w:proofErr w:type="spellStart"/>
      <w:r w:rsidRPr="009026C0">
        <w:rPr>
          <w:i/>
          <w:lang w:val="fr-FR"/>
        </w:rPr>
        <w:t>Nouveau</w:t>
      </w:r>
      <w:r w:rsidRPr="009026C0">
        <w:rPr>
          <w:i/>
          <w:lang w:val="fr-FR"/>
        </w:rPr>
        <w:noBreakHyphen/>
        <w:t>Brunswick</w:t>
      </w:r>
      <w:proofErr w:type="spellEnd"/>
      <w:r w:rsidRPr="009026C0">
        <w:rPr>
          <w:i/>
          <w:lang w:val="fr-FR"/>
        </w:rPr>
        <w:t xml:space="preserve"> c. Maritime Electric Co.</w:t>
      </w:r>
      <w:r w:rsidRPr="009026C0">
        <w:rPr>
          <w:lang w:val="fr-FR"/>
        </w:rPr>
        <w:t xml:space="preserve">, [1985] 2 C.F. 13 (C.A.); </w:t>
      </w:r>
      <w:r w:rsidRPr="009026C0">
        <w:rPr>
          <w:i/>
          <w:lang w:val="fr-FR"/>
        </w:rPr>
        <w:t>Ligue de la radiodiffusion canadienne c. Conseil de la radiodiffusion et des télécommunications canadiennes</w:t>
      </w:r>
      <w:r w:rsidRPr="009026C0">
        <w:rPr>
          <w:lang w:val="fr-FR"/>
        </w:rPr>
        <w:t xml:space="preserve">, [1983] 1 C.F. 182 (C.A.), </w:t>
      </w:r>
      <w:proofErr w:type="spellStart"/>
      <w:r w:rsidRPr="009026C0">
        <w:rPr>
          <w:lang w:val="fr-FR"/>
        </w:rPr>
        <w:t>conf</w:t>
      </w:r>
      <w:proofErr w:type="spellEnd"/>
      <w:r w:rsidRPr="009026C0">
        <w:rPr>
          <w:lang w:val="fr-FR"/>
        </w:rPr>
        <w:t xml:space="preserve">. par [1985] 1 R.C.S. 174; </w:t>
      </w:r>
      <w:proofErr w:type="spellStart"/>
      <w:r w:rsidRPr="009026C0">
        <w:rPr>
          <w:i/>
          <w:lang w:val="fr-FR"/>
        </w:rPr>
        <w:t>Re</w:t>
      </w:r>
      <w:proofErr w:type="spellEnd"/>
      <w:r w:rsidRPr="009026C0">
        <w:rPr>
          <w:i/>
          <w:lang w:val="fr-FR"/>
        </w:rPr>
        <w:t xml:space="preserve"> Dow </w:t>
      </w:r>
      <w:proofErr w:type="spellStart"/>
      <w:r w:rsidRPr="009026C0">
        <w:rPr>
          <w:i/>
          <w:lang w:val="fr-FR"/>
        </w:rPr>
        <w:t>Chemical</w:t>
      </w:r>
      <w:proofErr w:type="spellEnd"/>
      <w:r w:rsidRPr="009026C0">
        <w:rPr>
          <w:i/>
          <w:lang w:val="fr-FR"/>
        </w:rPr>
        <w:t xml:space="preserve"> Canada Inc. and Union</w:t>
      </w:r>
      <w:r w:rsidRPr="009026C0">
        <w:rPr>
          <w:lang w:val="fr-FR"/>
        </w:rPr>
        <w:t xml:space="preserve"> </w:t>
      </w:r>
      <w:proofErr w:type="spellStart"/>
      <w:r w:rsidRPr="009026C0">
        <w:rPr>
          <w:i/>
          <w:lang w:val="fr-FR"/>
        </w:rPr>
        <w:t>Gas</w:t>
      </w:r>
      <w:proofErr w:type="spellEnd"/>
      <w:r w:rsidRPr="009026C0">
        <w:rPr>
          <w:i/>
          <w:lang w:val="fr-FR"/>
        </w:rPr>
        <w:t xml:space="preserve"> Ltd. </w:t>
      </w:r>
      <w:r w:rsidRPr="009026C0">
        <w:rPr>
          <w:lang w:val="fr-FR"/>
        </w:rPr>
        <w:t xml:space="preserve">(1982), 141 D.L.R. (3d) 641 (C. div. Ont.), </w:t>
      </w:r>
      <w:proofErr w:type="spellStart"/>
      <w:r w:rsidRPr="009026C0">
        <w:rPr>
          <w:lang w:val="fr-FR"/>
        </w:rPr>
        <w:t>conf</w:t>
      </w:r>
      <w:proofErr w:type="spellEnd"/>
      <w:r w:rsidRPr="009026C0">
        <w:rPr>
          <w:lang w:val="fr-FR"/>
        </w:rPr>
        <w:t xml:space="preserve">. par (1983), 42 O.R. (2d) 731 (C.A.); </w:t>
      </w:r>
      <w:proofErr w:type="spellStart"/>
      <w:r w:rsidRPr="009026C0">
        <w:rPr>
          <w:i/>
          <w:lang w:val="fr-FR"/>
        </w:rPr>
        <w:t>Children’s</w:t>
      </w:r>
      <w:proofErr w:type="spellEnd"/>
      <w:r w:rsidRPr="009026C0">
        <w:rPr>
          <w:i/>
          <w:lang w:val="fr-FR"/>
        </w:rPr>
        <w:t xml:space="preserve"> </w:t>
      </w:r>
      <w:proofErr w:type="spellStart"/>
      <w:r w:rsidRPr="009026C0">
        <w:rPr>
          <w:i/>
          <w:lang w:val="fr-FR"/>
        </w:rPr>
        <w:t>Aid</w:t>
      </w:r>
      <w:proofErr w:type="spellEnd"/>
      <w:r w:rsidRPr="009026C0">
        <w:rPr>
          <w:i/>
          <w:lang w:val="fr-FR"/>
        </w:rPr>
        <w:t xml:space="preserve"> Society of Huron </w:t>
      </w:r>
      <w:proofErr w:type="spellStart"/>
      <w:r w:rsidRPr="009026C0">
        <w:rPr>
          <w:i/>
          <w:lang w:val="fr-FR"/>
        </w:rPr>
        <w:t>County</w:t>
      </w:r>
      <w:proofErr w:type="spellEnd"/>
      <w:r w:rsidRPr="009026C0">
        <w:rPr>
          <w:i/>
          <w:lang w:val="fr-FR"/>
        </w:rPr>
        <w:t xml:space="preserve"> c. P.</w:t>
      </w:r>
      <w:r w:rsidR="0035080D">
        <w:rPr>
          <w:i/>
          <w:lang w:val="fr-FR"/>
        </w:rPr>
        <w:t xml:space="preserve"> </w:t>
      </w:r>
      <w:r w:rsidRPr="009026C0">
        <w:rPr>
          <w:i/>
          <w:lang w:val="fr-FR"/>
        </w:rPr>
        <w:t>(C.)</w:t>
      </w:r>
      <w:r w:rsidR="00A027FA">
        <w:rPr>
          <w:lang w:val="fr-FR"/>
        </w:rPr>
        <w:t xml:space="preserve">, </w:t>
      </w:r>
      <w:r w:rsidRPr="009026C0">
        <w:rPr>
          <w:lang w:val="fr-FR"/>
        </w:rPr>
        <w:t xml:space="preserve">2002 </w:t>
      </w:r>
      <w:proofErr w:type="spellStart"/>
      <w:r w:rsidRPr="009026C0">
        <w:rPr>
          <w:lang w:val="fr-FR"/>
        </w:rPr>
        <w:t>CanLII</w:t>
      </w:r>
      <w:proofErr w:type="spellEnd"/>
      <w:r w:rsidRPr="009026C0">
        <w:rPr>
          <w:lang w:val="fr-FR"/>
        </w:rPr>
        <w:t xml:space="preserve"> 45644 (C.S.J. Ont.); </w:t>
      </w:r>
      <w:r w:rsidRPr="009026C0">
        <w:rPr>
          <w:i/>
          <w:lang w:val="fr-FR"/>
        </w:rPr>
        <w:t>Chrysler Canada Ltd. c. Canada (Tribunal de la concurrence)</w:t>
      </w:r>
      <w:r w:rsidRPr="009026C0">
        <w:rPr>
          <w:lang w:val="fr-FR"/>
        </w:rPr>
        <w:t>, [1992] 2 R.C.S. 394; R.</w:t>
      </w:r>
      <w:r w:rsidR="008005FF" w:rsidRPr="008005FF">
        <w:rPr>
          <w:lang w:val="fr-FR"/>
        </w:rPr>
        <w:t> </w:t>
      </w:r>
      <w:r w:rsidRPr="009026C0">
        <w:rPr>
          <w:lang w:val="fr-FR"/>
        </w:rPr>
        <w:t>W. Macaulay et J.</w:t>
      </w:r>
      <w:r>
        <w:rPr>
          <w:lang w:val="fr-FR"/>
        </w:rPr>
        <w:t> </w:t>
      </w:r>
      <w:r w:rsidRPr="009026C0">
        <w:rPr>
          <w:lang w:val="fr-FR"/>
        </w:rPr>
        <w:t>L.</w:t>
      </w:r>
      <w:r>
        <w:rPr>
          <w:lang w:val="fr-FR"/>
        </w:rPr>
        <w:t> </w:t>
      </w:r>
      <w:r w:rsidRPr="009026C0">
        <w:rPr>
          <w:lang w:val="fr-FR"/>
        </w:rPr>
        <w:t>H.</w:t>
      </w:r>
      <w:r>
        <w:rPr>
          <w:lang w:val="fr-FR"/>
        </w:rPr>
        <w:t> </w:t>
      </w:r>
      <w:proofErr w:type="spellStart"/>
      <w:r w:rsidRPr="009026C0">
        <w:rPr>
          <w:lang w:val="fr-FR"/>
        </w:rPr>
        <w:t>Sprague</w:t>
      </w:r>
      <w:proofErr w:type="spellEnd"/>
      <w:r w:rsidRPr="00A027FA">
        <w:rPr>
          <w:lang w:val="fr-FR"/>
        </w:rPr>
        <w:t>,</w:t>
      </w:r>
      <w:r w:rsidRPr="009026C0">
        <w:rPr>
          <w:i/>
          <w:lang w:val="fr-FR"/>
        </w:rPr>
        <w:t xml:space="preserve"> Practice and </w:t>
      </w:r>
      <w:proofErr w:type="spellStart"/>
      <w:r w:rsidRPr="009026C0">
        <w:rPr>
          <w:i/>
          <w:lang w:val="fr-FR"/>
        </w:rPr>
        <w:t>Procedure</w:t>
      </w:r>
      <w:proofErr w:type="spellEnd"/>
      <w:r w:rsidRPr="009026C0">
        <w:rPr>
          <w:i/>
          <w:lang w:val="fr-FR"/>
        </w:rPr>
        <w:t xml:space="preserve"> </w:t>
      </w:r>
      <w:proofErr w:type="spellStart"/>
      <w:r w:rsidRPr="009026C0">
        <w:rPr>
          <w:i/>
          <w:lang w:val="fr-FR"/>
        </w:rPr>
        <w:t>Before</w:t>
      </w:r>
      <w:proofErr w:type="spellEnd"/>
      <w:r w:rsidRPr="009026C0">
        <w:rPr>
          <w:i/>
          <w:lang w:val="fr-FR"/>
        </w:rPr>
        <w:t xml:space="preserve"> Administrative </w:t>
      </w:r>
      <w:proofErr w:type="spellStart"/>
      <w:r w:rsidRPr="009026C0">
        <w:rPr>
          <w:i/>
          <w:lang w:val="fr-FR"/>
        </w:rPr>
        <w:t>Tribunals</w:t>
      </w:r>
      <w:proofErr w:type="spellEnd"/>
      <w:r w:rsidRPr="009026C0">
        <w:rPr>
          <w:lang w:val="fr-FR"/>
        </w:rPr>
        <w:t xml:space="preserve"> </w:t>
      </w:r>
      <w:r w:rsidR="00DD5855">
        <w:rPr>
          <w:lang w:val="fr-FR"/>
        </w:rPr>
        <w:t>(</w:t>
      </w:r>
      <w:r w:rsidRPr="009026C0">
        <w:rPr>
          <w:lang w:val="fr-FR"/>
        </w:rPr>
        <w:t>feuilles mobiles</w:t>
      </w:r>
      <w:r w:rsidR="00DD5855">
        <w:rPr>
          <w:lang w:val="fr-FR"/>
        </w:rPr>
        <w:t>)</w:t>
      </w:r>
      <w:r w:rsidR="007E1338">
        <w:rPr>
          <w:lang w:val="fr-FR"/>
        </w:rPr>
        <w:t>,</w:t>
      </w:r>
      <w:r w:rsidRPr="009026C0">
        <w:rPr>
          <w:lang w:val="fr-FR"/>
        </w:rPr>
        <w:t xml:space="preserve"> vol. 3, p. 29</w:t>
      </w:r>
      <w:r w:rsidRPr="009026C0">
        <w:rPr>
          <w:lang w:val="fr-FR"/>
        </w:rPr>
        <w:noBreakHyphen/>
        <w:t xml:space="preserve">1; Ruth Sullivan, </w:t>
      </w:r>
      <w:r w:rsidRPr="009026C0">
        <w:rPr>
          <w:i/>
          <w:lang w:val="fr-FR"/>
        </w:rPr>
        <w:t xml:space="preserve">Sullivan on the Construction of </w:t>
      </w:r>
      <w:proofErr w:type="spellStart"/>
      <w:r w:rsidRPr="009026C0">
        <w:rPr>
          <w:i/>
          <w:lang w:val="fr-FR"/>
        </w:rPr>
        <w:t>Statutes</w:t>
      </w:r>
      <w:proofErr w:type="spellEnd"/>
      <w:r w:rsidRPr="009026C0">
        <w:rPr>
          <w:lang w:val="fr-FR"/>
        </w:rPr>
        <w:t xml:space="preserve"> (2008), p. 290 et 291).</w:t>
      </w:r>
    </w:p>
    <w:p w:rsidR="007D1503" w:rsidRPr="009026C0" w:rsidRDefault="007D1503" w:rsidP="00EF00B0">
      <w:pPr>
        <w:pStyle w:val="ReasonsNumbering-AltN"/>
        <w:ind w:left="0" w:firstLine="0"/>
        <w:rPr>
          <w:lang w:val="fr-FR"/>
        </w:rPr>
      </w:pPr>
      <w:r w:rsidRPr="009026C0">
        <w:rPr>
          <w:lang w:val="fr-FR"/>
        </w:rPr>
        <w:t xml:space="preserve">À mon avis, il ne faut pas voir la compétence inhérente d’une cour supérieure comme un plein pouvoir « d’assistance »; il faut plutôt l’interpréter conformément à l’évolution de la </w:t>
      </w:r>
      <w:r w:rsidRPr="00E31014">
        <w:rPr>
          <w:lang w:val="fr-CA"/>
        </w:rPr>
        <w:t>jurisprudence</w:t>
      </w:r>
      <w:r w:rsidRPr="009026C0">
        <w:rPr>
          <w:lang w:val="fr-FR"/>
        </w:rPr>
        <w:t xml:space="preserve"> de cette Cour au sujet du rôle, du pouvoir et du mandat des cours de justice d’origine législative et des tribunaux administratifs.  Pour ce faire, il faut notamment tenir compte de la nécessité d’éviter le fractionnement des recours à moins de circonstances exceptionnelles (voir </w:t>
      </w:r>
      <w:proofErr w:type="spellStart"/>
      <w:r w:rsidRPr="009026C0">
        <w:rPr>
          <w:i/>
          <w:lang w:val="fr-FR"/>
        </w:rPr>
        <w:t>Nouvelle</w:t>
      </w:r>
      <w:r w:rsidRPr="009026C0">
        <w:rPr>
          <w:i/>
          <w:lang w:val="fr-FR"/>
        </w:rPr>
        <w:noBreakHyphen/>
        <w:t>Écosse</w:t>
      </w:r>
      <w:proofErr w:type="spellEnd"/>
      <w:r w:rsidRPr="009026C0">
        <w:rPr>
          <w:i/>
          <w:lang w:val="fr-FR"/>
        </w:rPr>
        <w:t xml:space="preserve"> (</w:t>
      </w:r>
      <w:proofErr w:type="spellStart"/>
      <w:r w:rsidRPr="009026C0">
        <w:rPr>
          <w:i/>
          <w:lang w:val="fr-FR"/>
        </w:rPr>
        <w:t>Workers</w:t>
      </w:r>
      <w:proofErr w:type="spellEnd"/>
      <w:r w:rsidRPr="009026C0">
        <w:rPr>
          <w:i/>
          <w:lang w:val="fr-FR"/>
        </w:rPr>
        <w:t xml:space="preserve">’ Compensation </w:t>
      </w:r>
      <w:proofErr w:type="spellStart"/>
      <w:r w:rsidRPr="009026C0">
        <w:rPr>
          <w:i/>
          <w:lang w:val="fr-FR"/>
        </w:rPr>
        <w:t>Board</w:t>
      </w:r>
      <w:proofErr w:type="spellEnd"/>
      <w:r w:rsidRPr="009026C0">
        <w:rPr>
          <w:i/>
          <w:lang w:val="fr-FR"/>
        </w:rPr>
        <w:t>) c. Martin</w:t>
      </w:r>
      <w:r w:rsidRPr="009026C0">
        <w:rPr>
          <w:lang w:val="fr-FR"/>
        </w:rPr>
        <w:t xml:space="preserve">, 2003 CSC 54, [2003] 2 R.C.S. 504, par. 29; </w:t>
      </w:r>
      <w:r w:rsidRPr="009026C0">
        <w:rPr>
          <w:i/>
          <w:lang w:val="fr-FR"/>
        </w:rPr>
        <w:t>R. c.</w:t>
      </w:r>
      <w:r w:rsidRPr="009026C0">
        <w:rPr>
          <w:lang w:val="fr-FR"/>
        </w:rPr>
        <w:t xml:space="preserve"> </w:t>
      </w:r>
      <w:proofErr w:type="spellStart"/>
      <w:r w:rsidRPr="009026C0">
        <w:rPr>
          <w:i/>
          <w:lang w:val="fr-FR"/>
        </w:rPr>
        <w:t>Conway</w:t>
      </w:r>
      <w:proofErr w:type="spellEnd"/>
      <w:r w:rsidRPr="009026C0">
        <w:rPr>
          <w:lang w:val="fr-FR"/>
        </w:rPr>
        <w:t>, 2010 CSC 22, [2010] 1 R.C.S. 765, par. 79).</w:t>
      </w:r>
      <w:r>
        <w:rPr>
          <w:lang w:val="fr-FR"/>
        </w:rPr>
        <w:t xml:space="preserve"> </w:t>
      </w:r>
      <w:r w:rsidRPr="009026C0">
        <w:rPr>
          <w:lang w:val="fr-FR"/>
        </w:rPr>
        <w:t xml:space="preserve"> Comme le souligne le juge </w:t>
      </w:r>
      <w:proofErr w:type="spellStart"/>
      <w:r w:rsidRPr="009026C0">
        <w:rPr>
          <w:lang w:val="fr-FR"/>
        </w:rPr>
        <w:t>Binnie</w:t>
      </w:r>
      <w:proofErr w:type="spellEnd"/>
      <w:r w:rsidRPr="009026C0">
        <w:rPr>
          <w:lang w:val="fr-FR"/>
        </w:rPr>
        <w:t xml:space="preserve">, la cour supérieure ne doit intervenir ainsi que dans le but fondamental de faire « ce qui est nécessaire pour éviter une injustice » (par. 38).  C’est en l’espèce qu’on a interprété pour la première fois cette compétence inhérente comme emportant le pouvoir d’ordonner le versement d’une provision pour </w:t>
      </w:r>
      <w:r w:rsidRPr="009026C0">
        <w:rPr>
          <w:lang w:val="fr-FR"/>
        </w:rPr>
        <w:lastRenderedPageBreak/>
        <w:t>frais dans une procédure instruite par une cour de justice d’origine législative ou un tribunal administratif.</w:t>
      </w:r>
    </w:p>
    <w:p w:rsidR="007D1503" w:rsidRPr="009026C0" w:rsidRDefault="007D1503" w:rsidP="00EF00B0">
      <w:pPr>
        <w:pStyle w:val="ReasonsNumbering-AltN"/>
        <w:ind w:left="0" w:firstLine="0"/>
        <w:rPr>
          <w:lang w:val="fr-FR"/>
        </w:rPr>
      </w:pPr>
      <w:r w:rsidRPr="009026C0">
        <w:rPr>
          <w:lang w:val="fr-FR"/>
        </w:rPr>
        <w:t xml:space="preserve">Il convient de se rappeler, comme l’a admis le juge </w:t>
      </w:r>
      <w:proofErr w:type="spellStart"/>
      <w:r w:rsidRPr="009026C0">
        <w:rPr>
          <w:lang w:val="fr-FR"/>
        </w:rPr>
        <w:t>Binnie</w:t>
      </w:r>
      <w:proofErr w:type="spellEnd"/>
      <w:r w:rsidRPr="009026C0">
        <w:rPr>
          <w:lang w:val="fr-FR"/>
        </w:rPr>
        <w:t xml:space="preserve">, que l’exercice de cette compétence inhérente reposait sur la prémisse que la cour provinciale n’avait pas compétence pour rendre l’ordonnance en question.  Hélas, nous ne sommes pas saisis, à proprement parler, de cette pièce du </w:t>
      </w:r>
      <w:proofErr w:type="spellStart"/>
      <w:r w:rsidRPr="009026C0">
        <w:rPr>
          <w:lang w:val="fr-FR"/>
        </w:rPr>
        <w:t>casse</w:t>
      </w:r>
      <w:r w:rsidRPr="009026C0">
        <w:rPr>
          <w:lang w:val="fr-FR"/>
        </w:rPr>
        <w:noBreakHyphen/>
        <w:t>tête</w:t>
      </w:r>
      <w:proofErr w:type="spellEnd"/>
      <w:r w:rsidRPr="009026C0">
        <w:rPr>
          <w:lang w:val="fr-FR"/>
        </w:rPr>
        <w:t xml:space="preserve"> juridictionnel.  M. Caron avait demandé sans succès à la cour provinciale de lui accorder une provision pour frais fondée sur l’arrêt </w:t>
      </w:r>
      <w:proofErr w:type="spellStart"/>
      <w:r w:rsidRPr="009026C0">
        <w:rPr>
          <w:i/>
          <w:lang w:val="fr-FR"/>
        </w:rPr>
        <w:t>Okanagan</w:t>
      </w:r>
      <w:proofErr w:type="spellEnd"/>
      <w:r w:rsidRPr="009026C0">
        <w:rPr>
          <w:lang w:val="fr-FR"/>
        </w:rPr>
        <w:t xml:space="preserve">.  La cour provinciale a conclu que, bien que les critères établis dans l’arrêt </w:t>
      </w:r>
      <w:proofErr w:type="spellStart"/>
      <w:r w:rsidRPr="009026C0">
        <w:rPr>
          <w:i/>
          <w:lang w:val="fr-FR"/>
        </w:rPr>
        <w:t>Okanagan</w:t>
      </w:r>
      <w:proofErr w:type="spellEnd"/>
      <w:r w:rsidRPr="009026C0">
        <w:rPr>
          <w:lang w:val="fr-FR"/>
        </w:rPr>
        <w:t xml:space="preserve"> </w:t>
      </w:r>
      <w:proofErr w:type="gramStart"/>
      <w:r w:rsidRPr="009026C0">
        <w:rPr>
          <w:lang w:val="fr-FR"/>
        </w:rPr>
        <w:t>étaient</w:t>
      </w:r>
      <w:proofErr w:type="gramEnd"/>
      <w:r w:rsidRPr="009026C0">
        <w:rPr>
          <w:lang w:val="fr-FR"/>
        </w:rPr>
        <w:t xml:space="preserve"> satisfaits, il lui était impossib</w:t>
      </w:r>
      <w:r>
        <w:rPr>
          <w:lang w:val="fr-FR"/>
        </w:rPr>
        <w:t>le d’accéder à la demande de M. </w:t>
      </w:r>
      <w:r w:rsidRPr="009026C0">
        <w:rPr>
          <w:lang w:val="fr-FR"/>
        </w:rPr>
        <w:t>Caron.  Confirmée pour l’essentiel pa</w:t>
      </w:r>
      <w:r w:rsidR="00A027FA">
        <w:rPr>
          <w:lang w:val="fr-FR"/>
        </w:rPr>
        <w:t>r la Cour du Banc de la Reine (</w:t>
      </w:r>
      <w:r w:rsidRPr="009026C0">
        <w:rPr>
          <w:lang w:val="fr-FR"/>
        </w:rPr>
        <w:t>2007</w:t>
      </w:r>
      <w:r w:rsidR="00A027FA">
        <w:rPr>
          <w:lang w:val="fr-FR"/>
        </w:rPr>
        <w:t xml:space="preserve"> ABQB 262</w:t>
      </w:r>
      <w:r w:rsidRPr="009026C0">
        <w:rPr>
          <w:lang w:val="fr-FR"/>
        </w:rPr>
        <w:t xml:space="preserve">, 75 Alta. L.R. (4th) 287, le juge Marceau), la décision de la cour provinciale n’a pas été portée en appel par M. Caron.  Il a plutôt décidé d’obtenir du financement en présentant une nouvelle demande à la Cour du Banc de la Reine, priant </w:t>
      </w:r>
      <w:proofErr w:type="spellStart"/>
      <w:r w:rsidRPr="009026C0">
        <w:rPr>
          <w:lang w:val="fr-FR"/>
        </w:rPr>
        <w:t>celle</w:t>
      </w:r>
      <w:r w:rsidRPr="009026C0">
        <w:rPr>
          <w:lang w:val="fr-FR"/>
        </w:rPr>
        <w:noBreakHyphen/>
        <w:t>ci</w:t>
      </w:r>
      <w:proofErr w:type="spellEnd"/>
      <w:r w:rsidRPr="009026C0">
        <w:rPr>
          <w:lang w:val="fr-FR"/>
        </w:rPr>
        <w:t xml:space="preserve"> d’exercer son pouvoir inhérent, à titre de cour supérieure, de rendre une ordonnance de provision pour frais.  Il faudra donc attendre une autre occasion de trancher la question de savoir si une cour de justice d’origine législative ou un tribunal administratif a compétence pour ordonner le versement d’une provision pour frais fondée sur l’arrêt </w:t>
      </w:r>
      <w:proofErr w:type="spellStart"/>
      <w:r w:rsidRPr="009026C0">
        <w:rPr>
          <w:i/>
          <w:lang w:val="fr-FR"/>
        </w:rPr>
        <w:t>Okanagan</w:t>
      </w:r>
      <w:proofErr w:type="spellEnd"/>
      <w:r w:rsidRPr="009026C0">
        <w:rPr>
          <w:lang w:val="fr-FR"/>
        </w:rPr>
        <w:t>.</w:t>
      </w:r>
    </w:p>
    <w:p w:rsidR="007D1503" w:rsidRPr="009026C0" w:rsidRDefault="007D1503" w:rsidP="00EF00B0">
      <w:pPr>
        <w:pStyle w:val="ReasonsNumbering-AltN"/>
        <w:ind w:left="0" w:firstLine="0"/>
        <w:rPr>
          <w:lang w:val="fr-FR"/>
        </w:rPr>
      </w:pPr>
      <w:r w:rsidRPr="009026C0">
        <w:rPr>
          <w:lang w:val="fr-FR"/>
        </w:rPr>
        <w:t xml:space="preserve">Cela nous place dans la situation peu enviable d’avoir à établir la possibilité pour M. Caron d’obtenir du financement et de poursuivre le présent litige </w:t>
      </w:r>
      <w:r w:rsidRPr="009026C0">
        <w:rPr>
          <w:i/>
          <w:lang w:val="fr-FR"/>
        </w:rPr>
        <w:t xml:space="preserve">comme </w:t>
      </w:r>
      <w:r w:rsidRPr="00A027FA">
        <w:rPr>
          <w:i/>
          <w:lang w:val="fr-FR"/>
        </w:rPr>
        <w:t>s</w:t>
      </w:r>
      <w:r w:rsidRPr="00CE4A9C">
        <w:rPr>
          <w:i/>
          <w:lang w:val="fr-FR"/>
        </w:rPr>
        <w:t>’</w:t>
      </w:r>
      <w:r w:rsidRPr="009026C0">
        <w:rPr>
          <w:lang w:val="fr-FR"/>
        </w:rPr>
        <w:t xml:space="preserve">il ne pouvait s’adresser à une autre juridiction.  Je veux simplement faire </w:t>
      </w:r>
      <w:r w:rsidRPr="009026C0">
        <w:rPr>
          <w:lang w:val="fr-FR"/>
        </w:rPr>
        <w:lastRenderedPageBreak/>
        <w:t xml:space="preserve">une mise en garde : il se peut fort bien que l’évolution de la reconnaissance, par la Cour, de l’indépendance, de l’intégrité et de l’expertise des cours de justice d’origine législative et des tribunaux administratifs soit incompatible avec une approche qui a pour effet d’élargir la compétence inhérente dont jouit une cour supérieure en </w:t>
      </w:r>
      <w:proofErr w:type="spellStart"/>
      <w:r w:rsidRPr="009026C0">
        <w:rPr>
          <w:lang w:val="fr-FR"/>
        </w:rPr>
        <w:t>common</w:t>
      </w:r>
      <w:proofErr w:type="spellEnd"/>
      <w:r w:rsidRPr="009026C0">
        <w:rPr>
          <w:lang w:val="fr-FR"/>
        </w:rPr>
        <w:t xml:space="preserve"> </w:t>
      </w:r>
      <w:proofErr w:type="spellStart"/>
      <w:r w:rsidRPr="009026C0">
        <w:rPr>
          <w:lang w:val="fr-FR"/>
        </w:rPr>
        <w:t>law</w:t>
      </w:r>
      <w:proofErr w:type="spellEnd"/>
      <w:r w:rsidRPr="009026C0">
        <w:rPr>
          <w:lang w:val="fr-FR"/>
        </w:rPr>
        <w:t xml:space="preserve"> sur les questions soumises à ces tribunaux.  Lors de l’examen des limites dont devrait être assortie la compétence inhérente d’une cour supérieure, il faut concilier la portée de cette compétence en </w:t>
      </w:r>
      <w:proofErr w:type="spellStart"/>
      <w:r w:rsidRPr="009026C0">
        <w:rPr>
          <w:lang w:val="fr-FR"/>
        </w:rPr>
        <w:t>common</w:t>
      </w:r>
      <w:proofErr w:type="spellEnd"/>
      <w:r w:rsidRPr="009026C0">
        <w:rPr>
          <w:lang w:val="fr-FR"/>
        </w:rPr>
        <w:t xml:space="preserve"> </w:t>
      </w:r>
      <w:proofErr w:type="spellStart"/>
      <w:r w:rsidRPr="009026C0">
        <w:rPr>
          <w:lang w:val="fr-FR"/>
        </w:rPr>
        <w:t>law</w:t>
      </w:r>
      <w:proofErr w:type="spellEnd"/>
      <w:r w:rsidRPr="009026C0">
        <w:rPr>
          <w:lang w:val="fr-FR"/>
        </w:rPr>
        <w:t xml:space="preserve"> </w:t>
      </w:r>
      <w:r w:rsidRPr="00A027FA">
        <w:rPr>
          <w:i/>
          <w:lang w:val="fr-FR"/>
        </w:rPr>
        <w:t>et</w:t>
      </w:r>
      <w:r w:rsidRPr="009026C0">
        <w:rPr>
          <w:lang w:val="fr-FR"/>
        </w:rPr>
        <w:t xml:space="preserve"> le mandat que la loi confie implicitement à une cour de justice d’origine législative ou à un tribunal administratif de faire respecter sa propre procédure dans la mesure nécessaire pour éviter une injustice et atteindre les objectifs fixés par la loi à son égard (voir </w:t>
      </w:r>
      <w:r w:rsidRPr="009026C0">
        <w:rPr>
          <w:i/>
          <w:lang w:val="fr-FR"/>
        </w:rPr>
        <w:t>Cunningham</w:t>
      </w:r>
      <w:r w:rsidRPr="009026C0">
        <w:rPr>
          <w:lang w:val="fr-FR"/>
        </w:rPr>
        <w:t xml:space="preserve">, par. 19; </w:t>
      </w:r>
      <w:r w:rsidRPr="009026C0">
        <w:rPr>
          <w:i/>
          <w:lang w:val="fr-FR"/>
        </w:rPr>
        <w:t>ATCO</w:t>
      </w:r>
      <w:r w:rsidRPr="009026C0">
        <w:rPr>
          <w:lang w:val="fr-FR"/>
        </w:rPr>
        <w:t xml:space="preserve">, par. 51; </w:t>
      </w:r>
      <w:proofErr w:type="spellStart"/>
      <w:r w:rsidRPr="009026C0">
        <w:rPr>
          <w:i/>
          <w:lang w:val="fr-FR"/>
        </w:rPr>
        <w:t>Soci</w:t>
      </w:r>
      <w:proofErr w:type="spellEnd"/>
      <w:r w:rsidRPr="009026C0">
        <w:rPr>
          <w:i/>
          <w:lang w:val="fr-CA"/>
        </w:rPr>
        <w:t xml:space="preserve">été </w:t>
      </w:r>
      <w:proofErr w:type="spellStart"/>
      <w:r w:rsidRPr="009026C0">
        <w:rPr>
          <w:i/>
          <w:lang w:val="fr-CA"/>
        </w:rPr>
        <w:t>Radio</w:t>
      </w:r>
      <w:r w:rsidRPr="009026C0">
        <w:rPr>
          <w:i/>
          <w:lang w:val="fr-CA"/>
        </w:rPr>
        <w:noBreakHyphen/>
        <w:t>Canada</w:t>
      </w:r>
      <w:proofErr w:type="spellEnd"/>
      <w:r w:rsidRPr="009026C0">
        <w:rPr>
          <w:i/>
          <w:lang w:val="fr-CA"/>
        </w:rPr>
        <w:t xml:space="preserve"> c. </w:t>
      </w:r>
      <w:proofErr w:type="spellStart"/>
      <w:r w:rsidRPr="009026C0">
        <w:rPr>
          <w:i/>
          <w:lang w:val="fr-CA"/>
        </w:rPr>
        <w:t>Nouveau</w:t>
      </w:r>
      <w:r w:rsidRPr="009026C0">
        <w:rPr>
          <w:i/>
          <w:lang w:val="fr-CA"/>
        </w:rPr>
        <w:noBreakHyphen/>
        <w:t>Brunswick</w:t>
      </w:r>
      <w:proofErr w:type="spellEnd"/>
      <w:r w:rsidRPr="009026C0">
        <w:rPr>
          <w:i/>
          <w:lang w:val="fr-CA"/>
        </w:rPr>
        <w:t xml:space="preserve"> (Procureur général)</w:t>
      </w:r>
      <w:r w:rsidRPr="009026C0">
        <w:rPr>
          <w:lang w:val="fr-CA"/>
        </w:rPr>
        <w:t xml:space="preserve">, </w:t>
      </w:r>
      <w:r w:rsidRPr="009026C0">
        <w:rPr>
          <w:lang w:val="fr-FR"/>
        </w:rPr>
        <w:t xml:space="preserve">[1996] 3 R.C.S. 480, par. 37; </w:t>
      </w:r>
      <w:r w:rsidRPr="009026C0">
        <w:rPr>
          <w:i/>
          <w:lang w:val="fr-FR"/>
        </w:rPr>
        <w:t xml:space="preserve">R. c. </w:t>
      </w:r>
      <w:proofErr w:type="spellStart"/>
      <w:r w:rsidRPr="009026C0">
        <w:rPr>
          <w:i/>
          <w:lang w:val="fr-FR"/>
        </w:rPr>
        <w:t>Jewitt</w:t>
      </w:r>
      <w:proofErr w:type="spellEnd"/>
      <w:r w:rsidRPr="009026C0">
        <w:rPr>
          <w:lang w:val="fr-FR"/>
        </w:rPr>
        <w:t xml:space="preserve">, [1985] 2 R.C.S. 128; </w:t>
      </w:r>
      <w:r w:rsidRPr="009026C0">
        <w:rPr>
          <w:i/>
          <w:lang w:val="fr-FR"/>
        </w:rPr>
        <w:t>Toronto (Ville) c. S.C.F.P., section locale 79</w:t>
      </w:r>
      <w:r w:rsidRPr="009026C0">
        <w:rPr>
          <w:lang w:val="fr-FR"/>
        </w:rPr>
        <w:t xml:space="preserve">, 2003 CSC 63, [2003] 3 R.C.S. 77, par. 35).  L’impossibilité pour les cours provinciales et les tribunaux administratifs d’ordonner le versement de fonds dans les circonstances exceptionnelles visées par les arrêts </w:t>
      </w:r>
      <w:proofErr w:type="spellStart"/>
      <w:r w:rsidRPr="009026C0">
        <w:rPr>
          <w:i/>
          <w:lang w:val="fr-FR"/>
        </w:rPr>
        <w:t>Okanagan</w:t>
      </w:r>
      <w:proofErr w:type="spellEnd"/>
      <w:r w:rsidRPr="009026C0">
        <w:rPr>
          <w:lang w:val="fr-FR"/>
        </w:rPr>
        <w:t xml:space="preserve"> et </w:t>
      </w:r>
      <w:proofErr w:type="spellStart"/>
      <w:r w:rsidRPr="009026C0">
        <w:rPr>
          <w:i/>
          <w:lang w:val="fr-FR"/>
        </w:rPr>
        <w:t>Little</w:t>
      </w:r>
      <w:proofErr w:type="spellEnd"/>
      <w:r w:rsidRPr="009026C0">
        <w:rPr>
          <w:i/>
          <w:lang w:val="fr-FR"/>
        </w:rPr>
        <w:t xml:space="preserve"> </w:t>
      </w:r>
      <w:proofErr w:type="spellStart"/>
      <w:r w:rsidRPr="009026C0">
        <w:rPr>
          <w:i/>
          <w:lang w:val="fr-FR"/>
        </w:rPr>
        <w:t>Sisters</w:t>
      </w:r>
      <w:proofErr w:type="spellEnd"/>
      <w:r w:rsidRPr="009026C0">
        <w:rPr>
          <w:lang w:val="fr-FR"/>
        </w:rPr>
        <w:t xml:space="preserve"> pourrait fort bien les empêcher de continuer à instruire des affaires dignes d’intérêt et susceptibles de revêtir une importance pour le public.  Comme la juge en chef </w:t>
      </w:r>
      <w:proofErr w:type="spellStart"/>
      <w:r w:rsidRPr="009026C0">
        <w:rPr>
          <w:lang w:val="fr-FR"/>
        </w:rPr>
        <w:t>McLachlin</w:t>
      </w:r>
      <w:proofErr w:type="spellEnd"/>
      <w:r w:rsidRPr="009026C0">
        <w:rPr>
          <w:lang w:val="fr-FR"/>
        </w:rPr>
        <w:t xml:space="preserve"> l’a souligné dans </w:t>
      </w:r>
      <w:r w:rsidRPr="009026C0">
        <w:rPr>
          <w:i/>
          <w:lang w:val="fr-FR"/>
        </w:rPr>
        <w:t>Dunedin</w:t>
      </w:r>
      <w:r w:rsidRPr="009026C0">
        <w:rPr>
          <w:lang w:val="fr-FR"/>
        </w:rPr>
        <w:t>, l’adjudication de dépens constitue une mesure de réparation très utile et « est intimement liée à la maîtrise que le tribunal exerce sur sa procédure » (par. 81).</w:t>
      </w:r>
    </w:p>
    <w:p w:rsidR="007D1503" w:rsidRPr="009026C0" w:rsidRDefault="007D1503" w:rsidP="00EF00B0">
      <w:pPr>
        <w:pStyle w:val="ReasonsNumbering-AltN"/>
        <w:ind w:left="0" w:firstLine="0"/>
        <w:rPr>
          <w:lang w:val="fr-FR"/>
        </w:rPr>
      </w:pPr>
      <w:r w:rsidRPr="009026C0">
        <w:rPr>
          <w:lang w:val="fr-FR"/>
        </w:rPr>
        <w:lastRenderedPageBreak/>
        <w:t xml:space="preserve">Compte tenu de cette mise en garde et des circonstances exceptionnelles de la présente affaire, je conviens avec le juge </w:t>
      </w:r>
      <w:proofErr w:type="spellStart"/>
      <w:r w:rsidRPr="009026C0">
        <w:rPr>
          <w:lang w:val="fr-FR"/>
        </w:rPr>
        <w:t>Binnie</w:t>
      </w:r>
      <w:proofErr w:type="spellEnd"/>
      <w:r w:rsidRPr="009026C0">
        <w:rPr>
          <w:lang w:val="fr-FR"/>
        </w:rPr>
        <w:t xml:space="preserve"> qu’il y a lieu de confirmer la provision pour </w:t>
      </w:r>
      <w:r w:rsidRPr="00E31014">
        <w:rPr>
          <w:lang w:val="fr-CA"/>
        </w:rPr>
        <w:t>frais</w:t>
      </w:r>
      <w:r w:rsidRPr="009026C0">
        <w:rPr>
          <w:lang w:val="fr-FR"/>
        </w:rPr>
        <w:t xml:space="preserve"> fondée sur l’arrêt </w:t>
      </w:r>
      <w:proofErr w:type="spellStart"/>
      <w:r w:rsidRPr="009026C0">
        <w:rPr>
          <w:i/>
          <w:lang w:val="fr-FR"/>
        </w:rPr>
        <w:t>Okanagan</w:t>
      </w:r>
      <w:proofErr w:type="spellEnd"/>
      <w:r w:rsidRPr="009026C0">
        <w:rPr>
          <w:i/>
          <w:lang w:val="fr-FR"/>
        </w:rPr>
        <w:t xml:space="preserve"> </w:t>
      </w:r>
      <w:r w:rsidRPr="009026C0">
        <w:rPr>
          <w:lang w:val="fr-FR"/>
        </w:rPr>
        <w:t>et de rejeter l’appel.</w:t>
      </w:r>
    </w:p>
    <w:p w:rsidR="0033393C" w:rsidRPr="00E31014" w:rsidRDefault="0039214E" w:rsidP="0039214E">
      <w:pPr>
        <w:pStyle w:val="SCCNormalDoubleSpacing"/>
        <w:spacing w:after="480"/>
        <w:rPr>
          <w:lang w:val="fr-CA"/>
        </w:rPr>
      </w:pPr>
      <w:r w:rsidRPr="00E31014">
        <w:rPr>
          <w:i/>
          <w:lang w:val="fr-CA"/>
        </w:rPr>
        <w:tab/>
      </w:r>
      <w:r w:rsidR="00B3517D" w:rsidRPr="00E31014">
        <w:rPr>
          <w:i/>
          <w:lang w:val="fr-CA"/>
        </w:rPr>
        <w:t>Pourvoi rejeté avec dépens.</w:t>
      </w:r>
    </w:p>
    <w:p w:rsidR="00A71DD5" w:rsidRPr="00E31014" w:rsidRDefault="00A71DD5" w:rsidP="00816B1B">
      <w:pPr>
        <w:pStyle w:val="SCCNormalDoubleSpacing"/>
        <w:spacing w:after="480"/>
        <w:rPr>
          <w:i/>
          <w:lang w:val="fr-CA"/>
        </w:rPr>
      </w:pPr>
      <w:r w:rsidRPr="00E31014">
        <w:rPr>
          <w:lang w:val="fr-CA"/>
        </w:rPr>
        <w:tab/>
      </w:r>
      <w:r w:rsidR="007537C7" w:rsidRPr="00E31014">
        <w:rPr>
          <w:i/>
          <w:lang w:val="fr-CA"/>
        </w:rPr>
        <w:t>Procureur de l’appelant : </w:t>
      </w:r>
      <w:r w:rsidRPr="00E31014">
        <w:rPr>
          <w:i/>
          <w:lang w:val="fr-CA"/>
        </w:rPr>
        <w:t>Procureur général de l’Alberta, Edmonton.</w:t>
      </w:r>
    </w:p>
    <w:p w:rsidR="00A71DD5" w:rsidRPr="00E31014" w:rsidRDefault="007537C7" w:rsidP="00816B1B">
      <w:pPr>
        <w:pStyle w:val="SCCNormalDoubleSpacing"/>
        <w:spacing w:after="480"/>
        <w:rPr>
          <w:i/>
          <w:lang w:val="fr-CA"/>
        </w:rPr>
      </w:pPr>
      <w:r w:rsidRPr="00E31014">
        <w:rPr>
          <w:i/>
          <w:lang w:val="fr-CA"/>
        </w:rPr>
        <w:tab/>
        <w:t>Procureurs de l’intimé : </w:t>
      </w:r>
      <w:r w:rsidR="00A71DD5" w:rsidRPr="00E31014">
        <w:rPr>
          <w:i/>
          <w:lang w:val="fr-CA"/>
        </w:rPr>
        <w:t>Balfour Moss, Regina.</w:t>
      </w:r>
    </w:p>
    <w:p w:rsidR="00A71DD5" w:rsidRPr="00E31014" w:rsidRDefault="00A71DD5" w:rsidP="00816B1B">
      <w:pPr>
        <w:pStyle w:val="SCCNormalDoubleSpacing"/>
        <w:spacing w:after="480"/>
        <w:rPr>
          <w:i/>
          <w:lang w:val="fr-CA"/>
        </w:rPr>
      </w:pPr>
      <w:r w:rsidRPr="00E31014">
        <w:rPr>
          <w:i/>
          <w:lang w:val="fr-CA"/>
        </w:rPr>
        <w:tab/>
        <w:t xml:space="preserve">Procureur de l’intervenant le commissaire aux </w:t>
      </w:r>
      <w:r w:rsidR="007537C7" w:rsidRPr="00E31014">
        <w:rPr>
          <w:i/>
          <w:lang w:val="fr-CA"/>
        </w:rPr>
        <w:t>langues officielles du Canada : </w:t>
      </w:r>
      <w:r w:rsidRPr="00E31014">
        <w:rPr>
          <w:i/>
          <w:lang w:val="fr-CA"/>
        </w:rPr>
        <w:t>Commissariat aux langues officielles, Ottawa.</w:t>
      </w:r>
    </w:p>
    <w:p w:rsidR="00A71DD5" w:rsidRPr="00E31014" w:rsidRDefault="00A71DD5" w:rsidP="00816B1B">
      <w:pPr>
        <w:pStyle w:val="SCCNormalDoubleSpacing"/>
        <w:spacing w:after="480"/>
        <w:rPr>
          <w:i/>
          <w:lang w:val="fr-CA"/>
        </w:rPr>
      </w:pPr>
      <w:r w:rsidRPr="00E31014">
        <w:rPr>
          <w:i/>
          <w:lang w:val="fr-CA"/>
        </w:rPr>
        <w:tab/>
        <w:t>Procureurs de l’intervenante l’Association canadienne des libertés civiles :</w:t>
      </w:r>
      <w:r w:rsidR="007537C7" w:rsidRPr="00E31014">
        <w:rPr>
          <w:i/>
          <w:lang w:val="fr-CA"/>
        </w:rPr>
        <w:t> </w:t>
      </w:r>
      <w:proofErr w:type="spellStart"/>
      <w:r w:rsidRPr="00E31014">
        <w:rPr>
          <w:i/>
          <w:lang w:val="fr-CA"/>
        </w:rPr>
        <w:t>Arvay</w:t>
      </w:r>
      <w:proofErr w:type="spellEnd"/>
      <w:r w:rsidRPr="00E31014">
        <w:rPr>
          <w:i/>
          <w:lang w:val="fr-CA"/>
        </w:rPr>
        <w:t xml:space="preserve"> Finlay, Vancouver.</w:t>
      </w:r>
    </w:p>
    <w:p w:rsidR="00A71DD5" w:rsidRPr="00E31014" w:rsidRDefault="00A71DD5" w:rsidP="00816B1B">
      <w:pPr>
        <w:pStyle w:val="SCCNormalDoubleSpacing"/>
        <w:spacing w:after="480"/>
        <w:rPr>
          <w:i/>
          <w:lang w:val="fr-CA"/>
        </w:rPr>
      </w:pPr>
      <w:r w:rsidRPr="00E31014">
        <w:rPr>
          <w:i/>
          <w:lang w:val="fr-CA"/>
        </w:rPr>
        <w:tab/>
        <w:t xml:space="preserve">Procureurs des intervenants le Conseil des Canadiens avec déficiences, le Comité de la Charte et des questions de pauvreté, </w:t>
      </w:r>
      <w:proofErr w:type="spellStart"/>
      <w:r w:rsidRPr="00E31014">
        <w:rPr>
          <w:i/>
          <w:lang w:val="fr-CA"/>
        </w:rPr>
        <w:t>Poverty</w:t>
      </w:r>
      <w:proofErr w:type="spellEnd"/>
      <w:r w:rsidRPr="00E31014">
        <w:rPr>
          <w:i/>
          <w:lang w:val="fr-CA"/>
        </w:rPr>
        <w:t xml:space="preserve"> and </w:t>
      </w:r>
      <w:proofErr w:type="spellStart"/>
      <w:r w:rsidRPr="00E31014">
        <w:rPr>
          <w:i/>
          <w:lang w:val="fr-CA"/>
        </w:rPr>
        <w:t>Human</w:t>
      </w:r>
      <w:proofErr w:type="spellEnd"/>
      <w:r w:rsidRPr="00E31014">
        <w:rPr>
          <w:i/>
          <w:lang w:val="fr-CA"/>
        </w:rPr>
        <w:t xml:space="preserve"> </w:t>
      </w:r>
      <w:proofErr w:type="spellStart"/>
      <w:r w:rsidRPr="00E31014">
        <w:rPr>
          <w:i/>
          <w:lang w:val="fr-CA"/>
        </w:rPr>
        <w:t>Rights</w:t>
      </w:r>
      <w:proofErr w:type="spellEnd"/>
      <w:r w:rsidRPr="00E31014">
        <w:rPr>
          <w:i/>
          <w:lang w:val="fr-CA"/>
        </w:rPr>
        <w:t xml:space="preserve"> Centre et le Fonds d’action et d’éducati</w:t>
      </w:r>
      <w:r w:rsidR="007537C7" w:rsidRPr="00E31014">
        <w:rPr>
          <w:i/>
          <w:lang w:val="fr-CA"/>
        </w:rPr>
        <w:t>on juridiques pour les femmes : </w:t>
      </w:r>
      <w:r w:rsidRPr="00E31014">
        <w:rPr>
          <w:i/>
          <w:lang w:val="fr-CA"/>
        </w:rPr>
        <w:t xml:space="preserve">Camp </w:t>
      </w:r>
      <w:proofErr w:type="spellStart"/>
      <w:r w:rsidRPr="00E31014">
        <w:rPr>
          <w:i/>
          <w:lang w:val="fr-CA"/>
        </w:rPr>
        <w:t>Fiorante</w:t>
      </w:r>
      <w:proofErr w:type="spellEnd"/>
      <w:r w:rsidRPr="00E31014">
        <w:rPr>
          <w:i/>
          <w:lang w:val="fr-CA"/>
        </w:rPr>
        <w:t xml:space="preserve"> Matthews, Vancouver.</w:t>
      </w:r>
    </w:p>
    <w:p w:rsidR="00A71DD5" w:rsidRPr="00E31014" w:rsidRDefault="00A71DD5" w:rsidP="00816B1B">
      <w:pPr>
        <w:pStyle w:val="SCCNormalDoubleSpacing"/>
        <w:spacing w:after="480"/>
        <w:rPr>
          <w:i/>
          <w:lang w:val="fr-CA"/>
        </w:rPr>
      </w:pPr>
      <w:r w:rsidRPr="00E31014">
        <w:rPr>
          <w:i/>
          <w:lang w:val="fr-CA"/>
        </w:rPr>
        <w:tab/>
        <w:t xml:space="preserve">Procureurs de l’intervenante l’Association </w:t>
      </w:r>
      <w:proofErr w:type="spellStart"/>
      <w:r w:rsidRPr="00E31014">
        <w:rPr>
          <w:i/>
          <w:lang w:val="fr-CA"/>
        </w:rPr>
        <w:t>cana</w:t>
      </w:r>
      <w:r w:rsidR="00EA67CE" w:rsidRPr="00E31014">
        <w:rPr>
          <w:i/>
          <w:lang w:val="fr-CA"/>
        </w:rPr>
        <w:t>dienne</w:t>
      </w:r>
      <w:r w:rsidR="00EA67CE" w:rsidRPr="00E31014">
        <w:rPr>
          <w:i/>
          <w:lang w:val="fr-CA"/>
        </w:rPr>
        <w:noBreakHyphen/>
      </w:r>
      <w:r w:rsidR="007537C7" w:rsidRPr="00E31014">
        <w:rPr>
          <w:i/>
          <w:lang w:val="fr-CA"/>
        </w:rPr>
        <w:t>française</w:t>
      </w:r>
      <w:proofErr w:type="spellEnd"/>
      <w:r w:rsidR="007537C7" w:rsidRPr="00E31014">
        <w:rPr>
          <w:i/>
          <w:lang w:val="fr-CA"/>
        </w:rPr>
        <w:t xml:space="preserve"> de l’Alberta : </w:t>
      </w:r>
      <w:proofErr w:type="spellStart"/>
      <w:r w:rsidRPr="00E31014">
        <w:rPr>
          <w:i/>
          <w:lang w:val="fr-CA"/>
        </w:rPr>
        <w:t>Heenan</w:t>
      </w:r>
      <w:proofErr w:type="spellEnd"/>
      <w:r w:rsidRPr="00E31014">
        <w:rPr>
          <w:i/>
          <w:lang w:val="fr-CA"/>
        </w:rPr>
        <w:t xml:space="preserve"> </w:t>
      </w:r>
      <w:proofErr w:type="spellStart"/>
      <w:r w:rsidRPr="00E31014">
        <w:rPr>
          <w:i/>
          <w:lang w:val="fr-CA"/>
        </w:rPr>
        <w:t>Blaikie</w:t>
      </w:r>
      <w:proofErr w:type="spellEnd"/>
      <w:r w:rsidRPr="00E31014">
        <w:rPr>
          <w:i/>
          <w:lang w:val="fr-CA"/>
        </w:rPr>
        <w:t>, Ottawa.</w:t>
      </w:r>
    </w:p>
    <w:p w:rsidR="00A71DD5" w:rsidRPr="00E31014" w:rsidRDefault="00A71DD5" w:rsidP="00816B1B">
      <w:pPr>
        <w:pStyle w:val="SCCNormalDoubleSpacing"/>
        <w:spacing w:after="480"/>
        <w:rPr>
          <w:i/>
          <w:lang w:val="fr-CA"/>
        </w:rPr>
      </w:pPr>
      <w:r w:rsidRPr="00E31014">
        <w:rPr>
          <w:i/>
          <w:lang w:val="fr-CA"/>
        </w:rPr>
        <w:lastRenderedPageBreak/>
        <w:tab/>
        <w:t xml:space="preserve">Procureur de l’intervenant David </w:t>
      </w:r>
      <w:proofErr w:type="spellStart"/>
      <w:r w:rsidRPr="00E31014">
        <w:rPr>
          <w:i/>
          <w:lang w:val="fr-CA"/>
        </w:rPr>
        <w:t>Asper</w:t>
      </w:r>
      <w:proofErr w:type="spellEnd"/>
      <w:r w:rsidRPr="00E31014">
        <w:rPr>
          <w:i/>
          <w:lang w:val="fr-CA"/>
        </w:rPr>
        <w:t xml:space="preserve"> Cen</w:t>
      </w:r>
      <w:r w:rsidR="007537C7" w:rsidRPr="00E31014">
        <w:rPr>
          <w:i/>
          <w:lang w:val="fr-CA"/>
        </w:rPr>
        <w:t xml:space="preserve">tre for </w:t>
      </w:r>
      <w:proofErr w:type="spellStart"/>
      <w:r w:rsidR="007537C7" w:rsidRPr="00E31014">
        <w:rPr>
          <w:i/>
          <w:lang w:val="fr-CA"/>
        </w:rPr>
        <w:t>Constitutional</w:t>
      </w:r>
      <w:proofErr w:type="spellEnd"/>
      <w:r w:rsidR="007537C7" w:rsidRPr="00E31014">
        <w:rPr>
          <w:i/>
          <w:lang w:val="fr-CA"/>
        </w:rPr>
        <w:t xml:space="preserve"> </w:t>
      </w:r>
      <w:proofErr w:type="spellStart"/>
      <w:r w:rsidR="007537C7" w:rsidRPr="00E31014">
        <w:rPr>
          <w:i/>
          <w:lang w:val="fr-CA"/>
        </w:rPr>
        <w:t>Rights</w:t>
      </w:r>
      <w:proofErr w:type="spellEnd"/>
      <w:r w:rsidR="007537C7" w:rsidRPr="00E31014">
        <w:rPr>
          <w:i/>
          <w:lang w:val="fr-CA"/>
        </w:rPr>
        <w:t> : </w:t>
      </w:r>
      <w:r w:rsidRPr="00E31014">
        <w:rPr>
          <w:i/>
          <w:lang w:val="fr-CA"/>
        </w:rPr>
        <w:t>Université de Toronto, Toronto.</w:t>
      </w:r>
    </w:p>
    <w:sectPr w:rsidR="00A71DD5" w:rsidRPr="00E31014" w:rsidSect="0039214E">
      <w:headerReference w:type="even" r:id="rId16"/>
      <w:headerReference w:type="default" r:id="rId17"/>
      <w:footerReference w:type="even" r:id="rId18"/>
      <w:footerReference w:type="default" r:id="rId1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792" w:rsidRDefault="003B1792">
      <w:r>
        <w:separator/>
      </w:r>
    </w:p>
  </w:endnote>
  <w:endnote w:type="continuationSeparator" w:id="0">
    <w:p w:rsidR="003B1792" w:rsidRDefault="003B179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384" w:rsidRDefault="005E6384">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384" w:rsidRDefault="005E6384">
    <w:pPr>
      <w:tabs>
        <w:tab w:val="left" w:pos="-1440"/>
        <w:tab w:val="left" w:pos="-720"/>
        <w:tab w:val="left" w:pos="0"/>
        <w:tab w:val="left" w:pos="1152"/>
        <w:tab w:val="left" w:pos="1570"/>
        <w:tab w:val="left" w:pos="1843"/>
        <w:tab w:val="left" w:pos="2261"/>
        <w:tab w:val="left" w:pos="6480"/>
      </w:tabs>
      <w:spacing w:line="0" w:lineRule="atLea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384" w:rsidRDefault="005E638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792" w:rsidRDefault="003B1792">
    <w:pPr>
      <w:tabs>
        <w:tab w:val="left" w:pos="-1440"/>
        <w:tab w:val="left" w:pos="-720"/>
        <w:tab w:val="left" w:pos="0"/>
        <w:tab w:val="left" w:pos="1152"/>
        <w:tab w:val="left" w:pos="1570"/>
        <w:tab w:val="left" w:pos="1843"/>
        <w:tab w:val="left" w:pos="2261"/>
        <w:tab w:val="left" w:pos="6480"/>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792" w:rsidRDefault="003B1792">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792" w:rsidRDefault="003B1792">
      <w:r>
        <w:separator/>
      </w:r>
    </w:p>
  </w:footnote>
  <w:footnote w:type="continuationSeparator" w:id="0">
    <w:p w:rsidR="003B1792" w:rsidRDefault="003B17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384" w:rsidRDefault="005E6384">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384" w:rsidRPr="00F519F2" w:rsidRDefault="005E6384" w:rsidP="00F519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384" w:rsidRDefault="005E638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792" w:rsidRDefault="003B1792">
    <w:pPr>
      <w:tabs>
        <w:tab w:val="left" w:pos="-1440"/>
        <w:tab w:val="left" w:pos="-720"/>
        <w:tab w:val="left" w:pos="0"/>
        <w:tab w:val="left" w:pos="1152"/>
        <w:tab w:val="left" w:pos="1570"/>
        <w:tab w:val="left" w:pos="1843"/>
        <w:tab w:val="left" w:pos="2261"/>
        <w:tab w:val="left" w:pos="6480"/>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792" w:rsidRDefault="003B1792" w:rsidP="002558AB">
    <w:pPr>
      <w:pStyle w:val="Header"/>
      <w:ind w:left="1080"/>
      <w:jc w:val="center"/>
    </w:pPr>
    <w:r>
      <w:t xml:space="preserve">- </w:t>
    </w:r>
    <w:sdt>
      <w:sdtPr>
        <w:id w:val="15241485"/>
        <w:docPartObj>
          <w:docPartGallery w:val="Page Numbers (Top of Page)"/>
          <w:docPartUnique/>
        </w:docPartObj>
      </w:sdtPr>
      <w:sdtContent>
        <w:fldSimple w:instr=" PAGE   \* MERGEFORMAT ">
          <w:r w:rsidR="005E6384">
            <w:rPr>
              <w:noProof/>
            </w:rPr>
            <w:t>3</w:t>
          </w:r>
        </w:fldSimple>
        <w:r>
          <w:t xml:space="preserve"> -</w:t>
        </w:r>
      </w:sdtContent>
    </w:sdt>
  </w:p>
  <w:p w:rsidR="003B1792" w:rsidRDefault="003B1792" w:rsidP="000C59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64FE2"/>
    <w:multiLevelType w:val="hybridMultilevel"/>
    <w:tmpl w:val="FDB25B5E"/>
    <w:lvl w:ilvl="0" w:tplc="95DE0724">
      <w:start w:val="1"/>
      <w:numFmt w:val="decimal"/>
      <w:pStyle w:val="ReasonsNumbering-AltN"/>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clean"/>
  <w:attachedTemplate r:id="rId1"/>
  <w:linkStyles/>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3905"/>
  </w:hdrShapeDefaults>
  <w:footnotePr>
    <w:footnote w:id="-1"/>
    <w:footnote w:id="0"/>
  </w:footnotePr>
  <w:endnotePr>
    <w:endnote w:id="-1"/>
    <w:endnote w:id="0"/>
  </w:endnotePr>
  <w:compat/>
  <w:rsids>
    <w:rsidRoot w:val="0031414C"/>
    <w:rsid w:val="000168FB"/>
    <w:rsid w:val="00025198"/>
    <w:rsid w:val="000314DA"/>
    <w:rsid w:val="00031858"/>
    <w:rsid w:val="0004113C"/>
    <w:rsid w:val="000450D1"/>
    <w:rsid w:val="00051278"/>
    <w:rsid w:val="00055A36"/>
    <w:rsid w:val="000578A3"/>
    <w:rsid w:val="00061F0F"/>
    <w:rsid w:val="00064563"/>
    <w:rsid w:val="000648CC"/>
    <w:rsid w:val="00064EF5"/>
    <w:rsid w:val="00072721"/>
    <w:rsid w:val="00072B8A"/>
    <w:rsid w:val="00077927"/>
    <w:rsid w:val="000924F6"/>
    <w:rsid w:val="00094DE0"/>
    <w:rsid w:val="000A2F6F"/>
    <w:rsid w:val="000A5321"/>
    <w:rsid w:val="000A72A5"/>
    <w:rsid w:val="000B4C35"/>
    <w:rsid w:val="000C59B8"/>
    <w:rsid w:val="000D46BE"/>
    <w:rsid w:val="000E6992"/>
    <w:rsid w:val="000F360A"/>
    <w:rsid w:val="00111DE2"/>
    <w:rsid w:val="00116B38"/>
    <w:rsid w:val="0013109F"/>
    <w:rsid w:val="00135406"/>
    <w:rsid w:val="00135972"/>
    <w:rsid w:val="00140667"/>
    <w:rsid w:val="001426A9"/>
    <w:rsid w:val="0015437F"/>
    <w:rsid w:val="00154D7C"/>
    <w:rsid w:val="001570B0"/>
    <w:rsid w:val="00167F21"/>
    <w:rsid w:val="00172A04"/>
    <w:rsid w:val="00175A97"/>
    <w:rsid w:val="0018206D"/>
    <w:rsid w:val="00185394"/>
    <w:rsid w:val="00187663"/>
    <w:rsid w:val="001A28FB"/>
    <w:rsid w:val="001A451D"/>
    <w:rsid w:val="001B33E0"/>
    <w:rsid w:val="001B4573"/>
    <w:rsid w:val="001B597D"/>
    <w:rsid w:val="001C477E"/>
    <w:rsid w:val="001C779F"/>
    <w:rsid w:val="001D2AC1"/>
    <w:rsid w:val="001E04DB"/>
    <w:rsid w:val="001E6F5B"/>
    <w:rsid w:val="001F7673"/>
    <w:rsid w:val="0021132D"/>
    <w:rsid w:val="00220FC2"/>
    <w:rsid w:val="00224FC0"/>
    <w:rsid w:val="00225EA4"/>
    <w:rsid w:val="00226EAF"/>
    <w:rsid w:val="00231F3A"/>
    <w:rsid w:val="002406EE"/>
    <w:rsid w:val="002558AB"/>
    <w:rsid w:val="00263DF5"/>
    <w:rsid w:val="002745CC"/>
    <w:rsid w:val="002752BE"/>
    <w:rsid w:val="002B2D65"/>
    <w:rsid w:val="002C078F"/>
    <w:rsid w:val="002D39A4"/>
    <w:rsid w:val="002E6705"/>
    <w:rsid w:val="002F696C"/>
    <w:rsid w:val="0030329A"/>
    <w:rsid w:val="00307AFD"/>
    <w:rsid w:val="0031086F"/>
    <w:rsid w:val="00310E05"/>
    <w:rsid w:val="0031278E"/>
    <w:rsid w:val="0031414C"/>
    <w:rsid w:val="00314E01"/>
    <w:rsid w:val="0032089D"/>
    <w:rsid w:val="00330737"/>
    <w:rsid w:val="0033393C"/>
    <w:rsid w:val="0034770C"/>
    <w:rsid w:val="0035080D"/>
    <w:rsid w:val="0035259D"/>
    <w:rsid w:val="0035422B"/>
    <w:rsid w:val="00367CC3"/>
    <w:rsid w:val="0038669D"/>
    <w:rsid w:val="003866EC"/>
    <w:rsid w:val="00390422"/>
    <w:rsid w:val="0039214E"/>
    <w:rsid w:val="00394476"/>
    <w:rsid w:val="003A4C70"/>
    <w:rsid w:val="003A4E15"/>
    <w:rsid w:val="003B1792"/>
    <w:rsid w:val="003B45AA"/>
    <w:rsid w:val="003C799C"/>
    <w:rsid w:val="003C7F77"/>
    <w:rsid w:val="003E1962"/>
    <w:rsid w:val="003E1C71"/>
    <w:rsid w:val="003F327B"/>
    <w:rsid w:val="004059A7"/>
    <w:rsid w:val="00406166"/>
    <w:rsid w:val="00411300"/>
    <w:rsid w:val="00414AB6"/>
    <w:rsid w:val="00426659"/>
    <w:rsid w:val="0043088E"/>
    <w:rsid w:val="004439D8"/>
    <w:rsid w:val="00456E3B"/>
    <w:rsid w:val="00463939"/>
    <w:rsid w:val="004643C2"/>
    <w:rsid w:val="00465132"/>
    <w:rsid w:val="00465E97"/>
    <w:rsid w:val="00480C90"/>
    <w:rsid w:val="0048396F"/>
    <w:rsid w:val="0048453D"/>
    <w:rsid w:val="004911DA"/>
    <w:rsid w:val="00493C18"/>
    <w:rsid w:val="00494CDC"/>
    <w:rsid w:val="004A0EDA"/>
    <w:rsid w:val="004A600C"/>
    <w:rsid w:val="004A6A26"/>
    <w:rsid w:val="004B1752"/>
    <w:rsid w:val="004C478D"/>
    <w:rsid w:val="004C698F"/>
    <w:rsid w:val="004E1163"/>
    <w:rsid w:val="004E3425"/>
    <w:rsid w:val="004E6A2C"/>
    <w:rsid w:val="00502128"/>
    <w:rsid w:val="00521AE8"/>
    <w:rsid w:val="00527180"/>
    <w:rsid w:val="00536719"/>
    <w:rsid w:val="0055214C"/>
    <w:rsid w:val="005557BF"/>
    <w:rsid w:val="00555C5A"/>
    <w:rsid w:val="005564A7"/>
    <w:rsid w:val="0056210C"/>
    <w:rsid w:val="00562790"/>
    <w:rsid w:val="00562929"/>
    <w:rsid w:val="005675BF"/>
    <w:rsid w:val="00590816"/>
    <w:rsid w:val="005A4439"/>
    <w:rsid w:val="005B4B46"/>
    <w:rsid w:val="005B5598"/>
    <w:rsid w:val="005C6E7C"/>
    <w:rsid w:val="005E4698"/>
    <w:rsid w:val="005E6384"/>
    <w:rsid w:val="005E7D88"/>
    <w:rsid w:val="005F5627"/>
    <w:rsid w:val="006151A8"/>
    <w:rsid w:val="00625C35"/>
    <w:rsid w:val="00634E1B"/>
    <w:rsid w:val="00645057"/>
    <w:rsid w:val="00650C37"/>
    <w:rsid w:val="00654858"/>
    <w:rsid w:val="006565F4"/>
    <w:rsid w:val="0066039A"/>
    <w:rsid w:val="00665374"/>
    <w:rsid w:val="00667F77"/>
    <w:rsid w:val="00670C27"/>
    <w:rsid w:val="00670C7D"/>
    <w:rsid w:val="006743AB"/>
    <w:rsid w:val="00681AD1"/>
    <w:rsid w:val="006A0AAD"/>
    <w:rsid w:val="006A56F1"/>
    <w:rsid w:val="006B2926"/>
    <w:rsid w:val="006B5FF5"/>
    <w:rsid w:val="006C5661"/>
    <w:rsid w:val="006D1905"/>
    <w:rsid w:val="006D4790"/>
    <w:rsid w:val="006D6D8B"/>
    <w:rsid w:val="00701759"/>
    <w:rsid w:val="00702968"/>
    <w:rsid w:val="00702C6F"/>
    <w:rsid w:val="00722E73"/>
    <w:rsid w:val="00747288"/>
    <w:rsid w:val="00747DD3"/>
    <w:rsid w:val="00752F4E"/>
    <w:rsid w:val="007537C7"/>
    <w:rsid w:val="00754384"/>
    <w:rsid w:val="007549C8"/>
    <w:rsid w:val="00762D30"/>
    <w:rsid w:val="00763377"/>
    <w:rsid w:val="00766D14"/>
    <w:rsid w:val="00767A0F"/>
    <w:rsid w:val="007834A8"/>
    <w:rsid w:val="007917E8"/>
    <w:rsid w:val="007A05F6"/>
    <w:rsid w:val="007A5834"/>
    <w:rsid w:val="007B0EEC"/>
    <w:rsid w:val="007B3CA1"/>
    <w:rsid w:val="007B6F4A"/>
    <w:rsid w:val="007D1503"/>
    <w:rsid w:val="007D5609"/>
    <w:rsid w:val="007E1338"/>
    <w:rsid w:val="007E1C47"/>
    <w:rsid w:val="007E337A"/>
    <w:rsid w:val="007E3554"/>
    <w:rsid w:val="007E4480"/>
    <w:rsid w:val="007E5C70"/>
    <w:rsid w:val="007E79E9"/>
    <w:rsid w:val="007E7A84"/>
    <w:rsid w:val="007F0154"/>
    <w:rsid w:val="007F2FF5"/>
    <w:rsid w:val="008005FF"/>
    <w:rsid w:val="00807721"/>
    <w:rsid w:val="0081055C"/>
    <w:rsid w:val="00816B1B"/>
    <w:rsid w:val="00817190"/>
    <w:rsid w:val="008322BD"/>
    <w:rsid w:val="0084124E"/>
    <w:rsid w:val="00855307"/>
    <w:rsid w:val="00862CF3"/>
    <w:rsid w:val="00864CF8"/>
    <w:rsid w:val="00874914"/>
    <w:rsid w:val="00883A13"/>
    <w:rsid w:val="00892E1A"/>
    <w:rsid w:val="008958F5"/>
    <w:rsid w:val="008A622A"/>
    <w:rsid w:val="008A6558"/>
    <w:rsid w:val="008A727C"/>
    <w:rsid w:val="008C01DA"/>
    <w:rsid w:val="008C1F1E"/>
    <w:rsid w:val="008C51C1"/>
    <w:rsid w:val="008E614A"/>
    <w:rsid w:val="008F1440"/>
    <w:rsid w:val="008F16D9"/>
    <w:rsid w:val="008F6BB0"/>
    <w:rsid w:val="008F78E9"/>
    <w:rsid w:val="00902462"/>
    <w:rsid w:val="00913046"/>
    <w:rsid w:val="009403F3"/>
    <w:rsid w:val="00946689"/>
    <w:rsid w:val="00954E59"/>
    <w:rsid w:val="0095558E"/>
    <w:rsid w:val="00957FA2"/>
    <w:rsid w:val="00963BD4"/>
    <w:rsid w:val="00966913"/>
    <w:rsid w:val="00967374"/>
    <w:rsid w:val="00970165"/>
    <w:rsid w:val="0097543E"/>
    <w:rsid w:val="00983F3F"/>
    <w:rsid w:val="00985C69"/>
    <w:rsid w:val="0099079B"/>
    <w:rsid w:val="009B0EE0"/>
    <w:rsid w:val="009B2F23"/>
    <w:rsid w:val="009B53E2"/>
    <w:rsid w:val="009B57B3"/>
    <w:rsid w:val="009B6764"/>
    <w:rsid w:val="009C7C10"/>
    <w:rsid w:val="009D5AEB"/>
    <w:rsid w:val="009E2876"/>
    <w:rsid w:val="009F383F"/>
    <w:rsid w:val="00A027FA"/>
    <w:rsid w:val="00A05F0E"/>
    <w:rsid w:val="00A21107"/>
    <w:rsid w:val="00A21B90"/>
    <w:rsid w:val="00A24E15"/>
    <w:rsid w:val="00A548CB"/>
    <w:rsid w:val="00A6242E"/>
    <w:rsid w:val="00A643E7"/>
    <w:rsid w:val="00A71DD5"/>
    <w:rsid w:val="00A73C38"/>
    <w:rsid w:val="00A80D44"/>
    <w:rsid w:val="00A95632"/>
    <w:rsid w:val="00AC0926"/>
    <w:rsid w:val="00AC5E94"/>
    <w:rsid w:val="00AC7437"/>
    <w:rsid w:val="00AC7A44"/>
    <w:rsid w:val="00AF03C5"/>
    <w:rsid w:val="00AF0E6B"/>
    <w:rsid w:val="00B000D8"/>
    <w:rsid w:val="00B00F75"/>
    <w:rsid w:val="00B033A3"/>
    <w:rsid w:val="00B05FF7"/>
    <w:rsid w:val="00B145B6"/>
    <w:rsid w:val="00B16967"/>
    <w:rsid w:val="00B338A3"/>
    <w:rsid w:val="00B3517D"/>
    <w:rsid w:val="00B35C19"/>
    <w:rsid w:val="00B50C81"/>
    <w:rsid w:val="00B557F8"/>
    <w:rsid w:val="00B57AF0"/>
    <w:rsid w:val="00B64972"/>
    <w:rsid w:val="00B66DD8"/>
    <w:rsid w:val="00B762C9"/>
    <w:rsid w:val="00B80873"/>
    <w:rsid w:val="00B8145D"/>
    <w:rsid w:val="00B815FC"/>
    <w:rsid w:val="00B83158"/>
    <w:rsid w:val="00B90839"/>
    <w:rsid w:val="00B93FBC"/>
    <w:rsid w:val="00B941F6"/>
    <w:rsid w:val="00B972A6"/>
    <w:rsid w:val="00BB6C66"/>
    <w:rsid w:val="00BE7BCE"/>
    <w:rsid w:val="00BE7C86"/>
    <w:rsid w:val="00C02092"/>
    <w:rsid w:val="00C057F7"/>
    <w:rsid w:val="00C24C8C"/>
    <w:rsid w:val="00C24D91"/>
    <w:rsid w:val="00C379C1"/>
    <w:rsid w:val="00C459B8"/>
    <w:rsid w:val="00C52532"/>
    <w:rsid w:val="00C53F14"/>
    <w:rsid w:val="00C55B58"/>
    <w:rsid w:val="00C55C2E"/>
    <w:rsid w:val="00C600CF"/>
    <w:rsid w:val="00C6084F"/>
    <w:rsid w:val="00C62A66"/>
    <w:rsid w:val="00C62A6F"/>
    <w:rsid w:val="00C67CA5"/>
    <w:rsid w:val="00C71458"/>
    <w:rsid w:val="00C715A5"/>
    <w:rsid w:val="00C71F58"/>
    <w:rsid w:val="00C77613"/>
    <w:rsid w:val="00C828E7"/>
    <w:rsid w:val="00C879D4"/>
    <w:rsid w:val="00C921DD"/>
    <w:rsid w:val="00CA4D82"/>
    <w:rsid w:val="00CA6391"/>
    <w:rsid w:val="00CB72CA"/>
    <w:rsid w:val="00CD1640"/>
    <w:rsid w:val="00CD4256"/>
    <w:rsid w:val="00CE3171"/>
    <w:rsid w:val="00CE4A9C"/>
    <w:rsid w:val="00CF1601"/>
    <w:rsid w:val="00CF35FE"/>
    <w:rsid w:val="00D0356E"/>
    <w:rsid w:val="00D1028C"/>
    <w:rsid w:val="00D22AF6"/>
    <w:rsid w:val="00D24D21"/>
    <w:rsid w:val="00D32086"/>
    <w:rsid w:val="00D37A3F"/>
    <w:rsid w:val="00D45FCF"/>
    <w:rsid w:val="00D4667A"/>
    <w:rsid w:val="00D510BB"/>
    <w:rsid w:val="00D514B8"/>
    <w:rsid w:val="00D5435D"/>
    <w:rsid w:val="00D63345"/>
    <w:rsid w:val="00D63FED"/>
    <w:rsid w:val="00D73F52"/>
    <w:rsid w:val="00D74F2E"/>
    <w:rsid w:val="00D94A86"/>
    <w:rsid w:val="00DA0590"/>
    <w:rsid w:val="00DA3361"/>
    <w:rsid w:val="00DC1788"/>
    <w:rsid w:val="00DC41C6"/>
    <w:rsid w:val="00DD5855"/>
    <w:rsid w:val="00DE55DB"/>
    <w:rsid w:val="00DF0CA8"/>
    <w:rsid w:val="00DF1E0F"/>
    <w:rsid w:val="00DF49A7"/>
    <w:rsid w:val="00E01106"/>
    <w:rsid w:val="00E04172"/>
    <w:rsid w:val="00E06643"/>
    <w:rsid w:val="00E06740"/>
    <w:rsid w:val="00E07EE2"/>
    <w:rsid w:val="00E24573"/>
    <w:rsid w:val="00E31014"/>
    <w:rsid w:val="00E377A1"/>
    <w:rsid w:val="00E45109"/>
    <w:rsid w:val="00E54B02"/>
    <w:rsid w:val="00E918B9"/>
    <w:rsid w:val="00E924AF"/>
    <w:rsid w:val="00E97830"/>
    <w:rsid w:val="00EA03E5"/>
    <w:rsid w:val="00EA67CE"/>
    <w:rsid w:val="00EB5FBE"/>
    <w:rsid w:val="00ED0820"/>
    <w:rsid w:val="00EE0FAF"/>
    <w:rsid w:val="00EE3259"/>
    <w:rsid w:val="00EF00B0"/>
    <w:rsid w:val="00F00EB7"/>
    <w:rsid w:val="00F01544"/>
    <w:rsid w:val="00F04C0E"/>
    <w:rsid w:val="00F05444"/>
    <w:rsid w:val="00F0717B"/>
    <w:rsid w:val="00F17763"/>
    <w:rsid w:val="00F2258E"/>
    <w:rsid w:val="00F30911"/>
    <w:rsid w:val="00F33658"/>
    <w:rsid w:val="00F36AB6"/>
    <w:rsid w:val="00F409CE"/>
    <w:rsid w:val="00F46EDE"/>
    <w:rsid w:val="00F839B1"/>
    <w:rsid w:val="00F84DF4"/>
    <w:rsid w:val="00F853FB"/>
    <w:rsid w:val="00F85C97"/>
    <w:rsid w:val="00F929A1"/>
    <w:rsid w:val="00FA2FE1"/>
    <w:rsid w:val="00FA4873"/>
    <w:rsid w:val="00FB10CB"/>
    <w:rsid w:val="00FC53E0"/>
    <w:rsid w:val="00FC606D"/>
    <w:rsid w:val="00FC6D3B"/>
    <w:rsid w:val="00FD068D"/>
    <w:rsid w:val="00FD4F28"/>
    <w:rsid w:val="00FE0D90"/>
    <w:rsid w:val="00FE678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C0926"/>
    <w:rPr>
      <w:rFonts w:eastAsia="Times New Roman"/>
      <w:sz w:val="24"/>
      <w:lang w:val="en-CA" w:eastAsia="en-CA"/>
    </w:rPr>
  </w:style>
  <w:style w:type="paragraph" w:styleId="Heading1">
    <w:name w:val="heading 1"/>
    <w:next w:val="ReasonsNumbering-AltN"/>
    <w:link w:val="Heading1Char"/>
    <w:uiPriority w:val="2"/>
    <w:qFormat/>
    <w:rsid w:val="00AC0926"/>
    <w:pPr>
      <w:tabs>
        <w:tab w:val="left" w:pos="360"/>
      </w:tabs>
      <w:spacing w:before="480" w:after="480"/>
      <w:ind w:left="360" w:hanging="360"/>
      <w:jc w:val="both"/>
      <w:outlineLvl w:val="0"/>
    </w:pPr>
    <w:rPr>
      <w:rFonts w:eastAsiaTheme="majorEastAsia" w:cstheme="majorBidi"/>
      <w:bCs/>
      <w:sz w:val="24"/>
      <w:szCs w:val="28"/>
      <w:lang w:val="en-CA"/>
    </w:rPr>
  </w:style>
  <w:style w:type="paragraph" w:styleId="Heading2">
    <w:name w:val="heading 2"/>
    <w:basedOn w:val="Normal"/>
    <w:next w:val="Normal"/>
    <w:link w:val="Heading2Char"/>
    <w:uiPriority w:val="9"/>
    <w:unhideWhenUsed/>
    <w:rsid w:val="00AC09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0926"/>
    <w:rPr>
      <w:rFonts w:asciiTheme="majorHAnsi" w:eastAsiaTheme="majorEastAsia" w:hAnsiTheme="majorHAnsi" w:cstheme="majorBidi"/>
      <w:b/>
      <w:bCs/>
      <w:color w:val="4F81BD" w:themeColor="accent1"/>
      <w:sz w:val="26"/>
      <w:szCs w:val="26"/>
      <w:lang w:val="en-CA" w:eastAsia="en-CA"/>
    </w:rPr>
  </w:style>
  <w:style w:type="paragraph" w:customStyle="1" w:styleId="1">
    <w:name w:val="1"/>
    <w:aliases w:val=" 2, 3, A,2,3,A"/>
    <w:basedOn w:val="Normal"/>
    <w:uiPriority w:val="99"/>
    <w:rsid w:val="00493C18"/>
    <w:pPr>
      <w:widowControl w:val="0"/>
    </w:pPr>
  </w:style>
  <w:style w:type="paragraph" w:customStyle="1" w:styleId="SCCNormalDoubleSpacing">
    <w:name w:val="SCC.Normal.DoubleSpacing"/>
    <w:basedOn w:val="Normal"/>
    <w:link w:val="SCCNormalDoubleSpacingChar"/>
    <w:qFormat/>
    <w:rsid w:val="004911DA"/>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4911DA"/>
    <w:rPr>
      <w:sz w:val="24"/>
      <w:lang w:val="fr-CA" w:eastAsia="en-CA"/>
    </w:rPr>
  </w:style>
  <w:style w:type="character" w:styleId="Strong">
    <w:name w:val="Strong"/>
    <w:basedOn w:val="DefaultParagraphFont"/>
    <w:uiPriority w:val="22"/>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rsid w:val="00AC0926"/>
    <w:rPr>
      <w:color w:val="808080"/>
    </w:rPr>
  </w:style>
  <w:style w:type="paragraph" w:styleId="BalloonText">
    <w:name w:val="Balloon Text"/>
    <w:basedOn w:val="Normal"/>
    <w:link w:val="BalloonTextChar"/>
    <w:uiPriority w:val="99"/>
    <w:unhideWhenUsed/>
    <w:rsid w:val="00AC0926"/>
    <w:rPr>
      <w:rFonts w:cs="Tahoma"/>
      <w:sz w:val="28"/>
      <w:szCs w:val="16"/>
    </w:rPr>
  </w:style>
  <w:style w:type="character" w:customStyle="1" w:styleId="BalloonTextChar">
    <w:name w:val="Balloon Text Char"/>
    <w:basedOn w:val="DefaultParagraphFont"/>
    <w:link w:val="BalloonText"/>
    <w:uiPriority w:val="99"/>
    <w:rsid w:val="00AC0926"/>
    <w:rPr>
      <w:rFonts w:eastAsia="Times New Roman" w:cs="Tahoma"/>
      <w:sz w:val="28"/>
      <w:szCs w:val="16"/>
      <w:lang w:val="en-CA" w:eastAsia="en-CA"/>
    </w:rPr>
  </w:style>
  <w:style w:type="paragraph" w:styleId="Header">
    <w:name w:val="header"/>
    <w:basedOn w:val="Normal"/>
    <w:link w:val="HeaderChar"/>
    <w:uiPriority w:val="99"/>
    <w:unhideWhenUsed/>
    <w:rsid w:val="00AC0926"/>
    <w:pPr>
      <w:tabs>
        <w:tab w:val="center" w:pos="4680"/>
        <w:tab w:val="right" w:pos="9360"/>
      </w:tabs>
    </w:pPr>
  </w:style>
  <w:style w:type="character" w:customStyle="1" w:styleId="HeaderChar">
    <w:name w:val="Header Char"/>
    <w:basedOn w:val="DefaultParagraphFont"/>
    <w:link w:val="Header"/>
    <w:uiPriority w:val="99"/>
    <w:rsid w:val="00AC0926"/>
    <w:rPr>
      <w:rFonts w:eastAsia="Times New Roman"/>
      <w:sz w:val="24"/>
      <w:lang w:val="en-CA" w:eastAsia="en-CA"/>
    </w:rPr>
  </w:style>
  <w:style w:type="paragraph" w:styleId="Footer">
    <w:name w:val="footer"/>
    <w:basedOn w:val="Normal"/>
    <w:link w:val="FooterChar"/>
    <w:uiPriority w:val="99"/>
    <w:unhideWhenUsed/>
    <w:rsid w:val="00AC0926"/>
    <w:pPr>
      <w:tabs>
        <w:tab w:val="center" w:pos="4680"/>
        <w:tab w:val="right" w:pos="9360"/>
      </w:tabs>
    </w:pPr>
  </w:style>
  <w:style w:type="character" w:customStyle="1" w:styleId="FooterChar">
    <w:name w:val="Footer Char"/>
    <w:basedOn w:val="DefaultParagraphFont"/>
    <w:link w:val="Footer"/>
    <w:uiPriority w:val="99"/>
    <w:rsid w:val="00AC0926"/>
    <w:rPr>
      <w:rFonts w:eastAsia="Times New Roman"/>
      <w:sz w:val="24"/>
      <w:lang w:val="en-CA" w:eastAsia="en-CA"/>
    </w:rPr>
  </w:style>
  <w:style w:type="paragraph" w:customStyle="1" w:styleId="SCCLsocParty">
    <w:name w:val="SCC.Lsoc.Party"/>
    <w:basedOn w:val="Normal"/>
    <w:next w:val="Normal"/>
    <w:link w:val="SCCLsocPartyChar"/>
    <w:rsid w:val="00AC0926"/>
    <w:pPr>
      <w:spacing w:after="480"/>
      <w:jc w:val="both"/>
    </w:pPr>
    <w:rPr>
      <w:rFonts w:eastAsiaTheme="minorHAnsi" w:cstheme="minorBidi"/>
      <w:szCs w:val="22"/>
      <w:lang w:eastAsia="en-US"/>
    </w:rPr>
  </w:style>
  <w:style w:type="character" w:customStyle="1" w:styleId="SCCLsocPartyChar">
    <w:name w:val="SCC.Lsoc.Party Char"/>
    <w:basedOn w:val="DefaultParagraphFont"/>
    <w:link w:val="SCCLsocParty"/>
    <w:rsid w:val="00AC0926"/>
    <w:rPr>
      <w:rFonts w:cstheme="minorBidi"/>
      <w:sz w:val="24"/>
      <w:szCs w:val="22"/>
      <w:lang w:val="en-CA"/>
    </w:rPr>
  </w:style>
  <w:style w:type="paragraph" w:customStyle="1" w:styleId="SCCLsocVersus">
    <w:name w:val="SCC.Lsoc.Versus"/>
    <w:basedOn w:val="Normal"/>
    <w:next w:val="Normal"/>
    <w:link w:val="SCCLsocVersusChar"/>
    <w:rsid w:val="00AC0926"/>
    <w:pPr>
      <w:spacing w:after="480"/>
    </w:pPr>
    <w:rPr>
      <w:rFonts w:eastAsiaTheme="minorHAnsi" w:cstheme="minorBidi"/>
      <w:szCs w:val="22"/>
      <w:lang w:eastAsia="en-US"/>
    </w:rPr>
  </w:style>
  <w:style w:type="character" w:customStyle="1" w:styleId="SCCLsocVersusChar">
    <w:name w:val="SCC.Lsoc.Versus Char"/>
    <w:basedOn w:val="DefaultParagraphFont"/>
    <w:link w:val="SCCLsocVersus"/>
    <w:rsid w:val="00AC0926"/>
    <w:rPr>
      <w:rFonts w:cstheme="minorBidi"/>
      <w:sz w:val="24"/>
      <w:szCs w:val="22"/>
      <w:lang w:val="en-CA"/>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AC0926"/>
    <w:pPr>
      <w:spacing w:after="480"/>
    </w:pPr>
    <w:rPr>
      <w:rFonts w:eastAsiaTheme="minorHAnsi" w:cstheme="minorBidi"/>
      <w:szCs w:val="22"/>
      <w:lang w:eastAsia="en-US"/>
    </w:rPr>
  </w:style>
  <w:style w:type="character" w:customStyle="1" w:styleId="SCCLsocSubfileSeparatorChar">
    <w:name w:val="SCC.Lsoc.SubfileSeparator Char"/>
    <w:basedOn w:val="DefaultParagraphFont"/>
    <w:link w:val="SCCLsocSubfileSeparator"/>
    <w:rsid w:val="00AC0926"/>
    <w:rPr>
      <w:rFonts w:cstheme="minorBidi"/>
      <w:sz w:val="24"/>
      <w:szCs w:val="22"/>
      <w:lang w:val="en-CA"/>
    </w:rPr>
  </w:style>
  <w:style w:type="paragraph" w:customStyle="1" w:styleId="SCCLsocOtherPartySeparator">
    <w:name w:val="SCC.Lsoc.OtherPartySeparator"/>
    <w:basedOn w:val="Normal"/>
    <w:next w:val="Normal"/>
    <w:link w:val="SCCLsocOtherPartySeparatorChar"/>
    <w:rsid w:val="00AC0926"/>
    <w:pPr>
      <w:spacing w:after="480"/>
    </w:pPr>
    <w:rPr>
      <w:rFonts w:eastAsiaTheme="minorHAnsi" w:cstheme="minorBidi"/>
      <w:szCs w:val="22"/>
      <w:lang w:eastAsia="en-US"/>
    </w:rPr>
  </w:style>
  <w:style w:type="character" w:customStyle="1" w:styleId="SCCLsocOtherPartySeparatorChar">
    <w:name w:val="SCC.Lsoc.OtherPartySeparator Char"/>
    <w:basedOn w:val="DefaultParagraphFont"/>
    <w:link w:val="SCCLsocOtherPartySeparator"/>
    <w:rsid w:val="00AC0926"/>
    <w:rPr>
      <w:rFonts w:cstheme="minorBidi"/>
      <w:sz w:val="24"/>
      <w:szCs w:val="22"/>
      <w:lang w:val="en-CA"/>
    </w:rPr>
  </w:style>
  <w:style w:type="character" w:customStyle="1" w:styleId="Heading1Char">
    <w:name w:val="Heading 1 Char"/>
    <w:basedOn w:val="DefaultParagraphFont"/>
    <w:link w:val="Heading1"/>
    <w:uiPriority w:val="2"/>
    <w:rsid w:val="00AC0926"/>
    <w:rPr>
      <w:rFonts w:eastAsiaTheme="majorEastAsia" w:cstheme="majorBidi"/>
      <w:bCs/>
      <w:sz w:val="24"/>
      <w:szCs w:val="28"/>
      <w:lang w:val="en-CA"/>
    </w:rPr>
  </w:style>
  <w:style w:type="paragraph" w:customStyle="1" w:styleId="SCCBanSummary">
    <w:name w:val="SCC.BanSummary"/>
    <w:basedOn w:val="Normal"/>
    <w:next w:val="Normal"/>
    <w:link w:val="SCCBanSummaryChar"/>
    <w:rsid w:val="00AC0926"/>
    <w:pPr>
      <w:jc w:val="right"/>
    </w:pPr>
    <w:rPr>
      <w:rFonts w:eastAsiaTheme="minorEastAsia"/>
      <w:b/>
      <w:szCs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paragraph" w:styleId="ListParagraph">
    <w:name w:val="List Paragraph"/>
    <w:basedOn w:val="Normal"/>
    <w:uiPriority w:val="34"/>
    <w:qFormat/>
    <w:rsid w:val="004911DA"/>
    <w:pPr>
      <w:ind w:left="720"/>
    </w:pPr>
  </w:style>
  <w:style w:type="paragraph" w:customStyle="1" w:styleId="Citation1">
    <w:name w:val="Citation1"/>
    <w:basedOn w:val="Normal"/>
    <w:qFormat/>
    <w:rsid w:val="004911DA"/>
    <w:pPr>
      <w:spacing w:after="720"/>
      <w:ind w:left="1166"/>
      <w:contextualSpacing/>
      <w:jc w:val="both"/>
    </w:pPr>
  </w:style>
  <w:style w:type="paragraph" w:styleId="NoSpacing">
    <w:name w:val="No Spacing"/>
    <w:uiPriority w:val="99"/>
    <w:rsid w:val="007D1503"/>
    <w:rPr>
      <w:sz w:val="24"/>
      <w:szCs w:val="24"/>
      <w:lang w:val="en-CA" w:eastAsia="en-CA"/>
    </w:rPr>
  </w:style>
  <w:style w:type="paragraph" w:customStyle="1" w:styleId="SCCLsocOtherPartyRoleSeparator">
    <w:name w:val="SCC.Lsoc.OtherPartyRoleSeparator"/>
    <w:basedOn w:val="Normal"/>
    <w:next w:val="Normal"/>
    <w:link w:val="SCCLsocOtherPartyRoleSeparatorChar"/>
    <w:rsid w:val="00AC0926"/>
    <w:pPr>
      <w:spacing w:after="480"/>
    </w:pPr>
    <w:rPr>
      <w:rFonts w:eastAsiaTheme="minorHAnsi" w:cstheme="minorBidi"/>
      <w:szCs w:val="22"/>
      <w:lang w:eastAsia="en-US"/>
    </w:rPr>
  </w:style>
  <w:style w:type="paragraph" w:customStyle="1" w:styleId="SCCCoram">
    <w:name w:val="SCC.Coram"/>
    <w:basedOn w:val="Normal"/>
    <w:next w:val="Normal"/>
    <w:link w:val="SCCCoramChar"/>
    <w:rsid w:val="00AC0926"/>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AC0926"/>
    <w:rPr>
      <w:rFonts w:cstheme="minorBidi"/>
      <w:sz w:val="24"/>
      <w:szCs w:val="22"/>
      <w:lang w:val="en-CA"/>
    </w:rPr>
  </w:style>
  <w:style w:type="character" w:customStyle="1" w:styleId="SCCLsocOtherPartyRoleSeparatorChar">
    <w:name w:val="SCC.Lsoc.OtherPartyRoleSeparator Char"/>
    <w:basedOn w:val="DefaultParagraphFont"/>
    <w:link w:val="SCCLsocOtherPartyRoleSeparator"/>
    <w:rsid w:val="00AC0926"/>
    <w:rPr>
      <w:rFonts w:cstheme="minorBidi"/>
      <w:sz w:val="24"/>
      <w:szCs w:val="22"/>
      <w:lang w:val="en-CA"/>
    </w:rPr>
  </w:style>
  <w:style w:type="character" w:customStyle="1" w:styleId="SCCBanSummaryChar">
    <w:name w:val="SCC.BanSummary Char"/>
    <w:basedOn w:val="DefaultParagraphFont"/>
    <w:link w:val="SCCBanSummary"/>
    <w:rsid w:val="00AC0926"/>
    <w:rPr>
      <w:rFonts w:eastAsiaTheme="minorEastAsia"/>
      <w:b/>
      <w:sz w:val="24"/>
      <w:szCs w:val="24"/>
      <w:lang w:val="en-CA" w:eastAsia="en-CA"/>
    </w:rPr>
  </w:style>
  <w:style w:type="table" w:styleId="TableGrid">
    <w:name w:val="Table Grid"/>
    <w:basedOn w:val="TableNormal"/>
    <w:uiPriority w:val="59"/>
    <w:rsid w:val="00AC0926"/>
    <w:rPr>
      <w:rFonts w:eastAsia="Times New Roman"/>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tinueReasonsNo-AltP">
    <w:name w:val="Continue Reasons No # - Alt P"/>
    <w:next w:val="ReasonsNumbering-AltN"/>
    <w:uiPriority w:val="1"/>
    <w:qFormat/>
    <w:rsid w:val="00AC0926"/>
    <w:pPr>
      <w:spacing w:before="480" w:after="480" w:line="480" w:lineRule="auto"/>
    </w:pPr>
    <w:rPr>
      <w:rFonts w:cstheme="minorBidi"/>
      <w:sz w:val="24"/>
      <w:szCs w:val="22"/>
      <w:lang w:val="en-CA"/>
    </w:rPr>
  </w:style>
  <w:style w:type="paragraph" w:customStyle="1" w:styleId="ReasonsNumbering-AltN">
    <w:name w:val="Reasons Numbering - Alt N"/>
    <w:qFormat/>
    <w:rsid w:val="00AC0926"/>
    <w:pPr>
      <w:numPr>
        <w:numId w:val="1"/>
      </w:numPr>
      <w:tabs>
        <w:tab w:val="left" w:pos="1152"/>
      </w:tabs>
      <w:spacing w:after="480" w:line="480" w:lineRule="auto"/>
      <w:jc w:val="both"/>
    </w:pPr>
    <w:rPr>
      <w:rFonts w:cstheme="minorBidi"/>
      <w:sz w:val="24"/>
      <w:szCs w:val="22"/>
      <w:lang w:val="en-CA"/>
    </w:rPr>
  </w:style>
  <w:style w:type="paragraph" w:customStyle="1" w:styleId="Citation-AltC">
    <w:name w:val="Citation - Alt C"/>
    <w:uiPriority w:val="2"/>
    <w:qFormat/>
    <w:rsid w:val="00AC0926"/>
    <w:pPr>
      <w:spacing w:after="720"/>
      <w:ind w:left="1166"/>
      <w:contextualSpacing/>
      <w:jc w:val="both"/>
    </w:pPr>
    <w:rPr>
      <w:rFonts w:eastAsia="Times New Roman"/>
      <w:sz w:val="24"/>
      <w:lang w:val="en-CA" w:eastAsia="en-CA"/>
    </w:rPr>
  </w:style>
  <w:style w:type="character" w:styleId="CommentReference">
    <w:name w:val="annotation reference"/>
    <w:basedOn w:val="DefaultParagraphFont"/>
    <w:uiPriority w:val="99"/>
    <w:semiHidden/>
    <w:unhideWhenUsed/>
    <w:rsid w:val="00AC0926"/>
    <w:rPr>
      <w:sz w:val="16"/>
      <w:szCs w:val="16"/>
    </w:rPr>
  </w:style>
  <w:style w:type="paragraph" w:styleId="CommentText">
    <w:name w:val="annotation text"/>
    <w:basedOn w:val="Normal"/>
    <w:link w:val="CommentTextChar"/>
    <w:uiPriority w:val="99"/>
    <w:semiHidden/>
    <w:unhideWhenUsed/>
    <w:rsid w:val="00AC0926"/>
    <w:rPr>
      <w:sz w:val="20"/>
    </w:rPr>
  </w:style>
  <w:style w:type="character" w:customStyle="1" w:styleId="CommentTextChar">
    <w:name w:val="Comment Text Char"/>
    <w:basedOn w:val="DefaultParagraphFont"/>
    <w:link w:val="CommentText"/>
    <w:uiPriority w:val="99"/>
    <w:semiHidden/>
    <w:rsid w:val="00AC0926"/>
    <w:rPr>
      <w:rFonts w:eastAsia="Times New Roman"/>
      <w:lang w:val="en-CA" w:eastAsia="en-CA"/>
    </w:rPr>
  </w:style>
  <w:style w:type="paragraph" w:styleId="CommentSubject">
    <w:name w:val="annotation subject"/>
    <w:basedOn w:val="CommentText"/>
    <w:next w:val="CommentText"/>
    <w:link w:val="CommentSubjectChar"/>
    <w:uiPriority w:val="99"/>
    <w:semiHidden/>
    <w:unhideWhenUsed/>
    <w:rsid w:val="00AC0926"/>
    <w:rPr>
      <w:b/>
      <w:bCs/>
    </w:rPr>
  </w:style>
  <w:style w:type="character" w:customStyle="1" w:styleId="CommentSubjectChar">
    <w:name w:val="Comment Subject Char"/>
    <w:basedOn w:val="CommentTextChar"/>
    <w:link w:val="CommentSubject"/>
    <w:uiPriority w:val="99"/>
    <w:semiHidden/>
    <w:rsid w:val="00AC092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yolai\Desktop\Ltr_J18_f%20-%20revised%20Feb%2021%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BE132-C341-4DC8-8FA9-163DE4D59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Ltr_J18_f - revised Feb 21 2011.dotx</Template>
  <TotalTime>0</TotalTime>
  <Pages>47</Pages>
  <Words>11378</Words>
  <Characters>59481</Characters>
  <Application>Microsoft Office Word</Application>
  <DocSecurity>0</DocSecurity>
  <Lines>495</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2011-02-04T13:23:00Z</dcterms:created>
  <dcterms:modified xsi:type="dcterms:W3CDTF">2011-06-27T18:12:00Z</dcterms:modified>
</cp:coreProperties>
</file>