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04" w:rsidRDefault="00AA0404" w:rsidP="00AA040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373961332" r:id="rId8"/>
        </w:object>
      </w:r>
      <w:r>
        <w:t xml:space="preserve"> </w:t>
      </w:r>
      <w:r>
        <w:ptab w:relativeTo="margin" w:alignment="right" w:leader="none"/>
      </w:r>
    </w:p>
    <w:p w:rsidR="00AA0404" w:rsidRDefault="00AA0404" w:rsidP="00AA0404">
      <w:pPr>
        <w:pStyle w:val="Header"/>
      </w:pPr>
    </w:p>
    <w:p w:rsidR="00AA0404" w:rsidRPr="001E12E2" w:rsidRDefault="00AA0404" w:rsidP="00AA0404">
      <w:pPr>
        <w:jc w:val="center"/>
        <w:rPr>
          <w:b/>
        </w:rPr>
      </w:pPr>
      <w:r w:rsidRPr="001E12E2">
        <w:rPr>
          <w:b/>
        </w:rPr>
        <w:t>COUR SUPRÊME DU CANADA</w:t>
      </w:r>
    </w:p>
    <w:p w:rsidR="00AA0404" w:rsidRDefault="00AA0404" w:rsidP="00AA0404">
      <w:pPr>
        <w:pStyle w:val="Heade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A0404" w:rsidRPr="001E12E2" w:rsidTr="0097317C">
        <w:trPr>
          <w:cantSplit/>
        </w:trPr>
        <w:tc>
          <w:tcPr>
            <w:tcW w:w="6768" w:type="dxa"/>
          </w:tcPr>
          <w:p w:rsidR="00AA0404" w:rsidRPr="001E12E2" w:rsidRDefault="00AA0404" w:rsidP="0097317C">
            <w:r>
              <w:rPr>
                <w:b/>
                <w:smallCaps/>
              </w:rPr>
              <w:t>Référence</w:t>
            </w:r>
            <w:r w:rsidRPr="001E12E2">
              <w:rPr>
                <w:b/>
                <w:smallCaps/>
              </w:rPr>
              <w:t xml:space="preserve"> </w:t>
            </w:r>
            <w:proofErr w:type="gramStart"/>
            <w:r w:rsidRPr="001E12E2">
              <w:t xml:space="preserve">: </w:t>
            </w:r>
            <w:r>
              <w:t xml:space="preserve"> </w:t>
            </w:r>
            <w:r w:rsidRPr="004E7A6A">
              <w:rPr>
                <w:rStyle w:val="SCCAppellantForIndexChar"/>
                <w:b w:val="0"/>
              </w:rPr>
              <w:t>R</w:t>
            </w:r>
            <w:proofErr w:type="gramEnd"/>
            <w:r w:rsidRPr="004E7A6A">
              <w:rPr>
                <w:rStyle w:val="SCCAppellantForIndexChar"/>
                <w:b w:val="0"/>
              </w:rPr>
              <w:t>.</w:t>
            </w:r>
            <w:r w:rsidRPr="004E7A6A">
              <w:rPr>
                <w:b/>
              </w:rPr>
              <w:t xml:space="preserve"> </w:t>
            </w:r>
            <w:r w:rsidRPr="004E7A6A">
              <w:rPr>
                <w:i/>
              </w:rPr>
              <w:t>c.</w:t>
            </w:r>
            <w:r w:rsidRPr="004E7A6A">
              <w:rPr>
                <w:b/>
              </w:rPr>
              <w:t xml:space="preserve"> </w:t>
            </w:r>
            <w:r w:rsidRPr="004000D0">
              <w:t>S.D.</w:t>
            </w:r>
            <w:r>
              <w:rPr>
                <w:rStyle w:val="SCCRespondentForIndexChar"/>
                <w:b w:val="0"/>
              </w:rPr>
              <w:t>, 2011 CSC 14, [2011] 1 R.C.S. 527</w:t>
            </w:r>
          </w:p>
        </w:tc>
        <w:tc>
          <w:tcPr>
            <w:tcW w:w="2808" w:type="dxa"/>
          </w:tcPr>
          <w:p w:rsidR="00AA0404" w:rsidRPr="001E12E2" w:rsidRDefault="00AA0404" w:rsidP="0097317C">
            <w:r w:rsidRPr="001E12E2">
              <w:rPr>
                <w:b/>
                <w:smallCaps/>
              </w:rPr>
              <w:t xml:space="preserve">Date </w:t>
            </w:r>
            <w:r w:rsidRPr="001E12E2">
              <w:t xml:space="preserve">: </w:t>
            </w:r>
            <w:r>
              <w:t>20110317</w:t>
            </w:r>
          </w:p>
          <w:p w:rsidR="00AA0404" w:rsidRPr="001E12E2" w:rsidRDefault="00AA0404" w:rsidP="0097317C">
            <w:r w:rsidRPr="001E12E2">
              <w:rPr>
                <w:b/>
                <w:smallCaps/>
              </w:rPr>
              <w:t>Do</w:t>
            </w:r>
            <w:r>
              <w:rPr>
                <w:b/>
                <w:smallCaps/>
              </w:rPr>
              <w:t>ssier</w:t>
            </w:r>
            <w:r w:rsidRPr="001E12E2">
              <w:rPr>
                <w:b/>
                <w:smallCaps/>
              </w:rPr>
              <w:t xml:space="preserve"> </w:t>
            </w:r>
            <w:r w:rsidRPr="001E12E2">
              <w:t xml:space="preserve">: </w:t>
            </w:r>
            <w:r>
              <w:t>33842</w:t>
            </w:r>
          </w:p>
        </w:tc>
      </w:tr>
    </w:tbl>
    <w:p w:rsidR="00AA0404" w:rsidRPr="001E12E2" w:rsidRDefault="00AA0404" w:rsidP="00AA0404"/>
    <w:p w:rsidR="00AA0404" w:rsidRDefault="00AA0404" w:rsidP="00AA0404">
      <w:pPr>
        <w:pStyle w:val="SCCLsocPrefix"/>
      </w:pPr>
      <w:r>
        <w:t>Entre :</w:t>
      </w:r>
    </w:p>
    <w:p w:rsidR="00AA0404" w:rsidRDefault="00AA0404" w:rsidP="00AA0404">
      <w:pPr>
        <w:pStyle w:val="SCCLsocParty"/>
      </w:pPr>
      <w:r>
        <w:t>Sa Majesté la Reine</w:t>
      </w:r>
    </w:p>
    <w:p w:rsidR="00AA0404" w:rsidRDefault="00AA0404" w:rsidP="00AA0404">
      <w:pPr>
        <w:pStyle w:val="SCCLsocPartyRole"/>
      </w:pPr>
      <w:r>
        <w:t>Appelante</w:t>
      </w:r>
    </w:p>
    <w:p w:rsidR="00AA0404" w:rsidRDefault="00AA0404" w:rsidP="00AA0404">
      <w:pPr>
        <w:pStyle w:val="SCCLsocVersus"/>
      </w:pPr>
      <w:proofErr w:type="gramStart"/>
      <w:r>
        <w:t>et</w:t>
      </w:r>
      <w:proofErr w:type="gramEnd"/>
    </w:p>
    <w:p w:rsidR="00AA0404" w:rsidRDefault="00AA0404" w:rsidP="00AA0404">
      <w:pPr>
        <w:pStyle w:val="SCCLsocParty"/>
      </w:pPr>
      <w:r>
        <w:t>S.D.</w:t>
      </w:r>
    </w:p>
    <w:p w:rsidR="00AA0404" w:rsidRDefault="00AA0404" w:rsidP="00AA0404">
      <w:pPr>
        <w:pStyle w:val="SCCLsocPartyRole"/>
      </w:pPr>
      <w:r>
        <w:t>Intimé</w:t>
      </w:r>
    </w:p>
    <w:p w:rsidR="00AA0404" w:rsidRPr="001E12E2" w:rsidRDefault="00AA0404" w:rsidP="00AA0404"/>
    <w:p w:rsidR="00AA0404" w:rsidRPr="001E12E2" w:rsidRDefault="00AA0404" w:rsidP="00AA0404">
      <w:r w:rsidRPr="001E12E2">
        <w:rPr>
          <w:b/>
          <w:smallCaps/>
        </w:rPr>
        <w:t xml:space="preserve">Coram </w:t>
      </w:r>
      <w:r w:rsidRPr="001E12E2">
        <w:t xml:space="preserve">: </w:t>
      </w:r>
      <w:r>
        <w:t xml:space="preserve">Les juges </w:t>
      </w:r>
      <w:proofErr w:type="spellStart"/>
      <w:r>
        <w:t>Binnie</w:t>
      </w:r>
      <w:proofErr w:type="spellEnd"/>
      <w:r>
        <w:t xml:space="preserve">, </w:t>
      </w:r>
      <w:proofErr w:type="spellStart"/>
      <w:r>
        <w:t>LeBel</w:t>
      </w:r>
      <w:proofErr w:type="spellEnd"/>
      <w:r>
        <w:t xml:space="preserve">, Deschamps, Fish, Charron, </w:t>
      </w:r>
      <w:proofErr w:type="spellStart"/>
      <w:r>
        <w:t>Rothstein</w:t>
      </w:r>
      <w:proofErr w:type="spellEnd"/>
      <w:r>
        <w:t xml:space="preserve"> et Cromwell</w:t>
      </w:r>
    </w:p>
    <w:p w:rsidR="00AA0404" w:rsidRPr="001E12E2" w:rsidRDefault="00AA0404" w:rsidP="00AA04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A0404" w:rsidRPr="001E12E2" w:rsidTr="0097317C">
        <w:trPr>
          <w:cantSplit/>
        </w:trPr>
        <w:tc>
          <w:tcPr>
            <w:tcW w:w="3618" w:type="dxa"/>
          </w:tcPr>
          <w:p w:rsidR="00AA0404" w:rsidRDefault="00AA0404" w:rsidP="0097317C">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sidRPr="001E12E2">
              <w:t xml:space="preserve"> :</w:t>
            </w:r>
          </w:p>
          <w:p w:rsidR="00AA0404" w:rsidRDefault="00AA0404" w:rsidP="0097317C">
            <w:r>
              <w:t>(par. 1 à 4)</w:t>
            </w:r>
          </w:p>
          <w:p w:rsidR="00AA0404" w:rsidRDefault="00AA0404" w:rsidP="0097317C"/>
          <w:p w:rsidR="00AA0404" w:rsidRDefault="00AA0404" w:rsidP="0097317C">
            <w:pPr>
              <w:rPr>
                <w:b/>
                <w:smallCaps/>
              </w:rPr>
            </w:pPr>
            <w:r w:rsidRPr="004000D0">
              <w:rPr>
                <w:b/>
                <w:smallCaps/>
              </w:rPr>
              <w:t>Motifs dissidents :</w:t>
            </w:r>
          </w:p>
          <w:p w:rsidR="00AA0404" w:rsidRPr="004000D0" w:rsidRDefault="00AA0404" w:rsidP="0097317C">
            <w:r w:rsidRPr="004000D0">
              <w:t>(par.</w:t>
            </w:r>
            <w:r>
              <w:t xml:space="preserve"> 5</w:t>
            </w:r>
            <w:r w:rsidRPr="004000D0">
              <w:t>)</w:t>
            </w:r>
          </w:p>
        </w:tc>
        <w:tc>
          <w:tcPr>
            <w:tcW w:w="5958" w:type="dxa"/>
          </w:tcPr>
          <w:p w:rsidR="00AA0404" w:rsidRDefault="00AA0404" w:rsidP="0097317C">
            <w:r>
              <w:t xml:space="preserve">Le juge </w:t>
            </w:r>
            <w:proofErr w:type="spellStart"/>
            <w:r>
              <w:t>Binnie</w:t>
            </w:r>
            <w:proofErr w:type="spellEnd"/>
            <w:r>
              <w:t xml:space="preserve"> (avec l’accord des juges </w:t>
            </w:r>
            <w:proofErr w:type="spellStart"/>
            <w:r>
              <w:t>LeBel</w:t>
            </w:r>
            <w:proofErr w:type="spellEnd"/>
            <w:r>
              <w:t xml:space="preserve">, Deschamps, Charron, </w:t>
            </w:r>
            <w:proofErr w:type="spellStart"/>
            <w:r>
              <w:t>Rothstein</w:t>
            </w:r>
            <w:proofErr w:type="spellEnd"/>
            <w:r>
              <w:t xml:space="preserve"> et Cromwell)</w:t>
            </w:r>
          </w:p>
          <w:p w:rsidR="00AA0404" w:rsidRDefault="00AA0404" w:rsidP="0097317C"/>
          <w:p w:rsidR="00AA0404" w:rsidRDefault="00AA0404" w:rsidP="0097317C">
            <w:r>
              <w:t>Le juge Fish</w:t>
            </w:r>
          </w:p>
          <w:p w:rsidR="00AA0404" w:rsidRPr="001E12E2" w:rsidRDefault="00AA0404" w:rsidP="0097317C"/>
        </w:tc>
      </w:tr>
    </w:tbl>
    <w:p w:rsidR="00AA0404" w:rsidRPr="001E12E2" w:rsidRDefault="00AA0404" w:rsidP="00AA0404">
      <w:r>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AA0404" w:rsidRDefault="00AA0404">
      <w:r>
        <w:br w:type="page"/>
      </w:r>
    </w:p>
    <w:p w:rsidR="008322BD" w:rsidRPr="00A24E15" w:rsidRDefault="00502FB4" w:rsidP="00AB0856">
      <w:pPr>
        <w:spacing w:line="480" w:lineRule="auto"/>
        <w:jc w:val="both"/>
      </w:pPr>
      <w:r>
        <w:lastRenderedPageBreak/>
        <w:t>R</w:t>
      </w:r>
      <w:r w:rsidR="008F78E9">
        <w:rPr>
          <w:rStyle w:val="SCCAppellantForRunningHeadChar"/>
        </w:rPr>
        <w:t>.</w:t>
      </w:r>
      <w:r w:rsidR="00480C90" w:rsidRPr="00A24E15">
        <w:t xml:space="preserve"> </w:t>
      </w:r>
      <w:r w:rsidR="00645057" w:rsidRPr="00A24E15">
        <w:rPr>
          <w:i/>
        </w:rPr>
        <w:t>c</w:t>
      </w:r>
      <w:r w:rsidR="009B57B3" w:rsidRPr="00A24E15">
        <w:rPr>
          <w:i/>
        </w:rPr>
        <w:t>.</w:t>
      </w:r>
      <w:r w:rsidR="00B000D8" w:rsidRPr="00A24E15">
        <w:t xml:space="preserve"> </w:t>
      </w:r>
      <w:r>
        <w:rPr>
          <w:rStyle w:val="SCCRespondentForRunningHeadChar"/>
        </w:rPr>
        <w:t>S.D.</w:t>
      </w:r>
      <w:r w:rsidR="00822311">
        <w:rPr>
          <w:rStyle w:val="SCCRespondentForRunningHeadChar"/>
        </w:rPr>
        <w:t xml:space="preserve">, </w:t>
      </w:r>
      <w:r w:rsidR="00822311" w:rsidRPr="00AA0404">
        <w:rPr>
          <w:rStyle w:val="SCCRespondentForIndexChar"/>
          <w:b w:val="0"/>
        </w:rPr>
        <w:t>2011 CSC 14, [2011] 1 R.C.S. 527</w:t>
      </w:r>
    </w:p>
    <w:p w:rsidR="00766D14" w:rsidRPr="00A24E15" w:rsidRDefault="00766D14" w:rsidP="00AB0856">
      <w:pPr>
        <w:spacing w:line="480" w:lineRule="auto"/>
        <w:jc w:val="both"/>
      </w:pPr>
    </w:p>
    <w:p w:rsidR="00D85657" w:rsidRDefault="00502FB4" w:rsidP="005A7544">
      <w:pPr>
        <w:pStyle w:val="SCCLsocParty"/>
        <w:tabs>
          <w:tab w:val="right" w:pos="8280"/>
        </w:tabs>
        <w:spacing w:line="480" w:lineRule="auto"/>
      </w:pPr>
      <w:r>
        <w:t>Sa Majesté la Reine</w:t>
      </w:r>
      <w:r w:rsidR="005A7544">
        <w:tab/>
      </w:r>
      <w:r w:rsidR="005A7544" w:rsidRPr="005A7544">
        <w:rPr>
          <w:b w:val="0"/>
          <w:i/>
        </w:rPr>
        <w:t>Appelante</w:t>
      </w:r>
    </w:p>
    <w:p w:rsidR="005A7544" w:rsidRDefault="005A7544" w:rsidP="00AB0856">
      <w:pPr>
        <w:pStyle w:val="SCCLsocVersus"/>
        <w:spacing w:line="480" w:lineRule="auto"/>
      </w:pPr>
    </w:p>
    <w:p w:rsidR="00D85657" w:rsidRDefault="00A72987" w:rsidP="005E70EF">
      <w:pPr>
        <w:pStyle w:val="SCCLsocVersus"/>
        <w:tabs>
          <w:tab w:val="right" w:pos="8280"/>
        </w:tabs>
        <w:spacing w:line="480" w:lineRule="auto"/>
        <w:rPr>
          <w:i w:val="0"/>
        </w:rPr>
      </w:pPr>
      <w:proofErr w:type="gramStart"/>
      <w:r>
        <w:t>c</w:t>
      </w:r>
      <w:proofErr w:type="gramEnd"/>
      <w:r>
        <w:t>.</w:t>
      </w:r>
    </w:p>
    <w:p w:rsidR="001E1671" w:rsidRPr="001E1671" w:rsidRDefault="001E1671" w:rsidP="00AB0856">
      <w:pPr>
        <w:spacing w:line="480" w:lineRule="auto"/>
      </w:pPr>
    </w:p>
    <w:p w:rsidR="00D85657" w:rsidRDefault="00502FB4" w:rsidP="005A7544">
      <w:pPr>
        <w:pStyle w:val="SCCLsocParty"/>
        <w:tabs>
          <w:tab w:val="right" w:pos="8280"/>
        </w:tabs>
        <w:spacing w:line="480" w:lineRule="auto"/>
      </w:pPr>
      <w:r>
        <w:t>S.D.</w:t>
      </w:r>
      <w:r w:rsidR="005E70EF">
        <w:tab/>
      </w:r>
      <w:r w:rsidR="005E70EF" w:rsidRPr="005E70EF">
        <w:rPr>
          <w:b w:val="0"/>
          <w:i/>
        </w:rPr>
        <w:t>Intimé</w:t>
      </w:r>
    </w:p>
    <w:p w:rsidR="00766D14" w:rsidRPr="00A24E15" w:rsidRDefault="00766D14" w:rsidP="00AB0856">
      <w:pPr>
        <w:spacing w:line="480" w:lineRule="auto"/>
        <w:jc w:val="both"/>
      </w:pPr>
    </w:p>
    <w:p w:rsidR="00426659" w:rsidRPr="00502FB4" w:rsidRDefault="0043088E" w:rsidP="00AB0856">
      <w:pPr>
        <w:spacing w:line="480" w:lineRule="auto"/>
        <w:jc w:val="both"/>
        <w:rPr>
          <w:b/>
        </w:rPr>
      </w:pPr>
      <w:r w:rsidRPr="00A24E15">
        <w:rPr>
          <w:b/>
        </w:rPr>
        <w:t>Répertorié</w:t>
      </w:r>
      <w:r w:rsidR="00C67CA5" w:rsidRPr="00A24E15">
        <w:rPr>
          <w:b/>
        </w:rPr>
        <w:t> </w:t>
      </w:r>
      <w:r w:rsidR="00426659" w:rsidRPr="00A24E15">
        <w:rPr>
          <w:b/>
        </w:rPr>
        <w:t>:</w:t>
      </w:r>
      <w:r w:rsidR="00C67CA5" w:rsidRPr="00A24E15">
        <w:rPr>
          <w:b/>
        </w:rPr>
        <w:t> </w:t>
      </w:r>
      <w:r w:rsidR="00502FB4">
        <w:rPr>
          <w:b/>
        </w:rPr>
        <w:t>R</w:t>
      </w:r>
      <w:r>
        <w:rPr>
          <w:rStyle w:val="SCCAppellantForIndexChar"/>
        </w:rPr>
        <w:t>.</w:t>
      </w:r>
      <w:r w:rsidR="00426659" w:rsidRPr="00A24E15">
        <w:rPr>
          <w:b/>
        </w:rPr>
        <w:t xml:space="preserve"> </w:t>
      </w:r>
      <w:r w:rsidR="00645057" w:rsidRPr="00A24E15">
        <w:rPr>
          <w:b/>
          <w:i/>
        </w:rPr>
        <w:t>c</w:t>
      </w:r>
      <w:r w:rsidR="00426659" w:rsidRPr="00A24E15">
        <w:rPr>
          <w:b/>
          <w:i/>
        </w:rPr>
        <w:t>.</w:t>
      </w:r>
      <w:r w:rsidR="00502FB4">
        <w:rPr>
          <w:b/>
        </w:rPr>
        <w:t xml:space="preserve"> S.D.</w:t>
      </w:r>
    </w:p>
    <w:p w:rsidR="00426659" w:rsidRPr="00A24E15" w:rsidRDefault="00426659" w:rsidP="00AB0856">
      <w:pPr>
        <w:spacing w:line="480" w:lineRule="auto"/>
        <w:jc w:val="both"/>
      </w:pPr>
    </w:p>
    <w:p w:rsidR="00426659" w:rsidRPr="00A24E15" w:rsidRDefault="00C0663B" w:rsidP="00AB0856">
      <w:pPr>
        <w:pStyle w:val="SCCSystemYear"/>
        <w:spacing w:line="480" w:lineRule="auto"/>
        <w:jc w:val="both"/>
      </w:pPr>
      <w:r>
        <w:t>2011</w:t>
      </w:r>
      <w:r w:rsidR="00EE0FAF" w:rsidRPr="00A24E15">
        <w:t xml:space="preserve"> </w:t>
      </w:r>
      <w:r w:rsidR="00C71F58" w:rsidRPr="00A24E15">
        <w:t>C</w:t>
      </w:r>
      <w:r w:rsidR="00502FB4">
        <w:t>SC 14</w:t>
      </w:r>
    </w:p>
    <w:p w:rsidR="007834A8" w:rsidRPr="00A24E15" w:rsidRDefault="007834A8" w:rsidP="00AB0856">
      <w:pPr>
        <w:spacing w:line="480" w:lineRule="auto"/>
        <w:jc w:val="both"/>
      </w:pPr>
    </w:p>
    <w:p w:rsidR="008322BD" w:rsidRPr="00A24E15" w:rsidRDefault="009B57B3" w:rsidP="00AB0856">
      <w:pPr>
        <w:spacing w:line="480" w:lineRule="auto"/>
        <w:jc w:val="both"/>
      </w:pPr>
      <w:r w:rsidRPr="00A24E15">
        <w:t>N</w:t>
      </w:r>
      <w:r w:rsidRPr="00A24E15">
        <w:rPr>
          <w:vertAlign w:val="superscript"/>
        </w:rPr>
        <w:t>o</w:t>
      </w:r>
      <w:r w:rsidR="0043088E" w:rsidRPr="00A24E15">
        <w:t xml:space="preserve"> du greffe</w:t>
      </w:r>
      <w:r w:rsidR="00C67CA5" w:rsidRPr="00A24E15">
        <w:t> </w:t>
      </w:r>
      <w:r w:rsidRPr="00A24E15">
        <w:t>:</w:t>
      </w:r>
      <w:r w:rsidR="00C67CA5" w:rsidRPr="00A24E15">
        <w:t> </w:t>
      </w:r>
      <w:r>
        <w:t>33</w:t>
      </w:r>
      <w:r w:rsidR="00502FB4">
        <w:t>842</w:t>
      </w:r>
      <w:r w:rsidRPr="00A24E15">
        <w:t>.</w:t>
      </w:r>
    </w:p>
    <w:p w:rsidR="007834A8" w:rsidRPr="00A24E15" w:rsidRDefault="007834A8" w:rsidP="00AB0856">
      <w:pPr>
        <w:spacing w:line="480" w:lineRule="auto"/>
        <w:jc w:val="both"/>
      </w:pPr>
    </w:p>
    <w:p w:rsidR="008322BD" w:rsidRDefault="007A6DBE" w:rsidP="00AB0856">
      <w:pPr>
        <w:jc w:val="both"/>
      </w:pPr>
      <w:r>
        <w:t>Audition et jugement</w:t>
      </w:r>
      <w:r w:rsidR="001E1671">
        <w:t> :</w:t>
      </w:r>
      <w:r w:rsidR="00C0663B">
        <w:t xml:space="preserve"> </w:t>
      </w:r>
      <w:r w:rsidR="00502FB4">
        <w:t>17 mars</w:t>
      </w:r>
      <w:r>
        <w:t xml:space="preserve"> 2011</w:t>
      </w:r>
      <w:r w:rsidR="009B57B3" w:rsidRPr="00A24E15">
        <w:t>.</w:t>
      </w:r>
    </w:p>
    <w:p w:rsidR="007A6DBE" w:rsidRPr="00A24E15" w:rsidRDefault="007A6DBE" w:rsidP="00AB0856">
      <w:pPr>
        <w:jc w:val="both"/>
      </w:pPr>
      <w:r>
        <w:t>Motifs dissidents déposés : 21 mars 2011.</w:t>
      </w:r>
    </w:p>
    <w:p w:rsidR="00E97830" w:rsidRPr="00A24E15" w:rsidRDefault="00E97830" w:rsidP="00AB0856">
      <w:pPr>
        <w:spacing w:line="480" w:lineRule="auto"/>
        <w:jc w:val="both"/>
      </w:pPr>
    </w:p>
    <w:p w:rsidR="008322BD" w:rsidRPr="00A24E15" w:rsidRDefault="009B57B3" w:rsidP="00AB0856">
      <w:pPr>
        <w:jc w:val="both"/>
      </w:pPr>
      <w:r w:rsidRPr="00A24E15">
        <w:t>Pr</w:t>
      </w:r>
      <w:r w:rsidR="0043088E" w:rsidRPr="00A24E15">
        <w:t>é</w:t>
      </w:r>
      <w:r w:rsidRPr="00A24E15">
        <w:t>sent</w:t>
      </w:r>
      <w:r w:rsidR="008A6558" w:rsidRPr="00A24E15">
        <w:t>s</w:t>
      </w:r>
      <w:r w:rsidR="00C67CA5" w:rsidRPr="00A24E15">
        <w:t> </w:t>
      </w:r>
      <w:r w:rsidRPr="00A24E15">
        <w:t>:</w:t>
      </w:r>
      <w:r w:rsidR="00C67CA5" w:rsidRPr="00A24E15">
        <w:t> </w:t>
      </w:r>
      <w:r>
        <w:t xml:space="preserve">Les juges </w:t>
      </w:r>
      <w:proofErr w:type="spellStart"/>
      <w:r>
        <w:t>Binnie</w:t>
      </w:r>
      <w:proofErr w:type="spellEnd"/>
      <w:r>
        <w:t xml:space="preserve">, </w:t>
      </w:r>
      <w:proofErr w:type="spellStart"/>
      <w:r>
        <w:t>LeBel</w:t>
      </w:r>
      <w:proofErr w:type="spellEnd"/>
      <w:r>
        <w:t>, Deschamps, Fish, Charron, Rothstein et Cromwell</w:t>
      </w:r>
      <w:r w:rsidRPr="00A24E15">
        <w:t>.</w:t>
      </w:r>
    </w:p>
    <w:p w:rsidR="00E97830" w:rsidRPr="00A24E15" w:rsidRDefault="00E97830" w:rsidP="00AB0856">
      <w:pPr>
        <w:spacing w:line="480" w:lineRule="auto"/>
        <w:jc w:val="both"/>
      </w:pPr>
    </w:p>
    <w:p w:rsidR="008322BD" w:rsidRPr="00A24E15" w:rsidRDefault="00AC7437" w:rsidP="00AB0856">
      <w:pPr>
        <w:pStyle w:val="SCCLowerCourtNameLowercase"/>
      </w:pPr>
      <w:r w:rsidRPr="00A24E15">
        <w:t>e</w:t>
      </w:r>
      <w:r w:rsidR="00855307" w:rsidRPr="00A24E15">
        <w:t>n</w:t>
      </w:r>
      <w:r w:rsidR="00224FC0" w:rsidRPr="00A24E15">
        <w:t xml:space="preserve"> </w:t>
      </w:r>
      <w:r w:rsidR="00855307" w:rsidRPr="00A24E15">
        <w:t>appel</w:t>
      </w:r>
      <w:r w:rsidR="00224FC0" w:rsidRPr="00A24E15">
        <w:t xml:space="preserve"> </w:t>
      </w:r>
      <w:r w:rsidR="00855307" w:rsidRPr="00A24E15">
        <w:t>de</w:t>
      </w:r>
      <w:r w:rsidR="0043088E" w:rsidRPr="00A24E15">
        <w:t xml:space="preserve"> </w:t>
      </w:r>
      <w:r w:rsidR="00855307" w:rsidRPr="00A24E15">
        <w:t>la</w:t>
      </w:r>
      <w:r w:rsidR="00224FC0" w:rsidRPr="00A24E15">
        <w:t xml:space="preserve"> </w:t>
      </w:r>
      <w:r w:rsidR="009B57B3">
        <w:t>cour d’appel d</w:t>
      </w:r>
      <w:r w:rsidR="00502FB4">
        <w:t xml:space="preserve">u </w:t>
      </w:r>
      <w:proofErr w:type="spellStart"/>
      <w:r w:rsidR="00502FB4">
        <w:t>québec</w:t>
      </w:r>
      <w:proofErr w:type="spellEnd"/>
    </w:p>
    <w:p w:rsidR="00AB0856" w:rsidRDefault="00AB0856" w:rsidP="00D74F2E">
      <w:pPr>
        <w:pStyle w:val="SCCNormalDoubleSpacing"/>
      </w:pPr>
    </w:p>
    <w:p w:rsidR="008322BD" w:rsidRPr="007A6DBE" w:rsidRDefault="009B57B3" w:rsidP="00D74F2E">
      <w:pPr>
        <w:pStyle w:val="SCCNormalDoubleSpacing"/>
      </w:pPr>
      <w:r w:rsidRPr="00A24E15">
        <w:tab/>
      </w:r>
      <w:r w:rsidR="007A6DBE">
        <w:rPr>
          <w:i/>
        </w:rPr>
        <w:t xml:space="preserve">Droit criminel — Contacts sexuels — Acte d’accusation — Date de l’infraction — L’accusé a été déclaré coupable d’avoir commis l’infraction à une </w:t>
      </w:r>
      <w:r w:rsidR="007A6DBE">
        <w:rPr>
          <w:i/>
        </w:rPr>
        <w:lastRenderedPageBreak/>
        <w:t>autre date que celle visée par l’acte d’accusation — L’équité du procès n’a pas été atteinte.</w:t>
      </w:r>
    </w:p>
    <w:p w:rsidR="007834A8" w:rsidRPr="00A24E15" w:rsidRDefault="007834A8" w:rsidP="00D74F2E">
      <w:pPr>
        <w:pStyle w:val="SCCNormalDoubleSpacing"/>
      </w:pPr>
    </w:p>
    <w:p w:rsidR="00D5435D" w:rsidRPr="00A24E15" w:rsidRDefault="00502FB4" w:rsidP="00D74F2E">
      <w:pPr>
        <w:pStyle w:val="SCCNormalDoubleSpacing"/>
      </w:pPr>
      <w:r>
        <w:tab/>
      </w:r>
      <w:r w:rsidR="009B57B3" w:rsidRPr="00A24E15">
        <w:t>P</w:t>
      </w:r>
      <w:r w:rsidR="0043088E" w:rsidRPr="00A24E15">
        <w:t>OURVOI contre un arrêt de la</w:t>
      </w:r>
      <w:r w:rsidR="009B57B3" w:rsidRPr="00A24E15">
        <w:t xml:space="preserve"> </w:t>
      </w:r>
      <w:r w:rsidR="009B57B3">
        <w:t xml:space="preserve">Cour d’appel </w:t>
      </w:r>
      <w:r>
        <w:t xml:space="preserve">du Québec (les juges </w:t>
      </w:r>
      <w:r w:rsidR="00545AB1">
        <w:t>Pel</w:t>
      </w:r>
      <w:r w:rsidR="008A0D12">
        <w:t xml:space="preserve">letier, Morissette et Duval </w:t>
      </w:r>
      <w:proofErr w:type="spellStart"/>
      <w:r w:rsidR="008A0D12">
        <w:t>Hesl</w:t>
      </w:r>
      <w:r w:rsidR="00545AB1">
        <w:t>er</w:t>
      </w:r>
      <w:proofErr w:type="spellEnd"/>
      <w:r w:rsidR="00545AB1">
        <w:t xml:space="preserve">), 2010 QCCA 1418, </w:t>
      </w:r>
      <w:r w:rsidR="008334EE">
        <w:t xml:space="preserve">SOQUIJ AZ-50662831, </w:t>
      </w:r>
      <w:r w:rsidR="00545AB1">
        <w:t>[2010] J.Q. n</w:t>
      </w:r>
      <w:r w:rsidR="00545AB1" w:rsidRPr="00545AB1">
        <w:rPr>
          <w:vertAlign w:val="superscript"/>
        </w:rPr>
        <w:t>o</w:t>
      </w:r>
      <w:r w:rsidR="00545AB1">
        <w:t xml:space="preserve"> 7507 (QL), 2010 </w:t>
      </w:r>
      <w:proofErr w:type="spellStart"/>
      <w:r w:rsidR="00545AB1">
        <w:t>CarswellQue</w:t>
      </w:r>
      <w:proofErr w:type="spellEnd"/>
      <w:r w:rsidR="00545AB1">
        <w:t xml:space="preserve"> 7903, </w:t>
      </w:r>
      <w:r w:rsidR="00EE1FE0" w:rsidRPr="00EE1FE0">
        <w:t>qui a annulé l</w:t>
      </w:r>
      <w:r w:rsidR="00EE1FE0">
        <w:t>a</w:t>
      </w:r>
      <w:r w:rsidR="00EE1FE0" w:rsidRPr="00EE1FE0">
        <w:t xml:space="preserve"> déclaration de culpabilité prononcée</w:t>
      </w:r>
      <w:r w:rsidR="00EE1FE0">
        <w:t xml:space="preserve"> contre l’accusé </w:t>
      </w:r>
      <w:r w:rsidR="00EE1FE0" w:rsidRPr="00EE1FE0">
        <w:t>et qui a ordonné la tenue d’un nouveau procès</w:t>
      </w:r>
      <w:r w:rsidR="00EE1FE0">
        <w:t>. Pourvoi accueilli, le juge Fish est dissident.</w:t>
      </w:r>
    </w:p>
    <w:p w:rsidR="00966913" w:rsidRPr="00A24E15" w:rsidRDefault="00966913" w:rsidP="00D74F2E">
      <w:pPr>
        <w:pStyle w:val="SCCNormalDoubleSpacing"/>
      </w:pPr>
    </w:p>
    <w:p w:rsidR="00D85657" w:rsidRDefault="00A72987">
      <w:pPr>
        <w:pStyle w:val="SCCNormalDoubleSpacing"/>
      </w:pPr>
      <w:r>
        <w:rPr>
          <w:rStyle w:val="SCCCounselNameChar"/>
        </w:rPr>
        <w:tab/>
      </w:r>
      <w:r w:rsidR="00502FB4">
        <w:rPr>
          <w:rStyle w:val="SCCCounselNameChar"/>
        </w:rPr>
        <w:t>Joey Dubois</w:t>
      </w:r>
      <w:r w:rsidR="00502FB4">
        <w:rPr>
          <w:rStyle w:val="SCCCounselSeparatorChar"/>
        </w:rPr>
        <w:t xml:space="preserve"> et </w:t>
      </w:r>
      <w:r w:rsidR="00502FB4">
        <w:rPr>
          <w:rStyle w:val="SCCCounselNameChar"/>
        </w:rPr>
        <w:t>Mylène Grégoire</w:t>
      </w:r>
      <w:r w:rsidR="00502FB4">
        <w:rPr>
          <w:rStyle w:val="SCCCounselPartyRoleChar"/>
        </w:rPr>
        <w:t>, pour l’</w:t>
      </w:r>
      <w:r>
        <w:rPr>
          <w:rStyle w:val="SCCCounselPartyRoleChar"/>
        </w:rPr>
        <w:t>appelante.</w:t>
      </w:r>
    </w:p>
    <w:p w:rsidR="00D85657" w:rsidRDefault="00D85657">
      <w:pPr>
        <w:pStyle w:val="SCCNormalDoubleSpacing"/>
      </w:pPr>
    </w:p>
    <w:p w:rsidR="00D85657" w:rsidRDefault="00A72987">
      <w:pPr>
        <w:pStyle w:val="SCCNormalDoubleSpacing"/>
      </w:pPr>
      <w:r>
        <w:rPr>
          <w:rStyle w:val="SCCCounselNameChar"/>
        </w:rPr>
        <w:tab/>
      </w:r>
      <w:r w:rsidR="003A6E4E">
        <w:rPr>
          <w:rStyle w:val="SCCCounselNameChar"/>
        </w:rPr>
        <w:t>Robert</w:t>
      </w:r>
      <w:r w:rsidR="005E70EF">
        <w:rPr>
          <w:rStyle w:val="SCCCounselNameChar"/>
        </w:rPr>
        <w:t xml:space="preserve"> Jr.</w:t>
      </w:r>
      <w:r w:rsidR="003A6E4E">
        <w:rPr>
          <w:rStyle w:val="SCCCounselNameChar"/>
        </w:rPr>
        <w:t xml:space="preserve"> Poirier</w:t>
      </w:r>
      <w:r w:rsidR="003A6E4E">
        <w:rPr>
          <w:rStyle w:val="SCCCounselPartyRoleChar"/>
        </w:rPr>
        <w:t>, pour l’</w:t>
      </w:r>
      <w:r>
        <w:rPr>
          <w:rStyle w:val="SCCCounselPartyRoleChar"/>
        </w:rPr>
        <w:t>intimé.</w:t>
      </w:r>
    </w:p>
    <w:p w:rsidR="00D85657" w:rsidRDefault="00D85657">
      <w:pPr>
        <w:pStyle w:val="SCCNormalDoubleSpacing"/>
      </w:pPr>
    </w:p>
    <w:p w:rsidR="003A6E4E" w:rsidRDefault="003A6E4E" w:rsidP="003A6E4E">
      <w:pPr>
        <w:pStyle w:val="SCCNormalDoubleSpacing"/>
      </w:pPr>
      <w:r>
        <w:tab/>
      </w:r>
      <w:r w:rsidR="007A6DBE">
        <w:t>Le</w:t>
      </w:r>
      <w:r>
        <w:t xml:space="preserve"> jugement </w:t>
      </w:r>
      <w:r w:rsidR="00EF62CA">
        <w:t xml:space="preserve">des juges </w:t>
      </w:r>
      <w:proofErr w:type="spellStart"/>
      <w:r w:rsidR="00EF62CA">
        <w:t>Binnie</w:t>
      </w:r>
      <w:proofErr w:type="spellEnd"/>
      <w:r w:rsidR="00EF62CA">
        <w:t xml:space="preserve">, </w:t>
      </w:r>
      <w:proofErr w:type="spellStart"/>
      <w:r w:rsidR="00EF62CA">
        <w:t>LeBel</w:t>
      </w:r>
      <w:proofErr w:type="spellEnd"/>
      <w:r w:rsidR="00EF62CA">
        <w:t xml:space="preserve">, Deschamps, Charron, </w:t>
      </w:r>
      <w:proofErr w:type="spellStart"/>
      <w:r w:rsidR="00EF62CA">
        <w:t>Rothstein</w:t>
      </w:r>
      <w:proofErr w:type="spellEnd"/>
      <w:r w:rsidR="00EF62CA">
        <w:t xml:space="preserve"> et Cromwell </w:t>
      </w:r>
      <w:r w:rsidR="007A6DBE">
        <w:t xml:space="preserve">a été </w:t>
      </w:r>
      <w:r>
        <w:t>rendu oralement par</w:t>
      </w:r>
    </w:p>
    <w:p w:rsidR="003A6E4E" w:rsidRPr="001600D0" w:rsidRDefault="003A6E4E" w:rsidP="003A6E4E">
      <w:pPr>
        <w:pStyle w:val="SCCNormalDoubleSpacing"/>
      </w:pPr>
    </w:p>
    <w:p w:rsidR="00A72987" w:rsidRPr="00A72987" w:rsidRDefault="003A6E4E" w:rsidP="00971B2A">
      <w:pPr>
        <w:pStyle w:val="SCCLawFirm"/>
        <w:numPr>
          <w:ilvl w:val="0"/>
          <w:numId w:val="1"/>
        </w:numPr>
        <w:ind w:left="0" w:firstLine="0"/>
        <w:rPr>
          <w:i w:val="0"/>
        </w:rPr>
      </w:pPr>
      <w:r w:rsidRPr="00D146D7">
        <w:rPr>
          <w:i w:val="0"/>
          <w:smallCaps/>
        </w:rPr>
        <w:t>Le juge Binnie</w:t>
      </w:r>
      <w:r w:rsidRPr="0030197A">
        <w:rPr>
          <w:i w:val="0"/>
        </w:rPr>
        <w:t xml:space="preserve"> — </w:t>
      </w:r>
      <w:r w:rsidR="00A72987" w:rsidRPr="00A72987">
        <w:rPr>
          <w:i w:val="0"/>
        </w:rPr>
        <w:t>La Cour, à la majorité, accueille le pourvoi.  Le juge Fish est dissident.  La question principale dans cet appel est de savoir si la première juge a erré en droit en retenant une autre date que celle énoncée à l’acte d’accusation afin de conclure à la culpabilité de l’intimé accusé de contacts sexuels à l’endroit de sa fille.</w:t>
      </w:r>
    </w:p>
    <w:p w:rsidR="00A72987" w:rsidRPr="00A72987" w:rsidRDefault="00A72987" w:rsidP="00971B2A">
      <w:pPr>
        <w:pStyle w:val="SCCLawFirm"/>
        <w:tabs>
          <w:tab w:val="left" w:pos="1080"/>
        </w:tabs>
        <w:rPr>
          <w:i w:val="0"/>
        </w:rPr>
      </w:pPr>
    </w:p>
    <w:p w:rsidR="00A72987" w:rsidRPr="00A72987" w:rsidRDefault="00A72987" w:rsidP="00971B2A">
      <w:pPr>
        <w:pStyle w:val="SCCLawFirm"/>
        <w:numPr>
          <w:ilvl w:val="0"/>
          <w:numId w:val="1"/>
        </w:numPr>
        <w:ind w:left="0" w:firstLine="0"/>
        <w:rPr>
          <w:i w:val="0"/>
        </w:rPr>
      </w:pPr>
      <w:r w:rsidRPr="00A72987">
        <w:rPr>
          <w:i w:val="0"/>
        </w:rPr>
        <w:lastRenderedPageBreak/>
        <w:t xml:space="preserve">La majorité de la Cour est d’accord avec la conclusion de la juge Duval </w:t>
      </w:r>
      <w:proofErr w:type="spellStart"/>
      <w:r w:rsidRPr="00A72987">
        <w:rPr>
          <w:i w:val="0"/>
        </w:rPr>
        <w:t>Hesler</w:t>
      </w:r>
      <w:proofErr w:type="spellEnd"/>
      <w:r w:rsidRPr="00A72987">
        <w:rPr>
          <w:i w:val="0"/>
        </w:rPr>
        <w:t xml:space="preserve"> de la Cour d’appel, dissidente, que « l’équité du procès n’a pas été atteinte [.</w:t>
      </w:r>
      <w:r w:rsidR="000B7CF8">
        <w:rPr>
          <w:i w:val="0"/>
        </w:rPr>
        <w:t> </w:t>
      </w:r>
      <w:r w:rsidRPr="00A72987">
        <w:rPr>
          <w:i w:val="0"/>
        </w:rPr>
        <w:t>.</w:t>
      </w:r>
      <w:r w:rsidR="000B7CF8">
        <w:rPr>
          <w:i w:val="0"/>
        </w:rPr>
        <w:t> </w:t>
      </w:r>
      <w:r w:rsidRPr="00A72987">
        <w:rPr>
          <w:i w:val="0"/>
        </w:rPr>
        <w:t>.]</w:t>
      </w:r>
      <w:r w:rsidR="000B7CF8">
        <w:rPr>
          <w:i w:val="0"/>
        </w:rPr>
        <w:t xml:space="preserve"> </w:t>
      </w:r>
      <w:r w:rsidRPr="00A72987">
        <w:rPr>
          <w:i w:val="0"/>
        </w:rPr>
        <w:t xml:space="preserve">La preuve retenue par le Tribunal de première instance convainquait ce dernier, hors de tout doute raisonnable, que l’événement reproché avait bel et bien eu lieu, peu importe le moment précis auquel il s’était déroulé » (par. 69).  À notre avis, la défense reposait entièrement sur une question de crédibilité.  L’intimé n’a subi aucun préjudice. </w:t>
      </w:r>
    </w:p>
    <w:p w:rsidR="00A72987" w:rsidRPr="00A72987" w:rsidRDefault="00A72987" w:rsidP="00971B2A">
      <w:pPr>
        <w:pStyle w:val="SCCLawFirm"/>
        <w:tabs>
          <w:tab w:val="left" w:pos="1080"/>
        </w:tabs>
        <w:rPr>
          <w:i w:val="0"/>
        </w:rPr>
      </w:pPr>
    </w:p>
    <w:p w:rsidR="00A72987" w:rsidRPr="00A72987" w:rsidRDefault="00A72987" w:rsidP="00971B2A">
      <w:pPr>
        <w:pStyle w:val="SCCLawFirm"/>
        <w:numPr>
          <w:ilvl w:val="0"/>
          <w:numId w:val="1"/>
        </w:numPr>
        <w:ind w:left="0" w:firstLine="0"/>
        <w:rPr>
          <w:i w:val="0"/>
        </w:rPr>
      </w:pPr>
      <w:r w:rsidRPr="00A72987">
        <w:rPr>
          <w:i w:val="0"/>
        </w:rPr>
        <w:t xml:space="preserve">Les autres moyens soulevés par l’intimé dans cette affaire nous apparaissent sans fondement. </w:t>
      </w:r>
    </w:p>
    <w:p w:rsidR="00A72987" w:rsidRPr="00A72987" w:rsidRDefault="00A72987" w:rsidP="00971B2A">
      <w:pPr>
        <w:pStyle w:val="SCCLawFirm"/>
        <w:tabs>
          <w:tab w:val="left" w:pos="1080"/>
        </w:tabs>
        <w:rPr>
          <w:i w:val="0"/>
        </w:rPr>
      </w:pPr>
    </w:p>
    <w:p w:rsidR="00A72987" w:rsidRPr="00A72987" w:rsidRDefault="00A72987" w:rsidP="00971B2A">
      <w:pPr>
        <w:pStyle w:val="SCCLawFirm"/>
        <w:numPr>
          <w:ilvl w:val="0"/>
          <w:numId w:val="1"/>
        </w:numPr>
        <w:ind w:left="0" w:firstLine="0"/>
        <w:rPr>
          <w:i w:val="0"/>
        </w:rPr>
      </w:pPr>
      <w:r w:rsidRPr="00A72987">
        <w:rPr>
          <w:i w:val="0"/>
        </w:rPr>
        <w:t>Donc, le pourvoi est accueilli et l’arrêt de la Cour d’appel est infirmé. Le verdict de la juge de première instance est rétabli.</w:t>
      </w:r>
    </w:p>
    <w:p w:rsidR="00A72987" w:rsidRDefault="00A72987" w:rsidP="00971B2A">
      <w:pPr>
        <w:pStyle w:val="SCCLawFirm"/>
        <w:tabs>
          <w:tab w:val="left" w:pos="1080"/>
        </w:tabs>
        <w:rPr>
          <w:i w:val="0"/>
        </w:rPr>
      </w:pPr>
    </w:p>
    <w:p w:rsidR="00971B2A" w:rsidRDefault="00971B2A" w:rsidP="00971B2A">
      <w:pPr>
        <w:pStyle w:val="SCCNormalDoubleSpacing"/>
      </w:pPr>
      <w:r>
        <w:tab/>
      </w:r>
      <w:r w:rsidR="000B7CF8">
        <w:t>Les motifs suivants ont été</w:t>
      </w:r>
      <w:r>
        <w:t xml:space="preserve"> rendus par</w:t>
      </w:r>
    </w:p>
    <w:p w:rsidR="00971B2A" w:rsidRPr="00971B2A" w:rsidRDefault="00971B2A" w:rsidP="00971B2A">
      <w:pPr>
        <w:pStyle w:val="SCCNormalDoubleSpacing"/>
      </w:pPr>
    </w:p>
    <w:p w:rsidR="003A6E4E" w:rsidRPr="00B73AB9" w:rsidRDefault="00A72987" w:rsidP="00971B2A">
      <w:pPr>
        <w:pStyle w:val="SCCLawFirm"/>
        <w:numPr>
          <w:ilvl w:val="0"/>
          <w:numId w:val="1"/>
        </w:numPr>
        <w:tabs>
          <w:tab w:val="clear" w:pos="1168"/>
          <w:tab w:val="left" w:pos="1170"/>
        </w:tabs>
        <w:ind w:left="0" w:firstLine="0"/>
        <w:rPr>
          <w:i w:val="0"/>
          <w:lang w:val="fr-FR"/>
        </w:rPr>
      </w:pPr>
      <w:r w:rsidRPr="00971B2A">
        <w:rPr>
          <w:i w:val="0"/>
          <w:smallCaps/>
        </w:rPr>
        <w:t>L</w:t>
      </w:r>
      <w:r w:rsidR="00971B2A" w:rsidRPr="00971B2A">
        <w:rPr>
          <w:i w:val="0"/>
          <w:smallCaps/>
        </w:rPr>
        <w:t>e</w:t>
      </w:r>
      <w:r w:rsidR="00971B2A">
        <w:rPr>
          <w:i w:val="0"/>
          <w:smallCaps/>
        </w:rPr>
        <w:t xml:space="preserve"> j</w:t>
      </w:r>
      <w:r w:rsidR="00971B2A" w:rsidRPr="00971B2A">
        <w:rPr>
          <w:i w:val="0"/>
          <w:smallCaps/>
        </w:rPr>
        <w:t>uge</w:t>
      </w:r>
      <w:r w:rsidRPr="00971B2A">
        <w:rPr>
          <w:i w:val="0"/>
          <w:smallCaps/>
        </w:rPr>
        <w:t xml:space="preserve"> F</w:t>
      </w:r>
      <w:r w:rsidR="00971B2A" w:rsidRPr="00971B2A">
        <w:rPr>
          <w:i w:val="0"/>
          <w:smallCaps/>
        </w:rPr>
        <w:t>ish</w:t>
      </w:r>
      <w:r w:rsidRPr="00A72987">
        <w:rPr>
          <w:i w:val="0"/>
        </w:rPr>
        <w:t xml:space="preserve"> (dissident) </w:t>
      </w:r>
      <w:r w:rsidR="00971B2A">
        <w:rPr>
          <w:i w:val="0"/>
        </w:rPr>
        <w:t>—</w:t>
      </w:r>
      <w:r w:rsidRPr="00A72987">
        <w:rPr>
          <w:i w:val="0"/>
        </w:rPr>
        <w:t xml:space="preserve"> Selon l’acte d’accusation en l’espèce, qui à ce jour n’a pas été modifié, l’intimé devait répondre à son procès à une accusation d’avoir touché la plaignante à des fins d’ordre sexuel « [e]</w:t>
      </w:r>
      <w:proofErr w:type="spellStart"/>
      <w:r w:rsidRPr="00A72987">
        <w:rPr>
          <w:i w:val="0"/>
        </w:rPr>
        <w:t>ntre</w:t>
      </w:r>
      <w:proofErr w:type="spellEnd"/>
      <w:r w:rsidRPr="00A72987">
        <w:rPr>
          <w:i w:val="0"/>
        </w:rPr>
        <w:t xml:space="preserve"> le 1</w:t>
      </w:r>
      <w:r w:rsidRPr="00B60F93">
        <w:rPr>
          <w:i w:val="0"/>
          <w:vertAlign w:val="superscript"/>
        </w:rPr>
        <w:t>er</w:t>
      </w:r>
      <w:r w:rsidRPr="00A72987">
        <w:rPr>
          <w:i w:val="0"/>
        </w:rPr>
        <w:t xml:space="preserve"> avril 2002 et le 31 mai 2002 ». Lors du procès, la plaignante a témoigné que l’intimé l’avait touché à des fins sexuelles non pas pendant la période mentionnée dans l’acte d’accusation, mais à l’été 2001.  Pourtant, la première juge a déclaré l’intimé coupable de s’être livré à des attouchements sexuels sur la plaignante non pas pendant la période visée </w:t>
      </w:r>
      <w:r w:rsidRPr="00A72987">
        <w:rPr>
          <w:i w:val="0"/>
        </w:rPr>
        <w:lastRenderedPageBreak/>
        <w:t>par l’acte d’accusation, ni pendant la période mentionnée par la plaignante, mais plutôt après le 22 septembre 2002, date de l’achat par l’intimé du futon sur lequel l’incident mentionné par la plaignante aurait eu lieu. Dans ces circonstances et pour les motifs exprimés par le juge Pelletier en Cour d’appel (auxquels souscrivait le juge Morissette), j’estime que l’intimé n’a pas eu le procès juste et équitable auquel il avait droit. Par conséquent, j’aurais rejeté l’appel du ministère public à notre Cour.</w:t>
      </w:r>
    </w:p>
    <w:p w:rsidR="003A6E4E" w:rsidRPr="00B73AB9" w:rsidRDefault="003A6E4E" w:rsidP="00971B2A">
      <w:pPr>
        <w:pStyle w:val="SCCNormalDoubleSpacing"/>
        <w:rPr>
          <w:lang w:val="fr-FR"/>
        </w:rPr>
      </w:pPr>
    </w:p>
    <w:p w:rsidR="003A6E4E" w:rsidRPr="00C660BF" w:rsidRDefault="003A6E4E" w:rsidP="00971B2A">
      <w:pPr>
        <w:pStyle w:val="SCCNormalDoubleSpacing"/>
        <w:rPr>
          <w:i/>
        </w:rPr>
      </w:pPr>
      <w:r w:rsidRPr="00B73AB9">
        <w:rPr>
          <w:lang w:val="fr-FR"/>
        </w:rPr>
        <w:tab/>
      </w:r>
      <w:r w:rsidRPr="007A6DBE">
        <w:rPr>
          <w:i/>
          <w:lang w:val="fr-FR"/>
        </w:rPr>
        <w:t>Jugement en conséquence.</w:t>
      </w:r>
      <w:r w:rsidRPr="00C660BF">
        <w:rPr>
          <w:i/>
        </w:rPr>
        <w:t xml:space="preserve"> </w:t>
      </w:r>
    </w:p>
    <w:p w:rsidR="003A6E4E" w:rsidRPr="00C660BF" w:rsidRDefault="003A6E4E" w:rsidP="00971B2A">
      <w:pPr>
        <w:pStyle w:val="SCCNormalDoubleSpacing"/>
        <w:rPr>
          <w:i/>
        </w:rPr>
      </w:pPr>
    </w:p>
    <w:p w:rsidR="00D85657" w:rsidRDefault="00A72987" w:rsidP="00971B2A">
      <w:pPr>
        <w:pStyle w:val="SCCLawFirm"/>
      </w:pPr>
      <w:r>
        <w:tab/>
        <w:t>Procureur</w:t>
      </w:r>
      <w:r w:rsidR="001B06EB">
        <w:t xml:space="preserve"> de l’</w:t>
      </w:r>
      <w:r>
        <w:t>appelant</w:t>
      </w:r>
      <w:r w:rsidR="000B7CF8">
        <w:t>e</w:t>
      </w:r>
      <w:r>
        <w:t xml:space="preserve"> : </w:t>
      </w:r>
      <w:r w:rsidR="001B06EB">
        <w:t>Directeur des poursuites criminelles et pénales du Québec, Salaberry-de-Valleyfield</w:t>
      </w:r>
      <w:r>
        <w:t>.</w:t>
      </w:r>
    </w:p>
    <w:p w:rsidR="00D85657" w:rsidRDefault="00D85657" w:rsidP="00971B2A">
      <w:pPr>
        <w:pStyle w:val="SCCLawFirm"/>
      </w:pPr>
    </w:p>
    <w:p w:rsidR="00D85657" w:rsidRDefault="00A72987" w:rsidP="00971B2A">
      <w:pPr>
        <w:pStyle w:val="SCCLawFirm"/>
      </w:pPr>
      <w:r>
        <w:tab/>
        <w:t>Procureur de l</w:t>
      </w:r>
      <w:r w:rsidR="001B06EB">
        <w:t>’</w:t>
      </w:r>
      <w:r>
        <w:t>intimé :</w:t>
      </w:r>
      <w:r w:rsidR="001B06EB" w:rsidRPr="001B06EB">
        <w:t xml:space="preserve"> </w:t>
      </w:r>
      <w:r w:rsidR="001B06EB">
        <w:t>Centre communautaire juridique de la Rive-Sud, Salaberry-de-Valleyfield</w:t>
      </w:r>
      <w:r w:rsidR="00EF62CA">
        <w:t>, Québec</w:t>
      </w:r>
      <w:r>
        <w:t>.</w:t>
      </w:r>
    </w:p>
    <w:sectPr w:rsidR="00D85657" w:rsidSect="00B60F93">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671" w:rsidRDefault="001E1671">
      <w:r>
        <w:separator/>
      </w:r>
    </w:p>
  </w:endnote>
  <w:endnote w:type="continuationSeparator" w:id="0">
    <w:p w:rsidR="001E1671" w:rsidRDefault="001E1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671" w:rsidRDefault="001E1671">
      <w:r>
        <w:separator/>
      </w:r>
    </w:p>
  </w:footnote>
  <w:footnote w:type="continuationSeparator" w:id="0">
    <w:p w:rsidR="001E1671" w:rsidRDefault="001E1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93" w:rsidRDefault="004578B5">
    <w:pPr>
      <w:pStyle w:val="Header"/>
      <w:jc w:val="center"/>
    </w:pPr>
    <w:sdt>
      <w:sdtPr>
        <w:id w:val="2984657"/>
        <w:docPartObj>
          <w:docPartGallery w:val="Page Numbers (Top of Page)"/>
          <w:docPartUnique/>
        </w:docPartObj>
      </w:sdtPr>
      <w:sdtContent>
        <w:r w:rsidR="00B60F93">
          <w:t xml:space="preserve">- </w:t>
        </w:r>
        <w:fldSimple w:instr=" PAGE   \* MERGEFORMAT ">
          <w:r w:rsidR="00AA0404">
            <w:rPr>
              <w:noProof/>
            </w:rPr>
            <w:t>2</w:t>
          </w:r>
        </w:fldSimple>
      </w:sdtContent>
    </w:sdt>
    <w:r w:rsidR="00B60F93">
      <w:t xml:space="preserve"> -</w:t>
    </w:r>
  </w:p>
  <w:p w:rsidR="00B60F93" w:rsidRDefault="00B60F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E560E"/>
    <w:multiLevelType w:val="hybridMultilevel"/>
    <w:tmpl w:val="433E21AE"/>
    <w:lvl w:ilvl="0" w:tplc="F9667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rsids>
    <w:rsidRoot w:val="0031414C"/>
    <w:rsid w:val="00025198"/>
    <w:rsid w:val="00055A36"/>
    <w:rsid w:val="000578A3"/>
    <w:rsid w:val="00064563"/>
    <w:rsid w:val="000648CC"/>
    <w:rsid w:val="00094DE0"/>
    <w:rsid w:val="000A5321"/>
    <w:rsid w:val="000B7CF8"/>
    <w:rsid w:val="000C59B8"/>
    <w:rsid w:val="000E69F6"/>
    <w:rsid w:val="00111DE2"/>
    <w:rsid w:val="001167D3"/>
    <w:rsid w:val="00116B38"/>
    <w:rsid w:val="0013109F"/>
    <w:rsid w:val="00135406"/>
    <w:rsid w:val="00135972"/>
    <w:rsid w:val="00140667"/>
    <w:rsid w:val="001426A9"/>
    <w:rsid w:val="00154D7C"/>
    <w:rsid w:val="001570B0"/>
    <w:rsid w:val="00172A04"/>
    <w:rsid w:val="00175A97"/>
    <w:rsid w:val="00185394"/>
    <w:rsid w:val="001A451D"/>
    <w:rsid w:val="001B06EB"/>
    <w:rsid w:val="001B33E0"/>
    <w:rsid w:val="001B4573"/>
    <w:rsid w:val="001C779F"/>
    <w:rsid w:val="001D2AC1"/>
    <w:rsid w:val="001E1671"/>
    <w:rsid w:val="001F7673"/>
    <w:rsid w:val="00220FC2"/>
    <w:rsid w:val="00224FC0"/>
    <w:rsid w:val="00225EA4"/>
    <w:rsid w:val="00226EAF"/>
    <w:rsid w:val="00231F3A"/>
    <w:rsid w:val="002406EE"/>
    <w:rsid w:val="002745CC"/>
    <w:rsid w:val="002D39A4"/>
    <w:rsid w:val="002E6705"/>
    <w:rsid w:val="002F696C"/>
    <w:rsid w:val="0030329A"/>
    <w:rsid w:val="00307AFD"/>
    <w:rsid w:val="0031086F"/>
    <w:rsid w:val="00310E05"/>
    <w:rsid w:val="0031414C"/>
    <w:rsid w:val="00314E01"/>
    <w:rsid w:val="0032089D"/>
    <w:rsid w:val="0033393C"/>
    <w:rsid w:val="0034770C"/>
    <w:rsid w:val="0035259D"/>
    <w:rsid w:val="003847A6"/>
    <w:rsid w:val="003866EC"/>
    <w:rsid w:val="00394476"/>
    <w:rsid w:val="003A4C70"/>
    <w:rsid w:val="003A4E15"/>
    <w:rsid w:val="003A6E4E"/>
    <w:rsid w:val="003C799C"/>
    <w:rsid w:val="003E1C71"/>
    <w:rsid w:val="003F327B"/>
    <w:rsid w:val="004059A7"/>
    <w:rsid w:val="00406166"/>
    <w:rsid w:val="00411300"/>
    <w:rsid w:val="00426659"/>
    <w:rsid w:val="0043088E"/>
    <w:rsid w:val="004439D8"/>
    <w:rsid w:val="004578B5"/>
    <w:rsid w:val="00465132"/>
    <w:rsid w:val="00480C90"/>
    <w:rsid w:val="0048396F"/>
    <w:rsid w:val="00493C18"/>
    <w:rsid w:val="00494CDC"/>
    <w:rsid w:val="004A600C"/>
    <w:rsid w:val="004C478D"/>
    <w:rsid w:val="004D47C7"/>
    <w:rsid w:val="004E6A2C"/>
    <w:rsid w:val="00502FB4"/>
    <w:rsid w:val="00521AE8"/>
    <w:rsid w:val="00527180"/>
    <w:rsid w:val="00536719"/>
    <w:rsid w:val="00545AB1"/>
    <w:rsid w:val="005564A7"/>
    <w:rsid w:val="005A7544"/>
    <w:rsid w:val="005E4698"/>
    <w:rsid w:val="005E70EF"/>
    <w:rsid w:val="00625C35"/>
    <w:rsid w:val="00634E1B"/>
    <w:rsid w:val="00645057"/>
    <w:rsid w:val="00651AD9"/>
    <w:rsid w:val="00654858"/>
    <w:rsid w:val="006565F4"/>
    <w:rsid w:val="00681AD1"/>
    <w:rsid w:val="006A56F1"/>
    <w:rsid w:val="006B5FF5"/>
    <w:rsid w:val="006C5661"/>
    <w:rsid w:val="006D4790"/>
    <w:rsid w:val="00701759"/>
    <w:rsid w:val="00702C6F"/>
    <w:rsid w:val="00747288"/>
    <w:rsid w:val="00747DD3"/>
    <w:rsid w:val="00752F4E"/>
    <w:rsid w:val="007549C8"/>
    <w:rsid w:val="00762D30"/>
    <w:rsid w:val="00763377"/>
    <w:rsid w:val="00766D14"/>
    <w:rsid w:val="00767A0F"/>
    <w:rsid w:val="007834A8"/>
    <w:rsid w:val="007A05F6"/>
    <w:rsid w:val="007A6DBE"/>
    <w:rsid w:val="007B6F4A"/>
    <w:rsid w:val="007E1C47"/>
    <w:rsid w:val="007E337A"/>
    <w:rsid w:val="007E5C70"/>
    <w:rsid w:val="007F2FF5"/>
    <w:rsid w:val="008012DD"/>
    <w:rsid w:val="00817190"/>
    <w:rsid w:val="00822311"/>
    <w:rsid w:val="008322BD"/>
    <w:rsid w:val="008334EE"/>
    <w:rsid w:val="00855307"/>
    <w:rsid w:val="00862CF3"/>
    <w:rsid w:val="00864CF8"/>
    <w:rsid w:val="00874736"/>
    <w:rsid w:val="00874914"/>
    <w:rsid w:val="00892E1A"/>
    <w:rsid w:val="008958F5"/>
    <w:rsid w:val="008A0D12"/>
    <w:rsid w:val="008A6558"/>
    <w:rsid w:val="008A727C"/>
    <w:rsid w:val="008C01DA"/>
    <w:rsid w:val="008F16D9"/>
    <w:rsid w:val="008F78E9"/>
    <w:rsid w:val="00902462"/>
    <w:rsid w:val="009403F3"/>
    <w:rsid w:val="00957FA2"/>
    <w:rsid w:val="00966913"/>
    <w:rsid w:val="00967374"/>
    <w:rsid w:val="00971B2A"/>
    <w:rsid w:val="0097543E"/>
    <w:rsid w:val="00983F3F"/>
    <w:rsid w:val="00985C69"/>
    <w:rsid w:val="00990028"/>
    <w:rsid w:val="0099079B"/>
    <w:rsid w:val="009B2F23"/>
    <w:rsid w:val="009B53E2"/>
    <w:rsid w:val="009B57B3"/>
    <w:rsid w:val="009C352B"/>
    <w:rsid w:val="009D5AEB"/>
    <w:rsid w:val="009F383F"/>
    <w:rsid w:val="00A05F0E"/>
    <w:rsid w:val="00A21107"/>
    <w:rsid w:val="00A21B90"/>
    <w:rsid w:val="00A24E15"/>
    <w:rsid w:val="00A548CB"/>
    <w:rsid w:val="00A6242E"/>
    <w:rsid w:val="00A643E7"/>
    <w:rsid w:val="00A72987"/>
    <w:rsid w:val="00A73C38"/>
    <w:rsid w:val="00AA0404"/>
    <w:rsid w:val="00AB0856"/>
    <w:rsid w:val="00AC6322"/>
    <w:rsid w:val="00AC7437"/>
    <w:rsid w:val="00AC7A44"/>
    <w:rsid w:val="00AF03C5"/>
    <w:rsid w:val="00B000D8"/>
    <w:rsid w:val="00B00F75"/>
    <w:rsid w:val="00B145B6"/>
    <w:rsid w:val="00B427BB"/>
    <w:rsid w:val="00B50C81"/>
    <w:rsid w:val="00B557F8"/>
    <w:rsid w:val="00B60F93"/>
    <w:rsid w:val="00B64972"/>
    <w:rsid w:val="00B66DD8"/>
    <w:rsid w:val="00B8145D"/>
    <w:rsid w:val="00B815FC"/>
    <w:rsid w:val="00B93FBC"/>
    <w:rsid w:val="00C02092"/>
    <w:rsid w:val="00C057F7"/>
    <w:rsid w:val="00C0663B"/>
    <w:rsid w:val="00C24C8C"/>
    <w:rsid w:val="00C24D91"/>
    <w:rsid w:val="00C52532"/>
    <w:rsid w:val="00C53F14"/>
    <w:rsid w:val="00C55C2E"/>
    <w:rsid w:val="00C600CF"/>
    <w:rsid w:val="00C6084F"/>
    <w:rsid w:val="00C62A66"/>
    <w:rsid w:val="00C62A6F"/>
    <w:rsid w:val="00C67CA5"/>
    <w:rsid w:val="00C71458"/>
    <w:rsid w:val="00C71F58"/>
    <w:rsid w:val="00C7716C"/>
    <w:rsid w:val="00C77613"/>
    <w:rsid w:val="00C828E7"/>
    <w:rsid w:val="00C921DD"/>
    <w:rsid w:val="00CA4D82"/>
    <w:rsid w:val="00CA6391"/>
    <w:rsid w:val="00CE3171"/>
    <w:rsid w:val="00CF01C4"/>
    <w:rsid w:val="00CF1601"/>
    <w:rsid w:val="00D17226"/>
    <w:rsid w:val="00D32086"/>
    <w:rsid w:val="00D37A3F"/>
    <w:rsid w:val="00D45FCF"/>
    <w:rsid w:val="00D4667A"/>
    <w:rsid w:val="00D510BB"/>
    <w:rsid w:val="00D5435D"/>
    <w:rsid w:val="00D74F2E"/>
    <w:rsid w:val="00D85657"/>
    <w:rsid w:val="00D87D5E"/>
    <w:rsid w:val="00DA0590"/>
    <w:rsid w:val="00DC1788"/>
    <w:rsid w:val="00DF0CA8"/>
    <w:rsid w:val="00DF49A7"/>
    <w:rsid w:val="00E01106"/>
    <w:rsid w:val="00E07EE2"/>
    <w:rsid w:val="00E24573"/>
    <w:rsid w:val="00E377A1"/>
    <w:rsid w:val="00E45109"/>
    <w:rsid w:val="00E54B02"/>
    <w:rsid w:val="00E97830"/>
    <w:rsid w:val="00EA03E5"/>
    <w:rsid w:val="00EE0FAF"/>
    <w:rsid w:val="00EE1FE0"/>
    <w:rsid w:val="00EF62CA"/>
    <w:rsid w:val="00F00EB7"/>
    <w:rsid w:val="00F2258E"/>
    <w:rsid w:val="00F33658"/>
    <w:rsid w:val="00F36AB6"/>
    <w:rsid w:val="00F409CE"/>
    <w:rsid w:val="00F84DF4"/>
    <w:rsid w:val="00F853FB"/>
    <w:rsid w:val="00F85C97"/>
    <w:rsid w:val="00F970F7"/>
    <w:rsid w:val="00FA2FE1"/>
    <w:rsid w:val="00FC606D"/>
    <w:rsid w:val="00FD068D"/>
    <w:rsid w:val="00FD4F28"/>
    <w:rsid w:val="00FE4B4D"/>
    <w:rsid w:val="00FE6784"/>
    <w:rsid w:val="00FE7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table" w:styleId="TableGrid">
    <w:name w:val="Table Grid"/>
    <w:basedOn w:val="TableNormal"/>
    <w:uiPriority w:val="59"/>
    <w:rsid w:val="00AA040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AA0404"/>
    <w:rPr>
      <w:rFonts w:eastAsiaTheme="minorHAnsi" w:cstheme="minorBidi"/>
      <w:b/>
      <w:smallCaps/>
      <w:szCs w:val="24"/>
      <w:lang w:eastAsia="en-US"/>
    </w:rPr>
  </w:style>
  <w:style w:type="character" w:customStyle="1" w:styleId="SCCLsocPrefixChar">
    <w:name w:val="SCC.Lsoc.Prefix Char"/>
    <w:basedOn w:val="DefaultParagraphFont"/>
    <w:link w:val="SCCLsocPrefix"/>
    <w:rsid w:val="00AA0404"/>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3432</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2011-03-31T12:34:00Z</dcterms:created>
  <dcterms:modified xsi:type="dcterms:W3CDTF">2011-08-04T15:08:00Z</dcterms:modified>
</cp:coreProperties>
</file>