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5" w:rsidRPr="00AF2B66" w:rsidRDefault="00623305" w:rsidP="0062330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AF2B66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AF2B66">
        <w:rPr>
          <w:rFonts w:eastAsiaTheme="minorHAnsi" w:cstheme="minorBidi"/>
          <w:szCs w:val="24"/>
          <w:lang w:eastAsia="en-US"/>
        </w:rPr>
        <w:t xml:space="preserve"> </w:t>
      </w:r>
      <w:r w:rsidRPr="00AF2B66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376222299" r:id="rId8"/>
        </w:object>
      </w:r>
      <w:r w:rsidRPr="00AF2B66">
        <w:rPr>
          <w:rFonts w:eastAsiaTheme="minorHAnsi" w:cstheme="minorBidi"/>
          <w:szCs w:val="24"/>
          <w:lang w:eastAsia="en-US"/>
        </w:rPr>
        <w:t xml:space="preserve"> </w:t>
      </w:r>
      <w:r w:rsidRPr="00AF2B66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623305" w:rsidRPr="00AF2B66" w:rsidRDefault="00623305" w:rsidP="0062330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623305" w:rsidRPr="00AF2B66" w:rsidRDefault="00623305" w:rsidP="0062330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AF2B66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623305" w:rsidRPr="00AF2B66" w:rsidRDefault="00623305" w:rsidP="00623305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23305" w:rsidRPr="00AF2B66" w:rsidTr="00C52FEE">
        <w:trPr>
          <w:cantSplit/>
        </w:trPr>
        <w:tc>
          <w:tcPr>
            <w:tcW w:w="6768" w:type="dxa"/>
          </w:tcPr>
          <w:p w:rsidR="00623305" w:rsidRPr="00623305" w:rsidRDefault="00623305" w:rsidP="00C52FEE">
            <w:pPr>
              <w:rPr>
                <w:lang w:val="fr-CA"/>
              </w:rPr>
            </w:pPr>
            <w:r w:rsidRPr="00623305">
              <w:rPr>
                <w:b/>
                <w:smallCaps/>
                <w:lang w:val="fr-CA"/>
              </w:rPr>
              <w:t>Référence :</w:t>
            </w:r>
            <w:r w:rsidRPr="00623305">
              <w:rPr>
                <w:lang w:val="fr-CA"/>
              </w:rPr>
              <w:t xml:space="preserve"> R</w:t>
            </w:r>
            <w:r w:rsidRPr="00623305">
              <w:rPr>
                <w:b/>
                <w:lang w:val="fr-CA"/>
              </w:rPr>
              <w:t>.</w:t>
            </w:r>
            <w:r w:rsidRPr="00623305">
              <w:rPr>
                <w:lang w:val="fr-CA"/>
              </w:rPr>
              <w:t xml:space="preserve"> </w:t>
            </w:r>
            <w:r w:rsidRPr="00623305">
              <w:rPr>
                <w:i/>
                <w:lang w:val="fr-CA"/>
              </w:rPr>
              <w:t>c.</w:t>
            </w:r>
            <w:r w:rsidRPr="00623305">
              <w:rPr>
                <w:lang w:val="fr-CA"/>
              </w:rPr>
              <w:t xml:space="preserve"> St-</w:t>
            </w:r>
            <w:proofErr w:type="spellStart"/>
            <w:r w:rsidRPr="00623305">
              <w:rPr>
                <w:lang w:val="fr-CA"/>
              </w:rPr>
              <w:t>Onge</w:t>
            </w:r>
            <w:proofErr w:type="spellEnd"/>
            <w:r w:rsidRPr="00623305">
              <w:rPr>
                <w:lang w:val="fr-CA"/>
              </w:rPr>
              <w:t xml:space="preserve">, </w:t>
            </w:r>
            <w:r w:rsidRPr="00623305">
              <w:rPr>
                <w:rStyle w:val="SCCRespondentForIndexChar"/>
                <w:b w:val="0"/>
                <w:lang w:val="fr-CA"/>
              </w:rPr>
              <w:t>2011 CSC 16, [2011] 1 R.C.S. 625</w:t>
            </w:r>
          </w:p>
        </w:tc>
        <w:tc>
          <w:tcPr>
            <w:tcW w:w="2808" w:type="dxa"/>
          </w:tcPr>
          <w:p w:rsidR="00623305" w:rsidRPr="00AF2B66" w:rsidRDefault="00623305" w:rsidP="00C52FEE">
            <w:r w:rsidRPr="00AF2B66">
              <w:rPr>
                <w:b/>
                <w:smallCaps/>
              </w:rPr>
              <w:t>Date :</w:t>
            </w:r>
            <w:r w:rsidRPr="00AF2B66">
              <w:t xml:space="preserve"> 20110401</w:t>
            </w:r>
          </w:p>
          <w:p w:rsidR="00623305" w:rsidRPr="00AF2B66" w:rsidRDefault="00623305" w:rsidP="00C52FEE">
            <w:r w:rsidRPr="00AF2B66">
              <w:rPr>
                <w:b/>
                <w:smallCaps/>
              </w:rPr>
              <w:t>Dossier :</w:t>
            </w:r>
            <w:r w:rsidRPr="00AF2B66">
              <w:t xml:space="preserve"> 33864</w:t>
            </w:r>
          </w:p>
        </w:tc>
      </w:tr>
    </w:tbl>
    <w:p w:rsidR="00623305" w:rsidRPr="00AF2B66" w:rsidRDefault="00623305" w:rsidP="00623305">
      <w:pPr>
        <w:rPr>
          <w:rFonts w:eastAsiaTheme="minorHAnsi" w:cstheme="minorBidi"/>
          <w:szCs w:val="24"/>
          <w:lang w:eastAsia="en-US"/>
        </w:rPr>
      </w:pPr>
    </w:p>
    <w:p w:rsidR="00623305" w:rsidRPr="00AF2B66" w:rsidRDefault="00623305" w:rsidP="00623305">
      <w:pPr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 w:rsidRPr="00AF2B66">
        <w:rPr>
          <w:rFonts w:eastAsiaTheme="minorHAnsi" w:cstheme="minorBidi"/>
          <w:b/>
          <w:smallCaps/>
          <w:szCs w:val="24"/>
          <w:lang w:eastAsia="en-US"/>
        </w:rPr>
        <w:t>Entre :</w:t>
      </w:r>
      <w:proofErr w:type="gramEnd"/>
    </w:p>
    <w:p w:rsidR="00623305" w:rsidRPr="00AF2B66" w:rsidRDefault="00623305" w:rsidP="0062330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AF2B66">
        <w:rPr>
          <w:rFonts w:eastAsiaTheme="minorHAnsi" w:cstheme="minorBidi"/>
          <w:b/>
          <w:szCs w:val="24"/>
          <w:lang w:eastAsia="en-US"/>
        </w:rPr>
        <w:t xml:space="preserve">Sa </w:t>
      </w:r>
      <w:proofErr w:type="spellStart"/>
      <w:r w:rsidRPr="00AF2B66">
        <w:rPr>
          <w:rFonts w:eastAsiaTheme="minorHAnsi" w:cstheme="minorBidi"/>
          <w:b/>
          <w:szCs w:val="24"/>
          <w:lang w:eastAsia="en-US"/>
        </w:rPr>
        <w:t>Majesté</w:t>
      </w:r>
      <w:proofErr w:type="spellEnd"/>
      <w:r w:rsidRPr="00AF2B66">
        <w:rPr>
          <w:rFonts w:eastAsiaTheme="minorHAnsi" w:cstheme="minorBidi"/>
          <w:b/>
          <w:szCs w:val="24"/>
          <w:lang w:eastAsia="en-US"/>
        </w:rPr>
        <w:t xml:space="preserve"> la </w:t>
      </w:r>
      <w:proofErr w:type="spellStart"/>
      <w:r w:rsidRPr="00AF2B66">
        <w:rPr>
          <w:rFonts w:eastAsiaTheme="minorHAnsi" w:cstheme="minorBidi"/>
          <w:b/>
          <w:szCs w:val="24"/>
          <w:lang w:eastAsia="en-US"/>
        </w:rPr>
        <w:t>Reine</w:t>
      </w:r>
      <w:proofErr w:type="spellEnd"/>
    </w:p>
    <w:p w:rsidR="00623305" w:rsidRPr="00AF2B66" w:rsidRDefault="00623305" w:rsidP="00623305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 w:rsidRPr="00AF2B66">
        <w:rPr>
          <w:rFonts w:eastAsiaTheme="minorHAnsi" w:cstheme="minorBidi"/>
          <w:szCs w:val="24"/>
          <w:lang w:eastAsia="en-US"/>
        </w:rPr>
        <w:t>Appelante</w:t>
      </w:r>
      <w:proofErr w:type="spellEnd"/>
    </w:p>
    <w:p w:rsidR="00623305" w:rsidRPr="00AF2B66" w:rsidRDefault="00623305" w:rsidP="00623305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AF2B66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623305" w:rsidRPr="00623305" w:rsidRDefault="00623305" w:rsidP="00623305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623305">
        <w:rPr>
          <w:rFonts w:eastAsiaTheme="minorHAnsi" w:cstheme="minorBidi"/>
          <w:b/>
          <w:szCs w:val="24"/>
          <w:lang w:val="fr-CA" w:eastAsia="en-US"/>
        </w:rPr>
        <w:t>Ex-Soldat St-</w:t>
      </w:r>
      <w:proofErr w:type="spellStart"/>
      <w:r w:rsidRPr="00623305">
        <w:rPr>
          <w:rFonts w:eastAsiaTheme="minorHAnsi" w:cstheme="minorBidi"/>
          <w:b/>
          <w:szCs w:val="24"/>
          <w:lang w:val="fr-CA" w:eastAsia="en-US"/>
        </w:rPr>
        <w:t>Onge</w:t>
      </w:r>
      <w:proofErr w:type="spellEnd"/>
      <w:r w:rsidRPr="00623305">
        <w:rPr>
          <w:rFonts w:eastAsiaTheme="minorHAnsi" w:cstheme="minorBidi"/>
          <w:b/>
          <w:szCs w:val="24"/>
          <w:lang w:val="fr-CA" w:eastAsia="en-US"/>
        </w:rPr>
        <w:t>, D.</w:t>
      </w:r>
    </w:p>
    <w:p w:rsidR="00623305" w:rsidRPr="00623305" w:rsidRDefault="00623305" w:rsidP="00623305">
      <w:pPr>
        <w:jc w:val="center"/>
        <w:rPr>
          <w:rFonts w:eastAsiaTheme="minorHAnsi" w:cstheme="minorBidi"/>
          <w:szCs w:val="24"/>
          <w:lang w:val="fr-CA" w:eastAsia="en-US"/>
        </w:rPr>
      </w:pPr>
      <w:r w:rsidRPr="00623305">
        <w:rPr>
          <w:rFonts w:eastAsiaTheme="minorHAnsi" w:cstheme="minorBidi"/>
          <w:szCs w:val="24"/>
          <w:lang w:val="fr-CA" w:eastAsia="en-US"/>
        </w:rPr>
        <w:t>Intimé</w:t>
      </w:r>
    </w:p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</w:p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</w:p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  <w:r w:rsidRPr="00623305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623305">
        <w:rPr>
          <w:rFonts w:eastAsiaTheme="minorHAnsi" w:cstheme="minorBidi"/>
          <w:szCs w:val="24"/>
          <w:lang w:val="fr-CA" w:eastAsia="en-US"/>
        </w:rPr>
        <w:t xml:space="preserve"> La juge en chef </w:t>
      </w:r>
      <w:proofErr w:type="spellStart"/>
      <w:r w:rsidRPr="00623305">
        <w:rPr>
          <w:rFonts w:eastAsiaTheme="minorHAnsi" w:cstheme="minorBidi"/>
          <w:szCs w:val="24"/>
          <w:lang w:val="fr-CA" w:eastAsia="en-US"/>
        </w:rPr>
        <w:t>McLachlin</w:t>
      </w:r>
      <w:proofErr w:type="spellEnd"/>
      <w:r w:rsidRPr="00623305">
        <w:rPr>
          <w:rFonts w:eastAsiaTheme="minorHAnsi" w:cstheme="minorBidi"/>
          <w:szCs w:val="24"/>
          <w:lang w:val="fr-CA" w:eastAsia="en-US"/>
        </w:rPr>
        <w:t xml:space="preserve"> et les juges </w:t>
      </w:r>
      <w:proofErr w:type="spellStart"/>
      <w:r w:rsidRPr="00623305">
        <w:rPr>
          <w:rFonts w:eastAsiaTheme="minorHAnsi" w:cstheme="minorBidi"/>
          <w:szCs w:val="24"/>
          <w:lang w:val="fr-CA" w:eastAsia="en-US"/>
        </w:rPr>
        <w:t>Binnie</w:t>
      </w:r>
      <w:proofErr w:type="spellEnd"/>
      <w:r w:rsidRPr="00623305">
        <w:rPr>
          <w:rFonts w:eastAsiaTheme="minorHAnsi" w:cstheme="minorBidi"/>
          <w:szCs w:val="24"/>
          <w:lang w:val="fr-CA" w:eastAsia="en-US"/>
        </w:rPr>
        <w:t xml:space="preserve">, Deschamps, Fish, Charron, </w:t>
      </w:r>
      <w:proofErr w:type="spellStart"/>
      <w:r w:rsidRPr="00623305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623305">
        <w:rPr>
          <w:rFonts w:eastAsiaTheme="minorHAnsi" w:cstheme="minorBidi"/>
          <w:szCs w:val="24"/>
          <w:lang w:val="fr-CA" w:eastAsia="en-US"/>
        </w:rPr>
        <w:t xml:space="preserve"> et Cromwell</w:t>
      </w:r>
    </w:p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23305" w:rsidRPr="00623305" w:rsidTr="00C52FEE">
        <w:trPr>
          <w:cantSplit/>
        </w:trPr>
        <w:tc>
          <w:tcPr>
            <w:tcW w:w="3618" w:type="dxa"/>
          </w:tcPr>
          <w:p w:rsidR="00623305" w:rsidRPr="00623305" w:rsidRDefault="00623305" w:rsidP="00C52FEE">
            <w:pPr>
              <w:rPr>
                <w:b/>
                <w:smallCaps/>
                <w:lang w:val="fr-CA"/>
              </w:rPr>
            </w:pPr>
            <w:r w:rsidRPr="00623305">
              <w:rPr>
                <w:b/>
                <w:smallCaps/>
                <w:lang w:val="fr-CA"/>
              </w:rPr>
              <w:t>Motifs de jugement :</w:t>
            </w:r>
          </w:p>
          <w:p w:rsidR="00623305" w:rsidRPr="00623305" w:rsidRDefault="00623305" w:rsidP="00C52FEE">
            <w:pPr>
              <w:rPr>
                <w:lang w:val="fr-CA"/>
              </w:rPr>
            </w:pPr>
            <w:r w:rsidRPr="00623305">
              <w:rPr>
                <w:lang w:val="fr-CA"/>
              </w:rPr>
              <w:t>(par. 1 à 4):</w:t>
            </w:r>
          </w:p>
        </w:tc>
        <w:tc>
          <w:tcPr>
            <w:tcW w:w="5958" w:type="dxa"/>
          </w:tcPr>
          <w:p w:rsidR="00623305" w:rsidRPr="00623305" w:rsidRDefault="00623305" w:rsidP="00C52FEE">
            <w:pPr>
              <w:rPr>
                <w:lang w:val="fr-CA"/>
              </w:rPr>
            </w:pPr>
            <w:r w:rsidRPr="00623305">
              <w:rPr>
                <w:lang w:val="fr-CA"/>
              </w:rPr>
              <w:t xml:space="preserve">Le juge Fish (avec l’accord de la juge en chef </w:t>
            </w:r>
            <w:proofErr w:type="spellStart"/>
            <w:r w:rsidRPr="00623305">
              <w:rPr>
                <w:lang w:val="fr-CA"/>
              </w:rPr>
              <w:t>McLachlin</w:t>
            </w:r>
            <w:proofErr w:type="spellEnd"/>
            <w:r w:rsidRPr="00623305">
              <w:rPr>
                <w:lang w:val="fr-CA"/>
              </w:rPr>
              <w:t xml:space="preserve"> et des juges </w:t>
            </w:r>
            <w:proofErr w:type="spellStart"/>
            <w:r w:rsidRPr="00623305">
              <w:rPr>
                <w:lang w:val="fr-CA"/>
              </w:rPr>
              <w:t>Binnie</w:t>
            </w:r>
            <w:proofErr w:type="spellEnd"/>
            <w:r w:rsidRPr="00623305">
              <w:rPr>
                <w:lang w:val="fr-CA"/>
              </w:rPr>
              <w:t xml:space="preserve">, Deschamps, Charron, </w:t>
            </w:r>
            <w:proofErr w:type="spellStart"/>
            <w:r w:rsidRPr="00623305">
              <w:rPr>
                <w:lang w:val="fr-CA"/>
              </w:rPr>
              <w:t>Rothstein</w:t>
            </w:r>
            <w:proofErr w:type="spellEnd"/>
            <w:r w:rsidRPr="00623305">
              <w:rPr>
                <w:lang w:val="fr-CA"/>
              </w:rPr>
              <w:t xml:space="preserve"> et Cromwell)</w:t>
            </w:r>
          </w:p>
        </w:tc>
      </w:tr>
    </w:tbl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</w:p>
    <w:p w:rsidR="00623305" w:rsidRPr="00623305" w:rsidRDefault="00623305" w:rsidP="00623305">
      <w:pPr>
        <w:rPr>
          <w:rFonts w:eastAsiaTheme="minorHAnsi" w:cstheme="minorBidi"/>
          <w:szCs w:val="24"/>
          <w:lang w:val="fr-CA"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623305" w:rsidRPr="00623305" w:rsidRDefault="00623305" w:rsidP="00623305">
      <w:pPr>
        <w:rPr>
          <w:rStyle w:val="SCCAppellantForRunningHeadChar"/>
          <w:szCs w:val="24"/>
          <w:lang w:val="fr-CA"/>
        </w:rPr>
      </w:pPr>
      <w:r w:rsidRPr="00623305">
        <w:rPr>
          <w:rStyle w:val="SCCAppellantForRunningHeadChar"/>
          <w:szCs w:val="24"/>
          <w:lang w:val="fr-CA"/>
        </w:rPr>
        <w:br w:type="page"/>
      </w:r>
    </w:p>
    <w:p w:rsidR="008322BD" w:rsidRPr="00DA4635" w:rsidRDefault="00D11452" w:rsidP="007F2686">
      <w:pPr>
        <w:spacing w:after="720"/>
        <w:jc w:val="both"/>
        <w:rPr>
          <w:rStyle w:val="SCCRespondentForRunningHeadChar"/>
          <w:szCs w:val="24"/>
          <w:lang w:val="en-US"/>
        </w:rPr>
      </w:pPr>
      <w:r w:rsidRPr="00D11452">
        <w:rPr>
          <w:rStyle w:val="SCCAppellantForIndexChar"/>
          <w:b w:val="0"/>
          <w:szCs w:val="24"/>
          <w:lang w:val="en-US"/>
        </w:rPr>
        <w:lastRenderedPageBreak/>
        <w:t>R.</w:t>
      </w:r>
      <w:r w:rsidRPr="00D11452">
        <w:rPr>
          <w:szCs w:val="24"/>
          <w:lang w:val="en-US"/>
        </w:rPr>
        <w:t xml:space="preserve"> </w:t>
      </w:r>
      <w:r w:rsidRPr="00D11452">
        <w:rPr>
          <w:i/>
          <w:szCs w:val="24"/>
          <w:lang w:val="en-US"/>
        </w:rPr>
        <w:t>c.</w:t>
      </w:r>
      <w:r w:rsidRPr="00D11452">
        <w:rPr>
          <w:szCs w:val="24"/>
          <w:lang w:val="en-US"/>
        </w:rPr>
        <w:t xml:space="preserve"> </w:t>
      </w:r>
      <w:r w:rsidRPr="00D11452">
        <w:rPr>
          <w:rStyle w:val="SCCRespondentForIndexChar"/>
          <w:b w:val="0"/>
          <w:szCs w:val="24"/>
          <w:lang w:val="en-US"/>
        </w:rPr>
        <w:t>St-</w:t>
      </w:r>
      <w:proofErr w:type="spellStart"/>
      <w:r w:rsidRPr="00D11452">
        <w:rPr>
          <w:rStyle w:val="SCCRespondentForIndexChar"/>
          <w:b w:val="0"/>
          <w:szCs w:val="24"/>
          <w:lang w:val="en-US"/>
        </w:rPr>
        <w:t>Onge</w:t>
      </w:r>
      <w:proofErr w:type="spellEnd"/>
      <w:r w:rsidR="00DA4635" w:rsidRPr="00DA4635">
        <w:rPr>
          <w:rStyle w:val="SCCRespondentForRunningHeadChar"/>
          <w:szCs w:val="24"/>
          <w:lang w:val="en-US"/>
        </w:rPr>
        <w:t xml:space="preserve">, </w:t>
      </w:r>
      <w:r w:rsidR="00DA4635" w:rsidRPr="00DA4635">
        <w:rPr>
          <w:rStyle w:val="SCCRespondentForIndexChar"/>
          <w:b w:val="0"/>
          <w:lang w:val="en-US"/>
        </w:rPr>
        <w:t>2011 CSC 1</w:t>
      </w:r>
      <w:r>
        <w:rPr>
          <w:rStyle w:val="SCCRespondentForIndexChar"/>
          <w:b w:val="0"/>
          <w:lang w:val="en-US"/>
        </w:rPr>
        <w:t>6</w:t>
      </w:r>
      <w:r w:rsidR="00DA4635" w:rsidRPr="00DA4635">
        <w:rPr>
          <w:rStyle w:val="SCCRespondentForIndexChar"/>
          <w:b w:val="0"/>
          <w:lang w:val="en-US"/>
        </w:rPr>
        <w:t>, [2011] 1 R.C.S. 6</w:t>
      </w:r>
      <w:r>
        <w:rPr>
          <w:rStyle w:val="SCCRespondentForIndexChar"/>
          <w:b w:val="0"/>
          <w:lang w:val="en-US"/>
        </w:rPr>
        <w:t>25</w:t>
      </w:r>
    </w:p>
    <w:p w:rsidR="007F2686" w:rsidRPr="00961695" w:rsidRDefault="000A4274" w:rsidP="007F2686">
      <w:pPr>
        <w:pStyle w:val="SCCLsocParty"/>
        <w:tabs>
          <w:tab w:val="right" w:pos="8222"/>
        </w:tabs>
        <w:spacing w:after="720"/>
        <w:rPr>
          <w:b/>
          <w:i/>
          <w:szCs w:val="24"/>
          <w:lang w:val="fr-CA"/>
        </w:rPr>
      </w:pPr>
      <w:r w:rsidRPr="00961695">
        <w:rPr>
          <w:b/>
          <w:szCs w:val="24"/>
          <w:lang w:val="fr-CA"/>
        </w:rPr>
        <w:t>Sa Majesté la Reine</w:t>
      </w:r>
      <w:r w:rsidR="00E073A4" w:rsidRPr="00961695">
        <w:rPr>
          <w:szCs w:val="24"/>
          <w:lang w:val="fr-CA"/>
        </w:rPr>
        <w:tab/>
      </w:r>
      <w:r w:rsidRPr="00961695">
        <w:rPr>
          <w:i/>
          <w:szCs w:val="24"/>
          <w:lang w:val="fr-CA"/>
        </w:rPr>
        <w:t>Appelant</w:t>
      </w:r>
      <w:r w:rsidR="00E073A4" w:rsidRPr="00961695">
        <w:rPr>
          <w:i/>
          <w:szCs w:val="24"/>
          <w:lang w:val="fr-CA"/>
        </w:rPr>
        <w:t>e</w:t>
      </w:r>
    </w:p>
    <w:p w:rsidR="007F2686" w:rsidRPr="00961695" w:rsidRDefault="000A4274" w:rsidP="007F2686">
      <w:pPr>
        <w:pStyle w:val="SCCLsocVersus"/>
        <w:spacing w:after="720"/>
        <w:rPr>
          <w:i/>
          <w:szCs w:val="24"/>
          <w:lang w:val="fr-CA"/>
        </w:rPr>
      </w:pPr>
      <w:proofErr w:type="gramStart"/>
      <w:r w:rsidRPr="00961695">
        <w:rPr>
          <w:i/>
          <w:szCs w:val="24"/>
          <w:lang w:val="fr-CA"/>
        </w:rPr>
        <w:t>c</w:t>
      </w:r>
      <w:proofErr w:type="gramEnd"/>
      <w:r w:rsidRPr="00961695">
        <w:rPr>
          <w:i/>
          <w:szCs w:val="24"/>
          <w:lang w:val="fr-CA"/>
        </w:rPr>
        <w:t>.</w:t>
      </w:r>
    </w:p>
    <w:p w:rsidR="00D1149D" w:rsidRPr="00961695" w:rsidRDefault="000A4274" w:rsidP="007F2686">
      <w:pPr>
        <w:pStyle w:val="SCCLsocParty"/>
        <w:tabs>
          <w:tab w:val="right" w:pos="8222"/>
        </w:tabs>
        <w:spacing w:after="720"/>
        <w:rPr>
          <w:szCs w:val="24"/>
          <w:lang w:val="fr-CA"/>
        </w:rPr>
      </w:pPr>
      <w:r w:rsidRPr="00961695">
        <w:rPr>
          <w:b/>
          <w:szCs w:val="24"/>
          <w:lang w:val="fr-CA"/>
        </w:rPr>
        <w:t>Ex</w:t>
      </w:r>
      <w:r w:rsidR="00961695">
        <w:rPr>
          <w:b/>
          <w:szCs w:val="24"/>
          <w:lang w:val="fr-CA"/>
        </w:rPr>
        <w:t>-</w:t>
      </w:r>
      <w:r w:rsidRPr="00961695">
        <w:rPr>
          <w:b/>
          <w:szCs w:val="24"/>
          <w:lang w:val="fr-CA"/>
        </w:rPr>
        <w:t>Soldat St</w:t>
      </w:r>
      <w:r w:rsidR="00961695">
        <w:rPr>
          <w:b/>
          <w:szCs w:val="24"/>
          <w:lang w:val="fr-CA"/>
        </w:rPr>
        <w:t>-</w:t>
      </w:r>
      <w:proofErr w:type="spellStart"/>
      <w:r w:rsidRPr="00961695">
        <w:rPr>
          <w:b/>
          <w:szCs w:val="24"/>
          <w:lang w:val="fr-CA"/>
        </w:rPr>
        <w:t>Onge</w:t>
      </w:r>
      <w:proofErr w:type="spellEnd"/>
      <w:r w:rsidRPr="00961695">
        <w:rPr>
          <w:b/>
          <w:szCs w:val="24"/>
          <w:lang w:val="fr-CA"/>
        </w:rPr>
        <w:t>, D.</w:t>
      </w:r>
      <w:r w:rsidR="00E073A4" w:rsidRPr="00961695">
        <w:rPr>
          <w:szCs w:val="24"/>
          <w:lang w:val="fr-CA"/>
        </w:rPr>
        <w:tab/>
      </w:r>
      <w:r w:rsidRPr="00961695">
        <w:rPr>
          <w:i/>
          <w:szCs w:val="24"/>
          <w:lang w:val="fr-CA"/>
        </w:rPr>
        <w:t>Intimé</w:t>
      </w:r>
    </w:p>
    <w:p w:rsidR="00426659" w:rsidRPr="00961695" w:rsidRDefault="0043088E" w:rsidP="007F2686">
      <w:pPr>
        <w:spacing w:after="720"/>
        <w:jc w:val="both"/>
        <w:rPr>
          <w:b/>
          <w:szCs w:val="24"/>
          <w:lang w:val="fr-CA"/>
        </w:rPr>
      </w:pPr>
      <w:r w:rsidRPr="00961695">
        <w:rPr>
          <w:b/>
          <w:szCs w:val="24"/>
          <w:lang w:val="fr-CA"/>
        </w:rPr>
        <w:t>Répertorié</w:t>
      </w:r>
      <w:r w:rsidR="00AD50BF" w:rsidRPr="00961695">
        <w:rPr>
          <w:b/>
          <w:szCs w:val="24"/>
          <w:lang w:val="fr-CA"/>
        </w:rPr>
        <w:t> :</w:t>
      </w:r>
      <w:r w:rsidR="00C67CA5" w:rsidRPr="00961695">
        <w:rPr>
          <w:b/>
          <w:szCs w:val="24"/>
          <w:lang w:val="fr-CA"/>
        </w:rPr>
        <w:t> </w:t>
      </w:r>
      <w:r w:rsidRPr="00961695">
        <w:rPr>
          <w:rStyle w:val="SCCAppellantForIndexChar"/>
          <w:szCs w:val="24"/>
          <w:lang w:val="fr-CA"/>
        </w:rPr>
        <w:t>R.</w:t>
      </w:r>
      <w:r w:rsidR="00426659" w:rsidRPr="00961695">
        <w:rPr>
          <w:b/>
          <w:szCs w:val="24"/>
          <w:lang w:val="fr-CA"/>
        </w:rPr>
        <w:t xml:space="preserve"> </w:t>
      </w:r>
      <w:r w:rsidR="00645057" w:rsidRPr="00961695">
        <w:rPr>
          <w:b/>
          <w:i/>
          <w:szCs w:val="24"/>
          <w:lang w:val="fr-CA"/>
        </w:rPr>
        <w:t>c</w:t>
      </w:r>
      <w:r w:rsidR="00426659" w:rsidRPr="00961695">
        <w:rPr>
          <w:b/>
          <w:i/>
          <w:szCs w:val="24"/>
          <w:lang w:val="fr-CA"/>
        </w:rPr>
        <w:t>.</w:t>
      </w:r>
      <w:r w:rsidR="00426659" w:rsidRPr="00961695">
        <w:rPr>
          <w:b/>
          <w:szCs w:val="24"/>
          <w:lang w:val="fr-CA"/>
        </w:rPr>
        <w:t xml:space="preserve"> </w:t>
      </w:r>
      <w:r w:rsidRPr="00961695">
        <w:rPr>
          <w:rStyle w:val="SCCRespondentForIndexChar"/>
          <w:szCs w:val="24"/>
          <w:lang w:val="fr-CA"/>
        </w:rPr>
        <w:t>St</w:t>
      </w:r>
      <w:r w:rsidR="00961695">
        <w:rPr>
          <w:rStyle w:val="SCCRespondentForIndexChar"/>
          <w:szCs w:val="24"/>
          <w:lang w:val="fr-CA"/>
        </w:rPr>
        <w:t>-</w:t>
      </w:r>
      <w:proofErr w:type="spellStart"/>
      <w:r w:rsidRPr="00961695">
        <w:rPr>
          <w:rStyle w:val="SCCRespondentForIndexChar"/>
          <w:szCs w:val="24"/>
          <w:lang w:val="fr-CA"/>
        </w:rPr>
        <w:t>Onge</w:t>
      </w:r>
      <w:proofErr w:type="spellEnd"/>
    </w:p>
    <w:p w:rsidR="00426659" w:rsidRPr="00961695" w:rsidRDefault="00C0663B" w:rsidP="007F2686">
      <w:pPr>
        <w:pStyle w:val="SCCSystemYear"/>
        <w:spacing w:after="720"/>
        <w:jc w:val="both"/>
        <w:rPr>
          <w:szCs w:val="24"/>
          <w:lang w:val="fr-CA"/>
        </w:rPr>
      </w:pPr>
      <w:r w:rsidRPr="00961695">
        <w:rPr>
          <w:szCs w:val="24"/>
          <w:lang w:val="fr-CA"/>
        </w:rPr>
        <w:t>2011</w:t>
      </w:r>
      <w:r w:rsidR="007F2686" w:rsidRPr="00961695">
        <w:rPr>
          <w:szCs w:val="24"/>
          <w:lang w:val="fr-CA"/>
        </w:rPr>
        <w:t> </w:t>
      </w:r>
      <w:r w:rsidR="00C71F58" w:rsidRPr="00961695">
        <w:rPr>
          <w:szCs w:val="24"/>
          <w:lang w:val="fr-CA"/>
        </w:rPr>
        <w:t>C</w:t>
      </w:r>
      <w:r w:rsidR="00426659" w:rsidRPr="00961695">
        <w:rPr>
          <w:szCs w:val="24"/>
          <w:lang w:val="fr-CA"/>
        </w:rPr>
        <w:t>SC </w:t>
      </w:r>
      <w:r w:rsidR="000E2EA7" w:rsidRPr="00961695">
        <w:rPr>
          <w:szCs w:val="24"/>
          <w:lang w:val="fr-CA"/>
        </w:rPr>
        <w:t>16</w:t>
      </w:r>
    </w:p>
    <w:p w:rsidR="008322BD" w:rsidRPr="00961695" w:rsidRDefault="009B57B3" w:rsidP="007F2686">
      <w:pPr>
        <w:spacing w:after="720"/>
        <w:jc w:val="both"/>
        <w:rPr>
          <w:szCs w:val="24"/>
          <w:lang w:val="fr-CA"/>
        </w:rPr>
      </w:pPr>
      <w:r w:rsidRPr="00961695">
        <w:rPr>
          <w:szCs w:val="24"/>
          <w:lang w:val="fr-CA"/>
        </w:rPr>
        <w:t>N</w:t>
      </w:r>
      <w:r w:rsidRPr="00961695">
        <w:rPr>
          <w:szCs w:val="24"/>
          <w:vertAlign w:val="superscript"/>
          <w:lang w:val="fr-CA"/>
        </w:rPr>
        <w:t>o</w:t>
      </w:r>
      <w:r w:rsidR="0043088E" w:rsidRPr="00961695">
        <w:rPr>
          <w:szCs w:val="24"/>
          <w:lang w:val="fr-CA"/>
        </w:rPr>
        <w:t xml:space="preserve"> du greffe</w:t>
      </w:r>
      <w:r w:rsidR="00AD50BF" w:rsidRPr="00961695">
        <w:rPr>
          <w:szCs w:val="24"/>
          <w:lang w:val="fr-CA"/>
        </w:rPr>
        <w:t> :</w:t>
      </w:r>
      <w:r w:rsidR="00C67CA5" w:rsidRPr="00961695">
        <w:rPr>
          <w:szCs w:val="24"/>
          <w:lang w:val="fr-CA"/>
        </w:rPr>
        <w:t> </w:t>
      </w:r>
      <w:r w:rsidRPr="00961695">
        <w:rPr>
          <w:szCs w:val="24"/>
          <w:lang w:val="fr-CA"/>
        </w:rPr>
        <w:t>33864.</w:t>
      </w:r>
    </w:p>
    <w:p w:rsidR="008322BD" w:rsidRPr="00961695" w:rsidRDefault="00C0663B" w:rsidP="007F2686">
      <w:pPr>
        <w:spacing w:after="720"/>
        <w:jc w:val="both"/>
        <w:rPr>
          <w:szCs w:val="24"/>
          <w:lang w:val="fr-CA"/>
        </w:rPr>
      </w:pPr>
      <w:r w:rsidRPr="00961695">
        <w:rPr>
          <w:szCs w:val="24"/>
          <w:lang w:val="fr-CA"/>
        </w:rPr>
        <w:t>2011</w:t>
      </w:r>
      <w:r w:rsidR="00AD50BF" w:rsidRPr="00961695">
        <w:rPr>
          <w:szCs w:val="24"/>
          <w:lang w:val="fr-CA"/>
        </w:rPr>
        <w:t> : 24 </w:t>
      </w:r>
      <w:r w:rsidRPr="00961695">
        <w:rPr>
          <w:szCs w:val="24"/>
          <w:lang w:val="fr-CA"/>
        </w:rPr>
        <w:t>mars</w:t>
      </w:r>
      <w:r w:rsidR="009B57B3" w:rsidRPr="00961695">
        <w:rPr>
          <w:szCs w:val="24"/>
          <w:lang w:val="fr-CA"/>
        </w:rPr>
        <w:t xml:space="preserve">; </w:t>
      </w:r>
      <w:r w:rsidR="00E073A4" w:rsidRPr="00961695">
        <w:rPr>
          <w:szCs w:val="24"/>
          <w:lang w:val="fr-CA"/>
        </w:rPr>
        <w:t>2011</w:t>
      </w:r>
      <w:r w:rsidR="00AD50BF" w:rsidRPr="00961695">
        <w:rPr>
          <w:szCs w:val="24"/>
          <w:lang w:val="fr-CA"/>
        </w:rPr>
        <w:t> : </w:t>
      </w:r>
      <w:r w:rsidR="000E2EA7" w:rsidRPr="00961695">
        <w:rPr>
          <w:szCs w:val="24"/>
          <w:lang w:val="fr-CA"/>
        </w:rPr>
        <w:t>1</w:t>
      </w:r>
      <w:r w:rsidR="000E2EA7" w:rsidRPr="00961695">
        <w:rPr>
          <w:szCs w:val="24"/>
          <w:vertAlign w:val="superscript"/>
          <w:lang w:val="fr-CA"/>
        </w:rPr>
        <w:t>er</w:t>
      </w:r>
      <w:r w:rsidR="00AD50BF" w:rsidRPr="00961695">
        <w:rPr>
          <w:szCs w:val="24"/>
          <w:lang w:val="fr-CA"/>
        </w:rPr>
        <w:t> </w:t>
      </w:r>
      <w:r w:rsidR="000E2EA7" w:rsidRPr="00961695">
        <w:rPr>
          <w:szCs w:val="24"/>
          <w:lang w:val="fr-CA"/>
        </w:rPr>
        <w:t>avril</w:t>
      </w:r>
      <w:r w:rsidR="009B57B3" w:rsidRPr="00961695">
        <w:rPr>
          <w:szCs w:val="24"/>
          <w:lang w:val="fr-CA"/>
        </w:rPr>
        <w:t>.</w:t>
      </w:r>
    </w:p>
    <w:p w:rsidR="008322BD" w:rsidRPr="00961695" w:rsidRDefault="009B57B3" w:rsidP="007F2686">
      <w:pPr>
        <w:spacing w:after="720"/>
        <w:jc w:val="both"/>
        <w:rPr>
          <w:szCs w:val="24"/>
          <w:lang w:val="fr-CA"/>
        </w:rPr>
      </w:pPr>
      <w:r w:rsidRPr="00961695">
        <w:rPr>
          <w:szCs w:val="24"/>
          <w:lang w:val="fr-CA"/>
        </w:rPr>
        <w:t>Pr</w:t>
      </w:r>
      <w:r w:rsidR="0043088E" w:rsidRPr="00961695">
        <w:rPr>
          <w:szCs w:val="24"/>
          <w:lang w:val="fr-CA"/>
        </w:rPr>
        <w:t>é</w:t>
      </w:r>
      <w:r w:rsidRPr="00961695">
        <w:rPr>
          <w:szCs w:val="24"/>
          <w:lang w:val="fr-CA"/>
        </w:rPr>
        <w:t>sent</w:t>
      </w:r>
      <w:r w:rsidR="008A6558" w:rsidRPr="00961695">
        <w:rPr>
          <w:szCs w:val="24"/>
          <w:lang w:val="fr-CA"/>
        </w:rPr>
        <w:t>s</w:t>
      </w:r>
      <w:r w:rsidR="00AD50BF" w:rsidRPr="00961695">
        <w:rPr>
          <w:szCs w:val="24"/>
          <w:lang w:val="fr-CA"/>
        </w:rPr>
        <w:t> :</w:t>
      </w:r>
      <w:r w:rsidR="00C67CA5" w:rsidRPr="00961695">
        <w:rPr>
          <w:szCs w:val="24"/>
          <w:lang w:val="fr-CA"/>
        </w:rPr>
        <w:t> </w:t>
      </w:r>
      <w:r w:rsidRPr="00961695">
        <w:rPr>
          <w:szCs w:val="24"/>
          <w:lang w:val="fr-CA"/>
        </w:rPr>
        <w:t xml:space="preserve">La juge en chef </w:t>
      </w:r>
      <w:proofErr w:type="spellStart"/>
      <w:r w:rsidRPr="00961695">
        <w:rPr>
          <w:szCs w:val="24"/>
          <w:lang w:val="fr-CA"/>
        </w:rPr>
        <w:t>McLachlin</w:t>
      </w:r>
      <w:proofErr w:type="spellEnd"/>
      <w:r w:rsidRPr="00961695">
        <w:rPr>
          <w:szCs w:val="24"/>
          <w:lang w:val="fr-CA"/>
        </w:rPr>
        <w:t xml:space="preserve"> et les juges </w:t>
      </w:r>
      <w:proofErr w:type="spellStart"/>
      <w:r w:rsidRPr="00961695">
        <w:rPr>
          <w:szCs w:val="24"/>
          <w:lang w:val="fr-CA"/>
        </w:rPr>
        <w:t>Binnie</w:t>
      </w:r>
      <w:proofErr w:type="spellEnd"/>
      <w:r w:rsidRPr="00961695">
        <w:rPr>
          <w:szCs w:val="24"/>
          <w:lang w:val="fr-CA"/>
        </w:rPr>
        <w:t xml:space="preserve">, Deschamps, Fish, Charron, </w:t>
      </w:r>
      <w:proofErr w:type="spellStart"/>
      <w:r w:rsidRPr="00961695">
        <w:rPr>
          <w:szCs w:val="24"/>
          <w:lang w:val="fr-CA"/>
        </w:rPr>
        <w:t>Rothstein</w:t>
      </w:r>
      <w:proofErr w:type="spellEnd"/>
      <w:r w:rsidRPr="00961695">
        <w:rPr>
          <w:szCs w:val="24"/>
          <w:lang w:val="fr-CA"/>
        </w:rPr>
        <w:t xml:space="preserve"> et Cromwell.</w:t>
      </w:r>
    </w:p>
    <w:p w:rsidR="008322BD" w:rsidRPr="00961695" w:rsidRDefault="00AC7437" w:rsidP="009A2BBE">
      <w:pPr>
        <w:pStyle w:val="SCCNormalDoubleSpacing"/>
        <w:spacing w:after="480"/>
        <w:rPr>
          <w:smallCaps/>
          <w:szCs w:val="24"/>
          <w:lang w:val="fr-CA"/>
        </w:rPr>
      </w:pPr>
      <w:r w:rsidRPr="00961695">
        <w:rPr>
          <w:smallCaps/>
          <w:szCs w:val="24"/>
          <w:lang w:val="fr-CA"/>
        </w:rPr>
        <w:t>e</w:t>
      </w:r>
      <w:r w:rsidR="00855307" w:rsidRPr="00961695">
        <w:rPr>
          <w:smallCaps/>
          <w:szCs w:val="24"/>
          <w:lang w:val="fr-CA"/>
        </w:rPr>
        <w:t>n</w:t>
      </w:r>
      <w:r w:rsidR="00224FC0" w:rsidRPr="00961695">
        <w:rPr>
          <w:smallCaps/>
          <w:szCs w:val="24"/>
          <w:lang w:val="fr-CA"/>
        </w:rPr>
        <w:t xml:space="preserve"> </w:t>
      </w:r>
      <w:r w:rsidR="00855307" w:rsidRPr="00961695">
        <w:rPr>
          <w:smallCaps/>
          <w:szCs w:val="24"/>
          <w:lang w:val="fr-CA"/>
        </w:rPr>
        <w:t>appel</w:t>
      </w:r>
      <w:r w:rsidR="00224FC0" w:rsidRPr="00961695">
        <w:rPr>
          <w:smallCaps/>
          <w:szCs w:val="24"/>
          <w:lang w:val="fr-CA"/>
        </w:rPr>
        <w:t xml:space="preserve"> </w:t>
      </w:r>
      <w:r w:rsidR="00855307" w:rsidRPr="00961695">
        <w:rPr>
          <w:smallCaps/>
          <w:szCs w:val="24"/>
          <w:lang w:val="fr-CA"/>
        </w:rPr>
        <w:t>de</w:t>
      </w:r>
      <w:r w:rsidR="0043088E" w:rsidRPr="00961695">
        <w:rPr>
          <w:smallCaps/>
          <w:szCs w:val="24"/>
          <w:lang w:val="fr-CA"/>
        </w:rPr>
        <w:t xml:space="preserve"> </w:t>
      </w:r>
      <w:r w:rsidR="00855307" w:rsidRPr="00961695">
        <w:rPr>
          <w:smallCaps/>
          <w:szCs w:val="24"/>
          <w:lang w:val="fr-CA"/>
        </w:rPr>
        <w:t>la</w:t>
      </w:r>
      <w:r w:rsidR="00224FC0" w:rsidRPr="00961695">
        <w:rPr>
          <w:smallCaps/>
          <w:szCs w:val="24"/>
          <w:lang w:val="fr-CA"/>
        </w:rPr>
        <w:t xml:space="preserve"> </w:t>
      </w:r>
      <w:r w:rsidR="009B57B3" w:rsidRPr="00961695">
        <w:rPr>
          <w:smallCaps/>
          <w:szCs w:val="24"/>
          <w:lang w:val="fr-CA"/>
        </w:rPr>
        <w:t>cour d’appel de la cour martiale du canada</w:t>
      </w:r>
    </w:p>
    <w:p w:rsidR="007834A8" w:rsidRPr="00961695" w:rsidRDefault="009B57B3" w:rsidP="00AD50BF">
      <w:pPr>
        <w:pStyle w:val="SCCNormalDoubleSpacing"/>
        <w:spacing w:after="480"/>
        <w:rPr>
          <w:i/>
          <w:szCs w:val="24"/>
          <w:lang w:val="fr-CA"/>
        </w:rPr>
      </w:pPr>
      <w:r w:rsidRPr="00961695">
        <w:rPr>
          <w:szCs w:val="24"/>
          <w:lang w:val="fr-CA"/>
        </w:rPr>
        <w:tab/>
      </w:r>
      <w:r w:rsidR="004417C3" w:rsidRPr="00961695">
        <w:rPr>
          <w:i/>
          <w:szCs w:val="24"/>
          <w:lang w:val="fr-CA"/>
        </w:rPr>
        <w:t xml:space="preserve">Forces armées — Infractions militaires — Droit criminel </w:t>
      </w:r>
      <w:r w:rsidR="00EC5077" w:rsidRPr="00961695">
        <w:rPr>
          <w:i/>
          <w:szCs w:val="24"/>
          <w:lang w:val="fr-CA"/>
        </w:rPr>
        <w:t>— Détermination de la peine —</w:t>
      </w:r>
      <w:r w:rsidR="00B343DF" w:rsidRPr="00961695">
        <w:rPr>
          <w:i/>
          <w:szCs w:val="24"/>
          <w:lang w:val="fr-CA"/>
        </w:rPr>
        <w:t xml:space="preserve"> Infliction par le juge militaire d’</w:t>
      </w:r>
      <w:r w:rsidR="00EC5077" w:rsidRPr="00961695">
        <w:rPr>
          <w:i/>
          <w:szCs w:val="24"/>
          <w:lang w:val="fr-CA"/>
        </w:rPr>
        <w:t>une peine d’</w:t>
      </w:r>
      <w:r w:rsidR="004417C3" w:rsidRPr="00961695">
        <w:rPr>
          <w:i/>
          <w:szCs w:val="24"/>
          <w:lang w:val="fr-CA"/>
        </w:rPr>
        <w:t>empriso</w:t>
      </w:r>
      <w:r w:rsidR="00EC5077" w:rsidRPr="00961695">
        <w:rPr>
          <w:i/>
          <w:szCs w:val="24"/>
          <w:lang w:val="fr-CA"/>
        </w:rPr>
        <w:t>nnement de 30</w:t>
      </w:r>
      <w:r w:rsidR="00D374A2" w:rsidRPr="00961695">
        <w:rPr>
          <w:i/>
          <w:szCs w:val="24"/>
          <w:lang w:val="fr-CA"/>
        </w:rPr>
        <w:t> </w:t>
      </w:r>
      <w:r w:rsidR="00EC5077" w:rsidRPr="00961695">
        <w:rPr>
          <w:i/>
          <w:szCs w:val="24"/>
          <w:lang w:val="fr-CA"/>
        </w:rPr>
        <w:t xml:space="preserve">jours — </w:t>
      </w:r>
      <w:r w:rsidR="00B343DF" w:rsidRPr="00961695">
        <w:rPr>
          <w:i/>
          <w:szCs w:val="24"/>
          <w:lang w:val="fr-CA"/>
        </w:rPr>
        <w:t xml:space="preserve">Substitution </w:t>
      </w:r>
      <w:r w:rsidR="000147BC" w:rsidRPr="00961695">
        <w:rPr>
          <w:i/>
          <w:szCs w:val="24"/>
          <w:lang w:val="fr-CA"/>
        </w:rPr>
        <w:t xml:space="preserve">par la Cour d’appel </w:t>
      </w:r>
      <w:r w:rsidR="00B343DF" w:rsidRPr="00961695">
        <w:rPr>
          <w:i/>
          <w:szCs w:val="24"/>
          <w:lang w:val="fr-CA"/>
        </w:rPr>
        <w:t xml:space="preserve">d’une </w:t>
      </w:r>
      <w:r w:rsidR="00EC5077" w:rsidRPr="00961695">
        <w:rPr>
          <w:i/>
          <w:szCs w:val="24"/>
          <w:lang w:val="fr-CA"/>
        </w:rPr>
        <w:t xml:space="preserve">amende à la </w:t>
      </w:r>
      <w:r w:rsidR="00EC5077" w:rsidRPr="00961695">
        <w:rPr>
          <w:i/>
          <w:szCs w:val="24"/>
          <w:lang w:val="fr-CA"/>
        </w:rPr>
        <w:lastRenderedPageBreak/>
        <w:t>peine d’</w:t>
      </w:r>
      <w:r w:rsidR="004417C3" w:rsidRPr="00961695">
        <w:rPr>
          <w:i/>
          <w:szCs w:val="24"/>
          <w:lang w:val="fr-CA"/>
        </w:rPr>
        <w:t>emprisonne</w:t>
      </w:r>
      <w:r w:rsidR="00EC5077" w:rsidRPr="00961695">
        <w:rPr>
          <w:i/>
          <w:szCs w:val="24"/>
          <w:lang w:val="fr-CA"/>
        </w:rPr>
        <w:t>ment</w:t>
      </w:r>
      <w:r w:rsidR="000147BC" w:rsidRPr="00961695">
        <w:rPr>
          <w:i/>
          <w:szCs w:val="24"/>
          <w:lang w:val="fr-CA"/>
        </w:rPr>
        <w:t xml:space="preserve"> </w:t>
      </w:r>
      <w:r w:rsidR="00EC5077" w:rsidRPr="00961695">
        <w:rPr>
          <w:i/>
          <w:szCs w:val="24"/>
          <w:lang w:val="fr-CA"/>
        </w:rPr>
        <w:t>— La majorité de la Cour d’</w:t>
      </w:r>
      <w:r w:rsidR="004417C3" w:rsidRPr="00961695">
        <w:rPr>
          <w:i/>
          <w:szCs w:val="24"/>
          <w:lang w:val="fr-CA"/>
        </w:rPr>
        <w:t xml:space="preserve">appel </w:t>
      </w:r>
      <w:proofErr w:type="spellStart"/>
      <w:r w:rsidR="00B343DF" w:rsidRPr="00961695">
        <w:rPr>
          <w:i/>
          <w:szCs w:val="24"/>
          <w:lang w:val="fr-CA"/>
        </w:rPr>
        <w:t>a</w:t>
      </w:r>
      <w:r w:rsidR="00AD50BF" w:rsidRPr="00961695">
        <w:rPr>
          <w:i/>
          <w:szCs w:val="24"/>
          <w:lang w:val="fr-CA"/>
        </w:rPr>
        <w:noBreakHyphen/>
      </w:r>
      <w:r w:rsidR="00B343DF" w:rsidRPr="00961695">
        <w:rPr>
          <w:i/>
          <w:szCs w:val="24"/>
          <w:lang w:val="fr-CA"/>
        </w:rPr>
        <w:t>t</w:t>
      </w:r>
      <w:r w:rsidR="00AD50BF" w:rsidRPr="00961695">
        <w:rPr>
          <w:i/>
          <w:szCs w:val="24"/>
          <w:lang w:val="fr-CA"/>
        </w:rPr>
        <w:noBreakHyphen/>
      </w:r>
      <w:r w:rsidR="004417C3" w:rsidRPr="00961695">
        <w:rPr>
          <w:i/>
          <w:szCs w:val="24"/>
          <w:lang w:val="fr-CA"/>
        </w:rPr>
        <w:t>elle</w:t>
      </w:r>
      <w:proofErr w:type="spellEnd"/>
      <w:r w:rsidR="004417C3" w:rsidRPr="00961695">
        <w:rPr>
          <w:i/>
          <w:szCs w:val="24"/>
          <w:lang w:val="fr-CA"/>
        </w:rPr>
        <w:t xml:space="preserve"> fait erreur en substituant sa pondération des facteurs pertinents à la détermination de la peine à celle du juge militaire?</w:t>
      </w:r>
      <w:r w:rsidR="00384024" w:rsidRPr="00961695">
        <w:rPr>
          <w:i/>
          <w:szCs w:val="24"/>
          <w:lang w:val="fr-CA"/>
        </w:rPr>
        <w:t xml:space="preserve"> </w:t>
      </w:r>
      <w:r w:rsidR="00A2545A" w:rsidRPr="00961695">
        <w:rPr>
          <w:i/>
          <w:szCs w:val="24"/>
          <w:lang w:val="fr-CA"/>
        </w:rPr>
        <w:t xml:space="preserve">— La Cour suprême du Canada </w:t>
      </w:r>
      <w:proofErr w:type="spellStart"/>
      <w:r w:rsidR="00A2545A" w:rsidRPr="00961695">
        <w:rPr>
          <w:i/>
          <w:szCs w:val="24"/>
          <w:lang w:val="fr-CA"/>
        </w:rPr>
        <w:t>a</w:t>
      </w:r>
      <w:r w:rsidR="00AD50BF" w:rsidRPr="00961695">
        <w:rPr>
          <w:i/>
          <w:szCs w:val="24"/>
          <w:lang w:val="fr-CA"/>
        </w:rPr>
        <w:noBreakHyphen/>
      </w:r>
      <w:r w:rsidR="00A2545A" w:rsidRPr="00961695">
        <w:rPr>
          <w:i/>
          <w:szCs w:val="24"/>
          <w:lang w:val="fr-CA"/>
        </w:rPr>
        <w:t>t</w:t>
      </w:r>
      <w:r w:rsidR="00AD50BF" w:rsidRPr="00961695">
        <w:rPr>
          <w:i/>
          <w:szCs w:val="24"/>
          <w:lang w:val="fr-CA"/>
        </w:rPr>
        <w:noBreakHyphen/>
      </w:r>
      <w:r w:rsidR="00A2545A" w:rsidRPr="00961695">
        <w:rPr>
          <w:i/>
          <w:szCs w:val="24"/>
          <w:lang w:val="fr-CA"/>
        </w:rPr>
        <w:t>elle</w:t>
      </w:r>
      <w:proofErr w:type="spellEnd"/>
      <w:r w:rsidR="00A2545A" w:rsidRPr="00961695">
        <w:rPr>
          <w:i/>
          <w:szCs w:val="24"/>
          <w:lang w:val="fr-CA"/>
        </w:rPr>
        <w:t xml:space="preserve"> </w:t>
      </w:r>
      <w:r w:rsidR="000147BC" w:rsidRPr="00961695">
        <w:rPr>
          <w:i/>
          <w:szCs w:val="24"/>
          <w:lang w:val="fr-CA"/>
        </w:rPr>
        <w:t>compétence</w:t>
      </w:r>
      <w:r w:rsidR="00A2545A" w:rsidRPr="00961695">
        <w:rPr>
          <w:i/>
          <w:szCs w:val="24"/>
          <w:lang w:val="fr-CA"/>
        </w:rPr>
        <w:t xml:space="preserve"> pour entendre le pourvoi? </w:t>
      </w:r>
      <w:r w:rsidR="00EC5077" w:rsidRPr="00961695">
        <w:rPr>
          <w:i/>
          <w:szCs w:val="24"/>
          <w:lang w:val="fr-CA"/>
        </w:rPr>
        <w:t xml:space="preserve">— Loi sur la défense nationale, L.R.C. 1985, </w:t>
      </w:r>
      <w:r w:rsidR="00AD50BF" w:rsidRPr="00961695">
        <w:rPr>
          <w:i/>
          <w:szCs w:val="24"/>
          <w:lang w:val="fr-CA"/>
        </w:rPr>
        <w:t>ch. </w:t>
      </w:r>
      <w:r w:rsidR="00EC5077" w:rsidRPr="00961695">
        <w:rPr>
          <w:i/>
          <w:szCs w:val="24"/>
          <w:lang w:val="fr-CA"/>
        </w:rPr>
        <w:t>N</w:t>
      </w:r>
      <w:r w:rsidR="00AD50BF" w:rsidRPr="00961695">
        <w:rPr>
          <w:i/>
          <w:szCs w:val="24"/>
          <w:lang w:val="fr-CA"/>
        </w:rPr>
        <w:noBreakHyphen/>
      </w:r>
      <w:r w:rsidR="00EC5077" w:rsidRPr="00961695">
        <w:rPr>
          <w:i/>
          <w:szCs w:val="24"/>
          <w:lang w:val="fr-CA"/>
        </w:rPr>
        <w:t xml:space="preserve">5, </w:t>
      </w:r>
      <w:r w:rsidR="00AD50BF" w:rsidRPr="00961695">
        <w:rPr>
          <w:i/>
          <w:szCs w:val="24"/>
          <w:lang w:val="fr-CA"/>
        </w:rPr>
        <w:t>art. </w:t>
      </w:r>
      <w:r w:rsidR="00EC5077" w:rsidRPr="00961695">
        <w:rPr>
          <w:i/>
          <w:szCs w:val="24"/>
          <w:lang w:val="fr-CA"/>
        </w:rPr>
        <w:t>245(2)a).</w:t>
      </w:r>
    </w:p>
    <w:p w:rsidR="008322BD" w:rsidRPr="00961695" w:rsidRDefault="002727C1" w:rsidP="00AD50BF">
      <w:pPr>
        <w:pStyle w:val="SCCNormalDoubleSpacing"/>
        <w:spacing w:after="480"/>
        <w:rPr>
          <w:szCs w:val="24"/>
          <w:lang w:val="fr-CA"/>
        </w:rPr>
      </w:pPr>
      <w:r w:rsidRPr="00961695">
        <w:rPr>
          <w:szCs w:val="24"/>
          <w:lang w:val="fr-CA"/>
        </w:rPr>
        <w:tab/>
      </w:r>
      <w:r w:rsidR="0043088E" w:rsidRPr="00961695">
        <w:rPr>
          <w:i/>
          <w:szCs w:val="24"/>
          <w:lang w:val="fr-CA"/>
        </w:rPr>
        <w:t>Arrêt</w:t>
      </w:r>
      <w:r w:rsidR="00AD50BF" w:rsidRPr="00961695">
        <w:rPr>
          <w:i/>
          <w:szCs w:val="24"/>
          <w:lang w:val="fr-CA"/>
        </w:rPr>
        <w:t> </w:t>
      </w:r>
      <w:r w:rsidR="00AD50BF" w:rsidRPr="00B8490A">
        <w:rPr>
          <w:szCs w:val="24"/>
          <w:lang w:val="fr-CA"/>
        </w:rPr>
        <w:t>:</w:t>
      </w:r>
      <w:r w:rsidR="009B57B3" w:rsidRPr="00961695">
        <w:rPr>
          <w:szCs w:val="24"/>
          <w:lang w:val="fr-CA"/>
        </w:rPr>
        <w:t xml:space="preserve"> </w:t>
      </w:r>
      <w:r w:rsidR="0043088E" w:rsidRPr="00961695">
        <w:rPr>
          <w:szCs w:val="24"/>
          <w:lang w:val="fr-CA"/>
        </w:rPr>
        <w:t>Le pourvoi est</w:t>
      </w:r>
      <w:r w:rsidRPr="00961695">
        <w:rPr>
          <w:szCs w:val="24"/>
          <w:lang w:val="fr-CA"/>
        </w:rPr>
        <w:t xml:space="preserve"> accueilli et la décision </w:t>
      </w:r>
      <w:r w:rsidR="00094828" w:rsidRPr="00961695">
        <w:rPr>
          <w:szCs w:val="24"/>
          <w:lang w:val="fr-CA"/>
        </w:rPr>
        <w:t xml:space="preserve">sur peine </w:t>
      </w:r>
      <w:r w:rsidRPr="00961695">
        <w:rPr>
          <w:szCs w:val="24"/>
          <w:lang w:val="fr-CA"/>
        </w:rPr>
        <w:t>du premier juge est rétablie.</w:t>
      </w:r>
    </w:p>
    <w:p w:rsidR="007E1C47" w:rsidRPr="00961695" w:rsidRDefault="0043088E" w:rsidP="00AD50BF">
      <w:pPr>
        <w:pStyle w:val="SCCNormalDoubleSpacing"/>
        <w:keepNext/>
        <w:keepLines/>
        <w:spacing w:after="720" w:line="240" w:lineRule="auto"/>
        <w:rPr>
          <w:b/>
          <w:szCs w:val="24"/>
          <w:lang w:val="fr-CA"/>
        </w:rPr>
      </w:pPr>
      <w:r w:rsidRPr="00961695">
        <w:rPr>
          <w:b/>
          <w:szCs w:val="24"/>
          <w:lang w:val="fr-CA"/>
        </w:rPr>
        <w:t>Jurisprudence</w:t>
      </w:r>
    </w:p>
    <w:p w:rsidR="002E6705" w:rsidRPr="00961695" w:rsidRDefault="002E6705" w:rsidP="00AD50BF">
      <w:pPr>
        <w:pStyle w:val="SCCNormalDoubleSpacing"/>
        <w:keepNext/>
        <w:keepLines/>
        <w:spacing w:after="720" w:line="240" w:lineRule="auto"/>
        <w:rPr>
          <w:b/>
          <w:szCs w:val="24"/>
          <w:lang w:val="fr-CA"/>
        </w:rPr>
      </w:pPr>
      <w:r w:rsidRPr="00961695">
        <w:rPr>
          <w:szCs w:val="24"/>
          <w:lang w:val="fr-CA"/>
        </w:rPr>
        <w:tab/>
      </w:r>
      <w:r w:rsidR="0043088E" w:rsidRPr="00961695">
        <w:rPr>
          <w:b/>
          <w:szCs w:val="24"/>
          <w:lang w:val="fr-CA"/>
        </w:rPr>
        <w:t>Arrêt mentionné</w:t>
      </w:r>
      <w:r w:rsidR="00AD50BF" w:rsidRPr="00961695">
        <w:rPr>
          <w:b/>
          <w:szCs w:val="24"/>
          <w:lang w:val="fr-CA"/>
        </w:rPr>
        <w:t> :</w:t>
      </w:r>
      <w:r w:rsidR="00172A04" w:rsidRPr="00961695">
        <w:rPr>
          <w:szCs w:val="24"/>
          <w:lang w:val="fr-CA"/>
        </w:rPr>
        <w:t xml:space="preserve"> </w:t>
      </w:r>
      <w:r w:rsidR="00E77419" w:rsidRPr="00961695">
        <w:rPr>
          <w:i/>
          <w:szCs w:val="24"/>
          <w:lang w:val="fr-CA"/>
        </w:rPr>
        <w:t>R. c. Gardiner</w:t>
      </w:r>
      <w:r w:rsidR="00E77419" w:rsidRPr="00961695">
        <w:rPr>
          <w:szCs w:val="24"/>
          <w:lang w:val="fr-CA"/>
        </w:rPr>
        <w:t>, [1982] 2 R.C.S. 368.</w:t>
      </w:r>
    </w:p>
    <w:p w:rsidR="00231F3A" w:rsidRPr="00961695" w:rsidRDefault="0043088E" w:rsidP="00AD50BF">
      <w:pPr>
        <w:pStyle w:val="SCCNormalDoubleSpacing"/>
        <w:spacing w:after="720" w:line="240" w:lineRule="auto"/>
        <w:rPr>
          <w:b/>
          <w:szCs w:val="24"/>
          <w:lang w:val="fr-CA"/>
        </w:rPr>
      </w:pPr>
      <w:r w:rsidRPr="00961695">
        <w:rPr>
          <w:b/>
          <w:szCs w:val="24"/>
          <w:lang w:val="fr-CA"/>
        </w:rPr>
        <w:t>Lois</w:t>
      </w:r>
      <w:r w:rsidR="002E6705" w:rsidRPr="00961695">
        <w:rPr>
          <w:b/>
          <w:szCs w:val="24"/>
          <w:lang w:val="fr-CA"/>
        </w:rPr>
        <w:t xml:space="preserve"> </w:t>
      </w:r>
      <w:r w:rsidR="008A6558" w:rsidRPr="00961695">
        <w:rPr>
          <w:b/>
          <w:szCs w:val="24"/>
          <w:lang w:val="fr-CA"/>
        </w:rPr>
        <w:t>et</w:t>
      </w:r>
      <w:r w:rsidR="002E6705" w:rsidRPr="00961695">
        <w:rPr>
          <w:b/>
          <w:szCs w:val="24"/>
          <w:lang w:val="fr-CA"/>
        </w:rPr>
        <w:t xml:space="preserve"> </w:t>
      </w:r>
      <w:r w:rsidRPr="00961695">
        <w:rPr>
          <w:b/>
          <w:szCs w:val="24"/>
          <w:lang w:val="fr-CA"/>
        </w:rPr>
        <w:t>rè</w:t>
      </w:r>
      <w:r w:rsidR="002E6705" w:rsidRPr="00961695">
        <w:rPr>
          <w:b/>
          <w:szCs w:val="24"/>
          <w:lang w:val="fr-CA"/>
        </w:rPr>
        <w:t>gl</w:t>
      </w:r>
      <w:r w:rsidRPr="00961695">
        <w:rPr>
          <w:b/>
          <w:szCs w:val="24"/>
          <w:lang w:val="fr-CA"/>
        </w:rPr>
        <w:t>ements</w:t>
      </w:r>
      <w:r w:rsidR="002E6705" w:rsidRPr="00961695">
        <w:rPr>
          <w:b/>
          <w:szCs w:val="24"/>
          <w:lang w:val="fr-CA"/>
        </w:rPr>
        <w:t xml:space="preserve"> </w:t>
      </w:r>
      <w:r w:rsidRPr="00961695">
        <w:rPr>
          <w:b/>
          <w:szCs w:val="24"/>
          <w:lang w:val="fr-CA"/>
        </w:rPr>
        <w:t>c</w:t>
      </w:r>
      <w:r w:rsidR="002E6705" w:rsidRPr="00961695">
        <w:rPr>
          <w:b/>
          <w:szCs w:val="24"/>
          <w:lang w:val="fr-CA"/>
        </w:rPr>
        <w:t>it</w:t>
      </w:r>
      <w:r w:rsidRPr="00961695">
        <w:rPr>
          <w:b/>
          <w:szCs w:val="24"/>
          <w:lang w:val="fr-CA"/>
        </w:rPr>
        <w:t>és</w:t>
      </w:r>
    </w:p>
    <w:p w:rsidR="00E76F64" w:rsidRPr="00961695" w:rsidRDefault="005B1CA1" w:rsidP="00AD50BF">
      <w:pPr>
        <w:pStyle w:val="SCCNormalDoubleSpacing"/>
        <w:spacing w:after="240" w:line="240" w:lineRule="auto"/>
        <w:ind w:left="547" w:hanging="547"/>
        <w:rPr>
          <w:szCs w:val="24"/>
          <w:lang w:val="fr-CA"/>
        </w:rPr>
      </w:pPr>
      <w:r w:rsidRPr="00961695">
        <w:rPr>
          <w:i/>
          <w:szCs w:val="24"/>
          <w:lang w:val="fr-CA"/>
        </w:rPr>
        <w:t>Code criminel</w:t>
      </w:r>
      <w:r w:rsidRPr="00961695">
        <w:rPr>
          <w:szCs w:val="24"/>
          <w:lang w:val="fr-CA"/>
        </w:rPr>
        <w:t xml:space="preserve">, L.R.C. 1985, </w:t>
      </w:r>
      <w:r w:rsidR="00AD50BF" w:rsidRPr="00961695">
        <w:rPr>
          <w:szCs w:val="24"/>
          <w:lang w:val="fr-CA"/>
        </w:rPr>
        <w:t>ch. </w:t>
      </w:r>
      <w:r w:rsidRPr="00961695">
        <w:rPr>
          <w:szCs w:val="24"/>
          <w:lang w:val="fr-CA"/>
        </w:rPr>
        <w:t>C</w:t>
      </w:r>
      <w:r w:rsidR="00AD50BF" w:rsidRPr="00961695">
        <w:rPr>
          <w:szCs w:val="24"/>
          <w:lang w:val="fr-CA"/>
        </w:rPr>
        <w:noBreakHyphen/>
      </w:r>
      <w:r w:rsidRPr="00961695">
        <w:rPr>
          <w:szCs w:val="24"/>
          <w:lang w:val="fr-CA"/>
        </w:rPr>
        <w:t xml:space="preserve">46, </w:t>
      </w:r>
      <w:r w:rsidR="00AD50BF" w:rsidRPr="00961695">
        <w:rPr>
          <w:szCs w:val="24"/>
          <w:lang w:val="fr-CA"/>
        </w:rPr>
        <w:t>art. </w:t>
      </w:r>
      <w:r w:rsidRPr="00961695">
        <w:rPr>
          <w:szCs w:val="24"/>
          <w:lang w:val="fr-CA"/>
        </w:rPr>
        <w:t>691 à 693.</w:t>
      </w:r>
    </w:p>
    <w:p w:rsidR="005B1CA1" w:rsidRPr="00961695" w:rsidRDefault="006E2EF9" w:rsidP="00AD50BF">
      <w:pPr>
        <w:pStyle w:val="SCCNormalDoubleSpacing"/>
        <w:spacing w:after="240" w:line="240" w:lineRule="auto"/>
        <w:ind w:left="547" w:hanging="547"/>
        <w:rPr>
          <w:szCs w:val="24"/>
          <w:lang w:val="fr-CA"/>
        </w:rPr>
      </w:pPr>
      <w:r w:rsidRPr="00961695">
        <w:rPr>
          <w:i/>
          <w:szCs w:val="24"/>
          <w:lang w:val="fr-CA"/>
        </w:rPr>
        <w:t>Loi sur la Cour suprême</w:t>
      </w:r>
      <w:r w:rsidRPr="00961695">
        <w:rPr>
          <w:szCs w:val="24"/>
          <w:lang w:val="fr-CA"/>
        </w:rPr>
        <w:t xml:space="preserve">, L.R.C. 1985, </w:t>
      </w:r>
      <w:r w:rsidR="00AD50BF" w:rsidRPr="00961695">
        <w:rPr>
          <w:szCs w:val="24"/>
          <w:lang w:val="fr-CA"/>
        </w:rPr>
        <w:t>ch. </w:t>
      </w:r>
      <w:r w:rsidRPr="00961695">
        <w:rPr>
          <w:szCs w:val="24"/>
          <w:lang w:val="fr-CA"/>
        </w:rPr>
        <w:t>S</w:t>
      </w:r>
      <w:r w:rsidR="00AD50BF" w:rsidRPr="00961695">
        <w:rPr>
          <w:szCs w:val="24"/>
          <w:lang w:val="fr-CA"/>
        </w:rPr>
        <w:noBreakHyphen/>
      </w:r>
      <w:r w:rsidRPr="00961695">
        <w:rPr>
          <w:szCs w:val="24"/>
          <w:lang w:val="fr-CA"/>
        </w:rPr>
        <w:t xml:space="preserve">26, </w:t>
      </w:r>
      <w:r w:rsidR="00AD50BF" w:rsidRPr="00961695">
        <w:rPr>
          <w:szCs w:val="24"/>
          <w:lang w:val="fr-CA"/>
        </w:rPr>
        <w:t>art. </w:t>
      </w:r>
      <w:r w:rsidRPr="00961695">
        <w:rPr>
          <w:szCs w:val="24"/>
          <w:lang w:val="fr-CA"/>
        </w:rPr>
        <w:t>40.</w:t>
      </w:r>
    </w:p>
    <w:p w:rsidR="00E76F64" w:rsidRPr="00961695" w:rsidRDefault="00E76F64" w:rsidP="00AD50BF">
      <w:pPr>
        <w:pStyle w:val="SCCNormalDoubleSpacing"/>
        <w:spacing w:after="720" w:line="240" w:lineRule="auto"/>
        <w:ind w:left="547" w:hanging="547"/>
        <w:rPr>
          <w:szCs w:val="24"/>
          <w:lang w:val="fr-CA"/>
        </w:rPr>
      </w:pPr>
      <w:r w:rsidRPr="00961695">
        <w:rPr>
          <w:i/>
          <w:szCs w:val="24"/>
          <w:lang w:val="fr-CA"/>
        </w:rPr>
        <w:t>Loi sur la défense nationale</w:t>
      </w:r>
      <w:r w:rsidRPr="00961695">
        <w:rPr>
          <w:szCs w:val="24"/>
          <w:lang w:val="fr-CA"/>
        </w:rPr>
        <w:t xml:space="preserve">, L.R.C. 1985, </w:t>
      </w:r>
      <w:r w:rsidR="00AD50BF" w:rsidRPr="00961695">
        <w:rPr>
          <w:szCs w:val="24"/>
          <w:lang w:val="fr-CA"/>
        </w:rPr>
        <w:t>ch. </w:t>
      </w:r>
      <w:r w:rsidRPr="00961695">
        <w:rPr>
          <w:szCs w:val="24"/>
          <w:lang w:val="fr-CA"/>
        </w:rPr>
        <w:t>N</w:t>
      </w:r>
      <w:r w:rsidR="00AD50BF" w:rsidRPr="00961695">
        <w:rPr>
          <w:szCs w:val="24"/>
          <w:lang w:val="fr-CA"/>
        </w:rPr>
        <w:noBreakHyphen/>
      </w:r>
      <w:r w:rsidRPr="00961695">
        <w:rPr>
          <w:szCs w:val="24"/>
          <w:lang w:val="fr-CA"/>
        </w:rPr>
        <w:t xml:space="preserve">5, </w:t>
      </w:r>
      <w:r w:rsidR="00AD50BF" w:rsidRPr="00961695">
        <w:rPr>
          <w:szCs w:val="24"/>
          <w:lang w:val="fr-CA"/>
        </w:rPr>
        <w:t>art. </w:t>
      </w:r>
      <w:r w:rsidRPr="00961695">
        <w:rPr>
          <w:szCs w:val="24"/>
          <w:lang w:val="fr-CA"/>
        </w:rPr>
        <w:t>245(2)</w:t>
      </w:r>
      <w:r w:rsidRPr="00961695">
        <w:rPr>
          <w:i/>
          <w:szCs w:val="24"/>
          <w:lang w:val="fr-CA"/>
        </w:rPr>
        <w:t>a</w:t>
      </w:r>
      <w:r w:rsidRPr="00961695">
        <w:rPr>
          <w:szCs w:val="24"/>
          <w:lang w:val="fr-CA"/>
        </w:rPr>
        <w:t>).</w:t>
      </w:r>
    </w:p>
    <w:p w:rsidR="00966913" w:rsidRPr="00961695" w:rsidRDefault="009B57B3" w:rsidP="000D4868">
      <w:pPr>
        <w:pStyle w:val="SCCNormalDoubleSpacing"/>
        <w:spacing w:after="480"/>
        <w:rPr>
          <w:szCs w:val="24"/>
          <w:lang w:val="fr-CA"/>
        </w:rPr>
      </w:pPr>
      <w:r w:rsidRPr="00961695">
        <w:rPr>
          <w:szCs w:val="24"/>
          <w:lang w:val="fr-CA"/>
        </w:rPr>
        <w:tab/>
        <w:t>P</w:t>
      </w:r>
      <w:r w:rsidR="0043088E" w:rsidRPr="00961695">
        <w:rPr>
          <w:szCs w:val="24"/>
          <w:lang w:val="fr-CA"/>
        </w:rPr>
        <w:t>OURVOI contre un arrêt de la</w:t>
      </w:r>
      <w:r w:rsidRPr="00961695">
        <w:rPr>
          <w:szCs w:val="24"/>
          <w:lang w:val="fr-CA"/>
        </w:rPr>
        <w:t xml:space="preserve"> Cour d’appel de la cour martiale du Canada</w:t>
      </w:r>
      <w:r w:rsidR="000A4274" w:rsidRPr="00961695">
        <w:rPr>
          <w:szCs w:val="24"/>
          <w:lang w:val="fr-CA"/>
        </w:rPr>
        <w:t xml:space="preserve"> (les juges Pelletier, Trudel et </w:t>
      </w:r>
      <w:proofErr w:type="spellStart"/>
      <w:r w:rsidR="000A4274" w:rsidRPr="00961695">
        <w:rPr>
          <w:szCs w:val="24"/>
          <w:lang w:val="fr-CA"/>
        </w:rPr>
        <w:t>Cournoyer</w:t>
      </w:r>
      <w:proofErr w:type="spellEnd"/>
      <w:r w:rsidR="000A4274" w:rsidRPr="00961695">
        <w:rPr>
          <w:szCs w:val="24"/>
          <w:lang w:val="fr-CA"/>
        </w:rPr>
        <w:t xml:space="preserve">), 2010 CACM 7, [2010] A.C.A.C. </w:t>
      </w:r>
      <w:r w:rsidR="000A4274" w:rsidRPr="00961695">
        <w:rPr>
          <w:szCs w:val="24"/>
          <w:lang w:val="fr-CA"/>
        </w:rPr>
        <w:lastRenderedPageBreak/>
        <w:t>n</w:t>
      </w:r>
      <w:r w:rsidR="000A4274" w:rsidRPr="00961695">
        <w:rPr>
          <w:szCs w:val="24"/>
          <w:vertAlign w:val="superscript"/>
          <w:lang w:val="fr-CA"/>
        </w:rPr>
        <w:t>o</w:t>
      </w:r>
      <w:r w:rsidR="000D4868" w:rsidRPr="00961695">
        <w:rPr>
          <w:szCs w:val="24"/>
          <w:vertAlign w:val="superscript"/>
          <w:lang w:val="fr-CA"/>
        </w:rPr>
        <w:t> </w:t>
      </w:r>
      <w:r w:rsidR="000A4274" w:rsidRPr="00961695">
        <w:rPr>
          <w:szCs w:val="24"/>
          <w:lang w:val="fr-CA"/>
        </w:rPr>
        <w:t xml:space="preserve">7 (QL), 2010 </w:t>
      </w:r>
      <w:proofErr w:type="spellStart"/>
      <w:r w:rsidR="000A4274" w:rsidRPr="00961695">
        <w:rPr>
          <w:szCs w:val="24"/>
          <w:lang w:val="fr-CA"/>
        </w:rPr>
        <w:t>CarswellNat</w:t>
      </w:r>
      <w:proofErr w:type="spellEnd"/>
      <w:r w:rsidR="000A4274" w:rsidRPr="00961695">
        <w:rPr>
          <w:szCs w:val="24"/>
          <w:lang w:val="fr-CA"/>
        </w:rPr>
        <w:t xml:space="preserve"> 4985, qui a modifié </w:t>
      </w:r>
      <w:r w:rsidR="00B343DF" w:rsidRPr="00961695">
        <w:rPr>
          <w:szCs w:val="24"/>
          <w:lang w:val="fr-CA"/>
        </w:rPr>
        <w:t>la peine infligée par le</w:t>
      </w:r>
      <w:r w:rsidR="005933C7" w:rsidRPr="00961695">
        <w:rPr>
          <w:szCs w:val="24"/>
          <w:lang w:val="fr-CA"/>
        </w:rPr>
        <w:t xml:space="preserve"> juge</w:t>
      </w:r>
      <w:r w:rsidR="007176E7" w:rsidRPr="00961695">
        <w:rPr>
          <w:szCs w:val="24"/>
          <w:lang w:val="fr-CA"/>
        </w:rPr>
        <w:t xml:space="preserve"> militaire</w:t>
      </w:r>
      <w:r w:rsidR="000A4274" w:rsidRPr="00961695">
        <w:rPr>
          <w:szCs w:val="24"/>
          <w:lang w:val="fr-CA"/>
        </w:rPr>
        <w:t xml:space="preserve"> D’Auteuil, 2008 CM 3012, 2008 </w:t>
      </w:r>
      <w:proofErr w:type="spellStart"/>
      <w:r w:rsidR="000A4274" w:rsidRPr="00961695">
        <w:rPr>
          <w:szCs w:val="24"/>
          <w:lang w:val="fr-CA"/>
        </w:rPr>
        <w:t>CarswellNat</w:t>
      </w:r>
      <w:proofErr w:type="spellEnd"/>
      <w:r w:rsidR="000A4274" w:rsidRPr="00961695">
        <w:rPr>
          <w:szCs w:val="24"/>
          <w:lang w:val="fr-CA"/>
        </w:rPr>
        <w:t xml:space="preserve"> </w:t>
      </w:r>
      <w:r w:rsidR="005933C7" w:rsidRPr="00961695">
        <w:rPr>
          <w:szCs w:val="24"/>
          <w:lang w:val="fr-CA"/>
        </w:rPr>
        <w:t>2847</w:t>
      </w:r>
      <w:r w:rsidR="000A4274" w:rsidRPr="00961695">
        <w:rPr>
          <w:szCs w:val="24"/>
          <w:lang w:val="fr-CA"/>
        </w:rPr>
        <w:t xml:space="preserve">.  </w:t>
      </w:r>
      <w:r w:rsidR="005933C7" w:rsidRPr="00961695">
        <w:rPr>
          <w:szCs w:val="24"/>
          <w:lang w:val="fr-CA"/>
        </w:rPr>
        <w:t>Pourvoi accueilli.</w:t>
      </w:r>
    </w:p>
    <w:p w:rsidR="00D1149D" w:rsidRPr="00961695" w:rsidRDefault="000A4274" w:rsidP="000D4868">
      <w:pPr>
        <w:pStyle w:val="SCCNormalDoubleSpacing"/>
        <w:spacing w:after="480"/>
        <w:rPr>
          <w:szCs w:val="24"/>
          <w:lang w:val="fr-CA"/>
        </w:rPr>
      </w:pPr>
      <w:r w:rsidRPr="00D374A2">
        <w:rPr>
          <w:rStyle w:val="SCCCounselNameChar"/>
          <w:szCs w:val="24"/>
        </w:rPr>
        <w:tab/>
      </w:r>
      <w:proofErr w:type="spellStart"/>
      <w:r w:rsidR="00B343DF" w:rsidRPr="00D374A2">
        <w:rPr>
          <w:rStyle w:val="SCCCounselNameChar"/>
          <w:szCs w:val="24"/>
        </w:rPr>
        <w:t>Capf</w:t>
      </w:r>
      <w:proofErr w:type="spellEnd"/>
      <w:r w:rsidR="00B343DF" w:rsidRPr="00D374A2">
        <w:rPr>
          <w:rStyle w:val="SCCCounselNameChar"/>
          <w:szCs w:val="24"/>
        </w:rPr>
        <w:t xml:space="preserve"> </w:t>
      </w:r>
      <w:r w:rsidR="00F83CC0" w:rsidRPr="00D374A2">
        <w:rPr>
          <w:rStyle w:val="SCCCounselNameChar"/>
          <w:szCs w:val="24"/>
        </w:rPr>
        <w:t>Martin</w:t>
      </w:r>
      <w:r w:rsidRPr="00D374A2">
        <w:rPr>
          <w:rStyle w:val="SCCCounselNameChar"/>
          <w:szCs w:val="24"/>
        </w:rPr>
        <w:t xml:space="preserve"> Pelletier</w:t>
      </w:r>
      <w:r w:rsidRPr="00D374A2">
        <w:rPr>
          <w:rStyle w:val="SCCCounselSeparatorChar"/>
          <w:szCs w:val="24"/>
        </w:rPr>
        <w:t xml:space="preserve"> et </w:t>
      </w:r>
      <w:proofErr w:type="spellStart"/>
      <w:r w:rsidR="00B343DF" w:rsidRPr="00D374A2">
        <w:rPr>
          <w:rStyle w:val="SCCCounselSeparatorChar"/>
          <w:i/>
          <w:szCs w:val="24"/>
        </w:rPr>
        <w:t>Lcol</w:t>
      </w:r>
      <w:proofErr w:type="spellEnd"/>
      <w:r w:rsidR="00B343DF" w:rsidRPr="00D374A2">
        <w:rPr>
          <w:rStyle w:val="SCCCounselSeparatorChar"/>
          <w:i/>
          <w:szCs w:val="24"/>
        </w:rPr>
        <w:t xml:space="preserve"> </w:t>
      </w:r>
      <w:r w:rsidRPr="00D374A2">
        <w:rPr>
          <w:rStyle w:val="SCCCounselNameChar"/>
          <w:szCs w:val="24"/>
        </w:rPr>
        <w:t xml:space="preserve">Mario </w:t>
      </w:r>
      <w:proofErr w:type="spellStart"/>
      <w:r w:rsidRPr="00D374A2">
        <w:rPr>
          <w:rStyle w:val="SCCCounselNameChar"/>
          <w:szCs w:val="24"/>
        </w:rPr>
        <w:t>Léveillée</w:t>
      </w:r>
      <w:proofErr w:type="spellEnd"/>
      <w:r w:rsidRPr="00D374A2">
        <w:rPr>
          <w:rStyle w:val="SCCCounselPartyRoleChar"/>
          <w:szCs w:val="24"/>
        </w:rPr>
        <w:t>, pour l</w:t>
      </w:r>
      <w:r w:rsidR="00F83CC0" w:rsidRPr="00D374A2">
        <w:rPr>
          <w:rStyle w:val="SCCCounselPartyRoleChar"/>
          <w:szCs w:val="24"/>
        </w:rPr>
        <w:t>’</w:t>
      </w:r>
      <w:r w:rsidRPr="00D374A2">
        <w:rPr>
          <w:rStyle w:val="SCCCounselPartyRoleChar"/>
          <w:szCs w:val="24"/>
        </w:rPr>
        <w:t>appelante.</w:t>
      </w:r>
    </w:p>
    <w:p w:rsidR="00A31352" w:rsidRPr="00961695" w:rsidRDefault="000A4274" w:rsidP="00961695">
      <w:pPr>
        <w:pStyle w:val="SCCNormalDoubleSpacing"/>
        <w:spacing w:after="480"/>
        <w:rPr>
          <w:szCs w:val="24"/>
          <w:lang w:val="fr-CA"/>
        </w:rPr>
      </w:pPr>
      <w:r w:rsidRPr="00D374A2">
        <w:rPr>
          <w:rStyle w:val="SCCCounselNameChar"/>
          <w:szCs w:val="24"/>
        </w:rPr>
        <w:tab/>
        <w:t>François Baril</w:t>
      </w:r>
      <w:r w:rsidR="00F83CC0" w:rsidRPr="00D374A2">
        <w:rPr>
          <w:rStyle w:val="SCCCounselNameChar"/>
          <w:i w:val="0"/>
          <w:szCs w:val="24"/>
        </w:rPr>
        <w:t xml:space="preserve"> et </w:t>
      </w:r>
      <w:r w:rsidR="00F83CC0" w:rsidRPr="00D374A2">
        <w:rPr>
          <w:rStyle w:val="SCCCounselNameChar"/>
          <w:szCs w:val="24"/>
        </w:rPr>
        <w:t xml:space="preserve">Guy </w:t>
      </w:r>
      <w:proofErr w:type="spellStart"/>
      <w:r w:rsidR="00F83CC0" w:rsidRPr="00D374A2">
        <w:rPr>
          <w:rStyle w:val="SCCCounselNameChar"/>
          <w:szCs w:val="24"/>
        </w:rPr>
        <w:t>Régimbald</w:t>
      </w:r>
      <w:proofErr w:type="spellEnd"/>
      <w:r w:rsidRPr="00D374A2">
        <w:rPr>
          <w:rStyle w:val="SCCCounselPartyRoleChar"/>
          <w:szCs w:val="24"/>
        </w:rPr>
        <w:t>, pour l</w:t>
      </w:r>
      <w:r w:rsidR="00F83CC0" w:rsidRPr="00D374A2">
        <w:rPr>
          <w:rStyle w:val="SCCCounselPartyRoleChar"/>
          <w:szCs w:val="24"/>
        </w:rPr>
        <w:t>’</w:t>
      </w:r>
      <w:r w:rsidRPr="00D374A2">
        <w:rPr>
          <w:rStyle w:val="SCCCounselPartyRoleChar"/>
          <w:szCs w:val="24"/>
        </w:rPr>
        <w:t>intimé.</w:t>
      </w:r>
    </w:p>
    <w:p w:rsidR="00961695" w:rsidRPr="00961695" w:rsidRDefault="00961695" w:rsidP="00A31352">
      <w:pPr>
        <w:tabs>
          <w:tab w:val="left" w:pos="-1440"/>
          <w:tab w:val="left" w:pos="-720"/>
          <w:tab w:val="left" w:pos="1170"/>
        </w:tabs>
        <w:spacing w:after="480" w:line="480" w:lineRule="auto"/>
        <w:rPr>
          <w:lang w:val="fr-CA"/>
        </w:rPr>
      </w:pPr>
      <w:r w:rsidRPr="00B8490A">
        <w:rPr>
          <w:lang w:val="fr-CA"/>
        </w:rPr>
        <w:tab/>
      </w:r>
      <w:r w:rsidRPr="00961695">
        <w:rPr>
          <w:lang w:val="fr-CA"/>
        </w:rPr>
        <w:t>Le jugement de la C</w:t>
      </w:r>
      <w:r>
        <w:rPr>
          <w:lang w:val="fr-CA"/>
        </w:rPr>
        <w:t>our a été rendu par</w:t>
      </w:r>
    </w:p>
    <w:p w:rsidR="00A31352" w:rsidRPr="00961695" w:rsidRDefault="00961695" w:rsidP="00961695">
      <w:pPr>
        <w:pStyle w:val="ReasonsNumbering-AltN"/>
        <w:numPr>
          <w:ilvl w:val="0"/>
          <w:numId w:val="1"/>
        </w:numPr>
        <w:ind w:left="0" w:firstLine="0"/>
        <w:rPr>
          <w:lang w:val="fr-CA"/>
        </w:rPr>
      </w:pPr>
      <w:r w:rsidRPr="00961695">
        <w:rPr>
          <w:smallCaps/>
          <w:lang w:val="fr-CA"/>
        </w:rPr>
        <w:t>Le juge Fish</w:t>
      </w:r>
      <w:r w:rsidRPr="00961695">
        <w:rPr>
          <w:lang w:val="fr-CA"/>
        </w:rPr>
        <w:t xml:space="preserve"> —</w:t>
      </w:r>
      <w:r>
        <w:rPr>
          <w:lang w:val="fr-CA"/>
        </w:rPr>
        <w:t xml:space="preserve"> </w:t>
      </w:r>
      <w:r w:rsidR="00A31352" w:rsidRPr="00961695">
        <w:rPr>
          <w:lang w:val="fr-CA"/>
        </w:rPr>
        <w:t>L’appelante interjette appel d’une décision de la Cour d’appel de la cour martiale du Canada (2010 CACM 7, [2010] A.C.A.C. n</w:t>
      </w:r>
      <w:r w:rsidR="00A31352" w:rsidRPr="00961695">
        <w:rPr>
          <w:vertAlign w:val="superscript"/>
          <w:lang w:val="fr-CA"/>
        </w:rPr>
        <w:t>o</w:t>
      </w:r>
      <w:r w:rsidR="00A31352" w:rsidRPr="00961695">
        <w:rPr>
          <w:lang w:val="fr-CA"/>
        </w:rPr>
        <w:t xml:space="preserve"> 7 (QL)) qui, à la majorité, a accueilli l’appel de l’intimé à l’encontre de la peine qui lui a été infligée par le premier juge (2008 CM 3012 (</w:t>
      </w:r>
      <w:proofErr w:type="spellStart"/>
      <w:r w:rsidR="00A31352" w:rsidRPr="00961695">
        <w:rPr>
          <w:lang w:val="fr-CA"/>
        </w:rPr>
        <w:t>CanLII</w:t>
      </w:r>
      <w:proofErr w:type="spellEnd"/>
      <w:r w:rsidR="00A31352" w:rsidRPr="00961695">
        <w:rPr>
          <w:lang w:val="fr-CA"/>
        </w:rPr>
        <w:t>)).</w:t>
      </w:r>
    </w:p>
    <w:p w:rsidR="00A31352" w:rsidRPr="00961695" w:rsidRDefault="00A31352" w:rsidP="00961695">
      <w:pPr>
        <w:pStyle w:val="ReasonsNumbering-AltN"/>
        <w:numPr>
          <w:ilvl w:val="0"/>
          <w:numId w:val="1"/>
        </w:numPr>
        <w:ind w:left="0" w:firstLine="0"/>
        <w:rPr>
          <w:szCs w:val="24"/>
          <w:lang w:val="fr-CA"/>
        </w:rPr>
      </w:pPr>
      <w:r w:rsidRPr="00961695">
        <w:rPr>
          <w:szCs w:val="24"/>
          <w:lang w:val="fr-CA"/>
        </w:rPr>
        <w:t xml:space="preserve">L’appel est </w:t>
      </w:r>
      <w:r w:rsidRPr="00961695">
        <w:rPr>
          <w:lang w:val="fr-CA"/>
        </w:rPr>
        <w:t>interjeté</w:t>
      </w:r>
      <w:r w:rsidRPr="00961695">
        <w:rPr>
          <w:szCs w:val="24"/>
          <w:lang w:val="fr-CA"/>
        </w:rPr>
        <w:t xml:space="preserve"> de plein droit en vertu de l’al. 245(2)</w:t>
      </w:r>
      <w:r w:rsidRPr="00961695">
        <w:rPr>
          <w:i/>
          <w:szCs w:val="24"/>
          <w:lang w:val="fr-CA"/>
        </w:rPr>
        <w:t>a</w:t>
      </w:r>
      <w:r w:rsidRPr="00961695">
        <w:rPr>
          <w:szCs w:val="24"/>
          <w:lang w:val="fr-CA"/>
        </w:rPr>
        <w:t xml:space="preserve">) de la </w:t>
      </w:r>
      <w:r w:rsidRPr="00961695">
        <w:rPr>
          <w:i/>
          <w:szCs w:val="24"/>
          <w:lang w:val="fr-CA"/>
        </w:rPr>
        <w:t>Loi sur la défense nationale</w:t>
      </w:r>
      <w:r w:rsidRPr="00961695">
        <w:rPr>
          <w:szCs w:val="24"/>
          <w:lang w:val="fr-CA"/>
        </w:rPr>
        <w:t xml:space="preserve">, L.R.C. 1985, ch. N-5, qui </w:t>
      </w:r>
      <w:proofErr w:type="gramStart"/>
      <w:r w:rsidRPr="00961695">
        <w:rPr>
          <w:szCs w:val="24"/>
          <w:lang w:val="fr-CA"/>
        </w:rPr>
        <w:t>autorise</w:t>
      </w:r>
      <w:proofErr w:type="gramEnd"/>
      <w:r w:rsidRPr="00961695">
        <w:rPr>
          <w:szCs w:val="24"/>
          <w:lang w:val="fr-CA"/>
        </w:rPr>
        <w:t xml:space="preserve"> le ministre ou un avocat à qui il a donné des instructions à cette fin à « interjeter appe</w:t>
      </w:r>
      <w:r w:rsidR="004704A6">
        <w:rPr>
          <w:szCs w:val="24"/>
          <w:lang w:val="fr-CA"/>
        </w:rPr>
        <w:t>l à la Cour suprême du Canada [. . .</w:t>
      </w:r>
      <w:r w:rsidRPr="00961695">
        <w:rPr>
          <w:szCs w:val="24"/>
          <w:lang w:val="fr-CA"/>
        </w:rPr>
        <w:t xml:space="preserve">] sur toute question de droit [à l’égard de laquelle] un juge de la Cour d’appel de la cour martiale exprime son désaccord ».  À la différence du </w:t>
      </w:r>
      <w:r w:rsidRPr="00961695">
        <w:rPr>
          <w:i/>
          <w:iCs/>
          <w:szCs w:val="24"/>
          <w:lang w:val="fr-CA"/>
        </w:rPr>
        <w:t>Code criminel</w:t>
      </w:r>
      <w:r w:rsidRPr="00961695">
        <w:rPr>
          <w:szCs w:val="24"/>
          <w:lang w:val="fr-CA"/>
        </w:rPr>
        <w:t xml:space="preserve">, L.R.C. 1985, ch. C-46 (art. 691 à 693), cette disposition autorise un appel de plein droit à la Cour suprême à l’encontre d’une décision relative à la peine.  En ce qui concerne les matières régies par le </w:t>
      </w:r>
      <w:r w:rsidRPr="00961695">
        <w:rPr>
          <w:i/>
          <w:iCs/>
          <w:szCs w:val="24"/>
          <w:lang w:val="fr-CA"/>
        </w:rPr>
        <w:t>Code criminel</w:t>
      </w:r>
      <w:r w:rsidRPr="00961695">
        <w:rPr>
          <w:szCs w:val="24"/>
          <w:lang w:val="fr-CA"/>
        </w:rPr>
        <w:t xml:space="preserve">, l’appel d’une telle décision ne peut être interjeté </w:t>
      </w:r>
      <w:r w:rsidRPr="00961695">
        <w:rPr>
          <w:szCs w:val="24"/>
          <w:lang w:val="fr-CA"/>
        </w:rPr>
        <w:lastRenderedPageBreak/>
        <w:t xml:space="preserve">devant la Cour qu’en vertu de l’art. 40 de la </w:t>
      </w:r>
      <w:r w:rsidRPr="00961695">
        <w:rPr>
          <w:i/>
          <w:iCs/>
          <w:szCs w:val="24"/>
          <w:lang w:val="fr-CA"/>
        </w:rPr>
        <w:t>Loi sur la Cour suprême</w:t>
      </w:r>
      <w:r w:rsidRPr="00961695">
        <w:rPr>
          <w:szCs w:val="24"/>
          <w:lang w:val="fr-CA"/>
        </w:rPr>
        <w:t>, L.R.C. 1985, ch. S-26, et ce, avec la permission de la Cour (</w:t>
      </w:r>
      <w:r w:rsidRPr="00961695">
        <w:rPr>
          <w:i/>
          <w:iCs/>
          <w:szCs w:val="24"/>
          <w:lang w:val="fr-CA"/>
        </w:rPr>
        <w:t>R. c. Gardiner</w:t>
      </w:r>
      <w:r w:rsidRPr="00961695">
        <w:rPr>
          <w:szCs w:val="24"/>
          <w:lang w:val="fr-CA"/>
        </w:rPr>
        <w:t xml:space="preserve">, [1982] 2 R.C.S. 368, p. 402-405). </w:t>
      </w:r>
    </w:p>
    <w:p w:rsidR="00A31352" w:rsidRPr="00961695" w:rsidRDefault="00A31352" w:rsidP="00961695">
      <w:pPr>
        <w:pStyle w:val="ReasonsNumbering-AltN"/>
        <w:numPr>
          <w:ilvl w:val="0"/>
          <w:numId w:val="1"/>
        </w:numPr>
        <w:ind w:left="0" w:firstLine="0"/>
        <w:rPr>
          <w:szCs w:val="24"/>
          <w:lang w:val="fr-CA"/>
        </w:rPr>
      </w:pPr>
      <w:r w:rsidRPr="00961695">
        <w:rPr>
          <w:szCs w:val="24"/>
          <w:lang w:val="fr-CA"/>
        </w:rPr>
        <w:t xml:space="preserve">En l’espèce, le </w:t>
      </w:r>
      <w:r w:rsidRPr="00961695">
        <w:rPr>
          <w:lang w:val="fr-CA"/>
        </w:rPr>
        <w:t>juge</w:t>
      </w:r>
      <w:r w:rsidRPr="00961695">
        <w:rPr>
          <w:szCs w:val="24"/>
          <w:lang w:val="fr-CA"/>
        </w:rPr>
        <w:t xml:space="preserve"> </w:t>
      </w:r>
      <w:proofErr w:type="spellStart"/>
      <w:r w:rsidRPr="00961695">
        <w:rPr>
          <w:szCs w:val="24"/>
          <w:lang w:val="fr-CA"/>
        </w:rPr>
        <w:t>Cournoyer</w:t>
      </w:r>
      <w:proofErr w:type="spellEnd"/>
      <w:r w:rsidRPr="00961695">
        <w:rPr>
          <w:szCs w:val="24"/>
          <w:lang w:val="fr-CA"/>
        </w:rPr>
        <w:t>, dissident en Cour d’appel, aurait rejeté le pourvoi de l’intimé au motif qu’il n’était pas loisible à la Cour d’appel, en appliquant la norme pertinente, d’intervenir à l’égard de la décision du premier juge.</w:t>
      </w:r>
    </w:p>
    <w:p w:rsidR="00A31352" w:rsidRPr="00961695" w:rsidRDefault="00A31352" w:rsidP="00961695">
      <w:pPr>
        <w:pStyle w:val="ReasonsNumbering-AltN"/>
        <w:numPr>
          <w:ilvl w:val="0"/>
          <w:numId w:val="1"/>
        </w:numPr>
        <w:ind w:left="0" w:firstLine="0"/>
        <w:rPr>
          <w:szCs w:val="24"/>
          <w:lang w:val="fr-CA"/>
        </w:rPr>
      </w:pPr>
      <w:r w:rsidRPr="00961695">
        <w:rPr>
          <w:szCs w:val="24"/>
          <w:lang w:val="fr-CA"/>
        </w:rPr>
        <w:t xml:space="preserve">Après étude et </w:t>
      </w:r>
      <w:r w:rsidRPr="00961695">
        <w:rPr>
          <w:lang w:val="fr-CA"/>
        </w:rPr>
        <w:t>audition</w:t>
      </w:r>
      <w:r w:rsidRPr="00961695">
        <w:rPr>
          <w:szCs w:val="24"/>
          <w:lang w:val="fr-CA"/>
        </w:rPr>
        <w:t>, nous sommes convaincus que la dissidence en cause porte sur une question de droit aux termes de l’al. 245(2)</w:t>
      </w:r>
      <w:r w:rsidRPr="00961695">
        <w:rPr>
          <w:i/>
          <w:szCs w:val="24"/>
          <w:lang w:val="fr-CA"/>
        </w:rPr>
        <w:t>a</w:t>
      </w:r>
      <w:r w:rsidRPr="00961695">
        <w:rPr>
          <w:szCs w:val="24"/>
          <w:lang w:val="fr-CA"/>
        </w:rPr>
        <w:t xml:space="preserve">) de la </w:t>
      </w:r>
      <w:r w:rsidRPr="00961695">
        <w:rPr>
          <w:i/>
          <w:szCs w:val="24"/>
          <w:lang w:val="fr-CA"/>
        </w:rPr>
        <w:t>Loi sur la défense nationale.</w:t>
      </w:r>
      <w:r w:rsidRPr="00961695">
        <w:rPr>
          <w:szCs w:val="24"/>
          <w:lang w:val="fr-CA"/>
        </w:rPr>
        <w:t xml:space="preserve">  Avec égards pour les juges majoritaires de la Cour d’appel, nous sommes également d’avis d’accueillir le </w:t>
      </w:r>
      <w:r w:rsidRPr="00961695">
        <w:rPr>
          <w:color w:val="000000" w:themeColor="text1"/>
          <w:szCs w:val="24"/>
          <w:lang w:val="fr-CA"/>
        </w:rPr>
        <w:t>pourvoi</w:t>
      </w:r>
      <w:r w:rsidRPr="00961695">
        <w:rPr>
          <w:szCs w:val="24"/>
          <w:lang w:val="fr-CA"/>
        </w:rPr>
        <w:t xml:space="preserve"> pour les motifs exprimés en Cour d’appel par le juge </w:t>
      </w:r>
      <w:proofErr w:type="spellStart"/>
      <w:r w:rsidRPr="00961695">
        <w:rPr>
          <w:szCs w:val="24"/>
          <w:lang w:val="fr-CA"/>
        </w:rPr>
        <w:t>Cournoyer</w:t>
      </w:r>
      <w:proofErr w:type="spellEnd"/>
      <w:r w:rsidRPr="00961695">
        <w:rPr>
          <w:szCs w:val="24"/>
          <w:lang w:val="fr-CA"/>
        </w:rPr>
        <w:t>, et de rétablir la décision du premier juge relativement à la peine.</w:t>
      </w:r>
    </w:p>
    <w:p w:rsidR="0033393C" w:rsidRPr="00961695" w:rsidRDefault="00A7017D" w:rsidP="000D4868">
      <w:pPr>
        <w:pStyle w:val="SCCNormalDoubleSpacing"/>
        <w:spacing w:after="480"/>
        <w:rPr>
          <w:i/>
          <w:szCs w:val="24"/>
          <w:lang w:val="fr-CA"/>
        </w:rPr>
      </w:pPr>
      <w:r w:rsidRPr="00961695">
        <w:rPr>
          <w:i/>
          <w:szCs w:val="24"/>
          <w:lang w:val="fr-CA"/>
        </w:rPr>
        <w:tab/>
        <w:t>Pourvoi accueilli.</w:t>
      </w:r>
    </w:p>
    <w:p w:rsidR="00A7017D" w:rsidRPr="00961695" w:rsidRDefault="00A7017D" w:rsidP="000D4868">
      <w:pPr>
        <w:pStyle w:val="SCCNormalDoubleSpacing"/>
        <w:spacing w:after="480"/>
        <w:rPr>
          <w:i/>
          <w:szCs w:val="24"/>
          <w:lang w:val="fr-CA"/>
        </w:rPr>
      </w:pPr>
      <w:r w:rsidRPr="00961695">
        <w:rPr>
          <w:i/>
          <w:szCs w:val="24"/>
          <w:lang w:val="fr-CA"/>
        </w:rPr>
        <w:tab/>
        <w:t>Procureur de l’appelante</w:t>
      </w:r>
      <w:r w:rsidR="00AD50BF" w:rsidRPr="00961695">
        <w:rPr>
          <w:i/>
          <w:szCs w:val="24"/>
          <w:lang w:val="fr-CA"/>
        </w:rPr>
        <w:t> :</w:t>
      </w:r>
      <w:r w:rsidR="000D4868" w:rsidRPr="00961695">
        <w:rPr>
          <w:i/>
          <w:szCs w:val="24"/>
          <w:lang w:val="fr-CA"/>
        </w:rPr>
        <w:t> </w:t>
      </w:r>
      <w:r w:rsidRPr="00961695">
        <w:rPr>
          <w:i/>
          <w:szCs w:val="24"/>
          <w:lang w:val="fr-CA"/>
        </w:rPr>
        <w:t>Service canadien des poursuites militaires, Ottawa.</w:t>
      </w:r>
    </w:p>
    <w:p w:rsidR="00A7017D" w:rsidRPr="00961695" w:rsidRDefault="00A7017D" w:rsidP="000D4868">
      <w:pPr>
        <w:pStyle w:val="SCCNormalDoubleSpacing"/>
        <w:rPr>
          <w:szCs w:val="24"/>
          <w:lang w:val="fr-CA"/>
        </w:rPr>
      </w:pPr>
      <w:r w:rsidRPr="00961695">
        <w:rPr>
          <w:i/>
          <w:szCs w:val="24"/>
          <w:lang w:val="fr-CA"/>
        </w:rPr>
        <w:tab/>
        <w:t>Procureurs de l’intimé</w:t>
      </w:r>
      <w:r w:rsidR="00AD50BF" w:rsidRPr="00961695">
        <w:rPr>
          <w:i/>
          <w:szCs w:val="24"/>
          <w:lang w:val="fr-CA"/>
        </w:rPr>
        <w:t> :</w:t>
      </w:r>
      <w:r w:rsidR="000D4868" w:rsidRPr="00961695">
        <w:rPr>
          <w:i/>
          <w:szCs w:val="24"/>
          <w:lang w:val="fr-CA"/>
        </w:rPr>
        <w:t> </w:t>
      </w:r>
      <w:proofErr w:type="spellStart"/>
      <w:r w:rsidRPr="00961695">
        <w:rPr>
          <w:i/>
          <w:szCs w:val="24"/>
          <w:lang w:val="fr-CA"/>
        </w:rPr>
        <w:t>Gowling</w:t>
      </w:r>
      <w:proofErr w:type="spellEnd"/>
      <w:r w:rsidRPr="00961695">
        <w:rPr>
          <w:i/>
          <w:szCs w:val="24"/>
          <w:lang w:val="fr-CA"/>
        </w:rPr>
        <w:t xml:space="preserve"> Lafleur Henderson, Ottawa</w:t>
      </w:r>
      <w:r w:rsidRPr="00961695">
        <w:rPr>
          <w:szCs w:val="24"/>
          <w:lang w:val="fr-CA"/>
        </w:rPr>
        <w:t>.</w:t>
      </w:r>
    </w:p>
    <w:sectPr w:rsidR="00A7017D" w:rsidRPr="00961695" w:rsidSect="0096169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35" w:rsidRDefault="00DA4635">
      <w:r>
        <w:separator/>
      </w:r>
    </w:p>
  </w:endnote>
  <w:endnote w:type="continuationSeparator" w:id="0">
    <w:p w:rsidR="00DA4635" w:rsidRDefault="00DA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5" w:rsidRDefault="00DA463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5" w:rsidRDefault="00DA463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35" w:rsidRDefault="00DA4635">
      <w:r>
        <w:separator/>
      </w:r>
    </w:p>
  </w:footnote>
  <w:footnote w:type="continuationSeparator" w:id="0">
    <w:p w:rsidR="00DA4635" w:rsidRDefault="00DA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5" w:rsidRDefault="00DA463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513"/>
      <w:docPartObj>
        <w:docPartGallery w:val="Page Numbers (Top of Page)"/>
        <w:docPartUnique/>
      </w:docPartObj>
    </w:sdtPr>
    <w:sdtContent>
      <w:p w:rsidR="00DA4635" w:rsidRDefault="00DA4635">
        <w:pPr>
          <w:pStyle w:val="Header"/>
          <w:jc w:val="center"/>
        </w:pPr>
        <w:r>
          <w:t xml:space="preserve">- </w:t>
        </w:r>
        <w:fldSimple w:instr=" PAGE   \* MERGEFORMAT ">
          <w:r w:rsidR="00623305">
            <w:rPr>
              <w:noProof/>
            </w:rPr>
            <w:t>2</w:t>
          </w:r>
        </w:fldSimple>
        <w:r>
          <w:t xml:space="preserve"> -</w:t>
        </w:r>
      </w:p>
    </w:sdtContent>
  </w:sdt>
  <w:p w:rsidR="00DA4635" w:rsidRPr="00AD50BF" w:rsidRDefault="00DA4635" w:rsidP="00AD50BF">
    <w:pPr>
      <w:pStyle w:val="Header"/>
      <w:spacing w:after="720"/>
      <w:jc w:val="cent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BA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C4D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A6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248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03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2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2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64FE2"/>
    <w:multiLevelType w:val="hybridMultilevel"/>
    <w:tmpl w:val="0B76EEBC"/>
    <w:lvl w:ilvl="0" w:tplc="434646E8">
      <w:start w:val="1"/>
      <w:numFmt w:val="decimal"/>
      <w:pStyle w:val="ReasonsNumbering-AltN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linkStyl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147BC"/>
    <w:rsid w:val="00025198"/>
    <w:rsid w:val="00047412"/>
    <w:rsid w:val="00055A36"/>
    <w:rsid w:val="000578A3"/>
    <w:rsid w:val="00064563"/>
    <w:rsid w:val="000648CC"/>
    <w:rsid w:val="00094828"/>
    <w:rsid w:val="00094DE0"/>
    <w:rsid w:val="000A4274"/>
    <w:rsid w:val="000A52DE"/>
    <w:rsid w:val="000A5321"/>
    <w:rsid w:val="000C59B8"/>
    <w:rsid w:val="000D4868"/>
    <w:rsid w:val="000D6A5A"/>
    <w:rsid w:val="000E2EA7"/>
    <w:rsid w:val="00101E89"/>
    <w:rsid w:val="00111DE2"/>
    <w:rsid w:val="00116B38"/>
    <w:rsid w:val="0013109F"/>
    <w:rsid w:val="00133A22"/>
    <w:rsid w:val="00135406"/>
    <w:rsid w:val="00135972"/>
    <w:rsid w:val="00140667"/>
    <w:rsid w:val="001426A9"/>
    <w:rsid w:val="00154D7C"/>
    <w:rsid w:val="001570B0"/>
    <w:rsid w:val="00171EDA"/>
    <w:rsid w:val="00172A04"/>
    <w:rsid w:val="00175A97"/>
    <w:rsid w:val="00185394"/>
    <w:rsid w:val="001A451D"/>
    <w:rsid w:val="001B33E0"/>
    <w:rsid w:val="001B4573"/>
    <w:rsid w:val="001C779F"/>
    <w:rsid w:val="001D2AC1"/>
    <w:rsid w:val="001F7673"/>
    <w:rsid w:val="00220FC2"/>
    <w:rsid w:val="00224FC0"/>
    <w:rsid w:val="00225EA4"/>
    <w:rsid w:val="00226EAF"/>
    <w:rsid w:val="00231F3A"/>
    <w:rsid w:val="002406EE"/>
    <w:rsid w:val="00267181"/>
    <w:rsid w:val="002727C1"/>
    <w:rsid w:val="002745CC"/>
    <w:rsid w:val="002D39A4"/>
    <w:rsid w:val="002E6705"/>
    <w:rsid w:val="002F0111"/>
    <w:rsid w:val="002F696C"/>
    <w:rsid w:val="0030329A"/>
    <w:rsid w:val="00307AFD"/>
    <w:rsid w:val="0031086F"/>
    <w:rsid w:val="00310E05"/>
    <w:rsid w:val="0031414C"/>
    <w:rsid w:val="00314E01"/>
    <w:rsid w:val="0032089D"/>
    <w:rsid w:val="0033393C"/>
    <w:rsid w:val="0034770C"/>
    <w:rsid w:val="0035259D"/>
    <w:rsid w:val="003676F2"/>
    <w:rsid w:val="00384024"/>
    <w:rsid w:val="003866EC"/>
    <w:rsid w:val="00391DAE"/>
    <w:rsid w:val="00394476"/>
    <w:rsid w:val="003A4C70"/>
    <w:rsid w:val="003A4E15"/>
    <w:rsid w:val="003C799C"/>
    <w:rsid w:val="003E1C71"/>
    <w:rsid w:val="003F327B"/>
    <w:rsid w:val="00401071"/>
    <w:rsid w:val="004059A7"/>
    <w:rsid w:val="00406166"/>
    <w:rsid w:val="00411300"/>
    <w:rsid w:val="00426659"/>
    <w:rsid w:val="00430862"/>
    <w:rsid w:val="0043088E"/>
    <w:rsid w:val="004417C3"/>
    <w:rsid w:val="004439D8"/>
    <w:rsid w:val="00465132"/>
    <w:rsid w:val="004704A6"/>
    <w:rsid w:val="00480C90"/>
    <w:rsid w:val="0048396F"/>
    <w:rsid w:val="00493C18"/>
    <w:rsid w:val="00494CDC"/>
    <w:rsid w:val="00497F60"/>
    <w:rsid w:val="004A600C"/>
    <w:rsid w:val="004C478D"/>
    <w:rsid w:val="004E40B8"/>
    <w:rsid w:val="004E6A2C"/>
    <w:rsid w:val="00521AE8"/>
    <w:rsid w:val="00527180"/>
    <w:rsid w:val="00536719"/>
    <w:rsid w:val="005564A7"/>
    <w:rsid w:val="005841DB"/>
    <w:rsid w:val="005933C7"/>
    <w:rsid w:val="005B1CA1"/>
    <w:rsid w:val="005D2DE1"/>
    <w:rsid w:val="005E4698"/>
    <w:rsid w:val="00623305"/>
    <w:rsid w:val="00625C35"/>
    <w:rsid w:val="00634E1B"/>
    <w:rsid w:val="00645057"/>
    <w:rsid w:val="00654858"/>
    <w:rsid w:val="006565F4"/>
    <w:rsid w:val="00681AD1"/>
    <w:rsid w:val="006A56F1"/>
    <w:rsid w:val="006B5FF5"/>
    <w:rsid w:val="006C5661"/>
    <w:rsid w:val="006D4790"/>
    <w:rsid w:val="006E2EF9"/>
    <w:rsid w:val="00701759"/>
    <w:rsid w:val="00702C6F"/>
    <w:rsid w:val="007176E7"/>
    <w:rsid w:val="00747288"/>
    <w:rsid w:val="00747DD3"/>
    <w:rsid w:val="00752F4E"/>
    <w:rsid w:val="007549C8"/>
    <w:rsid w:val="00762D30"/>
    <w:rsid w:val="00763377"/>
    <w:rsid w:val="00766D14"/>
    <w:rsid w:val="00767A0F"/>
    <w:rsid w:val="007712F0"/>
    <w:rsid w:val="007834A8"/>
    <w:rsid w:val="007A05F6"/>
    <w:rsid w:val="007B6F4A"/>
    <w:rsid w:val="007E1C47"/>
    <w:rsid w:val="007E337A"/>
    <w:rsid w:val="007E5C70"/>
    <w:rsid w:val="007F2686"/>
    <w:rsid w:val="007F2FF5"/>
    <w:rsid w:val="00817190"/>
    <w:rsid w:val="008322BD"/>
    <w:rsid w:val="00855307"/>
    <w:rsid w:val="00862CF3"/>
    <w:rsid w:val="00864CF8"/>
    <w:rsid w:val="00874914"/>
    <w:rsid w:val="00892E1A"/>
    <w:rsid w:val="008958F5"/>
    <w:rsid w:val="008A6558"/>
    <w:rsid w:val="008A727C"/>
    <w:rsid w:val="008C01DA"/>
    <w:rsid w:val="008F16D9"/>
    <w:rsid w:val="008F78E9"/>
    <w:rsid w:val="00902462"/>
    <w:rsid w:val="009403F3"/>
    <w:rsid w:val="00957FA2"/>
    <w:rsid w:val="00961695"/>
    <w:rsid w:val="00966913"/>
    <w:rsid w:val="00967374"/>
    <w:rsid w:val="0097543E"/>
    <w:rsid w:val="00983F3F"/>
    <w:rsid w:val="00985C69"/>
    <w:rsid w:val="00986F21"/>
    <w:rsid w:val="0099079B"/>
    <w:rsid w:val="009A2BBE"/>
    <w:rsid w:val="009B2F23"/>
    <w:rsid w:val="009B53E2"/>
    <w:rsid w:val="009B57B3"/>
    <w:rsid w:val="009D5AEB"/>
    <w:rsid w:val="009E3C14"/>
    <w:rsid w:val="009F383F"/>
    <w:rsid w:val="00A05F0E"/>
    <w:rsid w:val="00A21107"/>
    <w:rsid w:val="00A21B90"/>
    <w:rsid w:val="00A24E15"/>
    <w:rsid w:val="00A2545A"/>
    <w:rsid w:val="00A31352"/>
    <w:rsid w:val="00A548CB"/>
    <w:rsid w:val="00A55D3B"/>
    <w:rsid w:val="00A6242E"/>
    <w:rsid w:val="00A643E7"/>
    <w:rsid w:val="00A7017D"/>
    <w:rsid w:val="00A73C38"/>
    <w:rsid w:val="00AC6322"/>
    <w:rsid w:val="00AC7437"/>
    <w:rsid w:val="00AC7A44"/>
    <w:rsid w:val="00AD50BF"/>
    <w:rsid w:val="00AF03C5"/>
    <w:rsid w:val="00AF6C0A"/>
    <w:rsid w:val="00B000D8"/>
    <w:rsid w:val="00B00F75"/>
    <w:rsid w:val="00B145B6"/>
    <w:rsid w:val="00B343DF"/>
    <w:rsid w:val="00B50C81"/>
    <w:rsid w:val="00B557F8"/>
    <w:rsid w:val="00B64972"/>
    <w:rsid w:val="00B66DD8"/>
    <w:rsid w:val="00B8145D"/>
    <w:rsid w:val="00B815FC"/>
    <w:rsid w:val="00B8490A"/>
    <w:rsid w:val="00B93FBC"/>
    <w:rsid w:val="00C02092"/>
    <w:rsid w:val="00C057F7"/>
    <w:rsid w:val="00C0663B"/>
    <w:rsid w:val="00C24C8C"/>
    <w:rsid w:val="00C24D91"/>
    <w:rsid w:val="00C52532"/>
    <w:rsid w:val="00C53F14"/>
    <w:rsid w:val="00C55C2E"/>
    <w:rsid w:val="00C600CF"/>
    <w:rsid w:val="00C6084F"/>
    <w:rsid w:val="00C62A66"/>
    <w:rsid w:val="00C62A6F"/>
    <w:rsid w:val="00C67CA5"/>
    <w:rsid w:val="00C71458"/>
    <w:rsid w:val="00C71F58"/>
    <w:rsid w:val="00C77613"/>
    <w:rsid w:val="00C828E7"/>
    <w:rsid w:val="00C921DD"/>
    <w:rsid w:val="00CA4D82"/>
    <w:rsid w:val="00CA6391"/>
    <w:rsid w:val="00CE3171"/>
    <w:rsid w:val="00CF1601"/>
    <w:rsid w:val="00D11452"/>
    <w:rsid w:val="00D1149D"/>
    <w:rsid w:val="00D32086"/>
    <w:rsid w:val="00D374A2"/>
    <w:rsid w:val="00D37A3F"/>
    <w:rsid w:val="00D45FCF"/>
    <w:rsid w:val="00D4667A"/>
    <w:rsid w:val="00D510BB"/>
    <w:rsid w:val="00D5435D"/>
    <w:rsid w:val="00D74F2E"/>
    <w:rsid w:val="00DA0590"/>
    <w:rsid w:val="00DA4635"/>
    <w:rsid w:val="00DC1788"/>
    <w:rsid w:val="00DF0CA8"/>
    <w:rsid w:val="00DF49A7"/>
    <w:rsid w:val="00E01106"/>
    <w:rsid w:val="00E073A4"/>
    <w:rsid w:val="00E07EE2"/>
    <w:rsid w:val="00E17D16"/>
    <w:rsid w:val="00E24573"/>
    <w:rsid w:val="00E3690A"/>
    <w:rsid w:val="00E377A1"/>
    <w:rsid w:val="00E45109"/>
    <w:rsid w:val="00E54B02"/>
    <w:rsid w:val="00E76F64"/>
    <w:rsid w:val="00E77419"/>
    <w:rsid w:val="00E97830"/>
    <w:rsid w:val="00EA03E5"/>
    <w:rsid w:val="00EC5077"/>
    <w:rsid w:val="00EE0FAF"/>
    <w:rsid w:val="00F00EB7"/>
    <w:rsid w:val="00F2258E"/>
    <w:rsid w:val="00F329F4"/>
    <w:rsid w:val="00F33658"/>
    <w:rsid w:val="00F36AB6"/>
    <w:rsid w:val="00F409CE"/>
    <w:rsid w:val="00F83CC0"/>
    <w:rsid w:val="00F84DF4"/>
    <w:rsid w:val="00F853FB"/>
    <w:rsid w:val="00F85C97"/>
    <w:rsid w:val="00FA2FE1"/>
    <w:rsid w:val="00FC606D"/>
    <w:rsid w:val="00FD068D"/>
    <w:rsid w:val="00FD46BC"/>
    <w:rsid w:val="00FD4F28"/>
    <w:rsid w:val="00FE4B4D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5A"/>
    <w:rPr>
      <w:sz w:val="24"/>
    </w:rPr>
  </w:style>
  <w:style w:type="paragraph" w:styleId="Heading1">
    <w:name w:val="heading 1"/>
    <w:next w:val="ReasonsNumbering-AltN"/>
    <w:link w:val="Heading1Char"/>
    <w:uiPriority w:val="2"/>
    <w:qFormat/>
    <w:rsid w:val="000D6A5A"/>
    <w:pPr>
      <w:tabs>
        <w:tab w:val="left" w:pos="360"/>
      </w:tabs>
      <w:spacing w:before="480" w:after="480"/>
      <w:ind w:left="360" w:hanging="360"/>
      <w:jc w:val="both"/>
      <w:outlineLvl w:val="0"/>
    </w:pPr>
    <w:rPr>
      <w:rFonts w:eastAsiaTheme="majorEastAsia" w:cstheme="majorBidi"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D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AC6322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AC6322"/>
    <w:rPr>
      <w:sz w:val="24"/>
      <w:lang w:val="fr-CA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D6A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5A"/>
    <w:rPr>
      <w:rFonts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5A"/>
    <w:rPr>
      <w:rFonts w:cs="Tahoma"/>
      <w:sz w:val="28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5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A5A"/>
    <w:rPr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D6A5A"/>
    <w:pPr>
      <w:spacing w:after="480"/>
      <w:jc w:val="both"/>
    </w:pPr>
    <w:rPr>
      <w:rFonts w:eastAsiaTheme="minorHAnsi" w:cstheme="minorBidi"/>
      <w:szCs w:val="22"/>
      <w:lang w:eastAsia="en-US"/>
    </w:rPr>
  </w:style>
  <w:style w:type="character" w:customStyle="1" w:styleId="SCCLsocPartyChar">
    <w:name w:val="SCC.Lsoc.Party Char"/>
    <w:basedOn w:val="DefaultParagraphFont"/>
    <w:link w:val="SCCLsocParty"/>
    <w:rsid w:val="000D6A5A"/>
    <w:rPr>
      <w:rFonts w:eastAsiaTheme="minorHAnsi" w:cstheme="minorBidi"/>
      <w:sz w:val="24"/>
      <w:szCs w:val="22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0D6A5A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VersusChar">
    <w:name w:val="SCC.Lsoc.Versus Char"/>
    <w:basedOn w:val="DefaultParagraphFont"/>
    <w:link w:val="SCCLsocVersus"/>
    <w:rsid w:val="000D6A5A"/>
    <w:rPr>
      <w:rFonts w:eastAsiaTheme="minorHAnsi" w:cstheme="minorBidi"/>
      <w:sz w:val="24"/>
      <w:szCs w:val="22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25EA4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225EA4"/>
    <w:rPr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D6A5A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D6A5A"/>
    <w:rPr>
      <w:rFonts w:eastAsiaTheme="minorHAnsi" w:cstheme="minorBidi"/>
      <w:sz w:val="24"/>
      <w:szCs w:val="22"/>
      <w:lang w:eastAsia="en-US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0D6A5A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0D6A5A"/>
    <w:rPr>
      <w:rFonts w:eastAsiaTheme="minorHAnsi" w:cstheme="minorBidi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0D6A5A"/>
    <w:rPr>
      <w:rFonts w:eastAsiaTheme="majorEastAsia" w:cstheme="majorBidi"/>
      <w:bCs/>
      <w:sz w:val="24"/>
      <w:szCs w:val="28"/>
      <w:lang w:eastAsia="en-US"/>
    </w:rPr>
  </w:style>
  <w:style w:type="paragraph" w:customStyle="1" w:styleId="SCCBanSummary">
    <w:name w:val="SCC.BanSummary"/>
    <w:basedOn w:val="Normal"/>
    <w:next w:val="Normal"/>
    <w:link w:val="SCCBanSummaryChar"/>
    <w:rsid w:val="000D6A5A"/>
    <w:pPr>
      <w:jc w:val="right"/>
    </w:pPr>
    <w:rPr>
      <w:rFonts w:eastAsiaTheme="minorEastAsia"/>
      <w:b/>
      <w:szCs w:val="24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C62A6F"/>
    <w:rPr>
      <w:i/>
    </w:rPr>
  </w:style>
  <w:style w:type="character" w:customStyle="1" w:styleId="SCCLawFirmChar">
    <w:name w:val="SCC.LawFirm Char"/>
    <w:basedOn w:val="SCCNormalDoubleSpacingChar"/>
    <w:link w:val="SCCLawFirm"/>
    <w:rsid w:val="00C62A6F"/>
    <w:rPr>
      <w:i/>
      <w:lang w:val="fr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4439D8"/>
  </w:style>
  <w:style w:type="character" w:customStyle="1" w:styleId="SCCCounselPartyRoleChar">
    <w:name w:val="SCC.CounselPartyRole Char"/>
    <w:basedOn w:val="SCCNormalDoubleSpacingChar"/>
    <w:link w:val="SCCCounselPartyRole"/>
    <w:rsid w:val="004439D8"/>
    <w:rPr>
      <w:lang w:val="fr-CA"/>
    </w:rPr>
  </w:style>
  <w:style w:type="paragraph" w:styleId="ListParagraph">
    <w:name w:val="List Paragraph"/>
    <w:basedOn w:val="Normal"/>
    <w:uiPriority w:val="34"/>
    <w:qFormat/>
    <w:rsid w:val="00A31352"/>
    <w:pPr>
      <w:ind w:left="720"/>
    </w:pPr>
  </w:style>
  <w:style w:type="paragraph" w:customStyle="1" w:styleId="SCCCoram">
    <w:name w:val="SCC.Coram"/>
    <w:basedOn w:val="Normal"/>
    <w:next w:val="Normal"/>
    <w:link w:val="SCCCoramChar"/>
    <w:rsid w:val="000D6A5A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DefaultParagraphFont"/>
    <w:link w:val="SCCCoram"/>
    <w:rsid w:val="000D6A5A"/>
    <w:rPr>
      <w:rFonts w:eastAsia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D6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ueReasonsNo-AltP">
    <w:name w:val="Continue Reasons No # - Alt P"/>
    <w:next w:val="ReasonsNumbering-AltN"/>
    <w:uiPriority w:val="1"/>
    <w:qFormat/>
    <w:rsid w:val="000D6A5A"/>
    <w:pPr>
      <w:spacing w:before="480" w:after="480" w:line="48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0D6A5A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0D6A5A"/>
    <w:rPr>
      <w:rFonts w:eastAsiaTheme="minorHAnsi" w:cstheme="minorBidi"/>
      <w:sz w:val="24"/>
      <w:szCs w:val="22"/>
      <w:lang w:eastAsia="en-US"/>
    </w:rPr>
  </w:style>
  <w:style w:type="character" w:customStyle="1" w:styleId="SCCBanSummaryChar">
    <w:name w:val="SCC.BanSummary Char"/>
    <w:basedOn w:val="DefaultParagraphFont"/>
    <w:link w:val="SCCBanSummary"/>
    <w:rsid w:val="000D6A5A"/>
    <w:rPr>
      <w:rFonts w:eastAsiaTheme="minorEastAsia"/>
      <w:b/>
      <w:sz w:val="24"/>
      <w:szCs w:val="24"/>
    </w:rPr>
  </w:style>
  <w:style w:type="paragraph" w:customStyle="1" w:styleId="ReasonsNumbering-AltN">
    <w:name w:val="Reasons Numbering - Alt N"/>
    <w:qFormat/>
    <w:rsid w:val="000D6A5A"/>
    <w:pPr>
      <w:numPr>
        <w:numId w:val="6"/>
      </w:numPr>
      <w:tabs>
        <w:tab w:val="left" w:pos="1152"/>
      </w:tabs>
      <w:spacing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itation-AltC">
    <w:name w:val="Citation - Alt C"/>
    <w:uiPriority w:val="2"/>
    <w:qFormat/>
    <w:rsid w:val="000D6A5A"/>
    <w:pPr>
      <w:spacing w:after="720"/>
      <w:ind w:left="1166"/>
      <w:contextualSpacing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A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5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6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9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60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yolai\Desktop\Ltr_J18_f%20-%20revised%20Feb%2021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Ltr_J18_f - revised Feb 21 2011.dotx</Template>
  <TotalTime>0</TotalTime>
  <Pages>5</Pages>
  <Words>719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2011-04-01T12:18:00Z</dcterms:created>
  <dcterms:modified xsi:type="dcterms:W3CDTF">2011-08-30T19:11:00Z</dcterms:modified>
</cp:coreProperties>
</file>