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A6" w:rsidRPr="0045742B" w:rsidRDefault="00BC3FA6" w:rsidP="00BC3FA6">
      <w:pPr>
        <w:tabs>
          <w:tab w:val="center" w:pos="4680"/>
          <w:tab w:val="right" w:pos="9360"/>
        </w:tabs>
        <w:rPr>
          <w:rFonts w:eastAsiaTheme="minorHAnsi" w:cstheme="minorBidi"/>
          <w:szCs w:val="24"/>
          <w:lang w:eastAsia="en-US"/>
        </w:rPr>
      </w:pPr>
      <w:r w:rsidRPr="0045742B">
        <w:rPr>
          <w:rFonts w:eastAsiaTheme="minorHAnsi" w:cstheme="minorBidi"/>
          <w:szCs w:val="24"/>
          <w:lang w:eastAsia="en-US"/>
        </w:rPr>
        <w:ptab w:relativeTo="margin" w:alignment="center" w:leader="none"/>
      </w:r>
      <w:r w:rsidRPr="0045742B">
        <w:rPr>
          <w:rFonts w:eastAsiaTheme="minorHAnsi" w:cstheme="minorBidi"/>
          <w:szCs w:val="24"/>
          <w:lang w:eastAsia="en-US"/>
        </w:rPr>
        <w:t xml:space="preserve"> </w:t>
      </w:r>
      <w:r w:rsidRPr="0045742B">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79500324" r:id="rId9"/>
        </w:object>
      </w:r>
      <w:r w:rsidRPr="0045742B">
        <w:rPr>
          <w:rFonts w:eastAsiaTheme="minorHAnsi" w:cstheme="minorBidi"/>
          <w:szCs w:val="24"/>
          <w:lang w:eastAsia="en-US"/>
        </w:rPr>
        <w:t xml:space="preserve"> </w:t>
      </w:r>
      <w:r w:rsidRPr="0045742B">
        <w:rPr>
          <w:rFonts w:eastAsiaTheme="minorHAnsi" w:cstheme="minorBidi"/>
          <w:szCs w:val="24"/>
          <w:lang w:eastAsia="en-US"/>
        </w:rPr>
        <w:ptab w:relativeTo="margin" w:alignment="right" w:leader="none"/>
      </w:r>
    </w:p>
    <w:p w:rsidR="00BC3FA6" w:rsidRPr="0045742B" w:rsidRDefault="00BC3FA6" w:rsidP="00BC3FA6">
      <w:pPr>
        <w:tabs>
          <w:tab w:val="center" w:pos="4680"/>
          <w:tab w:val="right" w:pos="9360"/>
        </w:tabs>
        <w:rPr>
          <w:rFonts w:eastAsiaTheme="minorHAnsi" w:cstheme="minorBidi"/>
          <w:szCs w:val="24"/>
          <w:lang w:eastAsia="en-US"/>
        </w:rPr>
      </w:pPr>
    </w:p>
    <w:p w:rsidR="00BC3FA6" w:rsidRPr="0045742B" w:rsidRDefault="00BC3FA6" w:rsidP="00BC3FA6">
      <w:pPr>
        <w:jc w:val="center"/>
        <w:rPr>
          <w:rFonts w:eastAsiaTheme="minorHAnsi" w:cstheme="minorBidi"/>
          <w:b/>
          <w:szCs w:val="24"/>
          <w:lang w:eastAsia="en-US"/>
        </w:rPr>
      </w:pPr>
      <w:r w:rsidRPr="0045742B">
        <w:rPr>
          <w:rFonts w:eastAsiaTheme="minorHAnsi" w:cstheme="minorBidi"/>
          <w:b/>
          <w:szCs w:val="24"/>
          <w:lang w:eastAsia="en-US"/>
        </w:rPr>
        <w:t>COUR SUPRÊME DU CANADA</w:t>
      </w:r>
    </w:p>
    <w:p w:rsidR="00BC3FA6" w:rsidRPr="0045742B" w:rsidRDefault="00BC3FA6" w:rsidP="00BC3FA6">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C3FA6" w:rsidRPr="0045742B" w:rsidTr="00C23EF6">
        <w:trPr>
          <w:cantSplit/>
        </w:trPr>
        <w:tc>
          <w:tcPr>
            <w:tcW w:w="6768" w:type="dxa"/>
          </w:tcPr>
          <w:p w:rsidR="00BC3FA6" w:rsidRPr="00BC3FA6" w:rsidRDefault="00BC3FA6" w:rsidP="00C23EF6">
            <w:r w:rsidRPr="0045742B">
              <w:rPr>
                <w:b/>
                <w:smallCaps/>
              </w:rPr>
              <w:t>Référence :</w:t>
            </w:r>
            <w:r w:rsidRPr="0045742B">
              <w:t xml:space="preserve"> R. </w:t>
            </w:r>
            <w:r w:rsidRPr="0045742B">
              <w:rPr>
                <w:i/>
              </w:rPr>
              <w:t>c</w:t>
            </w:r>
            <w:r w:rsidRPr="0045742B">
              <w:t xml:space="preserve">. Loewen, </w:t>
            </w:r>
            <w:r w:rsidRPr="00BC3FA6">
              <w:rPr>
                <w:rStyle w:val="SCCRespondentForRunningHeadChar"/>
                <w:szCs w:val="24"/>
              </w:rPr>
              <w:t>2011 CSC 21, [2011] 2 R.C.S. 167</w:t>
            </w:r>
          </w:p>
        </w:tc>
        <w:tc>
          <w:tcPr>
            <w:tcW w:w="2808" w:type="dxa"/>
          </w:tcPr>
          <w:p w:rsidR="00BC3FA6" w:rsidRPr="0045742B" w:rsidRDefault="00BC3FA6" w:rsidP="00C23EF6">
            <w:r w:rsidRPr="0045742B">
              <w:rPr>
                <w:b/>
                <w:smallCaps/>
              </w:rPr>
              <w:t>Date :</w:t>
            </w:r>
            <w:r w:rsidRPr="0045742B">
              <w:t xml:space="preserve"> 20110505</w:t>
            </w:r>
          </w:p>
          <w:p w:rsidR="00BC3FA6" w:rsidRPr="0045742B" w:rsidRDefault="00BC3FA6" w:rsidP="00C23EF6">
            <w:r w:rsidRPr="0045742B">
              <w:rPr>
                <w:b/>
                <w:smallCaps/>
              </w:rPr>
              <w:t>Dossier :</w:t>
            </w:r>
            <w:r w:rsidRPr="0045742B">
              <w:t xml:space="preserve"> 33914</w:t>
            </w:r>
          </w:p>
        </w:tc>
      </w:tr>
    </w:tbl>
    <w:p w:rsidR="00BC3FA6" w:rsidRPr="0045742B" w:rsidRDefault="00BC3FA6" w:rsidP="00BC3FA6">
      <w:pPr>
        <w:rPr>
          <w:rFonts w:eastAsiaTheme="minorHAnsi" w:cstheme="minorBidi"/>
          <w:szCs w:val="24"/>
          <w:lang w:eastAsia="en-US"/>
        </w:rPr>
      </w:pPr>
    </w:p>
    <w:p w:rsidR="00BC3FA6" w:rsidRPr="0045742B" w:rsidRDefault="00BC3FA6" w:rsidP="00BC3FA6">
      <w:pPr>
        <w:rPr>
          <w:rFonts w:eastAsiaTheme="minorHAnsi" w:cstheme="minorBidi"/>
          <w:b/>
          <w:smallCaps/>
          <w:szCs w:val="24"/>
          <w:lang w:eastAsia="en-US"/>
        </w:rPr>
      </w:pPr>
      <w:r w:rsidRPr="0045742B">
        <w:rPr>
          <w:rFonts w:eastAsiaTheme="minorHAnsi" w:cstheme="minorBidi"/>
          <w:b/>
          <w:smallCaps/>
          <w:szCs w:val="24"/>
          <w:lang w:eastAsia="en-US"/>
        </w:rPr>
        <w:t>Entre :</w:t>
      </w:r>
    </w:p>
    <w:p w:rsidR="00BC3FA6" w:rsidRPr="0045742B" w:rsidRDefault="00BC3FA6" w:rsidP="00BC3FA6">
      <w:pPr>
        <w:jc w:val="center"/>
        <w:rPr>
          <w:rFonts w:eastAsiaTheme="minorHAnsi" w:cstheme="minorBidi"/>
          <w:b/>
          <w:szCs w:val="24"/>
          <w:lang w:eastAsia="en-US"/>
        </w:rPr>
      </w:pPr>
      <w:r w:rsidRPr="0045742B">
        <w:rPr>
          <w:rFonts w:eastAsiaTheme="minorHAnsi" w:cstheme="minorBidi"/>
          <w:b/>
          <w:szCs w:val="24"/>
          <w:lang w:eastAsia="en-US"/>
        </w:rPr>
        <w:t>Derek James Loewen</w:t>
      </w:r>
    </w:p>
    <w:p w:rsidR="00BC3FA6" w:rsidRPr="0045742B" w:rsidRDefault="00BC3FA6" w:rsidP="00BC3FA6">
      <w:pPr>
        <w:jc w:val="center"/>
        <w:rPr>
          <w:rFonts w:eastAsiaTheme="minorHAnsi" w:cstheme="minorBidi"/>
          <w:szCs w:val="24"/>
          <w:lang w:eastAsia="en-US"/>
        </w:rPr>
      </w:pPr>
      <w:r w:rsidRPr="0045742B">
        <w:rPr>
          <w:rFonts w:eastAsiaTheme="minorHAnsi" w:cstheme="minorBidi"/>
          <w:szCs w:val="24"/>
          <w:lang w:eastAsia="en-US"/>
        </w:rPr>
        <w:t>Appelant</w:t>
      </w:r>
    </w:p>
    <w:p w:rsidR="00BC3FA6" w:rsidRPr="0045742B" w:rsidRDefault="00BC3FA6" w:rsidP="00BC3FA6">
      <w:pPr>
        <w:jc w:val="center"/>
        <w:rPr>
          <w:rFonts w:eastAsiaTheme="minorHAnsi" w:cstheme="minorBidi"/>
          <w:szCs w:val="24"/>
          <w:lang w:eastAsia="en-US"/>
        </w:rPr>
      </w:pPr>
      <w:proofErr w:type="gramStart"/>
      <w:r w:rsidRPr="0045742B">
        <w:rPr>
          <w:rFonts w:eastAsiaTheme="minorHAnsi" w:cstheme="minorBidi"/>
          <w:szCs w:val="24"/>
          <w:lang w:eastAsia="en-US"/>
        </w:rPr>
        <w:t>et</w:t>
      </w:r>
      <w:proofErr w:type="gramEnd"/>
    </w:p>
    <w:p w:rsidR="00BC3FA6" w:rsidRPr="0045742B" w:rsidRDefault="00BC3FA6" w:rsidP="00BC3FA6">
      <w:pPr>
        <w:jc w:val="center"/>
        <w:rPr>
          <w:rFonts w:eastAsiaTheme="minorHAnsi" w:cstheme="minorBidi"/>
          <w:b/>
          <w:szCs w:val="24"/>
          <w:lang w:eastAsia="en-US"/>
        </w:rPr>
      </w:pPr>
      <w:r w:rsidRPr="0045742B">
        <w:rPr>
          <w:rFonts w:eastAsiaTheme="minorHAnsi" w:cstheme="minorBidi"/>
          <w:b/>
          <w:szCs w:val="24"/>
          <w:lang w:eastAsia="en-US"/>
        </w:rPr>
        <w:t>Sa Majesté la Reine</w:t>
      </w:r>
    </w:p>
    <w:p w:rsidR="00BC3FA6" w:rsidRPr="0045742B" w:rsidRDefault="00BC3FA6" w:rsidP="00BC3FA6">
      <w:pPr>
        <w:jc w:val="center"/>
        <w:rPr>
          <w:rFonts w:eastAsiaTheme="minorHAnsi" w:cstheme="minorBidi"/>
          <w:szCs w:val="24"/>
          <w:lang w:eastAsia="en-US"/>
        </w:rPr>
      </w:pPr>
      <w:r w:rsidRPr="0045742B">
        <w:rPr>
          <w:rFonts w:eastAsiaTheme="minorHAnsi" w:cstheme="minorBidi"/>
          <w:szCs w:val="24"/>
          <w:lang w:eastAsia="en-US"/>
        </w:rPr>
        <w:t>Intimée</w:t>
      </w:r>
    </w:p>
    <w:p w:rsidR="00BC3FA6" w:rsidRPr="0045742B" w:rsidRDefault="00BC3FA6" w:rsidP="00BC3FA6">
      <w:pPr>
        <w:rPr>
          <w:rFonts w:eastAsiaTheme="minorHAnsi" w:cstheme="minorBidi"/>
          <w:szCs w:val="24"/>
          <w:lang w:eastAsia="en-US"/>
        </w:rPr>
      </w:pPr>
    </w:p>
    <w:p w:rsidR="00BC3FA6" w:rsidRPr="0045742B" w:rsidRDefault="00BC3FA6" w:rsidP="00BC3FA6">
      <w:pPr>
        <w:rPr>
          <w:rFonts w:eastAsiaTheme="minorHAnsi" w:cstheme="minorBidi"/>
          <w:szCs w:val="24"/>
          <w:lang w:eastAsia="en-US"/>
        </w:rPr>
      </w:pPr>
    </w:p>
    <w:p w:rsidR="00BC3FA6" w:rsidRPr="0045742B" w:rsidRDefault="00BC3FA6" w:rsidP="00BC3FA6">
      <w:pPr>
        <w:jc w:val="center"/>
        <w:rPr>
          <w:rFonts w:eastAsiaTheme="minorHAnsi" w:cstheme="minorBidi"/>
          <w:b/>
          <w:smallCaps/>
          <w:szCs w:val="24"/>
          <w:lang w:eastAsia="en-US"/>
        </w:rPr>
      </w:pPr>
      <w:r w:rsidRPr="0045742B">
        <w:rPr>
          <w:rFonts w:eastAsiaTheme="minorHAnsi" w:cstheme="minorBidi"/>
          <w:b/>
          <w:smallCaps/>
          <w:szCs w:val="24"/>
          <w:lang w:eastAsia="en-US"/>
        </w:rPr>
        <w:t>Traduction française officielle</w:t>
      </w:r>
    </w:p>
    <w:p w:rsidR="00BC3FA6" w:rsidRPr="0045742B" w:rsidRDefault="00BC3FA6" w:rsidP="00BC3FA6">
      <w:pPr>
        <w:rPr>
          <w:rFonts w:eastAsiaTheme="minorHAnsi" w:cstheme="minorBidi"/>
          <w:szCs w:val="24"/>
          <w:lang w:eastAsia="en-US"/>
        </w:rPr>
      </w:pPr>
    </w:p>
    <w:p w:rsidR="00BC3FA6" w:rsidRPr="0045742B" w:rsidRDefault="00BC3FA6" w:rsidP="00BC3FA6">
      <w:pPr>
        <w:rPr>
          <w:rFonts w:eastAsiaTheme="minorHAnsi" w:cstheme="minorBidi"/>
          <w:szCs w:val="24"/>
          <w:lang w:eastAsia="en-US"/>
        </w:rPr>
      </w:pPr>
      <w:r w:rsidRPr="0045742B">
        <w:rPr>
          <w:rFonts w:eastAsiaTheme="minorHAnsi" w:cstheme="minorBidi"/>
          <w:b/>
          <w:smallCaps/>
          <w:szCs w:val="24"/>
          <w:lang w:eastAsia="en-US"/>
        </w:rPr>
        <w:t>Coram :</w:t>
      </w:r>
      <w:r w:rsidRPr="0045742B">
        <w:rPr>
          <w:rFonts w:eastAsiaTheme="minorHAnsi" w:cstheme="minorBidi"/>
          <w:szCs w:val="24"/>
          <w:lang w:eastAsia="en-US"/>
        </w:rPr>
        <w:t xml:space="preserve"> La juge en chef </w:t>
      </w:r>
      <w:proofErr w:type="spellStart"/>
      <w:r w:rsidRPr="0045742B">
        <w:rPr>
          <w:rFonts w:eastAsiaTheme="minorHAnsi" w:cstheme="minorBidi"/>
          <w:szCs w:val="24"/>
          <w:lang w:eastAsia="en-US"/>
        </w:rPr>
        <w:t>McLachlin</w:t>
      </w:r>
      <w:proofErr w:type="spellEnd"/>
      <w:r w:rsidRPr="0045742B">
        <w:rPr>
          <w:rFonts w:eastAsiaTheme="minorHAnsi" w:cstheme="minorBidi"/>
          <w:szCs w:val="24"/>
          <w:lang w:eastAsia="en-US"/>
        </w:rPr>
        <w:t xml:space="preserve"> et les juges </w:t>
      </w:r>
      <w:proofErr w:type="spellStart"/>
      <w:r w:rsidRPr="0045742B">
        <w:rPr>
          <w:rFonts w:eastAsiaTheme="minorHAnsi" w:cstheme="minorBidi"/>
          <w:szCs w:val="24"/>
          <w:lang w:eastAsia="en-US"/>
        </w:rPr>
        <w:t>Binnie</w:t>
      </w:r>
      <w:proofErr w:type="spellEnd"/>
      <w:r w:rsidRPr="0045742B">
        <w:rPr>
          <w:rFonts w:eastAsiaTheme="minorHAnsi" w:cstheme="minorBidi"/>
          <w:szCs w:val="24"/>
          <w:lang w:eastAsia="en-US"/>
        </w:rPr>
        <w:t xml:space="preserve">, </w:t>
      </w:r>
      <w:proofErr w:type="spellStart"/>
      <w:r w:rsidRPr="0045742B">
        <w:rPr>
          <w:rFonts w:eastAsiaTheme="minorHAnsi" w:cstheme="minorBidi"/>
          <w:szCs w:val="24"/>
          <w:lang w:eastAsia="en-US"/>
        </w:rPr>
        <w:t>LeBel</w:t>
      </w:r>
      <w:proofErr w:type="spellEnd"/>
      <w:r w:rsidRPr="0045742B">
        <w:rPr>
          <w:rFonts w:eastAsiaTheme="minorHAnsi" w:cstheme="minorBidi"/>
          <w:szCs w:val="24"/>
          <w:lang w:eastAsia="en-US"/>
        </w:rPr>
        <w:t xml:space="preserve">, Fish, Abella, Charron et </w:t>
      </w:r>
      <w:proofErr w:type="spellStart"/>
      <w:r w:rsidRPr="0045742B">
        <w:rPr>
          <w:rFonts w:eastAsiaTheme="minorHAnsi" w:cstheme="minorBidi"/>
          <w:szCs w:val="24"/>
          <w:lang w:eastAsia="en-US"/>
        </w:rPr>
        <w:t>Rothstein</w:t>
      </w:r>
      <w:proofErr w:type="spellEnd"/>
    </w:p>
    <w:p w:rsidR="00BC3FA6" w:rsidRPr="0045742B" w:rsidRDefault="00BC3FA6" w:rsidP="00BC3FA6">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C3FA6" w:rsidRPr="0045742B" w:rsidTr="00C23EF6">
        <w:trPr>
          <w:cantSplit/>
        </w:trPr>
        <w:tc>
          <w:tcPr>
            <w:tcW w:w="3618" w:type="dxa"/>
          </w:tcPr>
          <w:p w:rsidR="00BC3FA6" w:rsidRPr="0045742B" w:rsidRDefault="00BC3FA6" w:rsidP="00C23EF6">
            <w:pPr>
              <w:rPr>
                <w:b/>
                <w:smallCaps/>
              </w:rPr>
            </w:pPr>
            <w:r w:rsidRPr="0045742B">
              <w:rPr>
                <w:b/>
                <w:smallCaps/>
              </w:rPr>
              <w:t>Motifs de jugement :</w:t>
            </w:r>
          </w:p>
          <w:p w:rsidR="00BC3FA6" w:rsidRPr="0045742B" w:rsidRDefault="00BC3FA6" w:rsidP="00C23EF6">
            <w:r w:rsidRPr="0045742B">
              <w:t>(par. 1 à 14)</w:t>
            </w:r>
          </w:p>
        </w:tc>
        <w:tc>
          <w:tcPr>
            <w:tcW w:w="5958" w:type="dxa"/>
          </w:tcPr>
          <w:p w:rsidR="00BC3FA6" w:rsidRPr="0045742B" w:rsidRDefault="00BC3FA6" w:rsidP="00C23EF6">
            <w:r w:rsidRPr="0045742B">
              <w:t>La Cour</w:t>
            </w:r>
          </w:p>
        </w:tc>
      </w:tr>
    </w:tbl>
    <w:p w:rsidR="00BC3FA6" w:rsidRPr="0045742B" w:rsidRDefault="00BC3FA6" w:rsidP="00BC3FA6">
      <w:pPr>
        <w:rPr>
          <w:rFonts w:eastAsiaTheme="minorHAnsi" w:cstheme="minorBidi"/>
          <w:b/>
          <w:smallCaps/>
          <w:szCs w:val="24"/>
          <w:lang w:eastAsia="en-US"/>
        </w:rPr>
      </w:pPr>
    </w:p>
    <w:p w:rsidR="00BC3FA6" w:rsidRPr="0045742B" w:rsidRDefault="00BC3FA6" w:rsidP="00BC3FA6">
      <w:pPr>
        <w:rPr>
          <w:rFonts w:eastAsiaTheme="minorHAnsi" w:cstheme="minorBidi"/>
          <w:szCs w:val="24"/>
          <w:lang w:eastAsia="en-US"/>
        </w:rPr>
      </w:pPr>
      <w:r w:rsidRPr="0045742B">
        <w:rPr>
          <w:rFonts w:eastAsiaTheme="minorHAnsi" w:cstheme="minorBidi"/>
          <w:b/>
          <w:smallCaps/>
          <w:szCs w:val="24"/>
          <w:lang w:eastAsia="en-US"/>
        </w:rPr>
        <w:t xml:space="preserve">Appel entendu et jugement rendu : </w:t>
      </w:r>
      <w:r w:rsidRPr="0045742B">
        <w:rPr>
          <w:rFonts w:eastAsiaTheme="minorHAnsi" w:cstheme="minorBidi"/>
          <w:szCs w:val="24"/>
          <w:lang w:eastAsia="en-US"/>
        </w:rPr>
        <w:t>Le 12 avril 2011</w:t>
      </w:r>
    </w:p>
    <w:p w:rsidR="00BC3FA6" w:rsidRPr="0045742B" w:rsidRDefault="00BC3FA6" w:rsidP="00BC3FA6">
      <w:pPr>
        <w:rPr>
          <w:rFonts w:eastAsiaTheme="minorHAnsi" w:cstheme="minorBidi"/>
          <w:b/>
          <w:smallCaps/>
          <w:szCs w:val="24"/>
          <w:lang w:eastAsia="en-US"/>
        </w:rPr>
      </w:pPr>
    </w:p>
    <w:p w:rsidR="00BC3FA6" w:rsidRPr="0045742B" w:rsidRDefault="00BC3FA6" w:rsidP="00BC3FA6">
      <w:pPr>
        <w:rPr>
          <w:rFonts w:eastAsiaTheme="minorHAnsi" w:cstheme="minorBidi"/>
          <w:szCs w:val="24"/>
          <w:lang w:eastAsia="en-US"/>
        </w:rPr>
      </w:pPr>
      <w:r w:rsidRPr="0045742B">
        <w:rPr>
          <w:rFonts w:eastAsiaTheme="minorHAnsi" w:cstheme="minorBidi"/>
          <w:b/>
          <w:smallCaps/>
          <w:szCs w:val="24"/>
          <w:lang w:eastAsia="en-US"/>
        </w:rPr>
        <w:t xml:space="preserve">Motifs déposés : </w:t>
      </w:r>
      <w:r w:rsidRPr="0045742B">
        <w:rPr>
          <w:rFonts w:eastAsiaTheme="minorHAnsi" w:cstheme="minorBidi"/>
          <w:szCs w:val="24"/>
          <w:lang w:eastAsia="en-US"/>
        </w:rPr>
        <w:t>Le 5 mai 2011</w:t>
      </w:r>
    </w:p>
    <w:p w:rsidR="00BC3FA6" w:rsidRPr="0045742B" w:rsidRDefault="00BC3FA6" w:rsidP="00BC3FA6">
      <w:pPr>
        <w:rPr>
          <w:rFonts w:eastAsiaTheme="minorHAnsi" w:cstheme="minorBidi"/>
          <w:szCs w:val="24"/>
          <w:lang w:eastAsia="en-US"/>
        </w:rPr>
      </w:pPr>
    </w:p>
    <w:p w:rsidR="00BC3FA6" w:rsidRPr="0045742B" w:rsidRDefault="00BC3FA6" w:rsidP="00BC3FA6">
      <w:pPr>
        <w:rPr>
          <w:rFonts w:eastAsiaTheme="minorHAnsi" w:cstheme="minorBidi"/>
          <w:szCs w:val="24"/>
          <w:lang w:eastAsia="en-US"/>
        </w:rPr>
      </w:pPr>
    </w:p>
    <w:p w:rsidR="00BC3FA6" w:rsidRPr="0045742B" w:rsidRDefault="00BC3FA6" w:rsidP="00BC3FA6">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C3FA6" w:rsidRDefault="00BC3FA6" w:rsidP="00BC3FA6">
      <w:pPr>
        <w:rPr>
          <w:rStyle w:val="SCCRespondentForRunningHeadChar"/>
        </w:rPr>
      </w:pPr>
      <w:r>
        <w:rPr>
          <w:rStyle w:val="SCCRespondentForRunningHeadChar"/>
        </w:rPr>
        <w:br w:type="page"/>
      </w:r>
    </w:p>
    <w:p w:rsidR="00766D14" w:rsidRPr="00330538" w:rsidRDefault="00330538" w:rsidP="00587F6D">
      <w:pPr>
        <w:spacing w:after="480" w:line="480" w:lineRule="auto"/>
        <w:jc w:val="both"/>
        <w:rPr>
          <w:lang w:val="en-US"/>
        </w:rPr>
      </w:pPr>
      <w:r w:rsidRPr="00330538">
        <w:rPr>
          <w:rStyle w:val="SCCRespondentForIndexChar"/>
          <w:b w:val="0"/>
          <w:lang w:val="en-US"/>
        </w:rPr>
        <w:lastRenderedPageBreak/>
        <w:t xml:space="preserve">R. </w:t>
      </w:r>
      <w:r w:rsidRPr="00330538">
        <w:rPr>
          <w:i/>
          <w:lang w:val="en-US"/>
        </w:rPr>
        <w:t>c.</w:t>
      </w:r>
      <w:r w:rsidRPr="00330538">
        <w:rPr>
          <w:lang w:val="en-US"/>
        </w:rPr>
        <w:t xml:space="preserve"> </w:t>
      </w:r>
      <w:proofErr w:type="spellStart"/>
      <w:r w:rsidRPr="00330538">
        <w:rPr>
          <w:rStyle w:val="SCCAppellantForIndexChar"/>
          <w:b w:val="0"/>
          <w:lang w:val="en-US"/>
        </w:rPr>
        <w:t>Loewen</w:t>
      </w:r>
      <w:proofErr w:type="spellEnd"/>
      <w:r w:rsidRPr="00330538">
        <w:rPr>
          <w:rStyle w:val="SCCAppellantForRunningHeadChar"/>
          <w:lang w:val="en-US"/>
        </w:rPr>
        <w:t xml:space="preserve">, </w:t>
      </w:r>
      <w:r w:rsidRPr="00330538">
        <w:rPr>
          <w:rStyle w:val="SCCRespondentForRunningHeadChar"/>
          <w:szCs w:val="24"/>
          <w:lang w:val="en-US"/>
        </w:rPr>
        <w:t>2011 CSC 2</w:t>
      </w:r>
      <w:r>
        <w:rPr>
          <w:rStyle w:val="SCCRespondentForRunningHeadChar"/>
          <w:szCs w:val="24"/>
          <w:lang w:val="en-US"/>
        </w:rPr>
        <w:t>1</w:t>
      </w:r>
      <w:r w:rsidRPr="00330538">
        <w:rPr>
          <w:rStyle w:val="SCCRespondentForRunningHeadChar"/>
          <w:szCs w:val="24"/>
          <w:lang w:val="en-US"/>
        </w:rPr>
        <w:t xml:space="preserve">, [2011] 2 R.C.S. </w:t>
      </w:r>
      <w:r>
        <w:rPr>
          <w:rStyle w:val="SCCRespondentForRunningHeadChar"/>
          <w:szCs w:val="24"/>
          <w:lang w:val="en-US"/>
        </w:rPr>
        <w:t>167</w:t>
      </w:r>
    </w:p>
    <w:p w:rsidR="00EE671D" w:rsidRDefault="00DE1286" w:rsidP="00587F6D">
      <w:pPr>
        <w:pStyle w:val="SCCLsocParty"/>
        <w:tabs>
          <w:tab w:val="right" w:pos="8280"/>
        </w:tabs>
        <w:spacing w:after="480" w:line="480" w:lineRule="auto"/>
        <w:rPr>
          <w:b w:val="0"/>
          <w:i/>
        </w:rPr>
      </w:pPr>
      <w:r>
        <w:t>Derek James Loewen</w:t>
      </w:r>
      <w:r w:rsidR="00252CF9">
        <w:tab/>
      </w:r>
      <w:r w:rsidRPr="00252CF9">
        <w:rPr>
          <w:b w:val="0"/>
          <w:i/>
        </w:rPr>
        <w:t>Appelant</w:t>
      </w:r>
    </w:p>
    <w:p w:rsidR="00EE671D" w:rsidRDefault="00DE1286" w:rsidP="00587F6D">
      <w:pPr>
        <w:pStyle w:val="SCCLsocVersus"/>
        <w:spacing w:after="480" w:line="480" w:lineRule="auto"/>
      </w:pPr>
      <w:proofErr w:type="gramStart"/>
      <w:r>
        <w:t>c</w:t>
      </w:r>
      <w:proofErr w:type="gramEnd"/>
      <w:r>
        <w:t>.</w:t>
      </w:r>
    </w:p>
    <w:p w:rsidR="00EE671D" w:rsidRPr="00252CF9" w:rsidRDefault="00DE1286" w:rsidP="00587F6D">
      <w:pPr>
        <w:pStyle w:val="SCCLsocParty"/>
        <w:tabs>
          <w:tab w:val="right" w:pos="8280"/>
        </w:tabs>
        <w:spacing w:after="480" w:line="480" w:lineRule="auto"/>
        <w:rPr>
          <w:b w:val="0"/>
          <w:i/>
        </w:rPr>
      </w:pPr>
      <w:r>
        <w:t>Sa Majesté la Reine</w:t>
      </w:r>
      <w:r w:rsidR="00252CF9">
        <w:tab/>
      </w:r>
      <w:r w:rsidRPr="00252CF9">
        <w:rPr>
          <w:b w:val="0"/>
          <w:i/>
        </w:rPr>
        <w:t>Intimée</w:t>
      </w:r>
    </w:p>
    <w:p w:rsidR="00426659" w:rsidRPr="00A24E15" w:rsidRDefault="0043088E" w:rsidP="00587F6D">
      <w:pPr>
        <w:spacing w:after="480" w:line="480" w:lineRule="auto"/>
        <w:jc w:val="both"/>
        <w:rPr>
          <w:b/>
        </w:rPr>
      </w:pPr>
      <w:r w:rsidRPr="00A24E15">
        <w:rPr>
          <w:b/>
        </w:rPr>
        <w:t>Répertorié</w:t>
      </w:r>
      <w:r w:rsidR="00252CF9">
        <w:rPr>
          <w:b/>
        </w:rPr>
        <w:t> :</w:t>
      </w:r>
      <w:r w:rsidR="00C67CA5" w:rsidRPr="00A24E15">
        <w:rPr>
          <w:b/>
        </w:rPr>
        <w:t> </w:t>
      </w:r>
      <w:r w:rsidR="00DE1286">
        <w:rPr>
          <w:rStyle w:val="SCCRespondentForIndexChar"/>
        </w:rPr>
        <w:t xml:space="preserve">R. </w:t>
      </w:r>
      <w:r w:rsidR="00DE1286" w:rsidRPr="00A24E15">
        <w:rPr>
          <w:b/>
          <w:i/>
        </w:rPr>
        <w:t>c.</w:t>
      </w:r>
      <w:r w:rsidR="00DE1286" w:rsidRPr="00A24E15">
        <w:rPr>
          <w:b/>
        </w:rPr>
        <w:t xml:space="preserve"> </w:t>
      </w:r>
      <w:r>
        <w:rPr>
          <w:rStyle w:val="SCCAppellantForIndexChar"/>
        </w:rPr>
        <w:t>Loewen</w:t>
      </w:r>
    </w:p>
    <w:p w:rsidR="00426659" w:rsidRPr="00A24E15" w:rsidRDefault="00C0663B" w:rsidP="00587F6D">
      <w:pPr>
        <w:pStyle w:val="SCCSystemYear"/>
        <w:spacing w:after="480" w:line="480" w:lineRule="auto"/>
        <w:jc w:val="both"/>
      </w:pPr>
      <w:r>
        <w:t>2011</w:t>
      </w:r>
      <w:r w:rsidR="00EE0FAF" w:rsidRPr="00A24E15">
        <w:t xml:space="preserve"> </w:t>
      </w:r>
      <w:r w:rsidR="00C71F58" w:rsidRPr="00A24E15">
        <w:t>C</w:t>
      </w:r>
      <w:r w:rsidR="00426659" w:rsidRPr="00A24E15">
        <w:t>SC </w:t>
      </w:r>
      <w:r w:rsidR="006F6E73">
        <w:t>21</w:t>
      </w:r>
    </w:p>
    <w:p w:rsidR="008322BD" w:rsidRPr="00A24E15" w:rsidRDefault="009B57B3" w:rsidP="00587F6D">
      <w:pPr>
        <w:spacing w:after="480" w:line="480" w:lineRule="auto"/>
        <w:jc w:val="both"/>
      </w:pPr>
      <w:r w:rsidRPr="00A24E15">
        <w:t>N</w:t>
      </w:r>
      <w:r w:rsidRPr="00A24E15">
        <w:rPr>
          <w:vertAlign w:val="superscript"/>
        </w:rPr>
        <w:t>o</w:t>
      </w:r>
      <w:r w:rsidR="0043088E" w:rsidRPr="00A24E15">
        <w:t xml:space="preserve"> du greffe</w:t>
      </w:r>
      <w:r w:rsidR="00252CF9">
        <w:t> :</w:t>
      </w:r>
      <w:r w:rsidR="00C67CA5" w:rsidRPr="00A24E15">
        <w:t> </w:t>
      </w:r>
      <w:r>
        <w:t>33914</w:t>
      </w:r>
      <w:r w:rsidRPr="00A24E15">
        <w:t>.</w:t>
      </w:r>
    </w:p>
    <w:p w:rsidR="00587F6D" w:rsidRDefault="0028632A" w:rsidP="00587F6D">
      <w:pPr>
        <w:spacing w:after="480"/>
        <w:jc w:val="both"/>
      </w:pPr>
      <w:r w:rsidRPr="0028632A">
        <w:t>Audition et jugement</w:t>
      </w:r>
      <w:r w:rsidR="00252CF9">
        <w:t> :</w:t>
      </w:r>
      <w:r>
        <w:t xml:space="preserve"> 12 avril 2011.</w:t>
      </w:r>
    </w:p>
    <w:p w:rsidR="0028632A" w:rsidRDefault="0028632A" w:rsidP="00587F6D">
      <w:pPr>
        <w:spacing w:after="480" w:line="480" w:lineRule="auto"/>
        <w:jc w:val="both"/>
      </w:pPr>
      <w:r w:rsidRPr="0028632A">
        <w:t>Motifs déposés</w:t>
      </w:r>
      <w:r w:rsidR="00252CF9">
        <w:t> :</w:t>
      </w:r>
      <w:r>
        <w:t xml:space="preserve"> 5 mai 2011.</w:t>
      </w:r>
    </w:p>
    <w:p w:rsidR="008322BD" w:rsidRPr="00A24E15" w:rsidRDefault="009B57B3" w:rsidP="00587F6D">
      <w:pPr>
        <w:spacing w:after="480"/>
        <w:jc w:val="both"/>
      </w:pPr>
      <w:r w:rsidRPr="00A24E15">
        <w:t>Pr</w:t>
      </w:r>
      <w:r w:rsidR="0043088E" w:rsidRPr="00A24E15">
        <w:t>é</w:t>
      </w:r>
      <w:r w:rsidRPr="00A24E15">
        <w:t>sent</w:t>
      </w:r>
      <w:r w:rsidR="008A6558" w:rsidRPr="00A24E15">
        <w:t>s</w:t>
      </w:r>
      <w:r w:rsidR="00252CF9">
        <w:t> :</w:t>
      </w:r>
      <w:r w:rsidR="00C67CA5" w:rsidRPr="00A24E15">
        <w:t> </w:t>
      </w:r>
      <w:r>
        <w:t>La juge en chef McLachlin et les juges Binnie, LeBel, Fish, Abella, Charron et Rothstein</w:t>
      </w:r>
      <w:r w:rsidRPr="00A24E15">
        <w:t>.</w:t>
      </w:r>
    </w:p>
    <w:p w:rsidR="008322BD" w:rsidRPr="00A24E15" w:rsidRDefault="00AC7437" w:rsidP="00587F6D">
      <w:pPr>
        <w:pStyle w:val="SCCLowerCourtNameLowercase"/>
        <w:spacing w:after="480"/>
      </w:pPr>
      <w:r w:rsidRPr="00A24E15">
        <w:t>e</w:t>
      </w:r>
      <w:r w:rsidR="00855307" w:rsidRPr="00A24E15">
        <w:t>n</w:t>
      </w:r>
      <w:r w:rsidR="00224FC0" w:rsidRPr="00A24E15">
        <w:t xml:space="preserve"> </w:t>
      </w:r>
      <w:r w:rsidR="00855307" w:rsidRPr="00A24E15">
        <w:t>appel</w:t>
      </w:r>
      <w:r w:rsidR="00224FC0" w:rsidRPr="00A24E15">
        <w:t xml:space="preserve"> </w:t>
      </w:r>
      <w:r w:rsidR="00855307" w:rsidRPr="00A24E15">
        <w:t>de</w:t>
      </w:r>
      <w:r w:rsidR="0043088E" w:rsidRPr="00A24E15">
        <w:t xml:space="preserve"> </w:t>
      </w:r>
      <w:r w:rsidR="00855307" w:rsidRPr="00A24E15">
        <w:t>la</w:t>
      </w:r>
      <w:r w:rsidR="00224FC0" w:rsidRPr="00A24E15">
        <w:t xml:space="preserve"> </w:t>
      </w:r>
      <w:r w:rsidR="009B57B3">
        <w:t>cour d</w:t>
      </w:r>
      <w:r w:rsidR="00DE1286">
        <w:t>’</w:t>
      </w:r>
      <w:r w:rsidR="009B57B3">
        <w:t>appel de l’alberta</w:t>
      </w:r>
    </w:p>
    <w:p w:rsidR="008322BD" w:rsidRPr="00A24E15" w:rsidRDefault="009B57B3" w:rsidP="009D51EA">
      <w:pPr>
        <w:pStyle w:val="SCCNormalDoubleSpacing"/>
        <w:spacing w:after="480"/>
      </w:pPr>
      <w:r w:rsidRPr="00A24E15">
        <w:tab/>
      </w:r>
      <w:r w:rsidR="000E1D96" w:rsidRPr="00DD7495">
        <w:rPr>
          <w:i/>
        </w:rPr>
        <w:t xml:space="preserve">Droit </w:t>
      </w:r>
      <w:r w:rsidR="000E1D96" w:rsidRPr="00790F78">
        <w:rPr>
          <w:i/>
        </w:rPr>
        <w:t>c</w:t>
      </w:r>
      <w:r w:rsidR="000E1D96" w:rsidRPr="00790F78">
        <w:rPr>
          <w:i/>
          <w:szCs w:val="24"/>
        </w:rPr>
        <w:t xml:space="preserve">onstitutionnel — </w:t>
      </w:r>
      <w:r w:rsidR="00206E75" w:rsidRPr="00124C2F">
        <w:rPr>
          <w:i/>
          <w:szCs w:val="24"/>
        </w:rPr>
        <w:fldChar w:fldCharType="begin"/>
      </w:r>
      <w:r w:rsidR="000E1D96" w:rsidRPr="00790F78">
        <w:rPr>
          <w:i/>
          <w:szCs w:val="24"/>
        </w:rPr>
        <w:instrText xml:space="preserve"> SEQ CHAPTER \h \r 1</w:instrText>
      </w:r>
      <w:r w:rsidR="00206E75" w:rsidRPr="00124C2F">
        <w:rPr>
          <w:i/>
          <w:szCs w:val="24"/>
        </w:rPr>
        <w:fldChar w:fldCharType="end"/>
      </w:r>
      <w:r w:rsidR="000E1D96" w:rsidRPr="00790F78">
        <w:rPr>
          <w:i/>
          <w:szCs w:val="24"/>
        </w:rPr>
        <w:t>Charte des droits — Fouilles, perquisitions et saisies</w:t>
      </w:r>
      <w:r w:rsidR="00206E75" w:rsidRPr="00124C2F">
        <w:rPr>
          <w:i/>
          <w:szCs w:val="24"/>
        </w:rPr>
        <w:fldChar w:fldCharType="begin"/>
      </w:r>
      <w:r w:rsidR="000E1D96" w:rsidRPr="00790F78">
        <w:rPr>
          <w:i/>
          <w:szCs w:val="24"/>
        </w:rPr>
        <w:instrText xml:space="preserve"> SEQ CHAPTER \h \r 1</w:instrText>
      </w:r>
      <w:r w:rsidR="00206E75" w:rsidRPr="00124C2F">
        <w:rPr>
          <w:i/>
          <w:szCs w:val="24"/>
        </w:rPr>
        <w:fldChar w:fldCharType="end"/>
      </w:r>
      <w:r w:rsidR="000E1D96" w:rsidRPr="00790F78">
        <w:rPr>
          <w:i/>
          <w:szCs w:val="24"/>
        </w:rPr>
        <w:t xml:space="preserve"> — Détention arbitraire — L’arrestation de l’accusé</w:t>
      </w:r>
      <w:r w:rsidR="00790F78">
        <w:rPr>
          <w:i/>
          <w:szCs w:val="24"/>
        </w:rPr>
        <w:t xml:space="preserve"> et la fouille de son véhicule </w:t>
      </w:r>
      <w:proofErr w:type="spellStart"/>
      <w:r w:rsidR="00790F78">
        <w:rPr>
          <w:i/>
          <w:szCs w:val="24"/>
        </w:rPr>
        <w:t>étaient</w:t>
      </w:r>
      <w:r w:rsidR="00252CF9">
        <w:rPr>
          <w:i/>
          <w:szCs w:val="24"/>
        </w:rPr>
        <w:noBreakHyphen/>
      </w:r>
      <w:r w:rsidR="00790F78">
        <w:rPr>
          <w:i/>
          <w:szCs w:val="24"/>
        </w:rPr>
        <w:t>elles</w:t>
      </w:r>
      <w:proofErr w:type="spellEnd"/>
      <w:r w:rsidR="00790F78">
        <w:rPr>
          <w:i/>
          <w:szCs w:val="24"/>
        </w:rPr>
        <w:t xml:space="preserve"> légales et raisonnables?</w:t>
      </w:r>
      <w:r w:rsidR="000E1D96" w:rsidRPr="00790F78">
        <w:rPr>
          <w:i/>
          <w:lang w:val="fr-FR"/>
        </w:rPr>
        <w:t xml:space="preserve"> </w:t>
      </w:r>
      <w:r w:rsidR="000E1D96" w:rsidRPr="00790F78">
        <w:rPr>
          <w:i/>
          <w:szCs w:val="24"/>
          <w:lang w:val="fr-FR"/>
        </w:rPr>
        <w:t>—</w:t>
      </w:r>
      <w:r w:rsidR="000E1D96" w:rsidRPr="00790F78">
        <w:rPr>
          <w:i/>
          <w:lang w:val="fr-FR"/>
        </w:rPr>
        <w:t xml:space="preserve"> </w:t>
      </w:r>
      <w:r w:rsidR="00790F78" w:rsidRPr="00790F78">
        <w:rPr>
          <w:i/>
          <w:lang w:val="fr-FR"/>
        </w:rPr>
        <w:t>L</w:t>
      </w:r>
      <w:r w:rsidR="00790F78">
        <w:rPr>
          <w:i/>
          <w:lang w:val="fr-FR"/>
        </w:rPr>
        <w:t xml:space="preserve">a cocaïne saisie pendant la fouille </w:t>
      </w:r>
      <w:proofErr w:type="spellStart"/>
      <w:r w:rsidR="00790F78">
        <w:rPr>
          <w:i/>
          <w:lang w:val="fr-FR"/>
        </w:rPr>
        <w:lastRenderedPageBreak/>
        <w:t>était</w:t>
      </w:r>
      <w:r w:rsidR="00252CF9">
        <w:rPr>
          <w:i/>
          <w:lang w:val="fr-FR"/>
        </w:rPr>
        <w:noBreakHyphen/>
      </w:r>
      <w:r w:rsidR="00790F78">
        <w:rPr>
          <w:i/>
          <w:lang w:val="fr-FR"/>
        </w:rPr>
        <w:t>elle</w:t>
      </w:r>
      <w:proofErr w:type="spellEnd"/>
      <w:r w:rsidR="00790F78">
        <w:rPr>
          <w:i/>
          <w:lang w:val="fr-FR"/>
        </w:rPr>
        <w:t xml:space="preserve"> admissible en preuve?</w:t>
      </w:r>
      <w:r w:rsidR="000E1D96" w:rsidRPr="00790F78">
        <w:rPr>
          <w:i/>
          <w:lang w:val="fr-FR"/>
        </w:rPr>
        <w:t xml:space="preserve"> </w:t>
      </w:r>
      <w:r w:rsidR="000E1D96" w:rsidRPr="00790F78">
        <w:rPr>
          <w:i/>
          <w:szCs w:val="24"/>
          <w:lang w:val="fr-FR"/>
        </w:rPr>
        <w:t>— C</w:t>
      </w:r>
      <w:r w:rsidR="00790F78" w:rsidRPr="00790F78">
        <w:rPr>
          <w:i/>
          <w:szCs w:val="24"/>
          <w:lang w:val="fr-FR"/>
        </w:rPr>
        <w:t>harte c</w:t>
      </w:r>
      <w:r w:rsidR="000E1D96" w:rsidRPr="00790F78">
        <w:rPr>
          <w:i/>
          <w:szCs w:val="24"/>
          <w:lang w:val="fr-FR"/>
        </w:rPr>
        <w:t>anadi</w:t>
      </w:r>
      <w:r w:rsidR="00790F78" w:rsidRPr="00790F78">
        <w:rPr>
          <w:i/>
          <w:szCs w:val="24"/>
          <w:lang w:val="fr-FR"/>
        </w:rPr>
        <w:t>e</w:t>
      </w:r>
      <w:r w:rsidR="000E1D96" w:rsidRPr="00790F78">
        <w:rPr>
          <w:i/>
          <w:szCs w:val="24"/>
          <w:lang w:val="fr-FR"/>
        </w:rPr>
        <w:t>n</w:t>
      </w:r>
      <w:r w:rsidR="00790F78" w:rsidRPr="00790F78">
        <w:rPr>
          <w:i/>
          <w:szCs w:val="24"/>
          <w:lang w:val="fr-FR"/>
        </w:rPr>
        <w:t>ne des droits et libertés</w:t>
      </w:r>
      <w:r w:rsidR="000E1D96" w:rsidRPr="00790F78">
        <w:rPr>
          <w:i/>
          <w:szCs w:val="24"/>
          <w:lang w:val="fr-FR"/>
        </w:rPr>
        <w:t xml:space="preserve">, </w:t>
      </w:r>
      <w:r w:rsidR="00252CF9">
        <w:rPr>
          <w:i/>
          <w:szCs w:val="24"/>
          <w:lang w:val="fr-FR"/>
        </w:rPr>
        <w:t>art. </w:t>
      </w:r>
      <w:r w:rsidR="000E1D96" w:rsidRPr="00790F78">
        <w:rPr>
          <w:i/>
          <w:szCs w:val="24"/>
          <w:lang w:val="fr-FR"/>
        </w:rPr>
        <w:t>8, 9, 24(2) — C</w:t>
      </w:r>
      <w:r w:rsidR="00790F78" w:rsidRPr="00790F78">
        <w:rPr>
          <w:i/>
          <w:szCs w:val="24"/>
          <w:lang w:val="fr-FR"/>
        </w:rPr>
        <w:t>ode cr</w:t>
      </w:r>
      <w:r w:rsidR="000E1D96" w:rsidRPr="00790F78">
        <w:rPr>
          <w:i/>
          <w:szCs w:val="24"/>
          <w:lang w:val="fr-FR"/>
        </w:rPr>
        <w:t>imin</w:t>
      </w:r>
      <w:r w:rsidR="00790F78" w:rsidRPr="00790F78">
        <w:rPr>
          <w:i/>
          <w:szCs w:val="24"/>
          <w:lang w:val="fr-FR"/>
        </w:rPr>
        <w:t>e</w:t>
      </w:r>
      <w:r w:rsidR="000E1D96" w:rsidRPr="00790F78">
        <w:rPr>
          <w:i/>
          <w:szCs w:val="24"/>
          <w:lang w:val="fr-FR"/>
        </w:rPr>
        <w:t xml:space="preserve">l, </w:t>
      </w:r>
      <w:r w:rsidR="00790F78" w:rsidRPr="00790F78">
        <w:rPr>
          <w:i/>
          <w:szCs w:val="24"/>
          <w:lang w:val="fr-FR"/>
        </w:rPr>
        <w:t xml:space="preserve">L.R.C. </w:t>
      </w:r>
      <w:r w:rsidR="000E1D96" w:rsidRPr="00790F78">
        <w:rPr>
          <w:i/>
          <w:szCs w:val="24"/>
          <w:lang w:val="fr-FR"/>
        </w:rPr>
        <w:t xml:space="preserve">1985, </w:t>
      </w:r>
      <w:r w:rsidR="00252CF9">
        <w:rPr>
          <w:i/>
          <w:szCs w:val="24"/>
          <w:lang w:val="fr-FR"/>
        </w:rPr>
        <w:t>ch. </w:t>
      </w:r>
      <w:r w:rsidR="000E1D96" w:rsidRPr="00790F78">
        <w:rPr>
          <w:i/>
          <w:szCs w:val="24"/>
        </w:rPr>
        <w:t>C</w:t>
      </w:r>
      <w:r w:rsidR="00252CF9">
        <w:rPr>
          <w:i/>
          <w:szCs w:val="24"/>
        </w:rPr>
        <w:noBreakHyphen/>
      </w:r>
      <w:r w:rsidR="000E1D96" w:rsidRPr="00790F78">
        <w:rPr>
          <w:i/>
          <w:szCs w:val="24"/>
        </w:rPr>
        <w:t xml:space="preserve">46, </w:t>
      </w:r>
      <w:r w:rsidR="00252CF9">
        <w:rPr>
          <w:i/>
          <w:szCs w:val="24"/>
        </w:rPr>
        <w:t>art. </w:t>
      </w:r>
      <w:r w:rsidR="00790F78">
        <w:rPr>
          <w:i/>
          <w:szCs w:val="24"/>
        </w:rPr>
        <w:t>495(1)</w:t>
      </w:r>
      <w:r w:rsidR="000E1D96" w:rsidRPr="00790F78">
        <w:rPr>
          <w:i/>
          <w:szCs w:val="24"/>
        </w:rPr>
        <w:t>a).</w:t>
      </w:r>
      <w:r w:rsidR="000E1D96" w:rsidRPr="00790F78">
        <w:t xml:space="preserve"> </w:t>
      </w:r>
    </w:p>
    <w:p w:rsidR="008322BD" w:rsidRPr="001304D7" w:rsidRDefault="00DD7495" w:rsidP="009D51EA">
      <w:pPr>
        <w:pStyle w:val="SCCNormalDoubleSpacing"/>
        <w:spacing w:after="480"/>
        <w:rPr>
          <w:lang w:val="fr-FR"/>
        </w:rPr>
      </w:pPr>
      <w:r>
        <w:tab/>
      </w:r>
      <w:r w:rsidR="007A4AA2" w:rsidRPr="007A4AA2">
        <w:t>Après avoir intercepté</w:t>
      </w:r>
      <w:r w:rsidR="007A4AA2">
        <w:t xml:space="preserve"> </w:t>
      </w:r>
      <w:r w:rsidR="007A4AA2" w:rsidRPr="007A4AA2">
        <w:t>l’accusé pour excès de vitesse, un policier a senti une odeur de marijuana récemment brûlée émanant du véhicu</w:t>
      </w:r>
      <w:r w:rsidR="007A4AA2">
        <w:t>le</w:t>
      </w:r>
      <w:r w:rsidR="00322622">
        <w:t xml:space="preserve"> et il a trouvé </w:t>
      </w:r>
      <w:r w:rsidR="00CB093F" w:rsidRPr="007A4AA2">
        <w:rPr>
          <w:szCs w:val="24"/>
        </w:rPr>
        <w:t>5</w:t>
      </w:r>
      <w:r w:rsidR="00322622">
        <w:rPr>
          <w:szCs w:val="24"/>
        </w:rPr>
        <w:t> </w:t>
      </w:r>
      <w:r w:rsidR="00CB093F" w:rsidRPr="007A4AA2">
        <w:rPr>
          <w:szCs w:val="24"/>
        </w:rPr>
        <w:t>410</w:t>
      </w:r>
      <w:r w:rsidR="00252CF9">
        <w:rPr>
          <w:szCs w:val="24"/>
        </w:rPr>
        <w:t> $</w:t>
      </w:r>
      <w:r w:rsidR="00322622">
        <w:rPr>
          <w:szCs w:val="24"/>
        </w:rPr>
        <w:t xml:space="preserve"> dans la poche de l’accusé.  </w:t>
      </w:r>
      <w:r w:rsidR="00322622" w:rsidRPr="00322622">
        <w:rPr>
          <w:szCs w:val="24"/>
        </w:rPr>
        <w:t>Il a arrêté ce dernier pour possession d’une substance réglementée, a fouillé le véhicule et</w:t>
      </w:r>
      <w:r w:rsidR="00322622">
        <w:rPr>
          <w:szCs w:val="24"/>
        </w:rPr>
        <w:t xml:space="preserve"> y a trouvé 100 grammes de crack.  </w:t>
      </w:r>
      <w:r w:rsidR="001D0588">
        <w:rPr>
          <w:szCs w:val="24"/>
        </w:rPr>
        <w:t>La juge du procès a admis la co</w:t>
      </w:r>
      <w:r w:rsidR="001304D7">
        <w:rPr>
          <w:szCs w:val="24"/>
        </w:rPr>
        <w:t>caïne en preuve</w:t>
      </w:r>
      <w:r w:rsidR="00CB093F" w:rsidRPr="001304D7">
        <w:rPr>
          <w:szCs w:val="24"/>
          <w:lang w:val="fr-FR"/>
        </w:rPr>
        <w:t>.</w:t>
      </w:r>
      <w:r w:rsidR="001304D7" w:rsidRPr="001304D7">
        <w:rPr>
          <w:szCs w:val="24"/>
          <w:lang w:val="fr-FR"/>
        </w:rPr>
        <w:t xml:space="preserve"> </w:t>
      </w:r>
      <w:r w:rsidR="00CB093F" w:rsidRPr="001304D7">
        <w:rPr>
          <w:szCs w:val="24"/>
          <w:lang w:val="fr-FR"/>
        </w:rPr>
        <w:t xml:space="preserve"> </w:t>
      </w:r>
      <w:r w:rsidR="001304D7" w:rsidRPr="001304D7">
        <w:rPr>
          <w:szCs w:val="24"/>
          <w:lang w:val="fr-FR"/>
        </w:rPr>
        <w:t>L’accusé a été</w:t>
      </w:r>
      <w:r w:rsidR="001304D7">
        <w:rPr>
          <w:szCs w:val="24"/>
          <w:lang w:val="fr-FR"/>
        </w:rPr>
        <w:t xml:space="preserve"> déclaré </w:t>
      </w:r>
      <w:r w:rsidR="001304D7" w:rsidRPr="001304D7">
        <w:rPr>
          <w:szCs w:val="24"/>
          <w:lang w:val="fr-FR"/>
        </w:rPr>
        <w:t>coupable de possession de cocaïne en vu</w:t>
      </w:r>
      <w:r w:rsidR="001304D7">
        <w:rPr>
          <w:szCs w:val="24"/>
          <w:lang w:val="fr-FR"/>
        </w:rPr>
        <w:t xml:space="preserve">e d’en faire le trafic.  </w:t>
      </w:r>
      <w:bookmarkStart w:id="0" w:name="HIT_5"/>
      <w:bookmarkStart w:id="1" w:name="ORIGHIT_5"/>
      <w:bookmarkEnd w:id="0"/>
      <w:bookmarkEnd w:id="1"/>
      <w:r w:rsidR="001304D7">
        <w:rPr>
          <w:szCs w:val="24"/>
          <w:lang w:val="fr-FR"/>
        </w:rPr>
        <w:t xml:space="preserve">La Cour d’appel </w:t>
      </w:r>
      <w:r w:rsidR="009D1244">
        <w:rPr>
          <w:szCs w:val="24"/>
          <w:lang w:val="fr-FR"/>
        </w:rPr>
        <w:t>a, à la majorité,</w:t>
      </w:r>
      <w:r w:rsidR="009D1244" w:rsidRPr="009D1244">
        <w:rPr>
          <w:szCs w:val="24"/>
          <w:lang w:val="fr-FR"/>
        </w:rPr>
        <w:t xml:space="preserve"> </w:t>
      </w:r>
      <w:r w:rsidR="009D1244">
        <w:rPr>
          <w:szCs w:val="24"/>
          <w:lang w:val="fr-FR"/>
        </w:rPr>
        <w:t xml:space="preserve">confirmé </w:t>
      </w:r>
      <w:r w:rsidR="001304D7">
        <w:rPr>
          <w:szCs w:val="24"/>
          <w:lang w:val="fr-FR"/>
        </w:rPr>
        <w:t>la déclaration</w:t>
      </w:r>
      <w:r w:rsidR="00CB093F" w:rsidRPr="001304D7">
        <w:rPr>
          <w:szCs w:val="24"/>
          <w:lang w:val="fr-FR"/>
        </w:rPr>
        <w:t xml:space="preserve"> </w:t>
      </w:r>
      <w:r w:rsidR="001304D7">
        <w:rPr>
          <w:szCs w:val="24"/>
          <w:lang w:val="fr-FR"/>
        </w:rPr>
        <w:t>de culpabilité</w:t>
      </w:r>
      <w:r w:rsidR="00CB093F" w:rsidRPr="001304D7">
        <w:rPr>
          <w:szCs w:val="24"/>
          <w:lang w:val="fr-FR"/>
        </w:rPr>
        <w:t>.</w:t>
      </w:r>
      <w:r w:rsidR="00CB093F" w:rsidRPr="001304D7">
        <w:rPr>
          <w:lang w:val="fr-FR"/>
        </w:rPr>
        <w:t xml:space="preserve"> </w:t>
      </w:r>
    </w:p>
    <w:p w:rsidR="008322BD" w:rsidRPr="00A24E15" w:rsidRDefault="00DD7495" w:rsidP="009D51EA">
      <w:pPr>
        <w:pStyle w:val="SCCNormalDoubleSpacing"/>
        <w:spacing w:after="480"/>
      </w:pPr>
      <w:r>
        <w:rPr>
          <w:i/>
        </w:rPr>
        <w:tab/>
      </w:r>
      <w:r w:rsidR="0043088E" w:rsidRPr="00EE1DCF">
        <w:rPr>
          <w:i/>
        </w:rPr>
        <w:t>Arrêt</w:t>
      </w:r>
      <w:r w:rsidR="00252CF9">
        <w:t> :</w:t>
      </w:r>
      <w:r w:rsidR="009B57B3" w:rsidRPr="00A24E15">
        <w:t xml:space="preserve"> </w:t>
      </w:r>
      <w:r w:rsidR="0043088E" w:rsidRPr="00A24E15">
        <w:t>Le pourvoi est</w:t>
      </w:r>
      <w:r w:rsidR="00790F78">
        <w:t xml:space="preserve"> rejeté.</w:t>
      </w:r>
    </w:p>
    <w:p w:rsidR="005F009C" w:rsidRPr="00644126" w:rsidRDefault="009B57B3" w:rsidP="009D51EA">
      <w:pPr>
        <w:pStyle w:val="SCCNormalDoubleSpacing"/>
        <w:spacing w:after="480"/>
        <w:rPr>
          <w:lang w:val="fr-FR"/>
        </w:rPr>
      </w:pPr>
      <w:r w:rsidRPr="00A24E15">
        <w:tab/>
      </w:r>
      <w:r w:rsidR="0025782F" w:rsidRPr="0025782F">
        <w:t xml:space="preserve">L’arrestation et la fouille </w:t>
      </w:r>
      <w:r w:rsidR="00A5710B">
        <w:t xml:space="preserve">du véhicule </w:t>
      </w:r>
      <w:r w:rsidR="0025782F" w:rsidRPr="0025782F">
        <w:t xml:space="preserve">n’ont pas été effectuées en violation de la </w:t>
      </w:r>
      <w:r w:rsidR="0025782F" w:rsidRPr="0025782F">
        <w:rPr>
          <w:i/>
        </w:rPr>
        <w:t>C</w:t>
      </w:r>
      <w:r w:rsidR="0025782F">
        <w:rPr>
          <w:i/>
        </w:rPr>
        <w:t xml:space="preserve">harte canadienne des droits et libertés </w:t>
      </w:r>
      <w:r w:rsidR="004B736D">
        <w:t xml:space="preserve">et la </w:t>
      </w:r>
      <w:r w:rsidR="004B736D" w:rsidRPr="001304D7">
        <w:rPr>
          <w:szCs w:val="24"/>
          <w:lang w:val="fr-FR"/>
        </w:rPr>
        <w:t>cocaïne</w:t>
      </w:r>
      <w:r w:rsidR="004B736D">
        <w:rPr>
          <w:szCs w:val="24"/>
          <w:lang w:val="fr-FR"/>
        </w:rPr>
        <w:t xml:space="preserve"> recueillie en preuve était admissible.  </w:t>
      </w:r>
      <w:r w:rsidR="004B736D" w:rsidRPr="004B736D">
        <w:rPr>
          <w:szCs w:val="24"/>
          <w:lang w:val="fr-FR"/>
        </w:rPr>
        <w:t>Le policier avait des motifs raisonnables de croire que l’accusé était en possessio</w:t>
      </w:r>
      <w:r w:rsidR="004B736D">
        <w:rPr>
          <w:szCs w:val="24"/>
          <w:lang w:val="fr-FR"/>
        </w:rPr>
        <w:t xml:space="preserve">n d’une quantité suffisante de </w:t>
      </w:r>
      <w:r w:rsidR="005F009C" w:rsidRPr="004B736D">
        <w:rPr>
          <w:lang w:val="fr-FR"/>
        </w:rPr>
        <w:t>marijuana</w:t>
      </w:r>
      <w:r w:rsidR="004B736D">
        <w:rPr>
          <w:lang w:val="fr-FR"/>
        </w:rPr>
        <w:t xml:space="preserve"> pour que cet acte constitue un acte criminel.  </w:t>
      </w:r>
      <w:r w:rsidR="004B736D" w:rsidRPr="009D1244">
        <w:t xml:space="preserve">L’accusé n’a pas été détenu illégalement.  </w:t>
      </w:r>
      <w:r w:rsidR="00384908" w:rsidRPr="00BE74AC">
        <w:rPr>
          <w:lang w:val="fr-FR"/>
        </w:rPr>
        <w:t>L’arrestation était légale et la fouille</w:t>
      </w:r>
      <w:r w:rsidR="00BE74AC" w:rsidRPr="00BE74AC">
        <w:rPr>
          <w:lang w:val="fr-FR"/>
        </w:rPr>
        <w:t xml:space="preserve"> </w:t>
      </w:r>
      <w:r w:rsidR="00A5710B">
        <w:rPr>
          <w:lang w:val="fr-FR"/>
        </w:rPr>
        <w:t xml:space="preserve"> y </w:t>
      </w:r>
      <w:r w:rsidR="00BE74AC" w:rsidRPr="00BE74AC">
        <w:rPr>
          <w:lang w:val="fr-FR"/>
        </w:rPr>
        <w:t>était légitimement</w:t>
      </w:r>
      <w:r w:rsidR="005F009C" w:rsidRPr="00BE74AC">
        <w:rPr>
          <w:lang w:val="fr-FR"/>
        </w:rPr>
        <w:t xml:space="preserve"> </w:t>
      </w:r>
      <w:r w:rsidR="00BE74AC" w:rsidRPr="00BE74AC">
        <w:rPr>
          <w:lang w:val="fr-FR"/>
        </w:rPr>
        <w:t>accessoire.</w:t>
      </w:r>
      <w:r w:rsidR="00BE74AC">
        <w:rPr>
          <w:lang w:val="fr-FR"/>
        </w:rPr>
        <w:t xml:space="preserve">  </w:t>
      </w:r>
      <w:r w:rsidR="00644126" w:rsidRPr="00644126">
        <w:rPr>
          <w:lang w:val="fr-FR"/>
        </w:rPr>
        <w:t xml:space="preserve">Même si la juge du procès avait conclu à une violation de la </w:t>
      </w:r>
      <w:r w:rsidR="005F009C" w:rsidRPr="00644126">
        <w:rPr>
          <w:i/>
          <w:lang w:val="fr-FR"/>
        </w:rPr>
        <w:t>Charte</w:t>
      </w:r>
      <w:r w:rsidR="005F009C" w:rsidRPr="00644126">
        <w:rPr>
          <w:lang w:val="fr-FR"/>
        </w:rPr>
        <w:t>,</w:t>
      </w:r>
      <w:r w:rsidR="00644126" w:rsidRPr="00644126">
        <w:rPr>
          <w:lang w:val="fr-FR"/>
        </w:rPr>
        <w:t xml:space="preserve"> </w:t>
      </w:r>
      <w:r w:rsidR="00644126">
        <w:rPr>
          <w:lang w:val="fr-FR"/>
        </w:rPr>
        <w:t xml:space="preserve">la preuve aurait été admissible en application du </w:t>
      </w:r>
      <w:r w:rsidR="00252CF9">
        <w:rPr>
          <w:lang w:val="fr-FR"/>
        </w:rPr>
        <w:t>par. </w:t>
      </w:r>
      <w:r w:rsidR="005F009C" w:rsidRPr="00644126">
        <w:rPr>
          <w:lang w:val="fr-FR"/>
        </w:rPr>
        <w:t xml:space="preserve">24(2) </w:t>
      </w:r>
      <w:r w:rsidR="00644126">
        <w:rPr>
          <w:lang w:val="fr-FR"/>
        </w:rPr>
        <w:t xml:space="preserve">de la </w:t>
      </w:r>
      <w:r w:rsidR="005F009C" w:rsidRPr="00644126">
        <w:rPr>
          <w:i/>
          <w:lang w:val="fr-FR"/>
        </w:rPr>
        <w:t>Charte</w:t>
      </w:r>
      <w:r w:rsidR="005F009C" w:rsidRPr="00644126">
        <w:rPr>
          <w:lang w:val="fr-FR"/>
        </w:rPr>
        <w:t>.</w:t>
      </w:r>
    </w:p>
    <w:p w:rsidR="007E1C47" w:rsidRPr="00A24E15" w:rsidRDefault="0043088E" w:rsidP="00252CF9">
      <w:pPr>
        <w:pStyle w:val="SCCNormalDoubleSpacing"/>
        <w:keepNext/>
        <w:spacing w:after="480"/>
        <w:rPr>
          <w:b/>
        </w:rPr>
      </w:pPr>
      <w:r w:rsidRPr="00A24E15">
        <w:rPr>
          <w:b/>
        </w:rPr>
        <w:lastRenderedPageBreak/>
        <w:t>Jurisprudence</w:t>
      </w:r>
    </w:p>
    <w:p w:rsidR="002E6705" w:rsidRPr="00A24E15" w:rsidRDefault="002E6705" w:rsidP="00252CF9">
      <w:pPr>
        <w:pStyle w:val="SCCNormalDoubleSpacing"/>
        <w:spacing w:after="480"/>
        <w:rPr>
          <w:b/>
        </w:rPr>
      </w:pPr>
      <w:r w:rsidRPr="00A24E15">
        <w:tab/>
      </w:r>
      <w:r w:rsidR="0043088E" w:rsidRPr="00A24E15">
        <w:rPr>
          <w:b/>
        </w:rPr>
        <w:t>Arrêt mentionné</w:t>
      </w:r>
      <w:r w:rsidR="00252CF9">
        <w:rPr>
          <w:b/>
        </w:rPr>
        <w:t> :</w:t>
      </w:r>
      <w:r w:rsidR="00172A04" w:rsidRPr="00A24E15">
        <w:t xml:space="preserve"> </w:t>
      </w:r>
      <w:r w:rsidR="002D1B6D" w:rsidRPr="00381F8A">
        <w:rPr>
          <w:i/>
          <w:szCs w:val="24"/>
        </w:rPr>
        <w:t xml:space="preserve">R. </w:t>
      </w:r>
      <w:r w:rsidR="002D1B6D">
        <w:rPr>
          <w:i/>
          <w:szCs w:val="24"/>
        </w:rPr>
        <w:t>c</w:t>
      </w:r>
      <w:r w:rsidR="002D1B6D" w:rsidRPr="00381F8A">
        <w:rPr>
          <w:i/>
          <w:szCs w:val="24"/>
        </w:rPr>
        <w:t>. Grant</w:t>
      </w:r>
      <w:r w:rsidR="002D1B6D" w:rsidRPr="00381F8A">
        <w:rPr>
          <w:szCs w:val="24"/>
        </w:rPr>
        <w:t>, 20</w:t>
      </w:r>
      <w:r w:rsidR="002D1B6D">
        <w:rPr>
          <w:szCs w:val="24"/>
        </w:rPr>
        <w:t>09 CSC 32, [2009] 2 R.C.S. 353.</w:t>
      </w:r>
    </w:p>
    <w:p w:rsidR="00231F3A" w:rsidRPr="00A24E15" w:rsidRDefault="0043088E" w:rsidP="00252CF9">
      <w:pPr>
        <w:pStyle w:val="SCCNormalDoubleSpacing"/>
        <w:keepNext/>
        <w:spacing w:after="720" w:line="240" w:lineRule="auto"/>
        <w:rPr>
          <w:b/>
        </w:rPr>
      </w:pPr>
      <w:r w:rsidRPr="00A24E15">
        <w:rPr>
          <w:b/>
        </w:rPr>
        <w:t>Lois</w:t>
      </w:r>
      <w:r w:rsidR="002E6705" w:rsidRPr="00A24E15">
        <w:rPr>
          <w:b/>
        </w:rPr>
        <w:t xml:space="preserve"> </w:t>
      </w:r>
      <w:r w:rsidR="008A6558" w:rsidRPr="00A24E15">
        <w:rPr>
          <w:b/>
        </w:rPr>
        <w:t>et</w:t>
      </w:r>
      <w:r w:rsidR="002E6705" w:rsidRPr="00A24E15">
        <w:rPr>
          <w:b/>
        </w:rPr>
        <w:t xml:space="preserve"> </w:t>
      </w:r>
      <w:r w:rsidRPr="00A24E15">
        <w:rPr>
          <w:b/>
        </w:rPr>
        <w:t>rè</w:t>
      </w:r>
      <w:r w:rsidR="002E6705" w:rsidRPr="00A24E15">
        <w:rPr>
          <w:b/>
        </w:rPr>
        <w:t>gl</w:t>
      </w:r>
      <w:r w:rsidRPr="00A24E15">
        <w:rPr>
          <w:b/>
        </w:rPr>
        <w:t>ements</w:t>
      </w:r>
      <w:r w:rsidR="002E6705" w:rsidRPr="00A24E15">
        <w:rPr>
          <w:b/>
        </w:rPr>
        <w:t xml:space="preserve"> </w:t>
      </w:r>
      <w:r w:rsidRPr="00A24E15">
        <w:rPr>
          <w:b/>
        </w:rPr>
        <w:t>c</w:t>
      </w:r>
      <w:r w:rsidR="002E6705" w:rsidRPr="00A24E15">
        <w:rPr>
          <w:b/>
        </w:rPr>
        <w:t>it</w:t>
      </w:r>
      <w:r w:rsidRPr="00A24E15">
        <w:rPr>
          <w:b/>
        </w:rPr>
        <w:t>és</w:t>
      </w:r>
    </w:p>
    <w:p w:rsidR="002D1B6D" w:rsidRDefault="002D1B6D" w:rsidP="00252CF9">
      <w:pPr>
        <w:pStyle w:val="SCCNormalDoubleSpacing"/>
        <w:spacing w:after="240" w:line="240" w:lineRule="auto"/>
        <w:ind w:left="547" w:hanging="547"/>
      </w:pPr>
      <w:r w:rsidRPr="007256CF">
        <w:rPr>
          <w:i/>
        </w:rPr>
        <w:t>Charte</w:t>
      </w:r>
      <w:r>
        <w:rPr>
          <w:i/>
        </w:rPr>
        <w:t xml:space="preserve"> canadienne des droits et libertés</w:t>
      </w:r>
      <w:r>
        <w:t xml:space="preserve">, </w:t>
      </w:r>
      <w:r w:rsidR="00252CF9">
        <w:t>art. </w:t>
      </w:r>
      <w:r>
        <w:t>8, 9, 24(2).</w:t>
      </w:r>
    </w:p>
    <w:p w:rsidR="002D1B6D" w:rsidRDefault="002D1B6D" w:rsidP="00252CF9">
      <w:pPr>
        <w:pStyle w:val="SCCNormalDoubleSpacing"/>
        <w:spacing w:after="240" w:line="240" w:lineRule="auto"/>
        <w:ind w:left="547" w:hanging="547"/>
      </w:pPr>
      <w:r w:rsidRPr="007256CF">
        <w:rPr>
          <w:i/>
        </w:rPr>
        <w:t>Code</w:t>
      </w:r>
      <w:r>
        <w:rPr>
          <w:i/>
        </w:rPr>
        <w:t xml:space="preserve"> criminel</w:t>
      </w:r>
      <w:r>
        <w:t xml:space="preserve">, L.R.C. 1985, </w:t>
      </w:r>
      <w:r w:rsidR="00252CF9">
        <w:t>ch. </w:t>
      </w:r>
      <w:r>
        <w:t>C</w:t>
      </w:r>
      <w:r w:rsidR="00252CF9">
        <w:noBreakHyphen/>
      </w:r>
      <w:r>
        <w:t xml:space="preserve">46, </w:t>
      </w:r>
      <w:r w:rsidR="00252CF9">
        <w:t>art. </w:t>
      </w:r>
      <w:r>
        <w:t>495(1).</w:t>
      </w:r>
    </w:p>
    <w:p w:rsidR="00E012AE" w:rsidRDefault="00E012AE" w:rsidP="00252CF9">
      <w:pPr>
        <w:pStyle w:val="SCCNormalDoubleSpacing"/>
        <w:spacing w:after="720" w:line="240" w:lineRule="auto"/>
        <w:ind w:left="547" w:hanging="547"/>
      </w:pPr>
      <w:r w:rsidRPr="00E012AE">
        <w:rPr>
          <w:i/>
        </w:rPr>
        <w:t>Loi réglementant certaines drogues et autres substances</w:t>
      </w:r>
      <w:r w:rsidRPr="00E012AE">
        <w:t xml:space="preserve">, L.C. 1996, </w:t>
      </w:r>
      <w:r w:rsidR="00252CF9">
        <w:t>ch. </w:t>
      </w:r>
      <w:r w:rsidRPr="00E012AE">
        <w:t>19</w:t>
      </w:r>
      <w:r>
        <w:t xml:space="preserve">, </w:t>
      </w:r>
      <w:r w:rsidR="00252CF9">
        <w:t>art. </w:t>
      </w:r>
      <w:r>
        <w:t>4.</w:t>
      </w:r>
    </w:p>
    <w:p w:rsidR="00D5435D" w:rsidRPr="00A24E15" w:rsidRDefault="00DE1286" w:rsidP="00252CF9">
      <w:pPr>
        <w:pStyle w:val="SCCNormalDoubleSpacing"/>
        <w:spacing w:after="480"/>
      </w:pPr>
      <w:r>
        <w:tab/>
      </w:r>
      <w:r w:rsidR="009B57B3" w:rsidRPr="00A24E15">
        <w:t>P</w:t>
      </w:r>
      <w:r w:rsidR="0043088E" w:rsidRPr="00A24E15">
        <w:t>OURVOI contre un arrêt de la</w:t>
      </w:r>
      <w:r w:rsidR="009B57B3" w:rsidRPr="00A24E15">
        <w:t xml:space="preserve"> </w:t>
      </w:r>
      <w:r w:rsidR="009B57B3">
        <w:t>Cour d</w:t>
      </w:r>
      <w:r>
        <w:t>’</w:t>
      </w:r>
      <w:r w:rsidR="009B57B3">
        <w:t>appel de l’Alberta</w:t>
      </w:r>
      <w:r>
        <w:t xml:space="preserve"> (les juges Hunt, Berger et Slatter), </w:t>
      </w:r>
      <w:r w:rsidR="00C50637">
        <w:t xml:space="preserve">2010 ABCA 255, 32 Alta. L.R. (5th) 203, 260 C.C.C. (3d) 296, 490 A.R. 72, [2011] 2 W.W.R. 15, [2010] A.J. </w:t>
      </w:r>
      <w:r w:rsidR="00252CF9">
        <w:t>No. </w:t>
      </w:r>
      <w:r w:rsidR="00C50637">
        <w:t xml:space="preserve">980 (QL), 2010 </w:t>
      </w:r>
      <w:proofErr w:type="spellStart"/>
      <w:r w:rsidR="00C50637">
        <w:t>CarswellAlta</w:t>
      </w:r>
      <w:proofErr w:type="spellEnd"/>
      <w:r w:rsidR="00C50637">
        <w:t xml:space="preserve"> 1721, qui a confirmé une décision de la juge Ross, 2008 ABQB 660, 461 A.R. 193, [2008] A.J. </w:t>
      </w:r>
      <w:r w:rsidR="00252CF9">
        <w:t>No. </w:t>
      </w:r>
      <w:r w:rsidR="00C50637">
        <w:t xml:space="preserve">1187 (QL), 2008 </w:t>
      </w:r>
      <w:proofErr w:type="spellStart"/>
      <w:r w:rsidR="00C50637">
        <w:t>CarswellAlta</w:t>
      </w:r>
      <w:proofErr w:type="spellEnd"/>
      <w:r w:rsidR="00C50637">
        <w:t xml:space="preserve"> 1637.  Pourvoi rejeté.</w:t>
      </w:r>
    </w:p>
    <w:p w:rsidR="00EE671D" w:rsidRDefault="00252CF9" w:rsidP="00252CF9">
      <w:pPr>
        <w:pStyle w:val="SCCNormalDoubleSpacing"/>
        <w:spacing w:after="480"/>
      </w:pPr>
      <w:r>
        <w:rPr>
          <w:rStyle w:val="SCCCounselNameChar"/>
        </w:rPr>
        <w:tab/>
        <w:t>Paul </w:t>
      </w:r>
      <w:r w:rsidR="00DE1286">
        <w:rPr>
          <w:rStyle w:val="SCCCounselNameChar"/>
        </w:rPr>
        <w:t>L. Moreau</w:t>
      </w:r>
      <w:r w:rsidR="00DE1286">
        <w:rPr>
          <w:rStyle w:val="SCCCounselSeparatorChar"/>
        </w:rPr>
        <w:t xml:space="preserve"> et </w:t>
      </w:r>
      <w:r w:rsidR="00DE1286">
        <w:rPr>
          <w:rStyle w:val="SCCCounselNameChar"/>
        </w:rPr>
        <w:t>Darin Slaferek</w:t>
      </w:r>
      <w:r w:rsidR="0010740F">
        <w:rPr>
          <w:rStyle w:val="SCCCounselPartyRoleChar"/>
        </w:rPr>
        <w:t>, pour l’appelant</w:t>
      </w:r>
      <w:r w:rsidR="00DE1286">
        <w:rPr>
          <w:rStyle w:val="SCCCounselPartyRoleChar"/>
        </w:rPr>
        <w:t>.</w:t>
      </w:r>
    </w:p>
    <w:p w:rsidR="00EE671D" w:rsidRDefault="00DE1286" w:rsidP="00252CF9">
      <w:pPr>
        <w:pStyle w:val="SCCNormalDoubleSpacing"/>
        <w:spacing w:after="480"/>
      </w:pPr>
      <w:r>
        <w:rPr>
          <w:rStyle w:val="SCCCounselNameChar"/>
        </w:rPr>
        <w:tab/>
      </w:r>
      <w:r w:rsidR="00754706">
        <w:rPr>
          <w:rStyle w:val="SCCCounselNameChar"/>
        </w:rPr>
        <w:t>Monique Dion</w:t>
      </w:r>
      <w:r w:rsidR="00754706" w:rsidRPr="00754706">
        <w:rPr>
          <w:rStyle w:val="SCCCounselNameChar"/>
          <w:i w:val="0"/>
        </w:rPr>
        <w:t xml:space="preserve"> </w:t>
      </w:r>
      <w:r w:rsidR="00754706">
        <w:rPr>
          <w:rStyle w:val="SCCCounselSeparatorChar"/>
        </w:rPr>
        <w:t>et</w:t>
      </w:r>
      <w:r w:rsidR="00754706" w:rsidRPr="00754706">
        <w:rPr>
          <w:rStyle w:val="SCCCounselNameChar"/>
          <w:i w:val="0"/>
        </w:rPr>
        <w:t xml:space="preserve"> </w:t>
      </w:r>
      <w:r w:rsidR="00252CF9">
        <w:rPr>
          <w:rStyle w:val="SCCCounselNameChar"/>
        </w:rPr>
        <w:t>Ronald </w:t>
      </w:r>
      <w:r>
        <w:rPr>
          <w:rStyle w:val="SCCCounselNameChar"/>
        </w:rPr>
        <w:t>C. Reimer</w:t>
      </w:r>
      <w:r w:rsidR="0010740F">
        <w:rPr>
          <w:rStyle w:val="SCCCounselPartyRoleChar"/>
        </w:rPr>
        <w:t>, pour l’</w:t>
      </w:r>
      <w:r>
        <w:rPr>
          <w:rStyle w:val="SCCCounselPartyRoleChar"/>
        </w:rPr>
        <w:t>intimée.</w:t>
      </w:r>
    </w:p>
    <w:p w:rsidR="00C52735" w:rsidRDefault="00C52735" w:rsidP="00C52735">
      <w:pPr>
        <w:tabs>
          <w:tab w:val="left" w:pos="-1440"/>
          <w:tab w:val="left" w:pos="-720"/>
          <w:tab w:val="left" w:pos="1170"/>
        </w:tabs>
        <w:spacing w:before="480" w:after="480" w:line="480" w:lineRule="auto"/>
        <w:jc w:val="both"/>
        <w:rPr>
          <w:lang w:val="fr-FR"/>
        </w:rPr>
      </w:pPr>
      <w:r w:rsidRPr="0070040F">
        <w:rPr>
          <w:lang w:val="fr-FR"/>
        </w:rPr>
        <w:tab/>
      </w:r>
      <w:r w:rsidR="00B928F1">
        <w:rPr>
          <w:lang w:val="fr-FR"/>
        </w:rPr>
        <w:t>Version française du jugement de la Cour rendu par</w:t>
      </w:r>
    </w:p>
    <w:p w:rsidR="00C52735" w:rsidRPr="0070040F" w:rsidRDefault="003637EA" w:rsidP="00C52735">
      <w:pPr>
        <w:pStyle w:val="ParaNoNdepar-AltN"/>
        <w:rPr>
          <w:lang w:val="fr-FR"/>
        </w:rPr>
      </w:pPr>
      <w:r>
        <w:rPr>
          <w:smallCaps/>
          <w:lang w:val="fr-CA"/>
        </w:rPr>
        <w:t>L</w:t>
      </w:r>
      <w:r w:rsidR="00B928F1" w:rsidRPr="00B928F1">
        <w:rPr>
          <w:smallCaps/>
          <w:lang w:val="fr-CA"/>
        </w:rPr>
        <w:t>a Juge en chef</w:t>
      </w:r>
      <w:r w:rsidR="00B928F1" w:rsidRPr="00B928F1">
        <w:rPr>
          <w:lang w:val="fr-CA"/>
        </w:rPr>
        <w:t xml:space="preserve"> — </w:t>
      </w:r>
      <w:r w:rsidR="003309B5">
        <w:rPr>
          <w:lang w:val="fr-FR"/>
        </w:rPr>
        <w:t>M.</w:t>
      </w:r>
      <w:r w:rsidR="00C52735" w:rsidRPr="0070040F">
        <w:rPr>
          <w:lang w:val="fr-FR"/>
        </w:rPr>
        <w:t xml:space="preserve"> Loewen a été intercepté par le sergent </w:t>
      </w:r>
      <w:proofErr w:type="spellStart"/>
      <w:r w:rsidR="00C52735" w:rsidRPr="0070040F">
        <w:rPr>
          <w:lang w:val="fr-FR"/>
        </w:rPr>
        <w:t>Topham</w:t>
      </w:r>
      <w:proofErr w:type="spellEnd"/>
      <w:r w:rsidR="00C52735" w:rsidRPr="0070040F">
        <w:rPr>
          <w:lang w:val="fr-FR"/>
        </w:rPr>
        <w:t xml:space="preserve"> pour excès de vitesse.  Pendant que le véhicule était immobilisé en bordure de la </w:t>
      </w:r>
      <w:r w:rsidR="00C52735" w:rsidRPr="0070040F">
        <w:rPr>
          <w:lang w:val="fr-FR"/>
        </w:rPr>
        <w:lastRenderedPageBreak/>
        <w:t xml:space="preserve">route, le policier  a senti une odeur de marijuana récemment brûlée qui émanait de </w:t>
      </w:r>
      <w:proofErr w:type="spellStart"/>
      <w:r w:rsidR="00C52735" w:rsidRPr="0070040F">
        <w:rPr>
          <w:lang w:val="fr-FR"/>
        </w:rPr>
        <w:t>celui</w:t>
      </w:r>
      <w:r w:rsidR="00C52735" w:rsidRPr="0070040F">
        <w:rPr>
          <w:lang w:val="fr-FR"/>
        </w:rPr>
        <w:noBreakHyphen/>
        <w:t>ci</w:t>
      </w:r>
      <w:proofErr w:type="spellEnd"/>
      <w:r w:rsidR="00C52735" w:rsidRPr="0070040F">
        <w:rPr>
          <w:lang w:val="fr-FR"/>
        </w:rPr>
        <w:t xml:space="preserve"> et il a trouvé 5 410 $ en argent liquide dans la poche de M. Loewen.  Le sergent </w:t>
      </w:r>
      <w:proofErr w:type="spellStart"/>
      <w:r w:rsidR="00C52735" w:rsidRPr="0070040F">
        <w:rPr>
          <w:lang w:val="fr-FR"/>
        </w:rPr>
        <w:t>Topham</w:t>
      </w:r>
      <w:proofErr w:type="spellEnd"/>
      <w:r w:rsidR="00C52735" w:rsidRPr="0070040F">
        <w:rPr>
          <w:lang w:val="fr-FR"/>
        </w:rPr>
        <w:t xml:space="preserve"> a arrêté ce dernier pour possession d’une substance réglementée, puis a fouillé son véhicule et y a trouvé 100 grammes de crack. </w:t>
      </w:r>
    </w:p>
    <w:p w:rsidR="00C52735" w:rsidRPr="0070040F" w:rsidRDefault="00C52735" w:rsidP="00C52735">
      <w:pPr>
        <w:pStyle w:val="ParaNoNdepar-AltN"/>
        <w:rPr>
          <w:lang w:val="fr-FR"/>
        </w:rPr>
      </w:pPr>
      <w:r w:rsidRPr="0070040F">
        <w:rPr>
          <w:lang w:val="fr-FR"/>
        </w:rPr>
        <w:t xml:space="preserve">En l’espèce, il s’agit de décider si l’arrestation et la fouille du véhicule ont été effectuées en violation de la </w:t>
      </w:r>
      <w:r w:rsidRPr="0070040F">
        <w:rPr>
          <w:i/>
          <w:lang w:val="fr-FR"/>
        </w:rPr>
        <w:t xml:space="preserve">Charte canadienne des droits et libertés </w:t>
      </w:r>
      <w:r w:rsidRPr="0070040F">
        <w:rPr>
          <w:lang w:val="fr-FR"/>
        </w:rPr>
        <w:t xml:space="preserve">et, dans l’affirmative, si la cocaïne recueillie en preuve doit être écartée en vertu du par. 24(2) de la </w:t>
      </w:r>
      <w:r w:rsidRPr="0070040F">
        <w:rPr>
          <w:i/>
          <w:lang w:val="fr-FR"/>
        </w:rPr>
        <w:t>Charte</w:t>
      </w:r>
      <w:r w:rsidRPr="0070040F">
        <w:rPr>
          <w:lang w:val="fr-FR"/>
        </w:rPr>
        <w:t xml:space="preserve">.  La juge du procès et les juges majoritaires de la Cour d’appel de l’Alberta ont conclu que la </w:t>
      </w:r>
      <w:r w:rsidRPr="0070040F">
        <w:rPr>
          <w:i/>
          <w:lang w:val="fr-FR"/>
        </w:rPr>
        <w:t>Charte</w:t>
      </w:r>
      <w:r w:rsidRPr="0070040F">
        <w:rPr>
          <w:lang w:val="fr-FR"/>
        </w:rPr>
        <w:t xml:space="preserve"> n’avait pas été violée et que, même si elle l’avait été, la preuve devait être admise en application du par. 24(2) de ce texte.  Le juge d’appel Berger, dissident, a affirmé que l’arrestation de M. Loewen était illégale au regard du par. 495(1) du </w:t>
      </w:r>
      <w:r w:rsidRPr="0070040F">
        <w:rPr>
          <w:i/>
          <w:lang w:val="fr-FR"/>
        </w:rPr>
        <w:t>Code criminel</w:t>
      </w:r>
      <w:r w:rsidRPr="0070040F">
        <w:rPr>
          <w:lang w:val="fr-FR"/>
        </w:rPr>
        <w:t>, L.R.C. 1985, ch. C</w:t>
      </w:r>
      <w:r w:rsidRPr="0070040F">
        <w:rPr>
          <w:lang w:val="fr-FR"/>
        </w:rPr>
        <w:noBreakHyphen/>
        <w:t xml:space="preserve">46, que la fouille n’avait aucun lien avec l’arrestation et que la preuve obtenue par suite de </w:t>
      </w:r>
      <w:proofErr w:type="spellStart"/>
      <w:r w:rsidRPr="0070040F">
        <w:rPr>
          <w:lang w:val="fr-FR"/>
        </w:rPr>
        <w:t>celle</w:t>
      </w:r>
      <w:r w:rsidRPr="0070040F">
        <w:rPr>
          <w:lang w:val="fr-FR"/>
        </w:rPr>
        <w:noBreakHyphen/>
        <w:t>ci</w:t>
      </w:r>
      <w:proofErr w:type="spellEnd"/>
      <w:r w:rsidRPr="0070040F">
        <w:rPr>
          <w:lang w:val="fr-FR"/>
        </w:rPr>
        <w:t xml:space="preserve"> était inadmissible suivant le par. 24(2) de la </w:t>
      </w:r>
      <w:r w:rsidRPr="0070040F">
        <w:rPr>
          <w:i/>
          <w:lang w:val="fr-FR"/>
        </w:rPr>
        <w:t>Charte</w:t>
      </w:r>
      <w:r w:rsidRPr="0070040F">
        <w:rPr>
          <w:lang w:val="fr-FR"/>
        </w:rPr>
        <w:t>.</w:t>
      </w:r>
    </w:p>
    <w:p w:rsidR="00C52735" w:rsidRPr="0070040F" w:rsidRDefault="00C52735" w:rsidP="00C52735">
      <w:pPr>
        <w:pStyle w:val="TitleTitre-AltT"/>
        <w:keepNext/>
        <w:spacing w:after="720"/>
        <w:rPr>
          <w:u w:val="single"/>
          <w:lang w:val="fr-FR"/>
        </w:rPr>
      </w:pPr>
      <w:r w:rsidRPr="0070040F">
        <w:rPr>
          <w:lang w:val="fr-FR"/>
        </w:rPr>
        <w:t>1.</w:t>
      </w:r>
      <w:r w:rsidRPr="0070040F">
        <w:rPr>
          <w:lang w:val="fr-FR"/>
        </w:rPr>
        <w:tab/>
      </w:r>
      <w:r w:rsidRPr="0070040F">
        <w:rPr>
          <w:u w:val="single"/>
          <w:lang w:val="fr-FR"/>
        </w:rPr>
        <w:t>Légalité de l’arrestation au regard de l’al. 495(1)</w:t>
      </w:r>
      <w:r w:rsidRPr="0070040F">
        <w:rPr>
          <w:i/>
          <w:u w:val="single"/>
          <w:lang w:val="fr-FR"/>
        </w:rPr>
        <w:t>a</w:t>
      </w:r>
      <w:r w:rsidRPr="0070040F">
        <w:rPr>
          <w:u w:val="single"/>
          <w:lang w:val="fr-FR"/>
        </w:rPr>
        <w:t xml:space="preserve">) du </w:t>
      </w:r>
      <w:r w:rsidRPr="0070040F">
        <w:rPr>
          <w:i/>
          <w:u w:val="single"/>
          <w:lang w:val="fr-FR"/>
        </w:rPr>
        <w:t>Code criminel</w:t>
      </w:r>
    </w:p>
    <w:p w:rsidR="00C52735" w:rsidRPr="0070040F" w:rsidRDefault="00C52735" w:rsidP="00C52735">
      <w:pPr>
        <w:pStyle w:val="ParaNoNdepar-AltN"/>
        <w:rPr>
          <w:lang w:val="fr-FR"/>
        </w:rPr>
      </w:pPr>
      <w:r w:rsidRPr="0070040F">
        <w:rPr>
          <w:lang w:val="fr-FR"/>
        </w:rPr>
        <w:t xml:space="preserve">Si l’arrestation de M. Loewen était illégale, sa détention viole l’art. 9 de la </w:t>
      </w:r>
      <w:r w:rsidRPr="0070040F">
        <w:rPr>
          <w:i/>
          <w:lang w:val="fr-FR"/>
        </w:rPr>
        <w:t>Charte</w:t>
      </w:r>
      <w:r w:rsidRPr="0070040F">
        <w:rPr>
          <w:lang w:val="fr-FR"/>
        </w:rPr>
        <w:t xml:space="preserve">.  Si c’est le cas, la fouille ne saurait avoir été accessoire à l’arrestation et, par conséquent, elle violerait l’art. 8 de la </w:t>
      </w:r>
      <w:r w:rsidRPr="0070040F">
        <w:rPr>
          <w:i/>
          <w:lang w:val="fr-FR"/>
        </w:rPr>
        <w:t>Charte</w:t>
      </w:r>
      <w:r w:rsidRPr="0070040F">
        <w:rPr>
          <w:lang w:val="fr-FR"/>
        </w:rPr>
        <w:t xml:space="preserve">.  Il faut donc d’abord se demander si l’arrestation était illégale. </w:t>
      </w:r>
    </w:p>
    <w:p w:rsidR="00C52735" w:rsidRPr="0070040F" w:rsidRDefault="00C52735" w:rsidP="00C52735">
      <w:pPr>
        <w:pStyle w:val="ParaNoNdepar-AltN"/>
        <w:rPr>
          <w:lang w:val="fr-FR"/>
        </w:rPr>
      </w:pPr>
      <w:r w:rsidRPr="0070040F">
        <w:rPr>
          <w:lang w:val="fr-FR"/>
        </w:rPr>
        <w:lastRenderedPageBreak/>
        <w:t>La juge Ross, qui a présidé le procès, a conclu que M. Loewen avait été légalement arrêté en vertu de l’al. 495(1)</w:t>
      </w:r>
      <w:r w:rsidRPr="0070040F">
        <w:rPr>
          <w:i/>
          <w:lang w:val="fr-FR"/>
        </w:rPr>
        <w:t>a</w:t>
      </w:r>
      <w:r w:rsidRPr="0070040F">
        <w:rPr>
          <w:lang w:val="fr-FR"/>
        </w:rPr>
        <w:t xml:space="preserve">), lequel autorise un agent à arrêter une personne qui, d’après ce qu’il croit pour des motifs raisonnables, a commis un acte </w:t>
      </w:r>
      <w:r w:rsidRPr="0070040F">
        <w:rPr>
          <w:i/>
          <w:lang w:val="fr-FR"/>
        </w:rPr>
        <w:t>criminel</w:t>
      </w:r>
      <w:r w:rsidRPr="0070040F">
        <w:rPr>
          <w:lang w:val="fr-FR"/>
        </w:rPr>
        <w:t xml:space="preserve"> (2008 ABQB 660, 461 A.R. 193).  La possession de plus de 30 grammes de marijuana constitue un acte criminel : </w:t>
      </w:r>
      <w:r w:rsidRPr="0070040F">
        <w:rPr>
          <w:i/>
          <w:lang w:val="fr-FR"/>
        </w:rPr>
        <w:t>Loi réglementant certaines drogues et autres substances</w:t>
      </w:r>
      <w:r w:rsidRPr="0070040F">
        <w:rPr>
          <w:lang w:val="fr-FR"/>
        </w:rPr>
        <w:t xml:space="preserve">, L.C. 1996, ch. 19, art. 4.  Selon la juge du procès, le sergent </w:t>
      </w:r>
      <w:proofErr w:type="spellStart"/>
      <w:r w:rsidRPr="0070040F">
        <w:rPr>
          <w:lang w:val="fr-FR"/>
        </w:rPr>
        <w:t>Topham</w:t>
      </w:r>
      <w:proofErr w:type="spellEnd"/>
      <w:r w:rsidRPr="0070040F">
        <w:rPr>
          <w:lang w:val="fr-FR"/>
        </w:rPr>
        <w:t xml:space="preserve"> avait des motifs raisonnables de croire que M. Loewen était en possession d’une quantité suffisante de marijuana pour que cet acte constitue un acte criminel, eu égard à l’ensemble de la preuve, notamment l’odeur de marijuana brûlée émanant de la voiture et la somme de 5 410 $ — en majeure partie des coupures de 20 $ — découverte dans la poche de M. Loewen, éléments qui tendaient à indiquer l’implication de ce dernier dans le trafic de drogue. </w:t>
      </w:r>
    </w:p>
    <w:p w:rsidR="00C52735" w:rsidRPr="0070040F" w:rsidRDefault="00C52735" w:rsidP="00C52735">
      <w:pPr>
        <w:pStyle w:val="ParaNoNdepar-AltN"/>
        <w:rPr>
          <w:lang w:val="fr-FR"/>
        </w:rPr>
      </w:pPr>
      <w:r w:rsidRPr="0070040F">
        <w:rPr>
          <w:lang w:val="fr-FR"/>
        </w:rPr>
        <w:t xml:space="preserve">À l’instar des juges majoritaires de la Cour d’appel, nous ne relevons aucune erreur dans les motifs de la juge du procès sur ce point.  Les juges </w:t>
      </w:r>
      <w:proofErr w:type="spellStart"/>
      <w:r w:rsidRPr="0070040F">
        <w:rPr>
          <w:lang w:val="fr-FR"/>
        </w:rPr>
        <w:t>Slatter</w:t>
      </w:r>
      <w:proofErr w:type="spellEnd"/>
      <w:r w:rsidRPr="0070040F">
        <w:rPr>
          <w:lang w:val="fr-FR"/>
        </w:rPr>
        <w:t xml:space="preserve"> et Hunt ont à juste titre confirmé l’arrestation effectuée en vertu de l’al. 495(1)</w:t>
      </w:r>
      <w:r w:rsidRPr="0070040F">
        <w:rPr>
          <w:i/>
          <w:lang w:val="fr-FR"/>
        </w:rPr>
        <w:t>a</w:t>
      </w:r>
      <w:r w:rsidRPr="0070040F">
        <w:rPr>
          <w:lang w:val="fr-FR"/>
        </w:rPr>
        <w:t xml:space="preserve">) (2010 ABCA 255, 32 Alta. L.R. (5th) 203).  (Le fait que le juge </w:t>
      </w:r>
      <w:proofErr w:type="spellStart"/>
      <w:r w:rsidRPr="0070040F">
        <w:rPr>
          <w:lang w:val="fr-FR"/>
        </w:rPr>
        <w:t>Slatter</w:t>
      </w:r>
      <w:proofErr w:type="spellEnd"/>
      <w:r w:rsidRPr="0070040F">
        <w:rPr>
          <w:lang w:val="fr-FR"/>
        </w:rPr>
        <w:t xml:space="preserve"> ait erronément affirmé que la règle des « motifs raisonnables » énoncée à l’al. 495(1</w:t>
      </w:r>
      <w:proofErr w:type="gramStart"/>
      <w:r w:rsidRPr="0070040F">
        <w:rPr>
          <w:lang w:val="fr-FR"/>
        </w:rPr>
        <w:t>)</w:t>
      </w:r>
      <w:r w:rsidRPr="0070040F">
        <w:rPr>
          <w:i/>
          <w:lang w:val="fr-FR"/>
        </w:rPr>
        <w:t>a</w:t>
      </w:r>
      <w:proofErr w:type="gramEnd"/>
      <w:r w:rsidRPr="0070040F">
        <w:rPr>
          <w:lang w:val="fr-FR"/>
        </w:rPr>
        <w:t xml:space="preserve">) diffère de celle des « motifs raisonnables et probables » n’influe pas sur la justesse de cette conclusion.) </w:t>
      </w:r>
    </w:p>
    <w:p w:rsidR="00C52735" w:rsidRPr="0070040F" w:rsidRDefault="00C52735" w:rsidP="00C52735">
      <w:pPr>
        <w:pStyle w:val="ParaNoNdepar-AltN"/>
        <w:rPr>
          <w:lang w:val="fr-FR"/>
        </w:rPr>
      </w:pPr>
      <w:r w:rsidRPr="0070040F">
        <w:rPr>
          <w:lang w:val="fr-FR"/>
        </w:rPr>
        <w:t>De l’avis du juge d’appel Berger, dissident, la preuve n’étayait pas l’inférence de la juge du procès que, selon l’al. 495(1)</w:t>
      </w:r>
      <w:r w:rsidRPr="0070040F">
        <w:rPr>
          <w:i/>
          <w:lang w:val="fr-FR"/>
        </w:rPr>
        <w:t>a</w:t>
      </w:r>
      <w:r w:rsidRPr="0070040F">
        <w:rPr>
          <w:lang w:val="fr-FR"/>
        </w:rPr>
        <w:t xml:space="preserve">), il était raisonnable de croire </w:t>
      </w:r>
      <w:r w:rsidRPr="0070040F">
        <w:rPr>
          <w:lang w:val="fr-FR"/>
        </w:rPr>
        <w:lastRenderedPageBreak/>
        <w:t xml:space="preserve">que plus de 30 grammes de marijuana se trouvaient dans la voiture.  Il a souligné l’absence de témoignage quant à la quantité de marijuana qui, d’après ce que croyait le sergent </w:t>
      </w:r>
      <w:proofErr w:type="spellStart"/>
      <w:r w:rsidRPr="0070040F">
        <w:rPr>
          <w:lang w:val="fr-FR"/>
        </w:rPr>
        <w:t>Topham</w:t>
      </w:r>
      <w:proofErr w:type="spellEnd"/>
      <w:r w:rsidRPr="0070040F">
        <w:rPr>
          <w:lang w:val="fr-FR"/>
        </w:rPr>
        <w:t xml:space="preserve">, était dans la voiture. </w:t>
      </w:r>
    </w:p>
    <w:p w:rsidR="00C52735" w:rsidRPr="0070040F" w:rsidRDefault="00C52735" w:rsidP="00C52735">
      <w:pPr>
        <w:pStyle w:val="ParaNoNdepar-AltN"/>
        <w:rPr>
          <w:lang w:val="fr-FR"/>
        </w:rPr>
      </w:pPr>
      <w:r w:rsidRPr="0070040F">
        <w:rPr>
          <w:lang w:val="fr-FR"/>
        </w:rPr>
        <w:t xml:space="preserve">Nous ne voyons aucune erreur dans la conclusion de la juge du procès que le sergent </w:t>
      </w:r>
      <w:proofErr w:type="spellStart"/>
      <w:r w:rsidRPr="0070040F">
        <w:rPr>
          <w:lang w:val="fr-FR"/>
        </w:rPr>
        <w:t>Topham</w:t>
      </w:r>
      <w:proofErr w:type="spellEnd"/>
      <w:r w:rsidRPr="0070040F">
        <w:rPr>
          <w:lang w:val="fr-FR"/>
        </w:rPr>
        <w:t xml:space="preserve"> avait des motifs raisonnables d’arrêter M. Loewen, en vertu de l’al. 495(1)</w:t>
      </w:r>
      <w:r w:rsidRPr="0070040F">
        <w:rPr>
          <w:i/>
          <w:lang w:val="fr-FR"/>
        </w:rPr>
        <w:t>a</w:t>
      </w:r>
      <w:r w:rsidRPr="0070040F">
        <w:rPr>
          <w:lang w:val="fr-FR"/>
        </w:rPr>
        <w:t xml:space="preserve">), pour possession d’une substance réglementée.  La preuve était suffisante pour appuyer l’inférence de la juge selon laquelle les motifs nécessaires pour procéder à l’arrestation étaient présents.  La juge du procès a dit ce qui suit à ce sujet : </w:t>
      </w:r>
    </w:p>
    <w:p w:rsidR="00C52735" w:rsidRPr="0070040F" w:rsidRDefault="00587F6D" w:rsidP="00587F6D">
      <w:pPr>
        <w:pStyle w:val="Citation-AltC"/>
        <w:tabs>
          <w:tab w:val="left" w:pos="1170"/>
        </w:tabs>
        <w:spacing w:after="240"/>
        <w:ind w:hanging="1166"/>
        <w:contextualSpacing w:val="0"/>
        <w:rPr>
          <w:lang w:val="fr-FR"/>
        </w:rPr>
      </w:pPr>
      <w:r>
        <w:rPr>
          <w:smallCaps/>
          <w:lang w:val="fr-FR"/>
        </w:rPr>
        <w:tab/>
      </w:r>
      <w:r w:rsidR="0036421A" w:rsidRPr="0070040F">
        <w:rPr>
          <w:smallCaps/>
          <w:lang w:val="fr-FR"/>
        </w:rPr>
        <w:t>[traduction]</w:t>
      </w:r>
      <w:r w:rsidR="0036421A">
        <w:rPr>
          <w:smallCaps/>
          <w:lang w:val="fr-FR"/>
        </w:rPr>
        <w:t xml:space="preserve">  </w:t>
      </w:r>
      <w:r w:rsidR="00C52735" w:rsidRPr="0070040F">
        <w:rPr>
          <w:lang w:val="fr-FR"/>
        </w:rPr>
        <w:t xml:space="preserve">L’importante somme d’argent était une preuve susceptible d’amener le sergent à croire que la quantité de marijuana en cause dépassait 30 grammes.  Le sergent n’a été ni interrogé, ni </w:t>
      </w:r>
      <w:proofErr w:type="spellStart"/>
      <w:r w:rsidR="00C52735" w:rsidRPr="0070040F">
        <w:rPr>
          <w:lang w:val="fr-FR"/>
        </w:rPr>
        <w:t>contre</w:t>
      </w:r>
      <w:r w:rsidR="00C52735" w:rsidRPr="0070040F">
        <w:rPr>
          <w:lang w:val="fr-FR"/>
        </w:rPr>
        <w:noBreakHyphen/>
        <w:t>interrogé</w:t>
      </w:r>
      <w:proofErr w:type="spellEnd"/>
      <w:r w:rsidR="00C52735" w:rsidRPr="0070040F">
        <w:rPr>
          <w:lang w:val="fr-FR"/>
        </w:rPr>
        <w:t xml:space="preserve"> sur ce point précis; il a cependant clairement affirmé qu’à son avis il n’avait pas de motifs raisonnables sur la foi de l’odeur seulement, mais qu’il a disposé de tels motifs dès qu’il a découvert l’argent.  Conjugué à l’odeur, l’argent est un indice de l’achat ou de la vente de drogues en quantité relativement grande</w:t>
      </w:r>
      <w:r w:rsidR="0036421A">
        <w:rPr>
          <w:lang w:val="fr-FR"/>
        </w:rPr>
        <w:t>. . .</w:t>
      </w:r>
    </w:p>
    <w:p w:rsidR="00C52735" w:rsidRPr="0070040F" w:rsidRDefault="00C52735" w:rsidP="00C52735">
      <w:pPr>
        <w:pStyle w:val="Citation-AltC"/>
        <w:spacing w:after="240"/>
        <w:contextualSpacing w:val="0"/>
        <w:jc w:val="center"/>
        <w:rPr>
          <w:lang w:val="fr-FR"/>
        </w:rPr>
      </w:pPr>
      <w:r w:rsidRPr="0070040F">
        <w:rPr>
          <w:lang w:val="fr-FR"/>
        </w:rPr>
        <w:t>. . .</w:t>
      </w:r>
    </w:p>
    <w:p w:rsidR="00C52735" w:rsidRPr="0070040F" w:rsidRDefault="00587F6D" w:rsidP="00364BE0">
      <w:pPr>
        <w:pStyle w:val="Citation-AltC"/>
        <w:tabs>
          <w:tab w:val="left" w:pos="1170"/>
        </w:tabs>
        <w:ind w:hanging="1166"/>
        <w:contextualSpacing w:val="0"/>
        <w:rPr>
          <w:lang w:val="fr-CA"/>
        </w:rPr>
      </w:pPr>
      <w:r>
        <w:rPr>
          <w:lang w:val="fr-FR"/>
        </w:rPr>
        <w:tab/>
      </w:r>
      <w:r w:rsidR="005959E2">
        <w:rPr>
          <w:lang w:val="fr-FR"/>
        </w:rPr>
        <w:tab/>
      </w:r>
      <w:r w:rsidR="005959E2">
        <w:rPr>
          <w:lang w:val="fr-FR"/>
        </w:rPr>
        <w:tab/>
      </w:r>
      <w:r w:rsidR="00C52735" w:rsidRPr="0070040F">
        <w:rPr>
          <w:lang w:val="fr-FR"/>
        </w:rPr>
        <w:t xml:space="preserve">. . .  Vu [. . .] l’odeur, sa nature précise et sa provenance, les raisons pour lesquelles cette odeur était associée à l’accusé et à l’accusé seulement, et l’argent trouvé sur la personne de l’accusé, le policier a conclu que ce dernier était en possession de marijuana à ce </w:t>
      </w:r>
      <w:proofErr w:type="spellStart"/>
      <w:r w:rsidR="00C52735" w:rsidRPr="0070040F">
        <w:rPr>
          <w:lang w:val="fr-FR"/>
        </w:rPr>
        <w:t>moment</w:t>
      </w:r>
      <w:r w:rsidR="00C52735" w:rsidRPr="0070040F">
        <w:rPr>
          <w:lang w:val="fr-FR"/>
        </w:rPr>
        <w:noBreakHyphen/>
        <w:t>là</w:t>
      </w:r>
      <w:proofErr w:type="spellEnd"/>
      <w:r w:rsidR="00C52735" w:rsidRPr="0070040F">
        <w:rPr>
          <w:lang w:val="fr-FR"/>
        </w:rPr>
        <w:t xml:space="preserve">, il l’a arrêté pour cette raison, puis il a procédé à une fouille accessoire à l’arrestation pour trouver des éléments de preuve.  La croyance subjective du sergent en l’existence du motif ne fait aucun doute et, à mon avis, cette croyance subjective était objectivement raisonnable dans les circonstances.  </w:t>
      </w:r>
      <w:r w:rsidR="00C52735" w:rsidRPr="0070040F">
        <w:rPr>
          <w:lang w:val="fr-CA"/>
        </w:rPr>
        <w:t>[</w:t>
      </w:r>
      <w:proofErr w:type="gramStart"/>
      <w:r w:rsidR="00C52735" w:rsidRPr="0070040F">
        <w:rPr>
          <w:lang w:val="fr-CA"/>
        </w:rPr>
        <w:t>par</w:t>
      </w:r>
      <w:proofErr w:type="gramEnd"/>
      <w:r w:rsidR="00C52735" w:rsidRPr="0070040F">
        <w:rPr>
          <w:lang w:val="fr-CA"/>
        </w:rPr>
        <w:t>. 23 et 26]</w:t>
      </w:r>
    </w:p>
    <w:p w:rsidR="00C52735" w:rsidRPr="0070040F" w:rsidRDefault="00C52735" w:rsidP="00C52735">
      <w:pPr>
        <w:pStyle w:val="ParaNoNdepar-AltN"/>
        <w:rPr>
          <w:lang w:val="fr-FR"/>
        </w:rPr>
      </w:pPr>
      <w:r w:rsidRPr="0070040F">
        <w:rPr>
          <w:lang w:val="fr-CA"/>
        </w:rPr>
        <w:lastRenderedPageBreak/>
        <w:t>À</w:t>
      </w:r>
      <w:r w:rsidRPr="0070040F">
        <w:rPr>
          <w:lang w:val="fr-FR"/>
        </w:rPr>
        <w:t xml:space="preserve"> notre avis, la preuve étaye les conclusions susmentionnées et l’arrestation effectuée en vertu de l’al. 495(1)</w:t>
      </w:r>
      <w:r w:rsidRPr="0070040F">
        <w:rPr>
          <w:i/>
          <w:lang w:val="fr-FR"/>
        </w:rPr>
        <w:t>a</w:t>
      </w:r>
      <w:r w:rsidRPr="0070040F">
        <w:rPr>
          <w:lang w:val="fr-FR"/>
        </w:rPr>
        <w:t xml:space="preserve">) était légale.  Par conséquent, cette arrestation ne violait pas les protections prévues par la </w:t>
      </w:r>
      <w:r w:rsidRPr="0070040F">
        <w:rPr>
          <w:i/>
          <w:lang w:val="fr-FR"/>
        </w:rPr>
        <w:t>Charte</w:t>
      </w:r>
      <w:r w:rsidRPr="0070040F">
        <w:rPr>
          <w:lang w:val="fr-FR"/>
        </w:rPr>
        <w:t xml:space="preserve"> contre la détention illégale. </w:t>
      </w:r>
    </w:p>
    <w:p w:rsidR="00C52735" w:rsidRPr="0070040F" w:rsidRDefault="00C52735" w:rsidP="00C52735">
      <w:pPr>
        <w:pStyle w:val="ParaNoNdepar-AltN"/>
        <w:rPr>
          <w:lang w:val="fr-FR"/>
        </w:rPr>
      </w:pPr>
      <w:r w:rsidRPr="0070040F">
        <w:rPr>
          <w:lang w:val="fr-FR"/>
        </w:rPr>
        <w:t>Compte tenu de cette conclusion, il est inutile d’examiner l’al. 495(1)</w:t>
      </w:r>
      <w:r w:rsidRPr="0070040F">
        <w:rPr>
          <w:i/>
          <w:lang w:val="fr-FR"/>
        </w:rPr>
        <w:t>b</w:t>
      </w:r>
      <w:r w:rsidRPr="0070040F">
        <w:rPr>
          <w:lang w:val="fr-FR"/>
        </w:rPr>
        <w:t>), qui n’a pas été pleinement débattu en appel.</w:t>
      </w:r>
    </w:p>
    <w:p w:rsidR="00C52735" w:rsidRPr="0070040F" w:rsidRDefault="00C52735" w:rsidP="00C52735">
      <w:pPr>
        <w:pStyle w:val="TitleTitre-AltT"/>
        <w:keepNext/>
        <w:spacing w:after="720"/>
        <w:rPr>
          <w:lang w:val="fr-FR"/>
        </w:rPr>
      </w:pPr>
      <w:r w:rsidRPr="0070040F">
        <w:rPr>
          <w:lang w:val="fr-FR"/>
        </w:rPr>
        <w:t>2.</w:t>
      </w:r>
      <w:r w:rsidRPr="0070040F">
        <w:rPr>
          <w:lang w:val="fr-FR"/>
        </w:rPr>
        <w:tab/>
      </w:r>
      <w:r w:rsidRPr="0070040F">
        <w:rPr>
          <w:u w:val="single"/>
          <w:lang w:val="fr-FR"/>
        </w:rPr>
        <w:t>Légalité de la fouille accessoire à l’arrestation</w:t>
      </w:r>
    </w:p>
    <w:p w:rsidR="00C52735" w:rsidRPr="0070040F" w:rsidRDefault="00C52735" w:rsidP="00C52735">
      <w:pPr>
        <w:pStyle w:val="ParaNoNdepar-AltN"/>
        <w:rPr>
          <w:u w:val="single"/>
          <w:lang w:val="fr-FR"/>
        </w:rPr>
      </w:pPr>
      <w:r w:rsidRPr="0070040F">
        <w:rPr>
          <w:lang w:val="fr-FR"/>
        </w:rPr>
        <w:t>La juge du procès a fait remarquer que [</w:t>
      </w:r>
      <w:r w:rsidRPr="0070040F">
        <w:rPr>
          <w:smallCaps/>
          <w:lang w:val="fr-FR"/>
        </w:rPr>
        <w:t>traduction</w:t>
      </w:r>
      <w:r w:rsidRPr="0070040F">
        <w:rPr>
          <w:lang w:val="fr-FR"/>
        </w:rPr>
        <w:t xml:space="preserve">] « [l]e lien entre la fouille et l’arrestation n’est pas contesté » (par. 27).  Malgré l’opinion contraire exprimée par le juge d’appel Berger, nous sommes d’avis que la juge du procès n’a pas eu tort de conclure que la fouille était légitimement accessoire à l’arrestation et ne violait pas l’art. 8 de la </w:t>
      </w:r>
      <w:r w:rsidRPr="0070040F">
        <w:rPr>
          <w:i/>
          <w:lang w:val="fr-FR"/>
        </w:rPr>
        <w:t>Charte</w:t>
      </w:r>
      <w:r w:rsidRPr="0070040F">
        <w:rPr>
          <w:lang w:val="fr-FR"/>
        </w:rPr>
        <w:t>.</w:t>
      </w:r>
    </w:p>
    <w:p w:rsidR="00C52735" w:rsidRPr="0070040F" w:rsidRDefault="00C52735" w:rsidP="00C52735">
      <w:pPr>
        <w:pStyle w:val="TitleTitre-AltT"/>
        <w:keepNext/>
        <w:spacing w:after="720"/>
      </w:pPr>
      <w:r w:rsidRPr="0070040F">
        <w:t>3.</w:t>
      </w:r>
      <w:r w:rsidRPr="0070040F">
        <w:tab/>
      </w:r>
      <w:proofErr w:type="spellStart"/>
      <w:r w:rsidRPr="0070040F">
        <w:rPr>
          <w:u w:val="single"/>
        </w:rPr>
        <w:t>Paragraphe</w:t>
      </w:r>
      <w:proofErr w:type="spellEnd"/>
      <w:r w:rsidRPr="0070040F">
        <w:rPr>
          <w:u w:val="single"/>
        </w:rPr>
        <w:t> 24(2)</w:t>
      </w:r>
    </w:p>
    <w:p w:rsidR="00C52735" w:rsidRPr="0070040F" w:rsidRDefault="00C52735" w:rsidP="00C52735">
      <w:pPr>
        <w:pStyle w:val="ParaNoNdepar-AltN"/>
        <w:rPr>
          <w:lang w:val="fr-FR"/>
        </w:rPr>
      </w:pPr>
      <w:r w:rsidRPr="0070040F">
        <w:rPr>
          <w:lang w:val="fr-FR"/>
        </w:rPr>
        <w:t xml:space="preserve">Comme nous n’avons constaté aucune violation de la </w:t>
      </w:r>
      <w:r w:rsidRPr="0070040F">
        <w:rPr>
          <w:i/>
          <w:lang w:val="fr-FR"/>
        </w:rPr>
        <w:t>Charte</w:t>
      </w:r>
      <w:r w:rsidRPr="0070040F">
        <w:rPr>
          <w:lang w:val="fr-FR"/>
        </w:rPr>
        <w:t>, point n’est besoin de se demander si la preuve doit être admise en application du par. 24(2).  Toutefois, s’il avait été nécessaire d’examiner cette question, nous aurions rejeté ce moyen d’appel.</w:t>
      </w:r>
    </w:p>
    <w:p w:rsidR="00C52735" w:rsidRPr="0070040F" w:rsidRDefault="00C52735" w:rsidP="00C52735">
      <w:pPr>
        <w:pStyle w:val="ParaNoNdepar-AltN"/>
        <w:rPr>
          <w:lang w:val="fr-FR"/>
        </w:rPr>
      </w:pPr>
      <w:r w:rsidRPr="0070040F">
        <w:rPr>
          <w:lang w:val="fr-FR"/>
        </w:rPr>
        <w:lastRenderedPageBreak/>
        <w:t xml:space="preserve">Selon la juge du procès, même si elle avait conclu à une violation de la </w:t>
      </w:r>
      <w:r w:rsidRPr="0070040F">
        <w:rPr>
          <w:i/>
          <w:lang w:val="fr-FR"/>
        </w:rPr>
        <w:t>Charte</w:t>
      </w:r>
      <w:r w:rsidRPr="0070040F">
        <w:rPr>
          <w:lang w:val="fr-FR"/>
        </w:rPr>
        <w:t xml:space="preserve">, la preuve obtenue grâce à la fouille aurait été admissible en application du par. 24(2) de la </w:t>
      </w:r>
      <w:r w:rsidRPr="0070040F">
        <w:rPr>
          <w:i/>
          <w:lang w:val="fr-FR"/>
        </w:rPr>
        <w:t>Charte </w:t>
      </w:r>
      <w:r w:rsidRPr="0036421A">
        <w:rPr>
          <w:lang w:val="fr-FR"/>
        </w:rPr>
        <w:t>:</w:t>
      </w:r>
      <w:r w:rsidRPr="0070040F">
        <w:rPr>
          <w:lang w:val="fr-FR"/>
        </w:rPr>
        <w:t xml:space="preserve"> </w:t>
      </w:r>
    </w:p>
    <w:p w:rsidR="00C52735" w:rsidRPr="0070040F" w:rsidRDefault="00364BE0" w:rsidP="00364BE0">
      <w:pPr>
        <w:pStyle w:val="Citation-AltC"/>
        <w:tabs>
          <w:tab w:val="left" w:pos="1170"/>
        </w:tabs>
        <w:ind w:hanging="1166"/>
        <w:contextualSpacing w:val="0"/>
        <w:rPr>
          <w:lang w:val="fr-FR"/>
        </w:rPr>
      </w:pPr>
      <w:r>
        <w:rPr>
          <w:lang w:val="fr-FR"/>
        </w:rPr>
        <w:tab/>
      </w:r>
      <w:r w:rsidR="005959E2">
        <w:rPr>
          <w:lang w:val="fr-FR"/>
        </w:rPr>
        <w:tab/>
      </w:r>
      <w:r w:rsidR="005959E2">
        <w:rPr>
          <w:lang w:val="fr-FR"/>
        </w:rPr>
        <w:tab/>
      </w:r>
      <w:r w:rsidR="0036421A" w:rsidRPr="0070040F">
        <w:rPr>
          <w:lang w:val="fr-FR"/>
        </w:rPr>
        <w:t>[</w:t>
      </w:r>
      <w:r w:rsidR="0036421A" w:rsidRPr="0070040F">
        <w:rPr>
          <w:smallCaps/>
          <w:lang w:val="fr-FR"/>
        </w:rPr>
        <w:t>traduction</w:t>
      </w:r>
      <w:r w:rsidR="0036421A" w:rsidRPr="0070040F">
        <w:rPr>
          <w:lang w:val="fr-FR"/>
        </w:rPr>
        <w:t>]</w:t>
      </w:r>
      <w:r w:rsidR="0036421A">
        <w:rPr>
          <w:lang w:val="fr-FR"/>
        </w:rPr>
        <w:t xml:space="preserve"> </w:t>
      </w:r>
      <w:r w:rsidR="00C52735" w:rsidRPr="0070040F">
        <w:rPr>
          <w:lang w:val="fr-FR"/>
        </w:rPr>
        <w:t xml:space="preserve">. . . même si j’avais conclu à une violation de l’art. 8, j’aurais admis la preuve en vertu du par. 24(2) de la </w:t>
      </w:r>
      <w:r w:rsidR="00C52735" w:rsidRPr="0070040F">
        <w:rPr>
          <w:i/>
          <w:lang w:val="fr-FR"/>
        </w:rPr>
        <w:t>Charte</w:t>
      </w:r>
      <w:r w:rsidR="00C52735" w:rsidRPr="0070040F">
        <w:rPr>
          <w:lang w:val="fr-FR"/>
        </w:rPr>
        <w:t xml:space="preserve">.  L’utilisation de l’élément de preuve matériel recueilli grâce à la fouille ne rendrait pas le procès inéquitable.  On en convient.  Je ne considère pas que le manquement à la </w:t>
      </w:r>
      <w:r w:rsidR="00C52735" w:rsidRPr="0070040F">
        <w:rPr>
          <w:i/>
          <w:lang w:val="fr-FR"/>
        </w:rPr>
        <w:t>Charte</w:t>
      </w:r>
      <w:r w:rsidR="00C52735" w:rsidRPr="0070040F">
        <w:rPr>
          <w:lang w:val="fr-FR"/>
        </w:rPr>
        <w:t xml:space="preserve"> soit sérieux.  À mon avis, le policier a agi de bonne foi.  L’accusé avait un droit restreint au respect de sa vie privée à l’égard du véhicule, à la fois parce que c’est un véhicule, et non une résidence, qui a été fouillé, et parce que l’accusé n’était pas le propriétaire de ce véhicule.  [</w:t>
      </w:r>
      <w:proofErr w:type="gramStart"/>
      <w:r w:rsidR="00C52735" w:rsidRPr="0070040F">
        <w:rPr>
          <w:lang w:val="fr-FR"/>
        </w:rPr>
        <w:t>par</w:t>
      </w:r>
      <w:proofErr w:type="gramEnd"/>
      <w:r w:rsidR="00C52735" w:rsidRPr="0070040F">
        <w:rPr>
          <w:lang w:val="fr-FR"/>
        </w:rPr>
        <w:t>. 28]</w:t>
      </w:r>
    </w:p>
    <w:p w:rsidR="00C52735" w:rsidRPr="0070040F" w:rsidRDefault="00C52735" w:rsidP="00C52735">
      <w:pPr>
        <w:pStyle w:val="ContinueParaSuitedupar-AltP"/>
        <w:rPr>
          <w:lang w:val="fr-FR"/>
        </w:rPr>
      </w:pPr>
      <w:r w:rsidRPr="0070040F">
        <w:rPr>
          <w:lang w:val="fr-FR"/>
        </w:rPr>
        <w:t xml:space="preserve">En appel, le juge Berger, dissident, aurait écarté l’élément de preuve. </w:t>
      </w:r>
    </w:p>
    <w:p w:rsidR="00C52735" w:rsidRPr="0070040F" w:rsidRDefault="00C52735" w:rsidP="00C52735">
      <w:pPr>
        <w:pStyle w:val="ParaNoNdepar-AltN"/>
        <w:rPr>
          <w:lang w:val="fr-FR"/>
        </w:rPr>
      </w:pPr>
      <w:r w:rsidRPr="0070040F">
        <w:rPr>
          <w:lang w:val="fr-FR"/>
        </w:rPr>
        <w:t xml:space="preserve">Nous ne relevons aucune erreur dans le raisonnement ou les conclusions de la juge du procès sur ce point.  Bien que sa décision soit antérieure à l’arrêt de notre Cour </w:t>
      </w:r>
      <w:r w:rsidRPr="0070040F">
        <w:rPr>
          <w:i/>
          <w:lang w:val="fr-FR"/>
        </w:rPr>
        <w:t>R. c. Grant</w:t>
      </w:r>
      <w:r w:rsidRPr="0070040F">
        <w:rPr>
          <w:lang w:val="fr-FR"/>
        </w:rPr>
        <w:t xml:space="preserve">, 2009 CSC 32, [2009] 2 R.C.S. 353, la juge a examiné et soupesé les facteurs pertinents.  Comme l’ont affirmé les juges majoritaires au par. 86 de l’arrêt </w:t>
      </w:r>
      <w:r w:rsidRPr="0070040F">
        <w:rPr>
          <w:i/>
          <w:lang w:val="fr-FR"/>
        </w:rPr>
        <w:t>Grant</w:t>
      </w:r>
      <w:r w:rsidRPr="0070040F">
        <w:rPr>
          <w:lang w:val="fr-FR"/>
        </w:rPr>
        <w:t>, « [l</w:t>
      </w:r>
      <w:r w:rsidRPr="0070040F">
        <w:rPr>
          <w:szCs w:val="19"/>
          <w:lang w:val="fr-FR"/>
        </w:rPr>
        <w:t>]</w:t>
      </w:r>
      <w:proofErr w:type="spellStart"/>
      <w:r w:rsidRPr="0070040F">
        <w:rPr>
          <w:szCs w:val="19"/>
          <w:lang w:val="fr-FR"/>
        </w:rPr>
        <w:t>orsque</w:t>
      </w:r>
      <w:proofErr w:type="spellEnd"/>
      <w:r w:rsidRPr="0070040F">
        <w:rPr>
          <w:szCs w:val="19"/>
          <w:lang w:val="fr-FR"/>
        </w:rPr>
        <w:t xml:space="preserve"> le juge a examiné les bons facteurs, les cours d’appel devraient faire preuve d’une retenue considérable à l’égard de la décision rendue</w:t>
      </w:r>
      <w:r w:rsidR="0036421A">
        <w:rPr>
          <w:szCs w:val="19"/>
          <w:lang w:val="fr-FR"/>
        </w:rPr>
        <w:t>.</w:t>
      </w:r>
      <w:r w:rsidRPr="0070040F">
        <w:rPr>
          <w:szCs w:val="19"/>
          <w:lang w:val="fr-FR"/>
        </w:rPr>
        <w:t> »</w:t>
      </w:r>
    </w:p>
    <w:p w:rsidR="00C52735" w:rsidRPr="0070040F" w:rsidRDefault="00C52735" w:rsidP="00C52735">
      <w:pPr>
        <w:pStyle w:val="TitleTitre-AltT"/>
        <w:keepNext/>
        <w:spacing w:after="720"/>
        <w:rPr>
          <w:u w:val="single"/>
          <w:lang w:val="fr-FR"/>
        </w:rPr>
      </w:pPr>
      <w:r w:rsidRPr="0070040F">
        <w:rPr>
          <w:lang w:val="fr-FR"/>
        </w:rPr>
        <w:t>4.</w:t>
      </w:r>
      <w:r w:rsidRPr="0070040F">
        <w:rPr>
          <w:lang w:val="fr-FR"/>
        </w:rPr>
        <w:tab/>
      </w:r>
      <w:r w:rsidRPr="0070040F">
        <w:rPr>
          <w:u w:val="single"/>
        </w:rPr>
        <w:t>Conclusion</w:t>
      </w:r>
    </w:p>
    <w:p w:rsidR="00C52735" w:rsidRPr="0070040F" w:rsidRDefault="00C52735" w:rsidP="00C52735">
      <w:pPr>
        <w:pStyle w:val="ParaNoNdepar-AltN"/>
        <w:rPr>
          <w:u w:val="single"/>
          <w:lang w:val="fr-FR"/>
        </w:rPr>
      </w:pPr>
      <w:r w:rsidRPr="0070040F">
        <w:rPr>
          <w:lang w:val="fr-FR"/>
        </w:rPr>
        <w:t>Le pourvoi est rejeté.</w:t>
      </w:r>
    </w:p>
    <w:p w:rsidR="0033393C" w:rsidRPr="00572EB6" w:rsidRDefault="00572EB6" w:rsidP="00C52735">
      <w:pPr>
        <w:pStyle w:val="SCCLawFirm"/>
        <w:spacing w:after="480"/>
        <w:rPr>
          <w:i w:val="0"/>
        </w:rPr>
      </w:pPr>
      <w:r w:rsidRPr="00572EB6">
        <w:tab/>
        <w:t>Pourvoi rejeté.</w:t>
      </w:r>
    </w:p>
    <w:p w:rsidR="00125A8C" w:rsidRDefault="00125A8C" w:rsidP="00252CF9">
      <w:pPr>
        <w:pStyle w:val="SCCLawFirm"/>
        <w:spacing w:after="480"/>
      </w:pPr>
      <w:r>
        <w:lastRenderedPageBreak/>
        <w:tab/>
        <w:t>Procureurs de l’appelant</w:t>
      </w:r>
      <w:r w:rsidR="00252CF9">
        <w:t> : </w:t>
      </w:r>
      <w:r>
        <w:t xml:space="preserve">Moreau &amp; </w:t>
      </w:r>
      <w:proofErr w:type="spellStart"/>
      <w:r>
        <w:t>Company</w:t>
      </w:r>
      <w:proofErr w:type="spellEnd"/>
      <w:r>
        <w:t>, Edmonton.</w:t>
      </w:r>
    </w:p>
    <w:p w:rsidR="0043088E" w:rsidRPr="00C52735" w:rsidRDefault="00125A8C" w:rsidP="00C52735">
      <w:pPr>
        <w:pStyle w:val="SCCLawFirm"/>
      </w:pPr>
      <w:r>
        <w:tab/>
        <w:t>Procureur de l’intimée</w:t>
      </w:r>
      <w:r w:rsidR="00252CF9">
        <w:t> : </w:t>
      </w:r>
      <w:r w:rsidRPr="00942B88">
        <w:t>Service des poursuites pénales du Canada</w:t>
      </w:r>
      <w:r>
        <w:t>, Edmonton.</w:t>
      </w:r>
      <w:r w:rsidR="00C52735" w:rsidRPr="00C52735">
        <w:t xml:space="preserve"> </w:t>
      </w:r>
    </w:p>
    <w:sectPr w:rsidR="0043088E" w:rsidRPr="00C52735" w:rsidSect="00587F6D">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44" w:rsidRDefault="009D1244">
      <w:r>
        <w:separator/>
      </w:r>
    </w:p>
  </w:endnote>
  <w:endnote w:type="continuationSeparator" w:id="0">
    <w:p w:rsidR="009D1244" w:rsidRDefault="009D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44" w:rsidRDefault="009D124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44" w:rsidRDefault="009D124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44" w:rsidRDefault="009D1244">
      <w:r>
        <w:separator/>
      </w:r>
    </w:p>
  </w:footnote>
  <w:footnote w:type="continuationSeparator" w:id="0">
    <w:p w:rsidR="009D1244" w:rsidRDefault="009D1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44" w:rsidRDefault="009D124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538"/>
      <w:docPartObj>
        <w:docPartGallery w:val="Page Numbers (Top of Page)"/>
        <w:docPartUnique/>
      </w:docPartObj>
    </w:sdtPr>
    <w:sdtContent>
      <w:p w:rsidR="00587F6D" w:rsidRDefault="00587F6D">
        <w:pPr>
          <w:pStyle w:val="Header"/>
          <w:jc w:val="center"/>
        </w:pPr>
        <w:r>
          <w:t xml:space="preserve">- </w:t>
        </w:r>
        <w:fldSimple w:instr=" PAGE   \* MERGEFORMAT ">
          <w:r w:rsidR="00F739AE">
            <w:rPr>
              <w:noProof/>
            </w:rPr>
            <w:t>2</w:t>
          </w:r>
        </w:fldSimple>
        <w:r>
          <w:t xml:space="preserve"> -</w:t>
        </w:r>
      </w:p>
    </w:sdtContent>
  </w:sdt>
  <w:p w:rsidR="009D1244" w:rsidRDefault="009D124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rsids>
    <w:rsidRoot w:val="0031414C"/>
    <w:rsid w:val="00025198"/>
    <w:rsid w:val="00055A36"/>
    <w:rsid w:val="000578A3"/>
    <w:rsid w:val="00064563"/>
    <w:rsid w:val="000648CC"/>
    <w:rsid w:val="00065045"/>
    <w:rsid w:val="00094DE0"/>
    <w:rsid w:val="000A5321"/>
    <w:rsid w:val="000C59B8"/>
    <w:rsid w:val="000E0C82"/>
    <w:rsid w:val="000E1D96"/>
    <w:rsid w:val="0010740F"/>
    <w:rsid w:val="00111DE2"/>
    <w:rsid w:val="00116B38"/>
    <w:rsid w:val="00125A8C"/>
    <w:rsid w:val="001304D7"/>
    <w:rsid w:val="0013109F"/>
    <w:rsid w:val="00135406"/>
    <w:rsid w:val="00135972"/>
    <w:rsid w:val="00140667"/>
    <w:rsid w:val="001426A9"/>
    <w:rsid w:val="00150E1C"/>
    <w:rsid w:val="00154D7C"/>
    <w:rsid w:val="001570B0"/>
    <w:rsid w:val="00172A04"/>
    <w:rsid w:val="00175A97"/>
    <w:rsid w:val="00185394"/>
    <w:rsid w:val="001A451D"/>
    <w:rsid w:val="001B33E0"/>
    <w:rsid w:val="001B4573"/>
    <w:rsid w:val="001C779F"/>
    <w:rsid w:val="001D0588"/>
    <w:rsid w:val="001D2AC1"/>
    <w:rsid w:val="001F7673"/>
    <w:rsid w:val="00206E75"/>
    <w:rsid w:val="00215376"/>
    <w:rsid w:val="00217381"/>
    <w:rsid w:val="00220FC2"/>
    <w:rsid w:val="00224FC0"/>
    <w:rsid w:val="00225EA4"/>
    <w:rsid w:val="00226EAF"/>
    <w:rsid w:val="00231F3A"/>
    <w:rsid w:val="002406EE"/>
    <w:rsid w:val="00252CF9"/>
    <w:rsid w:val="0025782F"/>
    <w:rsid w:val="00264B8F"/>
    <w:rsid w:val="002745CC"/>
    <w:rsid w:val="0028632A"/>
    <w:rsid w:val="002D1B6D"/>
    <w:rsid w:val="002D39A4"/>
    <w:rsid w:val="002E6705"/>
    <w:rsid w:val="002F696C"/>
    <w:rsid w:val="0030329A"/>
    <w:rsid w:val="00307AFD"/>
    <w:rsid w:val="0031086F"/>
    <w:rsid w:val="00310E05"/>
    <w:rsid w:val="0031414C"/>
    <w:rsid w:val="00314E01"/>
    <w:rsid w:val="0032089D"/>
    <w:rsid w:val="00322622"/>
    <w:rsid w:val="00330538"/>
    <w:rsid w:val="003309B5"/>
    <w:rsid w:val="0033393C"/>
    <w:rsid w:val="0034770C"/>
    <w:rsid w:val="0035259D"/>
    <w:rsid w:val="003637EA"/>
    <w:rsid w:val="0036421A"/>
    <w:rsid w:val="00364BE0"/>
    <w:rsid w:val="00384908"/>
    <w:rsid w:val="003866EC"/>
    <w:rsid w:val="00394476"/>
    <w:rsid w:val="003A4C70"/>
    <w:rsid w:val="003A4E15"/>
    <w:rsid w:val="003C799C"/>
    <w:rsid w:val="003D0A59"/>
    <w:rsid w:val="003D448C"/>
    <w:rsid w:val="003E1C71"/>
    <w:rsid w:val="003F327B"/>
    <w:rsid w:val="004059A7"/>
    <w:rsid w:val="00406166"/>
    <w:rsid w:val="00411300"/>
    <w:rsid w:val="00426659"/>
    <w:rsid w:val="0043088E"/>
    <w:rsid w:val="004439D8"/>
    <w:rsid w:val="00465132"/>
    <w:rsid w:val="00480C90"/>
    <w:rsid w:val="0048396F"/>
    <w:rsid w:val="00493C18"/>
    <w:rsid w:val="00494CDC"/>
    <w:rsid w:val="004A600C"/>
    <w:rsid w:val="004B736D"/>
    <w:rsid w:val="004C2EA1"/>
    <w:rsid w:val="004C478D"/>
    <w:rsid w:val="004E6A2C"/>
    <w:rsid w:val="004F5D9E"/>
    <w:rsid w:val="00521AE8"/>
    <w:rsid w:val="00527180"/>
    <w:rsid w:val="00536719"/>
    <w:rsid w:val="0055053E"/>
    <w:rsid w:val="005564A7"/>
    <w:rsid w:val="00572EB6"/>
    <w:rsid w:val="00587F6D"/>
    <w:rsid w:val="005959E2"/>
    <w:rsid w:val="005E4698"/>
    <w:rsid w:val="005F009C"/>
    <w:rsid w:val="005F716B"/>
    <w:rsid w:val="00625C35"/>
    <w:rsid w:val="00634E1B"/>
    <w:rsid w:val="0064052B"/>
    <w:rsid w:val="00644126"/>
    <w:rsid w:val="00645057"/>
    <w:rsid w:val="00654858"/>
    <w:rsid w:val="006565F4"/>
    <w:rsid w:val="00681AD1"/>
    <w:rsid w:val="006A56F1"/>
    <w:rsid w:val="006B5FF5"/>
    <w:rsid w:val="006C5661"/>
    <w:rsid w:val="006D4790"/>
    <w:rsid w:val="006F6E73"/>
    <w:rsid w:val="00701759"/>
    <w:rsid w:val="00702C6F"/>
    <w:rsid w:val="00703F79"/>
    <w:rsid w:val="00747288"/>
    <w:rsid w:val="007478C2"/>
    <w:rsid w:val="00747DD3"/>
    <w:rsid w:val="00752F4E"/>
    <w:rsid w:val="00754706"/>
    <w:rsid w:val="007549C8"/>
    <w:rsid w:val="00762D30"/>
    <w:rsid w:val="00763377"/>
    <w:rsid w:val="00766D14"/>
    <w:rsid w:val="00767A0F"/>
    <w:rsid w:val="007834A8"/>
    <w:rsid w:val="00790F78"/>
    <w:rsid w:val="007A05F6"/>
    <w:rsid w:val="007A4AA2"/>
    <w:rsid w:val="007B6F4A"/>
    <w:rsid w:val="007E1C47"/>
    <w:rsid w:val="007E337A"/>
    <w:rsid w:val="007E5C70"/>
    <w:rsid w:val="007F2FF5"/>
    <w:rsid w:val="008005A6"/>
    <w:rsid w:val="00817190"/>
    <w:rsid w:val="008322BD"/>
    <w:rsid w:val="00855307"/>
    <w:rsid w:val="00862CF3"/>
    <w:rsid w:val="00863651"/>
    <w:rsid w:val="00864CF8"/>
    <w:rsid w:val="008710AE"/>
    <w:rsid w:val="00874914"/>
    <w:rsid w:val="00892E1A"/>
    <w:rsid w:val="008958F5"/>
    <w:rsid w:val="008A6558"/>
    <w:rsid w:val="008A727C"/>
    <w:rsid w:val="008C01DA"/>
    <w:rsid w:val="008F16D9"/>
    <w:rsid w:val="008F78E9"/>
    <w:rsid w:val="00902462"/>
    <w:rsid w:val="009403F3"/>
    <w:rsid w:val="00942B88"/>
    <w:rsid w:val="009560C5"/>
    <w:rsid w:val="00956DFA"/>
    <w:rsid w:val="00957FA2"/>
    <w:rsid w:val="00966913"/>
    <w:rsid w:val="00967374"/>
    <w:rsid w:val="0097543E"/>
    <w:rsid w:val="00983F3F"/>
    <w:rsid w:val="00985C69"/>
    <w:rsid w:val="0099079B"/>
    <w:rsid w:val="009B2F23"/>
    <w:rsid w:val="009B53E2"/>
    <w:rsid w:val="009B57B3"/>
    <w:rsid w:val="009D1244"/>
    <w:rsid w:val="009D51EA"/>
    <w:rsid w:val="009D5AEB"/>
    <w:rsid w:val="009F383F"/>
    <w:rsid w:val="00A05F0E"/>
    <w:rsid w:val="00A21107"/>
    <w:rsid w:val="00A21B90"/>
    <w:rsid w:val="00A24E15"/>
    <w:rsid w:val="00A548CB"/>
    <w:rsid w:val="00A5710B"/>
    <w:rsid w:val="00A6242E"/>
    <w:rsid w:val="00A643E7"/>
    <w:rsid w:val="00A73C38"/>
    <w:rsid w:val="00AC6322"/>
    <w:rsid w:val="00AC7437"/>
    <w:rsid w:val="00AC7A44"/>
    <w:rsid w:val="00AE44AD"/>
    <w:rsid w:val="00AF03C5"/>
    <w:rsid w:val="00B000D8"/>
    <w:rsid w:val="00B00F75"/>
    <w:rsid w:val="00B145B6"/>
    <w:rsid w:val="00B50C81"/>
    <w:rsid w:val="00B557F8"/>
    <w:rsid w:val="00B64972"/>
    <w:rsid w:val="00B66DD8"/>
    <w:rsid w:val="00B75A0F"/>
    <w:rsid w:val="00B8145D"/>
    <w:rsid w:val="00B815FC"/>
    <w:rsid w:val="00B928F1"/>
    <w:rsid w:val="00B93FBC"/>
    <w:rsid w:val="00BC3FA6"/>
    <w:rsid w:val="00BE74AC"/>
    <w:rsid w:val="00C02092"/>
    <w:rsid w:val="00C057F7"/>
    <w:rsid w:val="00C0663B"/>
    <w:rsid w:val="00C24C8C"/>
    <w:rsid w:val="00C24D91"/>
    <w:rsid w:val="00C50637"/>
    <w:rsid w:val="00C52532"/>
    <w:rsid w:val="00C52735"/>
    <w:rsid w:val="00C53F14"/>
    <w:rsid w:val="00C55C2E"/>
    <w:rsid w:val="00C600CF"/>
    <w:rsid w:val="00C6084F"/>
    <w:rsid w:val="00C62A66"/>
    <w:rsid w:val="00C62A6F"/>
    <w:rsid w:val="00C67CA5"/>
    <w:rsid w:val="00C71458"/>
    <w:rsid w:val="00C71F58"/>
    <w:rsid w:val="00C77613"/>
    <w:rsid w:val="00C828E7"/>
    <w:rsid w:val="00C921DD"/>
    <w:rsid w:val="00CA4D82"/>
    <w:rsid w:val="00CA6391"/>
    <w:rsid w:val="00CB093F"/>
    <w:rsid w:val="00CC7494"/>
    <w:rsid w:val="00CE3171"/>
    <w:rsid w:val="00CF1601"/>
    <w:rsid w:val="00D32086"/>
    <w:rsid w:val="00D32C5A"/>
    <w:rsid w:val="00D37A3F"/>
    <w:rsid w:val="00D45FCF"/>
    <w:rsid w:val="00D4667A"/>
    <w:rsid w:val="00D510BB"/>
    <w:rsid w:val="00D5435D"/>
    <w:rsid w:val="00D73390"/>
    <w:rsid w:val="00D74F2E"/>
    <w:rsid w:val="00DA0590"/>
    <w:rsid w:val="00DC1788"/>
    <w:rsid w:val="00DC61E3"/>
    <w:rsid w:val="00DD7495"/>
    <w:rsid w:val="00DE1286"/>
    <w:rsid w:val="00DF0CA8"/>
    <w:rsid w:val="00DF49A7"/>
    <w:rsid w:val="00E01106"/>
    <w:rsid w:val="00E012AE"/>
    <w:rsid w:val="00E07EE2"/>
    <w:rsid w:val="00E24573"/>
    <w:rsid w:val="00E377A1"/>
    <w:rsid w:val="00E45109"/>
    <w:rsid w:val="00E471FF"/>
    <w:rsid w:val="00E54B02"/>
    <w:rsid w:val="00E97830"/>
    <w:rsid w:val="00EA03E5"/>
    <w:rsid w:val="00EA3665"/>
    <w:rsid w:val="00EE0FAF"/>
    <w:rsid w:val="00EE1DCF"/>
    <w:rsid w:val="00EE671D"/>
    <w:rsid w:val="00F00EB7"/>
    <w:rsid w:val="00F2258E"/>
    <w:rsid w:val="00F33658"/>
    <w:rsid w:val="00F36AB6"/>
    <w:rsid w:val="00F409CE"/>
    <w:rsid w:val="00F54FAE"/>
    <w:rsid w:val="00F739AE"/>
    <w:rsid w:val="00F84DF4"/>
    <w:rsid w:val="00F853FB"/>
    <w:rsid w:val="00F85C97"/>
    <w:rsid w:val="00F948DD"/>
    <w:rsid w:val="00FA2FE1"/>
    <w:rsid w:val="00FC606D"/>
    <w:rsid w:val="00FD068D"/>
    <w:rsid w:val="00FD4F28"/>
    <w:rsid w:val="00FE1077"/>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SCCCoram">
    <w:name w:val="SCC.Coram"/>
    <w:basedOn w:val="Normal"/>
    <w:next w:val="Normal"/>
    <w:link w:val="SCCCoramChar"/>
    <w:rsid w:val="00C52735"/>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rsid w:val="00C52735"/>
    <w:rPr>
      <w:rFonts w:asciiTheme="minorHAnsi" w:eastAsiaTheme="minorHAnsi" w:hAnsiTheme="minorHAnsi" w:cstheme="minorBidi"/>
      <w:sz w:val="22"/>
      <w:szCs w:val="22"/>
      <w:lang w:val="en-US" w:eastAsia="en-US"/>
    </w:rPr>
  </w:style>
  <w:style w:type="table" w:styleId="TableGrid">
    <w:name w:val="Table Grid"/>
    <w:basedOn w:val="TableNormal"/>
    <w:uiPriority w:val="59"/>
    <w:rsid w:val="00C527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5273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52735"/>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C52735"/>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C52735"/>
    <w:pPr>
      <w:numPr>
        <w:numId w:val="1"/>
      </w:numPr>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0DC2-902B-4214-813F-04658815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1855</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2011-05-11T18:47:00Z</dcterms:created>
  <dcterms:modified xsi:type="dcterms:W3CDTF">2011-10-07T17:45:00Z</dcterms:modified>
</cp:coreProperties>
</file>