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07" w:rsidRPr="00690751" w:rsidRDefault="00686307" w:rsidP="00686307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  <w:r w:rsidRPr="00690751">
        <w:rPr>
          <w:rFonts w:eastAsiaTheme="minorHAnsi" w:cstheme="minorBidi"/>
          <w:szCs w:val="24"/>
          <w:lang w:eastAsia="en-US"/>
        </w:rPr>
        <w:ptab w:relativeTo="margin" w:alignment="center" w:leader="none"/>
      </w:r>
      <w:r w:rsidRPr="00690751">
        <w:rPr>
          <w:rFonts w:eastAsiaTheme="minorHAnsi" w:cstheme="minorBidi"/>
          <w:szCs w:val="24"/>
          <w:lang w:eastAsia="en-US"/>
        </w:rPr>
        <w:t xml:space="preserve"> </w:t>
      </w:r>
      <w:r w:rsidRPr="00690751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379500610" r:id="rId8"/>
        </w:object>
      </w:r>
      <w:r w:rsidRPr="00690751">
        <w:rPr>
          <w:rFonts w:eastAsiaTheme="minorHAnsi" w:cstheme="minorBidi"/>
          <w:szCs w:val="24"/>
          <w:lang w:eastAsia="en-US"/>
        </w:rPr>
        <w:t xml:space="preserve"> </w:t>
      </w:r>
      <w:r w:rsidRPr="00690751">
        <w:rPr>
          <w:rFonts w:eastAsiaTheme="minorHAnsi" w:cstheme="minorBidi"/>
          <w:szCs w:val="24"/>
          <w:lang w:eastAsia="en-US"/>
        </w:rPr>
        <w:ptab w:relativeTo="margin" w:alignment="right" w:leader="none"/>
      </w:r>
    </w:p>
    <w:p w:rsidR="00686307" w:rsidRPr="00690751" w:rsidRDefault="00686307" w:rsidP="00686307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686307" w:rsidRPr="00690751" w:rsidRDefault="00686307" w:rsidP="00686307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690751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686307" w:rsidRPr="00690751" w:rsidTr="00C23EF6">
        <w:trPr>
          <w:cantSplit/>
        </w:trPr>
        <w:tc>
          <w:tcPr>
            <w:tcW w:w="6768" w:type="dxa"/>
          </w:tcPr>
          <w:p w:rsidR="00686307" w:rsidRPr="00690751" w:rsidRDefault="00686307" w:rsidP="00C23EF6">
            <w:r w:rsidRPr="00690751">
              <w:rPr>
                <w:b/>
                <w:smallCaps/>
              </w:rPr>
              <w:t>Référence :</w:t>
            </w:r>
            <w:r w:rsidRPr="00690751">
              <w:t xml:space="preserve"> R. </w:t>
            </w:r>
            <w:r w:rsidRPr="00690751">
              <w:rPr>
                <w:i/>
              </w:rPr>
              <w:t>c</w:t>
            </w:r>
            <w:r w:rsidRPr="00690751">
              <w:t xml:space="preserve">. V.Y., </w:t>
            </w:r>
            <w:r>
              <w:rPr>
                <w:rStyle w:val="SCCRespondentForRunningHeadChar"/>
                <w:szCs w:val="24"/>
              </w:rPr>
              <w:t>2011 CSC 22, [2011] 2 R.C.S. 173</w:t>
            </w:r>
          </w:p>
        </w:tc>
        <w:tc>
          <w:tcPr>
            <w:tcW w:w="2808" w:type="dxa"/>
          </w:tcPr>
          <w:p w:rsidR="00686307" w:rsidRPr="00690751" w:rsidRDefault="00686307" w:rsidP="00C23EF6">
            <w:r w:rsidRPr="00690751">
              <w:rPr>
                <w:b/>
                <w:smallCaps/>
              </w:rPr>
              <w:t>Date :</w:t>
            </w:r>
            <w:r>
              <w:t xml:space="preserve"> 201105</w:t>
            </w:r>
            <w:r w:rsidRPr="00690751">
              <w:t>06</w:t>
            </w:r>
          </w:p>
          <w:p w:rsidR="00686307" w:rsidRPr="00690751" w:rsidRDefault="00686307" w:rsidP="00C23EF6">
            <w:r w:rsidRPr="00690751">
              <w:rPr>
                <w:b/>
                <w:smallCaps/>
              </w:rPr>
              <w:t>Dossier :</w:t>
            </w:r>
            <w:r w:rsidRPr="00690751">
              <w:t xml:space="preserve"> 33841</w:t>
            </w:r>
          </w:p>
        </w:tc>
      </w:tr>
    </w:tbl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</w:p>
    <w:p w:rsidR="00686307" w:rsidRPr="00690751" w:rsidRDefault="00686307" w:rsidP="00686307">
      <w:pPr>
        <w:rPr>
          <w:rFonts w:eastAsiaTheme="minorHAnsi" w:cstheme="minorBidi"/>
          <w:b/>
          <w:smallCaps/>
          <w:szCs w:val="24"/>
          <w:lang w:eastAsia="en-US"/>
        </w:rPr>
      </w:pPr>
      <w:r w:rsidRPr="00690751">
        <w:rPr>
          <w:rFonts w:eastAsiaTheme="minorHAnsi" w:cstheme="minorBidi"/>
          <w:b/>
          <w:smallCaps/>
          <w:szCs w:val="24"/>
          <w:lang w:eastAsia="en-US"/>
        </w:rPr>
        <w:t>Entre :</w:t>
      </w:r>
    </w:p>
    <w:p w:rsidR="00686307" w:rsidRPr="00690751" w:rsidRDefault="00686307" w:rsidP="00686307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690751">
        <w:rPr>
          <w:rFonts w:eastAsiaTheme="minorHAnsi" w:cstheme="minorBidi"/>
          <w:b/>
          <w:szCs w:val="24"/>
          <w:lang w:eastAsia="en-US"/>
        </w:rPr>
        <w:t>Sa Majesté la Reine</w:t>
      </w:r>
    </w:p>
    <w:p w:rsidR="00686307" w:rsidRPr="00690751" w:rsidRDefault="00686307" w:rsidP="00686307">
      <w:pPr>
        <w:jc w:val="center"/>
        <w:rPr>
          <w:rFonts w:eastAsiaTheme="minorHAnsi" w:cstheme="minorBidi"/>
          <w:szCs w:val="24"/>
          <w:lang w:eastAsia="en-US"/>
        </w:rPr>
      </w:pPr>
      <w:r w:rsidRPr="00690751">
        <w:rPr>
          <w:rFonts w:eastAsiaTheme="minorHAnsi" w:cstheme="minorBidi"/>
          <w:szCs w:val="24"/>
          <w:lang w:eastAsia="en-US"/>
        </w:rPr>
        <w:t>Appelante</w:t>
      </w:r>
    </w:p>
    <w:p w:rsidR="00686307" w:rsidRPr="00690751" w:rsidRDefault="00686307" w:rsidP="00686307">
      <w:pPr>
        <w:jc w:val="center"/>
        <w:rPr>
          <w:rFonts w:eastAsiaTheme="minorHAnsi" w:cstheme="minorBidi"/>
          <w:szCs w:val="24"/>
          <w:lang w:eastAsia="en-US"/>
        </w:rPr>
      </w:pPr>
      <w:proofErr w:type="gramStart"/>
      <w:r w:rsidRPr="00690751">
        <w:rPr>
          <w:rFonts w:eastAsiaTheme="minorHAnsi" w:cstheme="minorBidi"/>
          <w:szCs w:val="24"/>
          <w:lang w:eastAsia="en-US"/>
        </w:rPr>
        <w:t>c</w:t>
      </w:r>
      <w:proofErr w:type="gramEnd"/>
      <w:r w:rsidRPr="00690751">
        <w:rPr>
          <w:rFonts w:eastAsiaTheme="minorHAnsi" w:cstheme="minorBidi"/>
          <w:szCs w:val="24"/>
          <w:lang w:eastAsia="en-US"/>
        </w:rPr>
        <w:t>.</w:t>
      </w:r>
    </w:p>
    <w:p w:rsidR="00686307" w:rsidRPr="00690751" w:rsidRDefault="00686307" w:rsidP="00686307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690751">
        <w:rPr>
          <w:rFonts w:eastAsiaTheme="minorHAnsi" w:cstheme="minorBidi"/>
          <w:b/>
          <w:szCs w:val="24"/>
          <w:lang w:eastAsia="en-US"/>
        </w:rPr>
        <w:t>V.Y.</w:t>
      </w:r>
    </w:p>
    <w:p w:rsidR="00686307" w:rsidRPr="00690751" w:rsidRDefault="00686307" w:rsidP="00686307">
      <w:pPr>
        <w:jc w:val="center"/>
        <w:rPr>
          <w:rFonts w:eastAsiaTheme="minorHAnsi" w:cstheme="minorBidi"/>
          <w:szCs w:val="24"/>
          <w:lang w:eastAsia="en-US"/>
        </w:rPr>
      </w:pPr>
      <w:r w:rsidRPr="00690751">
        <w:rPr>
          <w:rFonts w:eastAsiaTheme="minorHAnsi" w:cstheme="minorBidi"/>
          <w:szCs w:val="24"/>
          <w:lang w:eastAsia="en-US"/>
        </w:rPr>
        <w:t>Intimé</w:t>
      </w:r>
    </w:p>
    <w:p w:rsidR="00686307" w:rsidRPr="00690751" w:rsidRDefault="00686307" w:rsidP="00686307">
      <w:pPr>
        <w:jc w:val="center"/>
        <w:rPr>
          <w:rFonts w:eastAsiaTheme="minorHAnsi" w:cstheme="minorBidi"/>
          <w:szCs w:val="24"/>
          <w:lang w:eastAsia="en-US"/>
        </w:rPr>
      </w:pPr>
      <w:r w:rsidRPr="00690751">
        <w:rPr>
          <w:rFonts w:eastAsiaTheme="minorHAnsi" w:cstheme="minorBidi"/>
          <w:szCs w:val="24"/>
          <w:lang w:eastAsia="en-US"/>
        </w:rPr>
        <w:t>- et -</w:t>
      </w:r>
    </w:p>
    <w:p w:rsidR="00686307" w:rsidRPr="00690751" w:rsidRDefault="00686307" w:rsidP="00686307">
      <w:pPr>
        <w:jc w:val="center"/>
        <w:rPr>
          <w:rFonts w:eastAsiaTheme="minorHAnsi" w:cstheme="minorBidi"/>
          <w:b/>
          <w:szCs w:val="24"/>
          <w:lang w:val="en-US" w:eastAsia="en-US"/>
        </w:rPr>
      </w:pPr>
      <w:r w:rsidRPr="00690751">
        <w:rPr>
          <w:rFonts w:eastAsiaTheme="minorHAnsi" w:cstheme="minorBidi"/>
          <w:b/>
          <w:szCs w:val="24"/>
          <w:lang w:val="en-US" w:eastAsia="en-US"/>
        </w:rPr>
        <w:t xml:space="preserve">Association in </w:t>
      </w:r>
      <w:proofErr w:type="spellStart"/>
      <w:r w:rsidRPr="00690751">
        <w:rPr>
          <w:rFonts w:eastAsiaTheme="minorHAnsi" w:cstheme="minorBidi"/>
          <w:b/>
          <w:szCs w:val="24"/>
          <w:lang w:val="en-US" w:eastAsia="en-US"/>
        </w:rPr>
        <w:t>Defence</w:t>
      </w:r>
      <w:proofErr w:type="spellEnd"/>
      <w:r w:rsidRPr="00690751">
        <w:rPr>
          <w:rFonts w:eastAsiaTheme="minorHAnsi" w:cstheme="minorBidi"/>
          <w:b/>
          <w:szCs w:val="24"/>
          <w:lang w:val="en-US" w:eastAsia="en-US"/>
        </w:rPr>
        <w:t xml:space="preserve"> of the Wrongly Convicted</w:t>
      </w:r>
    </w:p>
    <w:p w:rsidR="00686307" w:rsidRPr="00690751" w:rsidRDefault="00686307" w:rsidP="00686307">
      <w:pPr>
        <w:jc w:val="center"/>
        <w:rPr>
          <w:rFonts w:eastAsiaTheme="minorHAnsi" w:cstheme="minorBidi"/>
          <w:szCs w:val="24"/>
          <w:lang w:eastAsia="en-US"/>
        </w:rPr>
      </w:pPr>
      <w:r w:rsidRPr="00690751">
        <w:rPr>
          <w:rFonts w:eastAsiaTheme="minorHAnsi" w:cstheme="minorBidi"/>
          <w:szCs w:val="24"/>
          <w:lang w:eastAsia="en-US"/>
        </w:rPr>
        <w:t>Intervenante</w:t>
      </w:r>
    </w:p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</w:p>
    <w:p w:rsidR="00686307" w:rsidRPr="00690751" w:rsidRDefault="00686307" w:rsidP="00686307">
      <w:pPr>
        <w:jc w:val="center"/>
        <w:rPr>
          <w:rFonts w:eastAsiaTheme="minorHAnsi" w:cstheme="minorBidi"/>
          <w:b/>
          <w:smallCaps/>
          <w:szCs w:val="24"/>
          <w:lang w:eastAsia="en-US"/>
        </w:rPr>
      </w:pPr>
      <w:r w:rsidRPr="00690751">
        <w:rPr>
          <w:rFonts w:eastAsiaTheme="minorHAnsi" w:cstheme="minorBidi"/>
          <w:b/>
          <w:smallCaps/>
          <w:szCs w:val="24"/>
          <w:lang w:eastAsia="en-US"/>
        </w:rPr>
        <w:t>Traduction française officielle</w:t>
      </w:r>
    </w:p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</w:p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  <w:r w:rsidRPr="00690751">
        <w:rPr>
          <w:rFonts w:eastAsiaTheme="minorHAnsi" w:cstheme="minorBidi"/>
          <w:b/>
          <w:smallCaps/>
          <w:szCs w:val="24"/>
          <w:lang w:eastAsia="en-US"/>
        </w:rPr>
        <w:t>Coram :</w:t>
      </w:r>
      <w:r w:rsidRPr="00690751">
        <w:rPr>
          <w:rFonts w:eastAsiaTheme="minorHAnsi" w:cstheme="minorBidi"/>
          <w:szCs w:val="24"/>
          <w:lang w:eastAsia="en-US"/>
        </w:rPr>
        <w:t xml:space="preserve"> La juge en chef </w:t>
      </w:r>
      <w:proofErr w:type="spellStart"/>
      <w:r w:rsidRPr="00690751">
        <w:rPr>
          <w:rFonts w:eastAsiaTheme="minorHAnsi" w:cstheme="minorBidi"/>
          <w:szCs w:val="24"/>
          <w:lang w:eastAsia="en-US"/>
        </w:rPr>
        <w:t>McLachlin</w:t>
      </w:r>
      <w:proofErr w:type="spellEnd"/>
      <w:r w:rsidRPr="00690751">
        <w:rPr>
          <w:rFonts w:eastAsiaTheme="minorHAnsi" w:cstheme="minorBidi"/>
          <w:szCs w:val="24"/>
          <w:lang w:eastAsia="en-US"/>
        </w:rPr>
        <w:t xml:space="preserve"> et les juges </w:t>
      </w:r>
      <w:proofErr w:type="spellStart"/>
      <w:r w:rsidRPr="00690751">
        <w:rPr>
          <w:rFonts w:eastAsiaTheme="minorHAnsi" w:cstheme="minorBidi"/>
          <w:szCs w:val="24"/>
          <w:lang w:eastAsia="en-US"/>
        </w:rPr>
        <w:t>Binnie</w:t>
      </w:r>
      <w:proofErr w:type="spellEnd"/>
      <w:r w:rsidRPr="00690751">
        <w:rPr>
          <w:rFonts w:eastAsiaTheme="minorHAnsi" w:cstheme="minorBidi"/>
          <w:szCs w:val="24"/>
          <w:lang w:eastAsia="en-US"/>
        </w:rPr>
        <w:t xml:space="preserve">, </w:t>
      </w:r>
      <w:proofErr w:type="spellStart"/>
      <w:r w:rsidRPr="00690751">
        <w:rPr>
          <w:rFonts w:eastAsiaTheme="minorHAnsi" w:cstheme="minorBidi"/>
          <w:szCs w:val="24"/>
          <w:lang w:eastAsia="en-US"/>
        </w:rPr>
        <w:t>LeBel</w:t>
      </w:r>
      <w:proofErr w:type="spellEnd"/>
      <w:r w:rsidRPr="00690751">
        <w:rPr>
          <w:rFonts w:eastAsiaTheme="minorHAnsi" w:cstheme="minorBidi"/>
          <w:szCs w:val="24"/>
          <w:lang w:eastAsia="en-US"/>
        </w:rPr>
        <w:t xml:space="preserve">, Deschamps, Fish, Abella, Charron, </w:t>
      </w:r>
      <w:proofErr w:type="spellStart"/>
      <w:r w:rsidRPr="00690751">
        <w:rPr>
          <w:rFonts w:eastAsiaTheme="minorHAnsi" w:cstheme="minorBidi"/>
          <w:szCs w:val="24"/>
          <w:lang w:eastAsia="en-US"/>
        </w:rPr>
        <w:t>Rothstein</w:t>
      </w:r>
      <w:proofErr w:type="spellEnd"/>
      <w:r w:rsidRPr="00690751">
        <w:rPr>
          <w:rFonts w:eastAsiaTheme="minorHAnsi" w:cstheme="minorBidi"/>
          <w:szCs w:val="24"/>
          <w:lang w:eastAsia="en-US"/>
        </w:rPr>
        <w:t xml:space="preserve"> et Cromwell</w:t>
      </w:r>
    </w:p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686307" w:rsidRPr="00690751" w:rsidTr="00C23EF6">
        <w:trPr>
          <w:cantSplit/>
        </w:trPr>
        <w:tc>
          <w:tcPr>
            <w:tcW w:w="3618" w:type="dxa"/>
          </w:tcPr>
          <w:p w:rsidR="00686307" w:rsidRPr="00690751" w:rsidRDefault="00686307" w:rsidP="00C23EF6">
            <w:pPr>
              <w:rPr>
                <w:b/>
                <w:smallCaps/>
              </w:rPr>
            </w:pPr>
            <w:r w:rsidRPr="00690751">
              <w:rPr>
                <w:b/>
                <w:smallCaps/>
              </w:rPr>
              <w:t>Motifs de jugement :</w:t>
            </w:r>
          </w:p>
          <w:p w:rsidR="00686307" w:rsidRPr="00690751" w:rsidRDefault="00686307" w:rsidP="00C23EF6">
            <w:r w:rsidRPr="00690751">
              <w:t>(par. 1 à 4)</w:t>
            </w:r>
          </w:p>
        </w:tc>
        <w:tc>
          <w:tcPr>
            <w:tcW w:w="5958" w:type="dxa"/>
          </w:tcPr>
          <w:p w:rsidR="00686307" w:rsidRPr="00690751" w:rsidRDefault="00686307" w:rsidP="00C23EF6">
            <w:r w:rsidRPr="00690751">
              <w:t xml:space="preserve">La Cour </w:t>
            </w:r>
          </w:p>
        </w:tc>
      </w:tr>
    </w:tbl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</w:p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</w:p>
    <w:p w:rsidR="00686307" w:rsidRPr="00690751" w:rsidRDefault="00686307" w:rsidP="00686307">
      <w:pPr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686307" w:rsidRDefault="00686307" w:rsidP="00686307">
      <w:pPr>
        <w:rPr>
          <w:rStyle w:val="SCCAppellantForRunningHeadChar"/>
          <w:szCs w:val="24"/>
        </w:rPr>
      </w:pPr>
      <w:r>
        <w:rPr>
          <w:rStyle w:val="SCCAppellantForRunningHeadChar"/>
          <w:szCs w:val="24"/>
        </w:rPr>
        <w:br w:type="page"/>
      </w:r>
    </w:p>
    <w:p w:rsidR="008322BD" w:rsidRPr="000E1267" w:rsidRDefault="00FD2159" w:rsidP="00D52B6F">
      <w:pPr>
        <w:spacing w:after="480" w:line="480" w:lineRule="auto"/>
        <w:jc w:val="both"/>
        <w:rPr>
          <w:szCs w:val="24"/>
        </w:rPr>
      </w:pPr>
      <w:r w:rsidRPr="00FD2159">
        <w:rPr>
          <w:rStyle w:val="SCCAppellantForIndexChar"/>
          <w:b w:val="0"/>
          <w:szCs w:val="24"/>
        </w:rPr>
        <w:lastRenderedPageBreak/>
        <w:t>R.</w:t>
      </w:r>
      <w:r w:rsidRPr="00FD2159">
        <w:rPr>
          <w:szCs w:val="24"/>
        </w:rPr>
        <w:t xml:space="preserve"> </w:t>
      </w:r>
      <w:r w:rsidRPr="00FD2159">
        <w:rPr>
          <w:i/>
          <w:szCs w:val="24"/>
        </w:rPr>
        <w:t>c.</w:t>
      </w:r>
      <w:r w:rsidRPr="00FD2159">
        <w:rPr>
          <w:szCs w:val="24"/>
        </w:rPr>
        <w:t xml:space="preserve"> </w:t>
      </w:r>
      <w:r w:rsidRPr="00FD2159">
        <w:rPr>
          <w:rStyle w:val="SCCRespondentForIndexChar"/>
          <w:b w:val="0"/>
          <w:szCs w:val="24"/>
        </w:rPr>
        <w:t>V.Y.</w:t>
      </w:r>
      <w:r>
        <w:rPr>
          <w:rStyle w:val="SCCRespondentForRunningHeadChar"/>
          <w:szCs w:val="24"/>
        </w:rPr>
        <w:t>, 2011 CSC 22, [2011] 2 R.C.S. 173</w:t>
      </w:r>
    </w:p>
    <w:p w:rsidR="005F54E8" w:rsidRPr="000E1267" w:rsidRDefault="00E35351" w:rsidP="00D52B6F">
      <w:pPr>
        <w:pStyle w:val="SCCLsocParty"/>
        <w:tabs>
          <w:tab w:val="right" w:pos="8280"/>
        </w:tabs>
        <w:spacing w:after="480" w:line="480" w:lineRule="auto"/>
        <w:rPr>
          <w:b w:val="0"/>
          <w:i/>
          <w:szCs w:val="24"/>
        </w:rPr>
      </w:pPr>
      <w:r w:rsidRPr="000E1267">
        <w:rPr>
          <w:szCs w:val="24"/>
        </w:rPr>
        <w:t>Sa Majesté la Reine</w:t>
      </w:r>
      <w:r w:rsidR="00FB7929" w:rsidRPr="000E1267">
        <w:rPr>
          <w:szCs w:val="24"/>
        </w:rPr>
        <w:tab/>
      </w:r>
      <w:r w:rsidRPr="000E1267">
        <w:rPr>
          <w:b w:val="0"/>
          <w:i/>
          <w:szCs w:val="24"/>
        </w:rPr>
        <w:t>Appelante</w:t>
      </w:r>
    </w:p>
    <w:p w:rsidR="005F54E8" w:rsidRPr="00686307" w:rsidRDefault="00E35351" w:rsidP="00D52B6F">
      <w:pPr>
        <w:pStyle w:val="SCCLsocVersus"/>
        <w:spacing w:after="480" w:line="480" w:lineRule="auto"/>
        <w:rPr>
          <w:szCs w:val="24"/>
        </w:rPr>
      </w:pPr>
      <w:proofErr w:type="gramStart"/>
      <w:r w:rsidRPr="00686307">
        <w:rPr>
          <w:szCs w:val="24"/>
        </w:rPr>
        <w:t>c</w:t>
      </w:r>
      <w:proofErr w:type="gramEnd"/>
      <w:r w:rsidRPr="00686307">
        <w:rPr>
          <w:szCs w:val="24"/>
        </w:rPr>
        <w:t>.</w:t>
      </w:r>
    </w:p>
    <w:p w:rsidR="005F54E8" w:rsidRPr="000E1267" w:rsidRDefault="00E35351" w:rsidP="00D52B6F">
      <w:pPr>
        <w:pStyle w:val="SCCLsocParty"/>
        <w:tabs>
          <w:tab w:val="right" w:pos="8280"/>
        </w:tabs>
        <w:spacing w:after="480" w:line="480" w:lineRule="auto"/>
        <w:rPr>
          <w:b w:val="0"/>
          <w:i/>
          <w:szCs w:val="24"/>
          <w:lang w:val="en-US"/>
        </w:rPr>
      </w:pPr>
      <w:r w:rsidRPr="000E1267">
        <w:rPr>
          <w:szCs w:val="24"/>
          <w:lang w:val="en-US"/>
        </w:rPr>
        <w:t>V.Y.</w:t>
      </w:r>
      <w:r w:rsidR="0077525D" w:rsidRPr="000E1267">
        <w:rPr>
          <w:szCs w:val="24"/>
          <w:lang w:val="en-US"/>
        </w:rPr>
        <w:tab/>
      </w:r>
      <w:proofErr w:type="spellStart"/>
      <w:r w:rsidRPr="000E1267">
        <w:rPr>
          <w:b w:val="0"/>
          <w:i/>
          <w:szCs w:val="24"/>
          <w:lang w:val="en-US"/>
        </w:rPr>
        <w:t>Intimé</w:t>
      </w:r>
      <w:proofErr w:type="spellEnd"/>
    </w:p>
    <w:p w:rsidR="0077525D" w:rsidRPr="000E1267" w:rsidRDefault="0077525D" w:rsidP="00D52B6F">
      <w:pPr>
        <w:pStyle w:val="SCCLsocOtherPartySeparator"/>
        <w:spacing w:after="480" w:line="480" w:lineRule="auto"/>
        <w:rPr>
          <w:szCs w:val="24"/>
          <w:lang w:val="en-US"/>
        </w:rPr>
      </w:pPr>
      <w:proofErr w:type="gramStart"/>
      <w:r w:rsidRPr="000E1267">
        <w:rPr>
          <w:szCs w:val="24"/>
          <w:lang w:val="en-US"/>
        </w:rPr>
        <w:t>e</w:t>
      </w:r>
      <w:r w:rsidR="00E35351" w:rsidRPr="000E1267">
        <w:rPr>
          <w:szCs w:val="24"/>
          <w:lang w:val="en-US"/>
        </w:rPr>
        <w:t>t</w:t>
      </w:r>
      <w:proofErr w:type="gramEnd"/>
    </w:p>
    <w:p w:rsidR="005F54E8" w:rsidRPr="000E1267" w:rsidRDefault="00E35351" w:rsidP="00D52B6F">
      <w:pPr>
        <w:pStyle w:val="SCCLsocParty"/>
        <w:tabs>
          <w:tab w:val="right" w:pos="8280"/>
        </w:tabs>
        <w:spacing w:after="480" w:line="480" w:lineRule="auto"/>
        <w:rPr>
          <w:b w:val="0"/>
          <w:i/>
          <w:szCs w:val="24"/>
          <w:lang w:val="en-US"/>
        </w:rPr>
      </w:pPr>
      <w:r w:rsidRPr="000E1267">
        <w:rPr>
          <w:szCs w:val="24"/>
          <w:lang w:val="en-US"/>
        </w:rPr>
        <w:t xml:space="preserve">Association in </w:t>
      </w:r>
      <w:proofErr w:type="spellStart"/>
      <w:r w:rsidRPr="000E1267">
        <w:rPr>
          <w:szCs w:val="24"/>
          <w:lang w:val="en-US"/>
        </w:rPr>
        <w:t>Defence</w:t>
      </w:r>
      <w:proofErr w:type="spellEnd"/>
      <w:r w:rsidRPr="000E1267">
        <w:rPr>
          <w:szCs w:val="24"/>
          <w:lang w:val="en-US"/>
        </w:rPr>
        <w:t xml:space="preserve"> of the Wrongly Convicted</w:t>
      </w:r>
      <w:r w:rsidR="0077525D" w:rsidRPr="000E1267">
        <w:rPr>
          <w:szCs w:val="24"/>
          <w:lang w:val="en-US"/>
        </w:rPr>
        <w:tab/>
      </w:r>
      <w:proofErr w:type="spellStart"/>
      <w:r w:rsidRPr="000E1267">
        <w:rPr>
          <w:b w:val="0"/>
          <w:i/>
          <w:szCs w:val="24"/>
          <w:lang w:val="en-US"/>
        </w:rPr>
        <w:t>Intervenante</w:t>
      </w:r>
      <w:proofErr w:type="spellEnd"/>
    </w:p>
    <w:p w:rsidR="00426659" w:rsidRPr="000E1267" w:rsidRDefault="0043088E" w:rsidP="00D52B6F">
      <w:pPr>
        <w:spacing w:after="480" w:line="480" w:lineRule="auto"/>
        <w:jc w:val="both"/>
        <w:rPr>
          <w:b/>
          <w:szCs w:val="24"/>
        </w:rPr>
      </w:pPr>
      <w:r w:rsidRPr="000E1267">
        <w:rPr>
          <w:b/>
          <w:szCs w:val="24"/>
        </w:rPr>
        <w:t>Répertorié</w:t>
      </w:r>
      <w:r w:rsidR="00FB7929" w:rsidRPr="000E1267">
        <w:rPr>
          <w:b/>
          <w:szCs w:val="24"/>
        </w:rPr>
        <w:t> :</w:t>
      </w:r>
      <w:r w:rsidR="00C67CA5" w:rsidRPr="000E1267">
        <w:rPr>
          <w:b/>
          <w:szCs w:val="24"/>
        </w:rPr>
        <w:t> </w:t>
      </w:r>
      <w:r w:rsidRPr="000E1267">
        <w:rPr>
          <w:rStyle w:val="SCCAppellantForIndexChar"/>
          <w:szCs w:val="24"/>
        </w:rPr>
        <w:t>R.</w:t>
      </w:r>
      <w:r w:rsidR="00426659" w:rsidRPr="000E1267">
        <w:rPr>
          <w:b/>
          <w:szCs w:val="24"/>
        </w:rPr>
        <w:t xml:space="preserve"> </w:t>
      </w:r>
      <w:r w:rsidR="00645057" w:rsidRPr="000E1267">
        <w:rPr>
          <w:b/>
          <w:i/>
          <w:szCs w:val="24"/>
        </w:rPr>
        <w:t>c</w:t>
      </w:r>
      <w:r w:rsidR="00426659" w:rsidRPr="000E1267">
        <w:rPr>
          <w:b/>
          <w:i/>
          <w:szCs w:val="24"/>
        </w:rPr>
        <w:t>.</w:t>
      </w:r>
      <w:r w:rsidR="00426659" w:rsidRPr="000E1267">
        <w:rPr>
          <w:b/>
          <w:szCs w:val="24"/>
        </w:rPr>
        <w:t xml:space="preserve"> </w:t>
      </w:r>
      <w:r w:rsidRPr="000E1267">
        <w:rPr>
          <w:rStyle w:val="SCCRespondentForIndexChar"/>
          <w:szCs w:val="24"/>
        </w:rPr>
        <w:t>V.Y.</w:t>
      </w:r>
    </w:p>
    <w:p w:rsidR="00426659" w:rsidRPr="000E1267" w:rsidRDefault="00C0663B" w:rsidP="00D52B6F">
      <w:pPr>
        <w:pStyle w:val="SCCSystemYear"/>
        <w:spacing w:after="480" w:line="480" w:lineRule="auto"/>
        <w:jc w:val="both"/>
        <w:rPr>
          <w:szCs w:val="24"/>
        </w:rPr>
      </w:pPr>
      <w:r w:rsidRPr="000E1267">
        <w:rPr>
          <w:szCs w:val="24"/>
        </w:rPr>
        <w:t>2011</w:t>
      </w:r>
      <w:r w:rsidR="00EE0FAF" w:rsidRPr="000E1267">
        <w:rPr>
          <w:szCs w:val="24"/>
        </w:rPr>
        <w:t xml:space="preserve"> </w:t>
      </w:r>
      <w:r w:rsidR="00C71F58" w:rsidRPr="000E1267">
        <w:rPr>
          <w:szCs w:val="24"/>
        </w:rPr>
        <w:t>C</w:t>
      </w:r>
      <w:r w:rsidR="00426659" w:rsidRPr="000E1267">
        <w:rPr>
          <w:szCs w:val="24"/>
        </w:rPr>
        <w:t>SC </w:t>
      </w:r>
      <w:r w:rsidR="007E368B" w:rsidRPr="000E1267">
        <w:rPr>
          <w:szCs w:val="24"/>
        </w:rPr>
        <w:t>22</w:t>
      </w:r>
    </w:p>
    <w:p w:rsidR="008322BD" w:rsidRPr="000E1267" w:rsidRDefault="009B57B3" w:rsidP="00D52B6F">
      <w:pPr>
        <w:spacing w:after="480" w:line="480" w:lineRule="auto"/>
        <w:jc w:val="both"/>
        <w:rPr>
          <w:szCs w:val="24"/>
        </w:rPr>
      </w:pPr>
      <w:r w:rsidRPr="000E1267">
        <w:rPr>
          <w:szCs w:val="24"/>
        </w:rPr>
        <w:t>N</w:t>
      </w:r>
      <w:r w:rsidRPr="000E1267">
        <w:rPr>
          <w:szCs w:val="24"/>
          <w:vertAlign w:val="superscript"/>
        </w:rPr>
        <w:t>o</w:t>
      </w:r>
      <w:r w:rsidR="0043088E" w:rsidRPr="000E1267">
        <w:rPr>
          <w:szCs w:val="24"/>
        </w:rPr>
        <w:t xml:space="preserve"> du greffe</w:t>
      </w:r>
      <w:r w:rsidR="00FB7929" w:rsidRPr="000E1267">
        <w:rPr>
          <w:szCs w:val="24"/>
        </w:rPr>
        <w:t> :</w:t>
      </w:r>
      <w:r w:rsidR="00C67CA5" w:rsidRPr="000E1267">
        <w:rPr>
          <w:szCs w:val="24"/>
        </w:rPr>
        <w:t> </w:t>
      </w:r>
      <w:r w:rsidRPr="000E1267">
        <w:rPr>
          <w:szCs w:val="24"/>
        </w:rPr>
        <w:t>33841.</w:t>
      </w:r>
    </w:p>
    <w:p w:rsidR="008322BD" w:rsidRPr="000E1267" w:rsidRDefault="00C0663B" w:rsidP="00D52B6F">
      <w:pPr>
        <w:spacing w:after="480" w:line="480" w:lineRule="auto"/>
        <w:jc w:val="both"/>
        <w:rPr>
          <w:szCs w:val="24"/>
        </w:rPr>
      </w:pPr>
      <w:r w:rsidRPr="000E1267">
        <w:rPr>
          <w:szCs w:val="24"/>
        </w:rPr>
        <w:t>2011</w:t>
      </w:r>
      <w:r w:rsidR="00FB7929" w:rsidRPr="000E1267">
        <w:rPr>
          <w:szCs w:val="24"/>
        </w:rPr>
        <w:t> :</w:t>
      </w:r>
      <w:r w:rsidR="007E368B" w:rsidRPr="000E1267">
        <w:rPr>
          <w:szCs w:val="24"/>
        </w:rPr>
        <w:t> </w:t>
      </w:r>
      <w:r w:rsidRPr="000E1267">
        <w:rPr>
          <w:szCs w:val="24"/>
        </w:rPr>
        <w:t>21 avril</w:t>
      </w:r>
      <w:r w:rsidR="007E368B" w:rsidRPr="000E1267">
        <w:rPr>
          <w:szCs w:val="24"/>
        </w:rPr>
        <w:t>; 2011</w:t>
      </w:r>
      <w:r w:rsidR="00FB7929" w:rsidRPr="000E1267">
        <w:rPr>
          <w:szCs w:val="24"/>
        </w:rPr>
        <w:t> :</w:t>
      </w:r>
      <w:r w:rsidR="007E368B" w:rsidRPr="000E1267">
        <w:rPr>
          <w:szCs w:val="24"/>
        </w:rPr>
        <w:t> 6 mai</w:t>
      </w:r>
      <w:r w:rsidR="009B57B3" w:rsidRPr="000E1267">
        <w:rPr>
          <w:szCs w:val="24"/>
        </w:rPr>
        <w:t>.</w:t>
      </w:r>
    </w:p>
    <w:p w:rsidR="008322BD" w:rsidRPr="000E1267" w:rsidRDefault="009B57B3" w:rsidP="00D52B6F">
      <w:pPr>
        <w:spacing w:after="480"/>
        <w:jc w:val="both"/>
        <w:rPr>
          <w:szCs w:val="24"/>
        </w:rPr>
      </w:pPr>
      <w:r w:rsidRPr="000E1267">
        <w:rPr>
          <w:szCs w:val="24"/>
        </w:rPr>
        <w:t>Pr</w:t>
      </w:r>
      <w:r w:rsidR="0043088E" w:rsidRPr="000E1267">
        <w:rPr>
          <w:szCs w:val="24"/>
        </w:rPr>
        <w:t>é</w:t>
      </w:r>
      <w:r w:rsidRPr="000E1267">
        <w:rPr>
          <w:szCs w:val="24"/>
        </w:rPr>
        <w:t>sent</w:t>
      </w:r>
      <w:r w:rsidR="008A6558" w:rsidRPr="000E1267">
        <w:rPr>
          <w:szCs w:val="24"/>
        </w:rPr>
        <w:t>s</w:t>
      </w:r>
      <w:r w:rsidR="00FB7929" w:rsidRPr="000E1267">
        <w:rPr>
          <w:szCs w:val="24"/>
        </w:rPr>
        <w:t> :</w:t>
      </w:r>
      <w:r w:rsidR="00C67CA5" w:rsidRPr="000E1267">
        <w:rPr>
          <w:szCs w:val="24"/>
        </w:rPr>
        <w:t> </w:t>
      </w:r>
      <w:r w:rsidRPr="000E1267">
        <w:rPr>
          <w:szCs w:val="24"/>
        </w:rPr>
        <w:t xml:space="preserve">La juge en chef </w:t>
      </w:r>
      <w:proofErr w:type="spellStart"/>
      <w:r w:rsidRPr="000E1267">
        <w:rPr>
          <w:szCs w:val="24"/>
        </w:rPr>
        <w:t>McLachlin</w:t>
      </w:r>
      <w:proofErr w:type="spellEnd"/>
      <w:r w:rsidRPr="000E1267">
        <w:rPr>
          <w:szCs w:val="24"/>
        </w:rPr>
        <w:t xml:space="preserve"> et les juges </w:t>
      </w:r>
      <w:proofErr w:type="spellStart"/>
      <w:r w:rsidRPr="000E1267">
        <w:rPr>
          <w:szCs w:val="24"/>
        </w:rPr>
        <w:t>Binnie</w:t>
      </w:r>
      <w:proofErr w:type="spellEnd"/>
      <w:r w:rsidRPr="000E1267">
        <w:rPr>
          <w:szCs w:val="24"/>
        </w:rPr>
        <w:t xml:space="preserve">, </w:t>
      </w:r>
      <w:proofErr w:type="spellStart"/>
      <w:r w:rsidRPr="000E1267">
        <w:rPr>
          <w:szCs w:val="24"/>
        </w:rPr>
        <w:t>LeBel</w:t>
      </w:r>
      <w:proofErr w:type="spellEnd"/>
      <w:r w:rsidRPr="000E1267">
        <w:rPr>
          <w:szCs w:val="24"/>
        </w:rPr>
        <w:t xml:space="preserve">, Deschamps, Fish, Abella, Charron, </w:t>
      </w:r>
      <w:proofErr w:type="spellStart"/>
      <w:r w:rsidRPr="000E1267">
        <w:rPr>
          <w:szCs w:val="24"/>
        </w:rPr>
        <w:t>Rothstein</w:t>
      </w:r>
      <w:proofErr w:type="spellEnd"/>
      <w:r w:rsidRPr="000E1267">
        <w:rPr>
          <w:szCs w:val="24"/>
        </w:rPr>
        <w:t xml:space="preserve"> et Cromwell.</w:t>
      </w:r>
    </w:p>
    <w:p w:rsidR="008322BD" w:rsidRPr="000E1267" w:rsidRDefault="00AC7437" w:rsidP="0077525D">
      <w:pPr>
        <w:pStyle w:val="SCCLowerCourtNameLowercase"/>
        <w:spacing w:after="480"/>
        <w:rPr>
          <w:szCs w:val="24"/>
        </w:rPr>
      </w:pPr>
      <w:r w:rsidRPr="000E1267">
        <w:rPr>
          <w:szCs w:val="24"/>
        </w:rPr>
        <w:t>e</w:t>
      </w:r>
      <w:r w:rsidR="00855307" w:rsidRPr="000E1267">
        <w:rPr>
          <w:szCs w:val="24"/>
        </w:rPr>
        <w:t>n</w:t>
      </w:r>
      <w:r w:rsidR="00224FC0" w:rsidRPr="000E1267">
        <w:rPr>
          <w:szCs w:val="24"/>
        </w:rPr>
        <w:t xml:space="preserve"> </w:t>
      </w:r>
      <w:r w:rsidR="00855307" w:rsidRPr="000E1267">
        <w:rPr>
          <w:szCs w:val="24"/>
        </w:rPr>
        <w:t>appel</w:t>
      </w:r>
      <w:r w:rsidR="00224FC0" w:rsidRPr="000E1267">
        <w:rPr>
          <w:szCs w:val="24"/>
        </w:rPr>
        <w:t xml:space="preserve"> </w:t>
      </w:r>
      <w:r w:rsidR="00855307" w:rsidRPr="000E1267">
        <w:rPr>
          <w:szCs w:val="24"/>
        </w:rPr>
        <w:t>de</w:t>
      </w:r>
      <w:r w:rsidR="0043088E" w:rsidRPr="000E1267">
        <w:rPr>
          <w:szCs w:val="24"/>
        </w:rPr>
        <w:t xml:space="preserve"> </w:t>
      </w:r>
      <w:r w:rsidR="00855307" w:rsidRPr="000E1267">
        <w:rPr>
          <w:szCs w:val="24"/>
        </w:rPr>
        <w:t>la</w:t>
      </w:r>
      <w:r w:rsidR="00224FC0" w:rsidRPr="000E1267">
        <w:rPr>
          <w:szCs w:val="24"/>
        </w:rPr>
        <w:t xml:space="preserve"> </w:t>
      </w:r>
      <w:r w:rsidR="009B57B3" w:rsidRPr="000E1267">
        <w:rPr>
          <w:szCs w:val="24"/>
        </w:rPr>
        <w:t>cour d</w:t>
      </w:r>
      <w:r w:rsidR="0077525D" w:rsidRPr="000E1267">
        <w:rPr>
          <w:szCs w:val="24"/>
        </w:rPr>
        <w:t>’</w:t>
      </w:r>
      <w:r w:rsidR="009B57B3" w:rsidRPr="000E1267">
        <w:rPr>
          <w:szCs w:val="24"/>
        </w:rPr>
        <w:t>appel de l</w:t>
      </w:r>
      <w:r w:rsidR="0077525D" w:rsidRPr="000E1267">
        <w:rPr>
          <w:szCs w:val="24"/>
        </w:rPr>
        <w:t>’</w:t>
      </w:r>
      <w:proofErr w:type="spellStart"/>
      <w:r w:rsidR="009B57B3" w:rsidRPr="000E1267">
        <w:rPr>
          <w:szCs w:val="24"/>
        </w:rPr>
        <w:t>ontario</w:t>
      </w:r>
      <w:proofErr w:type="spellEnd"/>
    </w:p>
    <w:p w:rsidR="008322BD" w:rsidRPr="000E1267" w:rsidRDefault="009B57B3" w:rsidP="0077525D">
      <w:pPr>
        <w:pStyle w:val="SCCNormalDoubleSpacing"/>
        <w:spacing w:after="480"/>
        <w:rPr>
          <w:szCs w:val="24"/>
        </w:rPr>
      </w:pPr>
      <w:r w:rsidRPr="000E1267">
        <w:rPr>
          <w:szCs w:val="24"/>
        </w:rPr>
        <w:lastRenderedPageBreak/>
        <w:tab/>
      </w:r>
      <w:r w:rsidR="00AF1CCE" w:rsidRPr="000E1267">
        <w:rPr>
          <w:i/>
          <w:szCs w:val="24"/>
        </w:rPr>
        <w:t xml:space="preserve">Droit criminel </w:t>
      </w:r>
      <w:r w:rsidR="00867716" w:rsidRPr="000E1267">
        <w:rPr>
          <w:i/>
          <w:szCs w:val="24"/>
        </w:rPr>
        <w:t>—</w:t>
      </w:r>
      <w:r w:rsidR="00AF1CCE" w:rsidRPr="000E1267">
        <w:rPr>
          <w:i/>
          <w:szCs w:val="24"/>
        </w:rPr>
        <w:t xml:space="preserve"> Preuve </w:t>
      </w:r>
      <w:r w:rsidR="00867716" w:rsidRPr="000E1267">
        <w:rPr>
          <w:i/>
          <w:szCs w:val="24"/>
        </w:rPr>
        <w:t>—</w:t>
      </w:r>
      <w:r w:rsidR="00AF1CCE" w:rsidRPr="000E1267">
        <w:rPr>
          <w:i/>
          <w:szCs w:val="24"/>
        </w:rPr>
        <w:t xml:space="preserve"> Fardeau de la preuve </w:t>
      </w:r>
      <w:r w:rsidR="00867716" w:rsidRPr="000E1267">
        <w:rPr>
          <w:i/>
          <w:szCs w:val="24"/>
        </w:rPr>
        <w:t>—</w:t>
      </w:r>
      <w:r w:rsidR="00AF1CCE" w:rsidRPr="000E1267">
        <w:rPr>
          <w:i/>
          <w:szCs w:val="24"/>
        </w:rPr>
        <w:t xml:space="preserve"> Accusé déclaré coupable d</w:t>
      </w:r>
      <w:r w:rsidR="0077525D" w:rsidRPr="000E1267">
        <w:rPr>
          <w:i/>
          <w:szCs w:val="24"/>
        </w:rPr>
        <w:t>’</w:t>
      </w:r>
      <w:r w:rsidR="00AF1CCE" w:rsidRPr="000E1267">
        <w:rPr>
          <w:i/>
          <w:szCs w:val="24"/>
        </w:rPr>
        <w:t xml:space="preserve">agression sexuelle et de séquestration </w:t>
      </w:r>
      <w:r w:rsidR="00867716" w:rsidRPr="000E1267">
        <w:rPr>
          <w:i/>
          <w:szCs w:val="24"/>
        </w:rPr>
        <w:t>—</w:t>
      </w:r>
      <w:r w:rsidR="00AF1CCE" w:rsidRPr="000E1267">
        <w:rPr>
          <w:i/>
          <w:szCs w:val="24"/>
        </w:rPr>
        <w:t xml:space="preserve"> Le juge du procès </w:t>
      </w:r>
      <w:proofErr w:type="spellStart"/>
      <w:r w:rsidR="00AF1CCE" w:rsidRPr="000E1267">
        <w:rPr>
          <w:i/>
          <w:szCs w:val="24"/>
        </w:rPr>
        <w:t>a</w:t>
      </w:r>
      <w:r w:rsidR="00FB7929" w:rsidRPr="000E1267">
        <w:rPr>
          <w:i/>
          <w:szCs w:val="24"/>
        </w:rPr>
        <w:noBreakHyphen/>
      </w:r>
      <w:r w:rsidR="00AF1CCE" w:rsidRPr="000E1267">
        <w:rPr>
          <w:i/>
          <w:szCs w:val="24"/>
        </w:rPr>
        <w:t>t</w:t>
      </w:r>
      <w:r w:rsidR="00FB7929" w:rsidRPr="000E1267">
        <w:rPr>
          <w:i/>
          <w:szCs w:val="24"/>
        </w:rPr>
        <w:noBreakHyphen/>
      </w:r>
      <w:r w:rsidR="00AF1CCE" w:rsidRPr="000E1267">
        <w:rPr>
          <w:i/>
          <w:szCs w:val="24"/>
        </w:rPr>
        <w:t>il</w:t>
      </w:r>
      <w:proofErr w:type="spellEnd"/>
      <w:r w:rsidR="00AF1CCE" w:rsidRPr="000E1267">
        <w:rPr>
          <w:i/>
          <w:szCs w:val="24"/>
        </w:rPr>
        <w:t xml:space="preserve"> omis de dûment considérer la question de savoir si la preuve soulevait un doute raisonnable? </w:t>
      </w:r>
      <w:r w:rsidR="00867716" w:rsidRPr="000E1267">
        <w:rPr>
          <w:i/>
          <w:szCs w:val="24"/>
        </w:rPr>
        <w:t>—</w:t>
      </w:r>
      <w:r w:rsidR="00AF1CCE" w:rsidRPr="000E1267">
        <w:rPr>
          <w:i/>
          <w:szCs w:val="24"/>
        </w:rPr>
        <w:t xml:space="preserve"> Les juges majoritaires de la Cour d</w:t>
      </w:r>
      <w:r w:rsidR="0077525D" w:rsidRPr="000E1267">
        <w:rPr>
          <w:i/>
          <w:szCs w:val="24"/>
        </w:rPr>
        <w:t>’</w:t>
      </w:r>
      <w:r w:rsidR="00AF1CCE" w:rsidRPr="000E1267">
        <w:rPr>
          <w:i/>
          <w:szCs w:val="24"/>
        </w:rPr>
        <w:t xml:space="preserve">appel </w:t>
      </w:r>
      <w:proofErr w:type="spellStart"/>
      <w:r w:rsidR="00AF1CCE" w:rsidRPr="000E1267">
        <w:rPr>
          <w:i/>
          <w:szCs w:val="24"/>
        </w:rPr>
        <w:t>ont</w:t>
      </w:r>
      <w:r w:rsidR="00FB7929" w:rsidRPr="000E1267">
        <w:rPr>
          <w:i/>
          <w:szCs w:val="24"/>
        </w:rPr>
        <w:noBreakHyphen/>
      </w:r>
      <w:r w:rsidR="00AF1CCE" w:rsidRPr="000E1267">
        <w:rPr>
          <w:i/>
          <w:szCs w:val="24"/>
        </w:rPr>
        <w:t>ils</w:t>
      </w:r>
      <w:proofErr w:type="spellEnd"/>
      <w:r w:rsidR="00AF1CCE" w:rsidRPr="000E1267">
        <w:rPr>
          <w:i/>
          <w:szCs w:val="24"/>
        </w:rPr>
        <w:t xml:space="preserve"> eu tort d</w:t>
      </w:r>
      <w:r w:rsidR="0077525D" w:rsidRPr="000E1267">
        <w:rPr>
          <w:i/>
          <w:szCs w:val="24"/>
        </w:rPr>
        <w:t>’</w:t>
      </w:r>
      <w:r w:rsidR="00AF1CCE" w:rsidRPr="000E1267">
        <w:rPr>
          <w:i/>
          <w:szCs w:val="24"/>
        </w:rPr>
        <w:t>annuler les déclarations de culpabilité et d</w:t>
      </w:r>
      <w:r w:rsidR="0077525D" w:rsidRPr="000E1267">
        <w:rPr>
          <w:i/>
          <w:szCs w:val="24"/>
        </w:rPr>
        <w:t>’</w:t>
      </w:r>
      <w:r w:rsidR="00AF1CCE" w:rsidRPr="000E1267">
        <w:rPr>
          <w:i/>
          <w:szCs w:val="24"/>
        </w:rPr>
        <w:t>ordonner un nouveau procès?</w:t>
      </w:r>
    </w:p>
    <w:p w:rsidR="008322BD" w:rsidRDefault="009B57B3" w:rsidP="0077525D">
      <w:pPr>
        <w:pStyle w:val="SCCNormalDoubleSpacing"/>
        <w:spacing w:after="480"/>
        <w:rPr>
          <w:szCs w:val="24"/>
        </w:rPr>
      </w:pPr>
      <w:r w:rsidRPr="000E1267">
        <w:rPr>
          <w:szCs w:val="24"/>
        </w:rPr>
        <w:tab/>
      </w:r>
      <w:r w:rsidR="0043088E" w:rsidRPr="000E1267">
        <w:rPr>
          <w:rStyle w:val="QuoteChar"/>
          <w:color w:val="auto"/>
          <w:szCs w:val="24"/>
          <w:lang w:val="fr-FR"/>
        </w:rPr>
        <w:t>Arrêt</w:t>
      </w:r>
      <w:r w:rsidR="00FB7929" w:rsidRPr="000E1267">
        <w:rPr>
          <w:szCs w:val="24"/>
        </w:rPr>
        <w:t> :</w:t>
      </w:r>
      <w:r w:rsidR="00807F1E" w:rsidRPr="000E1267">
        <w:rPr>
          <w:rStyle w:val="QuoteChar"/>
          <w:i w:val="0"/>
          <w:color w:val="auto"/>
          <w:szCs w:val="24"/>
          <w:lang w:val="fr-CA"/>
        </w:rPr>
        <w:t> </w:t>
      </w:r>
      <w:r w:rsidR="0043088E" w:rsidRPr="000E1267">
        <w:rPr>
          <w:szCs w:val="24"/>
        </w:rPr>
        <w:t>Le pourvoi est</w:t>
      </w:r>
      <w:r w:rsidR="00636B58" w:rsidRPr="000E1267">
        <w:rPr>
          <w:szCs w:val="24"/>
        </w:rPr>
        <w:t xml:space="preserve"> rejeté.</w:t>
      </w:r>
    </w:p>
    <w:p w:rsidR="0045327F" w:rsidRPr="0045327F" w:rsidRDefault="0045327F" w:rsidP="0077525D">
      <w:pPr>
        <w:pStyle w:val="SCCNormalDoubleSpacing"/>
        <w:spacing w:after="480"/>
        <w:rPr>
          <w:b/>
          <w:szCs w:val="24"/>
        </w:rPr>
      </w:pPr>
      <w:r>
        <w:rPr>
          <w:b/>
          <w:szCs w:val="24"/>
        </w:rPr>
        <w:t>Lois et règlements cités</w:t>
      </w:r>
    </w:p>
    <w:p w:rsidR="0045327F" w:rsidRPr="0045327F" w:rsidRDefault="0045327F" w:rsidP="0077525D">
      <w:pPr>
        <w:pStyle w:val="SCCNormalDoubleSpacing"/>
        <w:spacing w:after="480"/>
        <w:rPr>
          <w:szCs w:val="24"/>
        </w:rPr>
      </w:pPr>
      <w:r>
        <w:rPr>
          <w:i/>
          <w:szCs w:val="24"/>
        </w:rPr>
        <w:t>Code criminel</w:t>
      </w:r>
      <w:r>
        <w:rPr>
          <w:szCs w:val="24"/>
        </w:rPr>
        <w:t>, L.R.C. 1985, c</w:t>
      </w:r>
      <w:r w:rsidR="00DE6745">
        <w:rPr>
          <w:szCs w:val="24"/>
        </w:rPr>
        <w:t>h</w:t>
      </w:r>
      <w:r>
        <w:rPr>
          <w:szCs w:val="24"/>
        </w:rPr>
        <w:t>. C-46, art. 693(1)</w:t>
      </w:r>
      <w:r w:rsidRPr="0045327F">
        <w:rPr>
          <w:i/>
          <w:szCs w:val="24"/>
        </w:rPr>
        <w:t>a</w:t>
      </w:r>
      <w:r>
        <w:rPr>
          <w:szCs w:val="24"/>
        </w:rPr>
        <w:t>).</w:t>
      </w:r>
    </w:p>
    <w:p w:rsidR="00D5435D" w:rsidRPr="000E1267" w:rsidRDefault="009B57B3" w:rsidP="0077525D">
      <w:pPr>
        <w:pStyle w:val="SCCNormalDoubleSpacing"/>
        <w:spacing w:after="480"/>
        <w:rPr>
          <w:szCs w:val="24"/>
        </w:rPr>
      </w:pPr>
      <w:r w:rsidRPr="000E1267">
        <w:rPr>
          <w:szCs w:val="24"/>
        </w:rPr>
        <w:tab/>
        <w:t>P</w:t>
      </w:r>
      <w:r w:rsidR="0043088E" w:rsidRPr="000E1267">
        <w:rPr>
          <w:szCs w:val="24"/>
        </w:rPr>
        <w:t>OURVOI contre un arrêt de la</w:t>
      </w:r>
      <w:r w:rsidRPr="000E1267">
        <w:rPr>
          <w:szCs w:val="24"/>
        </w:rPr>
        <w:t xml:space="preserve"> Cour d</w:t>
      </w:r>
      <w:r w:rsidR="0077525D" w:rsidRPr="000E1267">
        <w:rPr>
          <w:szCs w:val="24"/>
        </w:rPr>
        <w:t>’</w:t>
      </w:r>
      <w:r w:rsidRPr="000E1267">
        <w:rPr>
          <w:szCs w:val="24"/>
        </w:rPr>
        <w:t>appel de l</w:t>
      </w:r>
      <w:r w:rsidR="0077525D" w:rsidRPr="000E1267">
        <w:rPr>
          <w:szCs w:val="24"/>
        </w:rPr>
        <w:t>’</w:t>
      </w:r>
      <w:r w:rsidRPr="000E1267">
        <w:rPr>
          <w:szCs w:val="24"/>
        </w:rPr>
        <w:t>Ontario</w:t>
      </w:r>
      <w:r w:rsidR="007E2826" w:rsidRPr="000E1267">
        <w:rPr>
          <w:szCs w:val="24"/>
        </w:rPr>
        <w:t xml:space="preserve"> (les juges </w:t>
      </w:r>
      <w:proofErr w:type="spellStart"/>
      <w:r w:rsidR="007E2826" w:rsidRPr="000E1267">
        <w:rPr>
          <w:szCs w:val="24"/>
        </w:rPr>
        <w:t>Laskin</w:t>
      </w:r>
      <w:proofErr w:type="spellEnd"/>
      <w:r w:rsidR="00E35351" w:rsidRPr="000E1267">
        <w:rPr>
          <w:szCs w:val="24"/>
        </w:rPr>
        <w:t xml:space="preserve"> et </w:t>
      </w:r>
      <w:proofErr w:type="spellStart"/>
      <w:r w:rsidR="00E35351" w:rsidRPr="000E1267">
        <w:rPr>
          <w:szCs w:val="24"/>
        </w:rPr>
        <w:t>LaForme</w:t>
      </w:r>
      <w:proofErr w:type="spellEnd"/>
      <w:r w:rsidR="00755011" w:rsidRPr="000E1267">
        <w:rPr>
          <w:szCs w:val="24"/>
        </w:rPr>
        <w:t>,</w:t>
      </w:r>
      <w:r w:rsidR="007E2826" w:rsidRPr="000E1267">
        <w:rPr>
          <w:szCs w:val="24"/>
        </w:rPr>
        <w:t xml:space="preserve"> et le juge </w:t>
      </w:r>
      <w:proofErr w:type="spellStart"/>
      <w:r w:rsidR="007E2826" w:rsidRPr="000E1267">
        <w:rPr>
          <w:szCs w:val="24"/>
        </w:rPr>
        <w:t>Moldaver</w:t>
      </w:r>
      <w:proofErr w:type="spellEnd"/>
      <w:r w:rsidR="00CA3CA3" w:rsidRPr="000E1267">
        <w:rPr>
          <w:szCs w:val="24"/>
        </w:rPr>
        <w:t>,</w:t>
      </w:r>
      <w:r w:rsidR="007E2826" w:rsidRPr="000E1267">
        <w:rPr>
          <w:szCs w:val="24"/>
        </w:rPr>
        <w:t xml:space="preserve"> dissident</w:t>
      </w:r>
      <w:r w:rsidR="00E35351" w:rsidRPr="000E1267">
        <w:rPr>
          <w:szCs w:val="24"/>
        </w:rPr>
        <w:t xml:space="preserve">), 2010 ONCA 544, 266 O.A.C. 27, 258 C.C.C. (3d) 281, 79 C.R. (6th) 327, [2010] O.J. </w:t>
      </w:r>
      <w:r w:rsidR="00FB7929" w:rsidRPr="000E1267">
        <w:rPr>
          <w:szCs w:val="24"/>
        </w:rPr>
        <w:t>No. </w:t>
      </w:r>
      <w:r w:rsidR="00E35351" w:rsidRPr="000E1267">
        <w:rPr>
          <w:szCs w:val="24"/>
        </w:rPr>
        <w:t xml:space="preserve">3336 (QL), 2010 </w:t>
      </w:r>
      <w:proofErr w:type="spellStart"/>
      <w:r w:rsidR="00E35351" w:rsidRPr="000E1267">
        <w:rPr>
          <w:szCs w:val="24"/>
        </w:rPr>
        <w:t>CarswellOnt</w:t>
      </w:r>
      <w:proofErr w:type="spellEnd"/>
      <w:r w:rsidR="00E35351" w:rsidRPr="000E1267">
        <w:rPr>
          <w:szCs w:val="24"/>
        </w:rPr>
        <w:t xml:space="preserve"> 5671, qui a annulé les déclarations de culpabilité de l</w:t>
      </w:r>
      <w:r w:rsidR="0077525D" w:rsidRPr="000E1267">
        <w:rPr>
          <w:szCs w:val="24"/>
        </w:rPr>
        <w:t>’</w:t>
      </w:r>
      <w:r w:rsidR="00E35351" w:rsidRPr="000E1267">
        <w:rPr>
          <w:szCs w:val="24"/>
        </w:rPr>
        <w:t>accusé et ordonné la tenue d</w:t>
      </w:r>
      <w:r w:rsidR="0077525D" w:rsidRPr="000E1267">
        <w:rPr>
          <w:szCs w:val="24"/>
        </w:rPr>
        <w:t>’</w:t>
      </w:r>
      <w:r w:rsidR="00E35351" w:rsidRPr="000E1267">
        <w:rPr>
          <w:szCs w:val="24"/>
        </w:rPr>
        <w:t xml:space="preserve">un nouveau procès. </w:t>
      </w:r>
      <w:r w:rsidR="000D02D1" w:rsidRPr="000E1267">
        <w:rPr>
          <w:szCs w:val="24"/>
        </w:rPr>
        <w:t xml:space="preserve"> </w:t>
      </w:r>
      <w:r w:rsidR="00E35351" w:rsidRPr="000E1267">
        <w:rPr>
          <w:szCs w:val="24"/>
        </w:rPr>
        <w:t>Pourvoi rejeté.</w:t>
      </w:r>
    </w:p>
    <w:p w:rsidR="005F54E8" w:rsidRPr="000E1267" w:rsidRDefault="00E35351" w:rsidP="0077525D">
      <w:pPr>
        <w:pStyle w:val="SCCNormalDoubleSpacing"/>
        <w:spacing w:after="480"/>
        <w:rPr>
          <w:szCs w:val="24"/>
        </w:rPr>
      </w:pPr>
      <w:r w:rsidRPr="000E1267">
        <w:rPr>
          <w:rStyle w:val="SCCCounselNameChar"/>
          <w:szCs w:val="24"/>
        </w:rPr>
        <w:tab/>
        <w:t xml:space="preserve">Lisa </w:t>
      </w:r>
      <w:proofErr w:type="spellStart"/>
      <w:r w:rsidRPr="000E1267">
        <w:rPr>
          <w:rStyle w:val="SCCCounselNameChar"/>
          <w:szCs w:val="24"/>
        </w:rPr>
        <w:t>Joyal</w:t>
      </w:r>
      <w:proofErr w:type="spellEnd"/>
      <w:r w:rsidRPr="000E1267">
        <w:rPr>
          <w:rStyle w:val="SCCCounselPartyRoleChar"/>
          <w:szCs w:val="24"/>
        </w:rPr>
        <w:t>, pour l</w:t>
      </w:r>
      <w:r w:rsidR="0077525D" w:rsidRPr="000E1267">
        <w:rPr>
          <w:rStyle w:val="SCCCounselPartyRoleChar"/>
          <w:szCs w:val="24"/>
        </w:rPr>
        <w:t>’</w:t>
      </w:r>
      <w:r w:rsidRPr="000E1267">
        <w:rPr>
          <w:rStyle w:val="SCCCounselPartyRoleChar"/>
          <w:szCs w:val="24"/>
        </w:rPr>
        <w:t>appelante.</w:t>
      </w:r>
    </w:p>
    <w:p w:rsidR="005F54E8" w:rsidRPr="000E1267" w:rsidRDefault="00807F1E" w:rsidP="0077525D">
      <w:pPr>
        <w:pStyle w:val="SCCNormalDoubleSpacing"/>
        <w:spacing w:after="480"/>
        <w:rPr>
          <w:szCs w:val="24"/>
        </w:rPr>
      </w:pPr>
      <w:r w:rsidRPr="000E1267">
        <w:rPr>
          <w:rStyle w:val="SCCCounselNameChar"/>
          <w:szCs w:val="24"/>
        </w:rPr>
        <w:tab/>
        <w:t>Michael </w:t>
      </w:r>
      <w:r w:rsidR="00E35351" w:rsidRPr="000E1267">
        <w:rPr>
          <w:rStyle w:val="SCCCounselNameChar"/>
          <w:szCs w:val="24"/>
        </w:rPr>
        <w:t>G. Engel</w:t>
      </w:r>
      <w:r w:rsidR="00E35351" w:rsidRPr="000E1267">
        <w:rPr>
          <w:rStyle w:val="SCCCounselSeparatorChar"/>
          <w:szCs w:val="24"/>
        </w:rPr>
        <w:t xml:space="preserve">, </w:t>
      </w:r>
      <w:r w:rsidR="00E35351" w:rsidRPr="000E1267">
        <w:rPr>
          <w:rStyle w:val="SCCCounselNameChar"/>
          <w:szCs w:val="24"/>
        </w:rPr>
        <w:t xml:space="preserve">Russell </w:t>
      </w:r>
      <w:proofErr w:type="spellStart"/>
      <w:r w:rsidR="00E35351" w:rsidRPr="000E1267">
        <w:rPr>
          <w:rStyle w:val="SCCCounselNameChar"/>
          <w:szCs w:val="24"/>
        </w:rPr>
        <w:t>Silverstein</w:t>
      </w:r>
      <w:proofErr w:type="spellEnd"/>
      <w:r w:rsidR="00E35351" w:rsidRPr="000E1267">
        <w:rPr>
          <w:rStyle w:val="SCCCounselSeparatorChar"/>
          <w:szCs w:val="24"/>
        </w:rPr>
        <w:t xml:space="preserve"> et </w:t>
      </w:r>
      <w:r w:rsidR="00E35351" w:rsidRPr="000E1267">
        <w:rPr>
          <w:rStyle w:val="SCCCounselNameChar"/>
          <w:szCs w:val="24"/>
        </w:rPr>
        <w:t>Ingrid Grant</w:t>
      </w:r>
      <w:r w:rsidR="00E35351" w:rsidRPr="000E1267">
        <w:rPr>
          <w:rStyle w:val="SCCCounselPartyRoleChar"/>
          <w:szCs w:val="24"/>
        </w:rPr>
        <w:t>, pour l</w:t>
      </w:r>
      <w:r w:rsidR="0077525D" w:rsidRPr="000E1267">
        <w:rPr>
          <w:rStyle w:val="SCCCounselPartyRoleChar"/>
          <w:szCs w:val="24"/>
        </w:rPr>
        <w:t>’</w:t>
      </w:r>
      <w:r w:rsidR="00E35351" w:rsidRPr="000E1267">
        <w:rPr>
          <w:rStyle w:val="SCCCounselPartyRoleChar"/>
          <w:szCs w:val="24"/>
        </w:rPr>
        <w:t>intimé.</w:t>
      </w:r>
    </w:p>
    <w:p w:rsidR="005F54E8" w:rsidRPr="000E1267" w:rsidRDefault="00E35351" w:rsidP="0077525D">
      <w:pPr>
        <w:pStyle w:val="SCCNormalDoubleSpacing"/>
        <w:spacing w:after="480"/>
        <w:rPr>
          <w:szCs w:val="24"/>
        </w:rPr>
      </w:pPr>
      <w:r w:rsidRPr="000E1267">
        <w:rPr>
          <w:rStyle w:val="SCCCounselNameChar"/>
          <w:szCs w:val="24"/>
        </w:rPr>
        <w:tab/>
        <w:t xml:space="preserve">Brian </w:t>
      </w:r>
      <w:proofErr w:type="spellStart"/>
      <w:r w:rsidRPr="000E1267">
        <w:rPr>
          <w:rStyle w:val="SCCCounselNameChar"/>
          <w:szCs w:val="24"/>
        </w:rPr>
        <w:t>Snell</w:t>
      </w:r>
      <w:proofErr w:type="spellEnd"/>
      <w:r w:rsidRPr="000E1267">
        <w:rPr>
          <w:rStyle w:val="SCCCounselPartyRoleChar"/>
          <w:szCs w:val="24"/>
        </w:rPr>
        <w:t>, pour l</w:t>
      </w:r>
      <w:r w:rsidR="0077525D" w:rsidRPr="000E1267">
        <w:rPr>
          <w:rStyle w:val="SCCCounselPartyRoleChar"/>
          <w:szCs w:val="24"/>
        </w:rPr>
        <w:t>’</w:t>
      </w:r>
      <w:r w:rsidRPr="000E1267">
        <w:rPr>
          <w:rStyle w:val="SCCCounselPartyRoleChar"/>
          <w:szCs w:val="24"/>
        </w:rPr>
        <w:t>intervenante.</w:t>
      </w:r>
    </w:p>
    <w:p w:rsidR="00D5293C" w:rsidRDefault="00D5293C" w:rsidP="00860139">
      <w:pPr>
        <w:tabs>
          <w:tab w:val="left" w:pos="-1440"/>
          <w:tab w:val="left" w:pos="-720"/>
          <w:tab w:val="left" w:pos="1170"/>
        </w:tabs>
        <w:spacing w:before="480" w:after="480" w:line="480" w:lineRule="auto"/>
        <w:jc w:val="both"/>
        <w:rPr>
          <w:szCs w:val="24"/>
        </w:rPr>
      </w:pPr>
      <w:r>
        <w:rPr>
          <w:szCs w:val="24"/>
        </w:rPr>
        <w:lastRenderedPageBreak/>
        <w:tab/>
        <w:t>Version française du jugement rendu par</w:t>
      </w:r>
    </w:p>
    <w:p w:rsidR="00860139" w:rsidRPr="00375AE2" w:rsidRDefault="00982E14" w:rsidP="00860139">
      <w:pPr>
        <w:pStyle w:val="ParaNoNdepar-AltN"/>
        <w:rPr>
          <w:lang w:val="fr-CA"/>
        </w:rPr>
      </w:pPr>
      <w:r w:rsidRPr="00982E14">
        <w:rPr>
          <w:smallCaps/>
          <w:szCs w:val="24"/>
          <w:lang w:val="fr-CA"/>
        </w:rPr>
        <w:t xml:space="preserve">La Cour </w:t>
      </w:r>
      <w:r w:rsidRPr="00982E14">
        <w:rPr>
          <w:szCs w:val="24"/>
          <w:lang w:val="fr-CA"/>
        </w:rPr>
        <w:t xml:space="preserve">— </w:t>
      </w:r>
      <w:r w:rsidR="00860139" w:rsidRPr="00351E7A">
        <w:rPr>
          <w:lang w:val="fr-CA"/>
        </w:rPr>
        <w:t>Les juges majoritaires de la Cour d</w:t>
      </w:r>
      <w:r w:rsidR="00860139">
        <w:rPr>
          <w:lang w:val="fr-CA"/>
        </w:rPr>
        <w:t>’</w:t>
      </w:r>
      <w:r w:rsidR="00860139" w:rsidRPr="00351E7A">
        <w:rPr>
          <w:lang w:val="fr-CA"/>
        </w:rPr>
        <w:t>appel de l</w:t>
      </w:r>
      <w:r w:rsidR="00860139">
        <w:rPr>
          <w:lang w:val="fr-CA"/>
        </w:rPr>
        <w:t>’</w:t>
      </w:r>
      <w:r w:rsidR="00860139" w:rsidRPr="00351E7A">
        <w:rPr>
          <w:lang w:val="fr-CA"/>
        </w:rPr>
        <w:t>Ontario ont annulé les déclarations de culpabilité pour agression sexuelle et séquestration prononcées contre l</w:t>
      </w:r>
      <w:r w:rsidR="00860139">
        <w:rPr>
          <w:lang w:val="fr-CA"/>
        </w:rPr>
        <w:t>’</w:t>
      </w:r>
      <w:r w:rsidR="00860139" w:rsidRPr="00351E7A">
        <w:rPr>
          <w:lang w:val="fr-CA"/>
        </w:rPr>
        <w:t>intimé (2010 ONCA 544, 266 O.A.C. 27).  Le ministère public interjette appel de plein droit de leur décision suivant l</w:t>
      </w:r>
      <w:r w:rsidR="00860139">
        <w:rPr>
          <w:lang w:val="fr-CA"/>
        </w:rPr>
        <w:t>’al. </w:t>
      </w:r>
      <w:r w:rsidR="00860139" w:rsidRPr="00351E7A">
        <w:rPr>
          <w:lang w:val="fr-CA"/>
        </w:rPr>
        <w:t>693(1)</w:t>
      </w:r>
      <w:r w:rsidR="00860139" w:rsidRPr="00351E7A">
        <w:rPr>
          <w:i/>
          <w:lang w:val="fr-CA"/>
        </w:rPr>
        <w:t>a</w:t>
      </w:r>
      <w:r w:rsidR="00860139" w:rsidRPr="00783499">
        <w:rPr>
          <w:lang w:val="fr-CA"/>
        </w:rPr>
        <w:t>)</w:t>
      </w:r>
      <w:r w:rsidR="00860139" w:rsidRPr="00351E7A">
        <w:rPr>
          <w:lang w:val="fr-CA"/>
        </w:rPr>
        <w:t xml:space="preserve"> du </w:t>
      </w:r>
      <w:r w:rsidR="00860139" w:rsidRPr="00351E7A">
        <w:rPr>
          <w:i/>
          <w:lang w:val="fr-CA"/>
        </w:rPr>
        <w:t>Code criminel</w:t>
      </w:r>
      <w:r w:rsidR="00860139" w:rsidRPr="00351E7A">
        <w:rPr>
          <w:lang w:val="fr-CA"/>
        </w:rPr>
        <w:t xml:space="preserve">, L.R.C. 1985, </w:t>
      </w:r>
      <w:r w:rsidR="00860139">
        <w:rPr>
          <w:lang w:val="fr-CA"/>
        </w:rPr>
        <w:t>ch. </w:t>
      </w:r>
      <w:r w:rsidR="00860139" w:rsidRPr="00375AE2">
        <w:rPr>
          <w:lang w:val="fr-CA"/>
        </w:rPr>
        <w:t>C</w:t>
      </w:r>
      <w:r w:rsidR="00860139" w:rsidRPr="00375AE2">
        <w:rPr>
          <w:lang w:val="fr-CA"/>
        </w:rPr>
        <w:noBreakHyphen/>
        <w:t>46.</w:t>
      </w:r>
    </w:p>
    <w:p w:rsidR="00860139" w:rsidRPr="00A5674A" w:rsidRDefault="00860139" w:rsidP="00860139">
      <w:pPr>
        <w:pStyle w:val="ParaNoNdepar-AltN"/>
        <w:rPr>
          <w:rFonts w:cs="Times New Roman"/>
          <w:szCs w:val="24"/>
          <w:lang w:val="fr-CA"/>
        </w:rPr>
      </w:pPr>
      <w:r w:rsidRPr="00A5674A">
        <w:rPr>
          <w:rFonts w:cs="Times New Roman"/>
          <w:szCs w:val="24"/>
          <w:lang w:val="fr-CA"/>
        </w:rPr>
        <w:t>L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>intervention des juges majoritaires se fonde principalement sur les conclusions tirées par le juge du procès relativement à certains éléments de preuve et sur son omission d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 xml:space="preserve">expliquer pourquoi certaines </w:t>
      </w:r>
      <w:r w:rsidRPr="00A5674A">
        <w:rPr>
          <w:rFonts w:cs="Times New Roman"/>
          <w:smallCaps/>
          <w:szCs w:val="24"/>
          <w:lang w:val="fr-CA"/>
        </w:rPr>
        <w:t>[traduction]</w:t>
      </w:r>
      <w:r w:rsidRPr="00A5674A">
        <w:rPr>
          <w:rFonts w:cs="Times New Roman"/>
          <w:szCs w:val="24"/>
          <w:lang w:val="fr-CA"/>
        </w:rPr>
        <w:t xml:space="preserve"> « considérations n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>ont pas fait naître un doute raisonnable quant à la véracité des allégations qui étaient à l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>origine des accusations</w:t>
      </w:r>
      <w:r>
        <w:rPr>
          <w:rFonts w:cs="Times New Roman"/>
          <w:szCs w:val="24"/>
          <w:lang w:val="fr-CA"/>
        </w:rPr>
        <w:t> </w:t>
      </w:r>
      <w:r w:rsidRPr="00A5674A">
        <w:rPr>
          <w:rFonts w:cs="Times New Roman"/>
          <w:szCs w:val="24"/>
          <w:lang w:val="fr-CA"/>
        </w:rPr>
        <w:t>» (</w:t>
      </w:r>
      <w:r>
        <w:rPr>
          <w:rFonts w:cs="Times New Roman"/>
          <w:szCs w:val="24"/>
          <w:lang w:val="fr-CA"/>
        </w:rPr>
        <w:t>par. </w:t>
      </w:r>
      <w:r w:rsidRPr="00A5674A">
        <w:rPr>
          <w:rFonts w:cs="Times New Roman"/>
          <w:szCs w:val="24"/>
          <w:lang w:val="fr-CA"/>
        </w:rPr>
        <w:t>35).</w:t>
      </w:r>
    </w:p>
    <w:p w:rsidR="00860139" w:rsidRPr="00A5674A" w:rsidRDefault="00860139" w:rsidP="00860139">
      <w:pPr>
        <w:pStyle w:val="ParaNoNdepar-AltN"/>
        <w:rPr>
          <w:rFonts w:cs="Times New Roman"/>
          <w:szCs w:val="24"/>
          <w:lang w:val="fr-CA"/>
        </w:rPr>
      </w:pPr>
      <w:r w:rsidRPr="00A5674A">
        <w:rPr>
          <w:rFonts w:cs="Times New Roman"/>
          <w:szCs w:val="24"/>
          <w:lang w:val="fr-CA"/>
        </w:rPr>
        <w:t>Même si nous ne partageons pas entièrement le point de vue des juges majoritaires, nous ne sommes pas persuadés qu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>ils ont eu tort, au final, d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>annuler les déclarations de culpabilité et d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>ordonner un nouveau procès.  Après examen de l</w:t>
      </w:r>
      <w:r>
        <w:rPr>
          <w:rFonts w:cs="Times New Roman"/>
          <w:szCs w:val="24"/>
          <w:lang w:val="fr-CA"/>
        </w:rPr>
        <w:t>’</w:t>
      </w:r>
      <w:r w:rsidRPr="00A5674A">
        <w:rPr>
          <w:rFonts w:cs="Times New Roman"/>
          <w:szCs w:val="24"/>
          <w:lang w:val="fr-CA"/>
        </w:rPr>
        <w:t xml:space="preserve">ensemble de ses motifs, nous convenons que le juge du procès a commis une erreur de droit en omettant de dûment considérer la question de savoir si la preuve </w:t>
      </w:r>
      <w:r>
        <w:rPr>
          <w:rFonts w:cs="Times New Roman"/>
          <w:szCs w:val="24"/>
          <w:lang w:val="fr-CA"/>
        </w:rPr>
        <w:t>soulevai</w:t>
      </w:r>
      <w:r w:rsidRPr="00A5674A">
        <w:rPr>
          <w:rFonts w:cs="Times New Roman"/>
          <w:szCs w:val="24"/>
          <w:lang w:val="fr-CA"/>
        </w:rPr>
        <w:t>t un doute raisonnable.</w:t>
      </w:r>
    </w:p>
    <w:p w:rsidR="00860139" w:rsidRPr="00A5674A" w:rsidRDefault="00860139" w:rsidP="00860139">
      <w:pPr>
        <w:pStyle w:val="ParaNoNdepar-AltN"/>
        <w:rPr>
          <w:rFonts w:cs="Times New Roman"/>
          <w:szCs w:val="24"/>
        </w:rPr>
      </w:pPr>
      <w:r w:rsidRPr="00A5674A">
        <w:rPr>
          <w:rFonts w:cs="Times New Roman"/>
          <w:szCs w:val="24"/>
        </w:rPr>
        <w:t xml:space="preserve">Le </w:t>
      </w:r>
      <w:r w:rsidRPr="00351E7A">
        <w:rPr>
          <w:rFonts w:cs="Times New Roman"/>
          <w:szCs w:val="24"/>
          <w:lang w:val="fr-CA"/>
        </w:rPr>
        <w:t>pourvoi</w:t>
      </w:r>
      <w:r w:rsidRPr="00A5674A">
        <w:rPr>
          <w:rFonts w:cs="Times New Roman"/>
          <w:szCs w:val="24"/>
        </w:rPr>
        <w:t xml:space="preserve"> </w:t>
      </w:r>
      <w:proofErr w:type="spellStart"/>
      <w:proofErr w:type="gramStart"/>
      <w:r w:rsidRPr="00A5674A">
        <w:rPr>
          <w:rFonts w:cs="Times New Roman"/>
          <w:szCs w:val="24"/>
        </w:rPr>
        <w:t>est</w:t>
      </w:r>
      <w:proofErr w:type="spellEnd"/>
      <w:proofErr w:type="gramEnd"/>
      <w:r w:rsidRPr="00A5674A">
        <w:rPr>
          <w:rFonts w:cs="Times New Roman"/>
          <w:szCs w:val="24"/>
        </w:rPr>
        <w:t xml:space="preserve"> </w:t>
      </w:r>
      <w:proofErr w:type="spellStart"/>
      <w:r w:rsidRPr="00A5674A">
        <w:rPr>
          <w:rFonts w:cs="Times New Roman"/>
          <w:szCs w:val="24"/>
        </w:rPr>
        <w:t>rejeté</w:t>
      </w:r>
      <w:proofErr w:type="spellEnd"/>
      <w:r w:rsidRPr="00A5674A">
        <w:rPr>
          <w:rFonts w:cs="Times New Roman"/>
          <w:szCs w:val="24"/>
        </w:rPr>
        <w:t>.</w:t>
      </w:r>
    </w:p>
    <w:p w:rsidR="0033393C" w:rsidRPr="000E1267" w:rsidRDefault="0033393C" w:rsidP="0077525D">
      <w:pPr>
        <w:pStyle w:val="SCCNormalDoubleSpacing"/>
        <w:spacing w:after="480"/>
        <w:rPr>
          <w:i/>
          <w:szCs w:val="24"/>
        </w:rPr>
      </w:pPr>
      <w:r w:rsidRPr="000E1267">
        <w:rPr>
          <w:i/>
          <w:szCs w:val="24"/>
          <w:lang w:val="en-US"/>
        </w:rPr>
        <w:lastRenderedPageBreak/>
        <w:tab/>
      </w:r>
      <w:r w:rsidR="00E35351" w:rsidRPr="000E1267">
        <w:rPr>
          <w:i/>
          <w:szCs w:val="24"/>
        </w:rPr>
        <w:t>Pourvoi rejeté.</w:t>
      </w:r>
    </w:p>
    <w:p w:rsidR="00E35351" w:rsidRPr="000E1267" w:rsidRDefault="00E35351" w:rsidP="00892EC7">
      <w:pPr>
        <w:pStyle w:val="SCCNormalDoubleSpacing"/>
        <w:spacing w:after="480"/>
        <w:rPr>
          <w:i/>
          <w:szCs w:val="24"/>
        </w:rPr>
      </w:pPr>
      <w:r w:rsidRPr="000E1267">
        <w:rPr>
          <w:i/>
          <w:szCs w:val="24"/>
        </w:rPr>
        <w:tab/>
        <w:t>Procureur de l</w:t>
      </w:r>
      <w:r w:rsidR="0077525D" w:rsidRPr="000E1267">
        <w:rPr>
          <w:i/>
          <w:szCs w:val="24"/>
        </w:rPr>
        <w:t>’</w:t>
      </w:r>
      <w:r w:rsidRPr="000E1267">
        <w:rPr>
          <w:i/>
          <w:szCs w:val="24"/>
        </w:rPr>
        <w:t>appelante</w:t>
      </w:r>
      <w:r w:rsidR="00FB7929" w:rsidRPr="000E1267">
        <w:rPr>
          <w:i/>
          <w:szCs w:val="24"/>
        </w:rPr>
        <w:t> :</w:t>
      </w:r>
      <w:r w:rsidR="00807F1E" w:rsidRPr="000E1267">
        <w:rPr>
          <w:i/>
          <w:szCs w:val="24"/>
        </w:rPr>
        <w:t> </w:t>
      </w:r>
      <w:r w:rsidRPr="000E1267">
        <w:rPr>
          <w:i/>
          <w:szCs w:val="24"/>
        </w:rPr>
        <w:t>Procureur général de l</w:t>
      </w:r>
      <w:r w:rsidR="0077525D" w:rsidRPr="000E1267">
        <w:rPr>
          <w:i/>
          <w:szCs w:val="24"/>
        </w:rPr>
        <w:t>’</w:t>
      </w:r>
      <w:r w:rsidRPr="000E1267">
        <w:rPr>
          <w:i/>
          <w:szCs w:val="24"/>
        </w:rPr>
        <w:t>Ontario, Toronto.</w:t>
      </w:r>
    </w:p>
    <w:p w:rsidR="00E35351" w:rsidRPr="000E1267" w:rsidRDefault="00E35351" w:rsidP="00892EC7">
      <w:pPr>
        <w:pStyle w:val="SCCNormalDoubleSpacing"/>
        <w:spacing w:after="480"/>
        <w:rPr>
          <w:i/>
          <w:szCs w:val="24"/>
        </w:rPr>
      </w:pPr>
      <w:r w:rsidRPr="000E1267">
        <w:rPr>
          <w:i/>
          <w:szCs w:val="24"/>
        </w:rPr>
        <w:tab/>
      </w:r>
      <w:r w:rsidR="00807F1E" w:rsidRPr="000E1267">
        <w:rPr>
          <w:i/>
          <w:szCs w:val="24"/>
        </w:rPr>
        <w:t>Procureur de l</w:t>
      </w:r>
      <w:r w:rsidR="0077525D" w:rsidRPr="000E1267">
        <w:rPr>
          <w:i/>
          <w:szCs w:val="24"/>
        </w:rPr>
        <w:t>’</w:t>
      </w:r>
      <w:r w:rsidR="00807F1E" w:rsidRPr="000E1267">
        <w:rPr>
          <w:i/>
          <w:szCs w:val="24"/>
        </w:rPr>
        <w:t>intimé</w:t>
      </w:r>
      <w:r w:rsidR="00FB7929" w:rsidRPr="000E1267">
        <w:rPr>
          <w:i/>
          <w:szCs w:val="24"/>
        </w:rPr>
        <w:t> :</w:t>
      </w:r>
      <w:r w:rsidR="00807F1E" w:rsidRPr="000E1267">
        <w:rPr>
          <w:i/>
          <w:szCs w:val="24"/>
        </w:rPr>
        <w:t> Michael </w:t>
      </w:r>
      <w:r w:rsidRPr="000E1267">
        <w:rPr>
          <w:i/>
          <w:szCs w:val="24"/>
        </w:rPr>
        <w:t>G. Engel, Toronto.</w:t>
      </w:r>
    </w:p>
    <w:p w:rsidR="008322BD" w:rsidRPr="000E1267" w:rsidRDefault="00E35351" w:rsidP="00892EC7">
      <w:pPr>
        <w:pStyle w:val="SCCNormalDoubleSpacing"/>
        <w:spacing w:after="480"/>
        <w:rPr>
          <w:i/>
          <w:szCs w:val="24"/>
          <w:lang w:val="en-US"/>
        </w:rPr>
      </w:pPr>
      <w:r w:rsidRPr="000E1267">
        <w:rPr>
          <w:szCs w:val="24"/>
        </w:rPr>
        <w:tab/>
      </w:r>
      <w:proofErr w:type="spellStart"/>
      <w:r w:rsidRPr="000E1267">
        <w:rPr>
          <w:i/>
          <w:szCs w:val="24"/>
          <w:lang w:val="en-CA"/>
        </w:rPr>
        <w:t>Procureur</w:t>
      </w:r>
      <w:proofErr w:type="spellEnd"/>
      <w:r w:rsidRPr="000E1267">
        <w:rPr>
          <w:i/>
          <w:szCs w:val="24"/>
          <w:lang w:val="en-US"/>
        </w:rPr>
        <w:t xml:space="preserve"> de </w:t>
      </w:r>
      <w:proofErr w:type="spellStart"/>
      <w:proofErr w:type="gramStart"/>
      <w:r w:rsidRPr="000E1267">
        <w:rPr>
          <w:i/>
          <w:szCs w:val="24"/>
          <w:lang w:val="en-US"/>
        </w:rPr>
        <w:t>l</w:t>
      </w:r>
      <w:r w:rsidR="0077525D" w:rsidRPr="000E1267">
        <w:rPr>
          <w:i/>
          <w:szCs w:val="24"/>
          <w:lang w:val="en-US"/>
        </w:rPr>
        <w:t>’</w:t>
      </w:r>
      <w:r w:rsidRPr="000E1267">
        <w:rPr>
          <w:i/>
          <w:szCs w:val="24"/>
          <w:lang w:val="en-US"/>
        </w:rPr>
        <w:t>intervenante</w:t>
      </w:r>
      <w:proofErr w:type="spellEnd"/>
      <w:r w:rsidR="00FB7929" w:rsidRPr="000E1267">
        <w:rPr>
          <w:i/>
          <w:szCs w:val="24"/>
          <w:lang w:val="en-US"/>
        </w:rPr>
        <w:t> :</w:t>
      </w:r>
      <w:proofErr w:type="gramEnd"/>
      <w:r w:rsidR="00807F1E" w:rsidRPr="000E1267">
        <w:rPr>
          <w:i/>
          <w:szCs w:val="24"/>
          <w:lang w:val="en-US"/>
        </w:rPr>
        <w:t> </w:t>
      </w:r>
      <w:r w:rsidRPr="000E1267">
        <w:rPr>
          <w:i/>
          <w:szCs w:val="24"/>
          <w:lang w:val="en-US"/>
        </w:rPr>
        <w:t xml:space="preserve">Association in </w:t>
      </w:r>
      <w:proofErr w:type="spellStart"/>
      <w:r w:rsidRPr="000E1267">
        <w:rPr>
          <w:i/>
          <w:szCs w:val="24"/>
          <w:lang w:val="en-US"/>
        </w:rPr>
        <w:t>Defence</w:t>
      </w:r>
      <w:proofErr w:type="spellEnd"/>
      <w:r w:rsidRPr="000E1267">
        <w:rPr>
          <w:i/>
          <w:szCs w:val="24"/>
          <w:lang w:val="en-US"/>
        </w:rPr>
        <w:t xml:space="preserve"> of the Wrongly Convicted, Toronto.</w:t>
      </w:r>
    </w:p>
    <w:sectPr w:rsidR="008322BD" w:rsidRPr="000E1267" w:rsidSect="007B03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CE" w:rsidRDefault="00AF1CCE">
      <w:r>
        <w:separator/>
      </w:r>
    </w:p>
  </w:endnote>
  <w:endnote w:type="continuationSeparator" w:id="0">
    <w:p w:rsidR="00AF1CCE" w:rsidRDefault="00AF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E" w:rsidRDefault="00AF1CCE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E" w:rsidRDefault="00AF1CCE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CE" w:rsidRDefault="00AF1CCE">
      <w:r>
        <w:separator/>
      </w:r>
    </w:p>
  </w:footnote>
  <w:footnote w:type="continuationSeparator" w:id="0">
    <w:p w:rsidR="00AF1CCE" w:rsidRDefault="00AF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E" w:rsidRDefault="00AF1CCE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CE" w:rsidRDefault="00AF1CCE" w:rsidP="00867716">
    <w:pPr>
      <w:pStyle w:val="Header"/>
      <w:spacing w:after="720"/>
      <w:jc w:val="center"/>
    </w:pPr>
    <w:r>
      <w:t xml:space="preserve">- </w:t>
    </w:r>
    <w:sdt>
      <w:sdtPr>
        <w:id w:val="4489881"/>
        <w:docPartObj>
          <w:docPartGallery w:val="Page Numbers (Top of Page)"/>
          <w:docPartUnique/>
        </w:docPartObj>
      </w:sdtPr>
      <w:sdtContent>
        <w:fldSimple w:instr=" PAGE   \* MERGEFORMAT ">
          <w:r w:rsidR="00686307">
            <w:rPr>
              <w:noProof/>
            </w:rPr>
            <w:t>3</w:t>
          </w:r>
        </w:fldSimple>
        <w: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EE8"/>
    <w:multiLevelType w:val="multilevel"/>
    <w:tmpl w:val="5B86966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163E8"/>
    <w:rsid w:val="00025198"/>
    <w:rsid w:val="00055A36"/>
    <w:rsid w:val="000578A3"/>
    <w:rsid w:val="000633EF"/>
    <w:rsid w:val="00064563"/>
    <w:rsid w:val="000648CC"/>
    <w:rsid w:val="00094DE0"/>
    <w:rsid w:val="000A5321"/>
    <w:rsid w:val="000C59B8"/>
    <w:rsid w:val="000D02D1"/>
    <w:rsid w:val="000E1267"/>
    <w:rsid w:val="000E2BD3"/>
    <w:rsid w:val="00111DE2"/>
    <w:rsid w:val="00116B38"/>
    <w:rsid w:val="00125F22"/>
    <w:rsid w:val="0013109F"/>
    <w:rsid w:val="00135406"/>
    <w:rsid w:val="00135972"/>
    <w:rsid w:val="00140667"/>
    <w:rsid w:val="001426A9"/>
    <w:rsid w:val="00154D7C"/>
    <w:rsid w:val="001570B0"/>
    <w:rsid w:val="001721B7"/>
    <w:rsid w:val="00172A04"/>
    <w:rsid w:val="00175A97"/>
    <w:rsid w:val="00185394"/>
    <w:rsid w:val="001A451D"/>
    <w:rsid w:val="001B33E0"/>
    <w:rsid w:val="001B4573"/>
    <w:rsid w:val="001B73F2"/>
    <w:rsid w:val="001C779F"/>
    <w:rsid w:val="001D2AC1"/>
    <w:rsid w:val="001D311B"/>
    <w:rsid w:val="001F7673"/>
    <w:rsid w:val="00220FC2"/>
    <w:rsid w:val="00224FC0"/>
    <w:rsid w:val="00225EA4"/>
    <w:rsid w:val="00226EAF"/>
    <w:rsid w:val="00231F3A"/>
    <w:rsid w:val="002406EE"/>
    <w:rsid w:val="002745CC"/>
    <w:rsid w:val="002D39A4"/>
    <w:rsid w:val="002E6705"/>
    <w:rsid w:val="002F696C"/>
    <w:rsid w:val="0030329A"/>
    <w:rsid w:val="00307AFD"/>
    <w:rsid w:val="0031086F"/>
    <w:rsid w:val="00310E05"/>
    <w:rsid w:val="0031414C"/>
    <w:rsid w:val="00314E01"/>
    <w:rsid w:val="0032089D"/>
    <w:rsid w:val="00324B30"/>
    <w:rsid w:val="003332B8"/>
    <w:rsid w:val="0033393C"/>
    <w:rsid w:val="0034770C"/>
    <w:rsid w:val="0035259D"/>
    <w:rsid w:val="003866EC"/>
    <w:rsid w:val="00394476"/>
    <w:rsid w:val="003A4C70"/>
    <w:rsid w:val="003A4E15"/>
    <w:rsid w:val="003C799C"/>
    <w:rsid w:val="003D5C72"/>
    <w:rsid w:val="003E1C71"/>
    <w:rsid w:val="003F327B"/>
    <w:rsid w:val="004059A7"/>
    <w:rsid w:val="00406166"/>
    <w:rsid w:val="00411300"/>
    <w:rsid w:val="00426659"/>
    <w:rsid w:val="0043088E"/>
    <w:rsid w:val="004439D8"/>
    <w:rsid w:val="0045327F"/>
    <w:rsid w:val="00465132"/>
    <w:rsid w:val="00471677"/>
    <w:rsid w:val="00480C90"/>
    <w:rsid w:val="0048396F"/>
    <w:rsid w:val="004841D0"/>
    <w:rsid w:val="00493C18"/>
    <w:rsid w:val="00494CDC"/>
    <w:rsid w:val="004A600C"/>
    <w:rsid w:val="004B183C"/>
    <w:rsid w:val="004C478D"/>
    <w:rsid w:val="004E1AF2"/>
    <w:rsid w:val="004E6A2C"/>
    <w:rsid w:val="00521AE8"/>
    <w:rsid w:val="00527180"/>
    <w:rsid w:val="00536719"/>
    <w:rsid w:val="0053742E"/>
    <w:rsid w:val="0055380D"/>
    <w:rsid w:val="005564A7"/>
    <w:rsid w:val="005E4698"/>
    <w:rsid w:val="005F54E8"/>
    <w:rsid w:val="00625C35"/>
    <w:rsid w:val="00634E1B"/>
    <w:rsid w:val="00636B58"/>
    <w:rsid w:val="00645057"/>
    <w:rsid w:val="00654858"/>
    <w:rsid w:val="006565F4"/>
    <w:rsid w:val="006625BD"/>
    <w:rsid w:val="00681AD1"/>
    <w:rsid w:val="00686307"/>
    <w:rsid w:val="006A56F1"/>
    <w:rsid w:val="006B5FF5"/>
    <w:rsid w:val="006C5661"/>
    <w:rsid w:val="006D4790"/>
    <w:rsid w:val="00701759"/>
    <w:rsid w:val="00702C6F"/>
    <w:rsid w:val="00710B2D"/>
    <w:rsid w:val="00712268"/>
    <w:rsid w:val="00747288"/>
    <w:rsid w:val="00747DD3"/>
    <w:rsid w:val="00752F4E"/>
    <w:rsid w:val="007549C8"/>
    <w:rsid w:val="00755011"/>
    <w:rsid w:val="00762D30"/>
    <w:rsid w:val="00763377"/>
    <w:rsid w:val="00766D14"/>
    <w:rsid w:val="00767A0F"/>
    <w:rsid w:val="0077525D"/>
    <w:rsid w:val="00783499"/>
    <w:rsid w:val="007834A8"/>
    <w:rsid w:val="007A05F6"/>
    <w:rsid w:val="007B03B8"/>
    <w:rsid w:val="007B6F4A"/>
    <w:rsid w:val="007E1C47"/>
    <w:rsid w:val="007E2826"/>
    <w:rsid w:val="007E337A"/>
    <w:rsid w:val="007E368B"/>
    <w:rsid w:val="007E5C70"/>
    <w:rsid w:val="007F2FF5"/>
    <w:rsid w:val="007F4E51"/>
    <w:rsid w:val="00807F1E"/>
    <w:rsid w:val="00817190"/>
    <w:rsid w:val="008322BD"/>
    <w:rsid w:val="00855307"/>
    <w:rsid w:val="00860139"/>
    <w:rsid w:val="00862CF3"/>
    <w:rsid w:val="00864CF8"/>
    <w:rsid w:val="00867716"/>
    <w:rsid w:val="00874914"/>
    <w:rsid w:val="00892E1A"/>
    <w:rsid w:val="00892EC7"/>
    <w:rsid w:val="008958F5"/>
    <w:rsid w:val="008A6558"/>
    <w:rsid w:val="008A727C"/>
    <w:rsid w:val="008C01DA"/>
    <w:rsid w:val="008F16D9"/>
    <w:rsid w:val="008F78E9"/>
    <w:rsid w:val="00902462"/>
    <w:rsid w:val="009403F3"/>
    <w:rsid w:val="00957FA2"/>
    <w:rsid w:val="00966913"/>
    <w:rsid w:val="00967374"/>
    <w:rsid w:val="0097543E"/>
    <w:rsid w:val="00982E14"/>
    <w:rsid w:val="00983F3F"/>
    <w:rsid w:val="00985C69"/>
    <w:rsid w:val="0099079B"/>
    <w:rsid w:val="009B2F23"/>
    <w:rsid w:val="009B53E2"/>
    <w:rsid w:val="009B57B3"/>
    <w:rsid w:val="009D5AEB"/>
    <w:rsid w:val="009F383F"/>
    <w:rsid w:val="00A05F0E"/>
    <w:rsid w:val="00A21107"/>
    <w:rsid w:val="00A21B90"/>
    <w:rsid w:val="00A24E15"/>
    <w:rsid w:val="00A548CB"/>
    <w:rsid w:val="00A6242E"/>
    <w:rsid w:val="00A643E7"/>
    <w:rsid w:val="00A73C38"/>
    <w:rsid w:val="00A92778"/>
    <w:rsid w:val="00AA6FFC"/>
    <w:rsid w:val="00AC6322"/>
    <w:rsid w:val="00AC7437"/>
    <w:rsid w:val="00AC7A44"/>
    <w:rsid w:val="00AF03C5"/>
    <w:rsid w:val="00AF1CCE"/>
    <w:rsid w:val="00B000D8"/>
    <w:rsid w:val="00B00F75"/>
    <w:rsid w:val="00B145B6"/>
    <w:rsid w:val="00B3500F"/>
    <w:rsid w:val="00B50C81"/>
    <w:rsid w:val="00B557F8"/>
    <w:rsid w:val="00B64972"/>
    <w:rsid w:val="00B66DD8"/>
    <w:rsid w:val="00B8145D"/>
    <w:rsid w:val="00B815FC"/>
    <w:rsid w:val="00B837B4"/>
    <w:rsid w:val="00B839DB"/>
    <w:rsid w:val="00B93FBC"/>
    <w:rsid w:val="00BA36CB"/>
    <w:rsid w:val="00C02092"/>
    <w:rsid w:val="00C057F7"/>
    <w:rsid w:val="00C0663B"/>
    <w:rsid w:val="00C15A5E"/>
    <w:rsid w:val="00C24C8C"/>
    <w:rsid w:val="00C24D91"/>
    <w:rsid w:val="00C52532"/>
    <w:rsid w:val="00C53F14"/>
    <w:rsid w:val="00C55C2E"/>
    <w:rsid w:val="00C600CF"/>
    <w:rsid w:val="00C6084F"/>
    <w:rsid w:val="00C62A66"/>
    <w:rsid w:val="00C62A6F"/>
    <w:rsid w:val="00C67CA5"/>
    <w:rsid w:val="00C71458"/>
    <w:rsid w:val="00C71F58"/>
    <w:rsid w:val="00C77613"/>
    <w:rsid w:val="00C828E7"/>
    <w:rsid w:val="00C921DD"/>
    <w:rsid w:val="00CA3CA3"/>
    <w:rsid w:val="00CA4D82"/>
    <w:rsid w:val="00CA6391"/>
    <w:rsid w:val="00CE3171"/>
    <w:rsid w:val="00CF1601"/>
    <w:rsid w:val="00D32086"/>
    <w:rsid w:val="00D37A3F"/>
    <w:rsid w:val="00D45FCF"/>
    <w:rsid w:val="00D4667A"/>
    <w:rsid w:val="00D510BB"/>
    <w:rsid w:val="00D5293C"/>
    <w:rsid w:val="00D52B6F"/>
    <w:rsid w:val="00D5435D"/>
    <w:rsid w:val="00D74F2E"/>
    <w:rsid w:val="00DA0590"/>
    <w:rsid w:val="00DC1788"/>
    <w:rsid w:val="00DE6745"/>
    <w:rsid w:val="00DF0CA8"/>
    <w:rsid w:val="00DF49A7"/>
    <w:rsid w:val="00E01106"/>
    <w:rsid w:val="00E01979"/>
    <w:rsid w:val="00E07EE2"/>
    <w:rsid w:val="00E24573"/>
    <w:rsid w:val="00E35351"/>
    <w:rsid w:val="00E377A1"/>
    <w:rsid w:val="00E45109"/>
    <w:rsid w:val="00E54B02"/>
    <w:rsid w:val="00E707D1"/>
    <w:rsid w:val="00E97830"/>
    <w:rsid w:val="00EA03E5"/>
    <w:rsid w:val="00EE0FAF"/>
    <w:rsid w:val="00F00EB7"/>
    <w:rsid w:val="00F2258E"/>
    <w:rsid w:val="00F33658"/>
    <w:rsid w:val="00F36AB6"/>
    <w:rsid w:val="00F409CE"/>
    <w:rsid w:val="00F47A10"/>
    <w:rsid w:val="00F80E14"/>
    <w:rsid w:val="00F84DF4"/>
    <w:rsid w:val="00F853FB"/>
    <w:rsid w:val="00F85C97"/>
    <w:rsid w:val="00FA2FE1"/>
    <w:rsid w:val="00FB1C02"/>
    <w:rsid w:val="00FB7929"/>
    <w:rsid w:val="00FC606D"/>
    <w:rsid w:val="00FD068D"/>
    <w:rsid w:val="00FD2159"/>
    <w:rsid w:val="00FD4F28"/>
    <w:rsid w:val="00FE4B4D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0E"/>
    <w:rPr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AC6322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AC6322"/>
    <w:rPr>
      <w:sz w:val="24"/>
      <w:lang w:val="fr-CA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32089D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32089D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30329A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30329A"/>
    <w:rPr>
      <w:i/>
      <w:sz w:val="24"/>
    </w:rPr>
  </w:style>
  <w:style w:type="paragraph" w:customStyle="1" w:styleId="SCCLsocPartyRole">
    <w:name w:val="SCC.Lsoc.PartyRole"/>
    <w:basedOn w:val="Normal"/>
    <w:next w:val="Normal"/>
    <w:link w:val="SCCLsocPartyRoleChar"/>
    <w:rsid w:val="00225EA4"/>
    <w:pPr>
      <w:jc w:val="right"/>
    </w:pPr>
    <w:rPr>
      <w:i/>
    </w:rPr>
  </w:style>
  <w:style w:type="character" w:customStyle="1" w:styleId="SCCLsocPartyRoleChar">
    <w:name w:val="SCC.Lsoc.PartyRole Char"/>
    <w:basedOn w:val="DefaultParagraphFont"/>
    <w:link w:val="SCCLsocPartyRole"/>
    <w:rsid w:val="00225EA4"/>
    <w:rPr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27180"/>
  </w:style>
  <w:style w:type="character" w:customStyle="1" w:styleId="SCCLsocSubfileSeparatorChar">
    <w:name w:val="SCC.Lsoc.SubfileSeparator Char"/>
    <w:basedOn w:val="DefaultParagraphFont"/>
    <w:link w:val="SCCLsocSubfileSeparator"/>
    <w:rsid w:val="00527180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7180"/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718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C62A6F"/>
    <w:rPr>
      <w:i/>
    </w:rPr>
  </w:style>
  <w:style w:type="character" w:customStyle="1" w:styleId="SCCLawFirmChar">
    <w:name w:val="SCC.LawFirm Char"/>
    <w:basedOn w:val="SCCNormalDoubleSpacingChar"/>
    <w:link w:val="SCCLawFirm"/>
    <w:rsid w:val="00C62A6F"/>
    <w:rPr>
      <w:i/>
      <w:lang w:val="fr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4439D8"/>
  </w:style>
  <w:style w:type="character" w:customStyle="1" w:styleId="SCCCounselPartyRoleChar">
    <w:name w:val="SCC.CounselPartyRole Char"/>
    <w:basedOn w:val="SCCNormalDoubleSpacingChar"/>
    <w:link w:val="SCCCounselPartyRole"/>
    <w:rsid w:val="004439D8"/>
    <w:rPr>
      <w:lang w:val="fr-CA"/>
    </w:rPr>
  </w:style>
  <w:style w:type="paragraph" w:customStyle="1" w:styleId="SCCCoram">
    <w:name w:val="SCC.Coram"/>
    <w:basedOn w:val="Normal"/>
    <w:next w:val="Normal"/>
    <w:link w:val="SCCCoramChar"/>
    <w:rsid w:val="00860139"/>
    <w:pPr>
      <w:pBdr>
        <w:bottom w:val="single" w:sz="4" w:space="1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CCCoramChar">
    <w:name w:val="SCC.Coram Char"/>
    <w:basedOn w:val="DefaultParagraphFont"/>
    <w:link w:val="SCCCoram"/>
    <w:rsid w:val="0086013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CCBanSummaryChar">
    <w:name w:val="SCC.BanSummary Char"/>
    <w:basedOn w:val="DefaultParagraphFont"/>
    <w:link w:val="SCCBanSummary"/>
    <w:rsid w:val="00860139"/>
    <w:rPr>
      <w:b/>
      <w:sz w:val="24"/>
      <w:lang w:val="fr-CA"/>
    </w:rPr>
  </w:style>
  <w:style w:type="table" w:styleId="TableGrid">
    <w:name w:val="Table Grid"/>
    <w:basedOn w:val="TableNormal"/>
    <w:uiPriority w:val="59"/>
    <w:rsid w:val="008601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Ndepar-AltN">
    <w:name w:val="Para. No. / Nº de par. - Alt N"/>
    <w:qFormat/>
    <w:rsid w:val="00860139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2011-05-11T18:51:00Z</dcterms:created>
  <dcterms:modified xsi:type="dcterms:W3CDTF">2011-10-07T17:50:00Z</dcterms:modified>
</cp:coreProperties>
</file>