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B4A" w:rsidRDefault="00AB2B4A" w:rsidP="00AB2B4A">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388399172" r:id="rId9"/>
        </w:object>
      </w:r>
      <w:r>
        <w:t xml:space="preserve"> </w:t>
      </w:r>
      <w:r>
        <w:ptab w:relativeTo="margin" w:alignment="right" w:leader="none"/>
      </w:r>
    </w:p>
    <w:p w:rsidR="00AB2B4A" w:rsidRDefault="00AB2B4A" w:rsidP="00AB2B4A">
      <w:pPr>
        <w:pStyle w:val="Header"/>
      </w:pPr>
    </w:p>
    <w:p w:rsidR="00AB2B4A" w:rsidRPr="001E12E2" w:rsidRDefault="00AB2B4A" w:rsidP="00AB2B4A">
      <w:pPr>
        <w:jc w:val="center"/>
        <w:rPr>
          <w:b/>
        </w:rPr>
      </w:pPr>
      <w:r w:rsidRPr="001E12E2">
        <w:rPr>
          <w:b/>
        </w:rPr>
        <w:t>COUR SUPRÊME DU CANADA</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B2B4A" w:rsidRPr="001E12E2" w:rsidTr="00070D1C">
        <w:trPr>
          <w:cantSplit/>
        </w:trPr>
        <w:tc>
          <w:tcPr>
            <w:tcW w:w="6768" w:type="dxa"/>
          </w:tcPr>
          <w:p w:rsidR="00AB2B4A" w:rsidRDefault="00AB2B4A" w:rsidP="00070D1C">
            <w:pPr>
              <w:rPr>
                <w:b/>
                <w:smallCaps/>
              </w:rPr>
            </w:pPr>
          </w:p>
          <w:p w:rsidR="00AB2B4A" w:rsidRDefault="00AB2B4A" w:rsidP="00070D1C">
            <w:pPr>
              <w:rPr>
                <w:rStyle w:val="SCCRespondentForIndexChar"/>
                <w:b w:val="0"/>
              </w:rPr>
            </w:pPr>
            <w:r w:rsidRPr="00035043">
              <w:rPr>
                <w:b/>
                <w:smallCaps/>
              </w:rPr>
              <w:t xml:space="preserve">Référence </w:t>
            </w:r>
            <w:proofErr w:type="gramStart"/>
            <w:r w:rsidRPr="00035043">
              <w:rPr>
                <w:b/>
              </w:rPr>
              <w:t>:</w:t>
            </w:r>
            <w:r w:rsidRPr="00035043">
              <w:t xml:space="preserve">  Kuwait</w:t>
            </w:r>
            <w:proofErr w:type="gramEnd"/>
            <w:r w:rsidRPr="00035043">
              <w:t xml:space="preserve"> Airways Corp.</w:t>
            </w:r>
            <w:r w:rsidRPr="00035043">
              <w:rPr>
                <w:rStyle w:val="SCCAppellantForIndexChar"/>
                <w:b w:val="0"/>
              </w:rPr>
              <w:t xml:space="preserve"> </w:t>
            </w:r>
            <w:r w:rsidRPr="00035043">
              <w:rPr>
                <w:i/>
              </w:rPr>
              <w:t>c.</w:t>
            </w:r>
            <w:r w:rsidRPr="00035043">
              <w:t xml:space="preserve"> </w:t>
            </w:r>
            <w:r>
              <w:t>Irak</w:t>
            </w:r>
            <w:r w:rsidRPr="00035043">
              <w:rPr>
                <w:rStyle w:val="SCCRespondentForIndexChar"/>
                <w:b w:val="0"/>
              </w:rPr>
              <w:t>,</w:t>
            </w:r>
          </w:p>
          <w:p w:rsidR="00AB2B4A" w:rsidRPr="00035043" w:rsidRDefault="00AB2B4A" w:rsidP="00070D1C">
            <w:r w:rsidRPr="00035043">
              <w:rPr>
                <w:rStyle w:val="SCCRespondentForIndexChar"/>
                <w:b w:val="0"/>
              </w:rPr>
              <w:t xml:space="preserve">2011 CSC </w:t>
            </w:r>
            <w:r>
              <w:rPr>
                <w:rStyle w:val="SCCRespondentForIndexChar"/>
                <w:b w:val="0"/>
              </w:rPr>
              <w:t>41</w:t>
            </w:r>
            <w:r w:rsidRPr="00035043">
              <w:rPr>
                <w:rStyle w:val="SCCRespondentForIndexChar"/>
                <w:b w:val="0"/>
              </w:rPr>
              <w:t xml:space="preserve">, [2011] </w:t>
            </w:r>
            <w:r>
              <w:rPr>
                <w:rStyle w:val="SCCRespondentForIndexChar"/>
                <w:b w:val="0"/>
              </w:rPr>
              <w:t>3</w:t>
            </w:r>
            <w:r w:rsidRPr="00035043">
              <w:rPr>
                <w:rStyle w:val="SCCRespondentForIndexChar"/>
                <w:b w:val="0"/>
              </w:rPr>
              <w:t xml:space="preserve"> R.C.S. </w:t>
            </w:r>
            <w:r>
              <w:rPr>
                <w:rStyle w:val="SCCRespondentForIndexChar"/>
                <w:b w:val="0"/>
              </w:rPr>
              <w:t>42</w:t>
            </w:r>
          </w:p>
        </w:tc>
        <w:tc>
          <w:tcPr>
            <w:tcW w:w="2808" w:type="dxa"/>
          </w:tcPr>
          <w:p w:rsidR="00AB2B4A" w:rsidRDefault="00AB2B4A" w:rsidP="00070D1C">
            <w:pPr>
              <w:rPr>
                <w:b/>
                <w:smallCaps/>
              </w:rPr>
            </w:pPr>
          </w:p>
          <w:p w:rsidR="00AB2B4A" w:rsidRPr="001E12E2" w:rsidRDefault="00AB2B4A" w:rsidP="00070D1C">
            <w:r w:rsidRPr="001E12E2">
              <w:rPr>
                <w:b/>
                <w:smallCaps/>
              </w:rPr>
              <w:t xml:space="preserve">Date </w:t>
            </w:r>
            <w:r w:rsidRPr="001E12E2">
              <w:t xml:space="preserve">: </w:t>
            </w:r>
            <w:r>
              <w:t>20110728</w:t>
            </w:r>
          </w:p>
          <w:p w:rsidR="00AB2B4A" w:rsidRPr="001E12E2" w:rsidRDefault="00AB2B4A" w:rsidP="00070D1C">
            <w:r w:rsidRPr="001E12E2">
              <w:rPr>
                <w:b/>
                <w:smallCaps/>
              </w:rPr>
              <w:t>Do</w:t>
            </w:r>
            <w:r>
              <w:rPr>
                <w:b/>
                <w:smallCaps/>
              </w:rPr>
              <w:t>ssier</w:t>
            </w:r>
            <w:r w:rsidRPr="001E12E2">
              <w:rPr>
                <w:b/>
                <w:smallCaps/>
              </w:rPr>
              <w:t xml:space="preserve"> </w:t>
            </w:r>
            <w:r w:rsidRPr="001E12E2">
              <w:t xml:space="preserve">: </w:t>
            </w:r>
            <w:r>
              <w:t>33145</w:t>
            </w:r>
          </w:p>
        </w:tc>
      </w:tr>
    </w:tbl>
    <w:p w:rsidR="00AB2B4A" w:rsidRPr="001E12E2" w:rsidRDefault="00AB2B4A" w:rsidP="00AB2B4A"/>
    <w:p w:rsidR="00AB2B4A" w:rsidRDefault="00AB2B4A" w:rsidP="00AB2B4A">
      <w:pPr>
        <w:pStyle w:val="SCCLsocPrefix"/>
      </w:pPr>
      <w:r>
        <w:t>Entre :</w:t>
      </w:r>
    </w:p>
    <w:p w:rsidR="00AB2B4A" w:rsidRPr="00035043" w:rsidRDefault="00AB2B4A" w:rsidP="00AB2B4A">
      <w:pPr>
        <w:pStyle w:val="SCCLsocPartyRole"/>
        <w:jc w:val="center"/>
        <w:rPr>
          <w:b/>
        </w:rPr>
      </w:pPr>
      <w:r w:rsidRPr="00035043">
        <w:rPr>
          <w:b/>
        </w:rPr>
        <w:t>Kuwait Airways Corporation</w:t>
      </w:r>
    </w:p>
    <w:p w:rsidR="00AB2B4A" w:rsidRDefault="00AB2B4A" w:rsidP="00AB2B4A">
      <w:pPr>
        <w:pStyle w:val="SCCLsocPartyRole"/>
        <w:jc w:val="center"/>
      </w:pPr>
      <w:r>
        <w:t>Appelante/Intimée à la requête</w:t>
      </w:r>
    </w:p>
    <w:p w:rsidR="00AB2B4A" w:rsidRDefault="00AB2B4A" w:rsidP="00AB2B4A">
      <w:pPr>
        <w:pStyle w:val="SCCLsocVersus"/>
        <w:jc w:val="center"/>
      </w:pPr>
      <w:proofErr w:type="gramStart"/>
      <w:r>
        <w:t>et</w:t>
      </w:r>
      <w:proofErr w:type="gramEnd"/>
    </w:p>
    <w:p w:rsidR="00AB2B4A" w:rsidRDefault="00AB2B4A" w:rsidP="00AB2B4A">
      <w:pPr>
        <w:pStyle w:val="SCCLsocParty"/>
        <w:jc w:val="center"/>
      </w:pPr>
      <w:r>
        <w:t>République d’Irak</w:t>
      </w:r>
    </w:p>
    <w:p w:rsidR="00AB2B4A" w:rsidRDefault="00AB2B4A" w:rsidP="00AB2B4A">
      <w:pPr>
        <w:pStyle w:val="SCCLsocPartyRole"/>
        <w:jc w:val="center"/>
      </w:pPr>
      <w:r>
        <w:t>Intimée/Intimée à la requête</w:t>
      </w:r>
    </w:p>
    <w:p w:rsidR="00AB2B4A" w:rsidRDefault="00AB2B4A" w:rsidP="00AB2B4A">
      <w:pPr>
        <w:pStyle w:val="SCCLsocPartyRole"/>
        <w:jc w:val="center"/>
      </w:pPr>
      <w:proofErr w:type="gramStart"/>
      <w:r>
        <w:t>et</w:t>
      </w:r>
      <w:proofErr w:type="gramEnd"/>
    </w:p>
    <w:p w:rsidR="00AB2B4A" w:rsidRPr="00035043" w:rsidRDefault="00AB2B4A" w:rsidP="00AB2B4A">
      <w:pPr>
        <w:jc w:val="center"/>
        <w:rPr>
          <w:b/>
        </w:rPr>
      </w:pPr>
      <w:r w:rsidRPr="00035043">
        <w:rPr>
          <w:b/>
        </w:rPr>
        <w:t>Bombardier Aéronautique</w:t>
      </w:r>
    </w:p>
    <w:p w:rsidR="00AB2B4A" w:rsidRDefault="00AB2B4A" w:rsidP="00AB2B4A">
      <w:pPr>
        <w:pStyle w:val="SCCLsocPartyRole"/>
        <w:jc w:val="center"/>
      </w:pPr>
      <w:r>
        <w:t>Intimée/Requérante à la requête</w:t>
      </w:r>
    </w:p>
    <w:p w:rsidR="00AB2B4A" w:rsidRPr="001E12E2" w:rsidRDefault="00AB2B4A" w:rsidP="00AB2B4A">
      <w:pPr>
        <w:jc w:val="center"/>
        <w:rPr>
          <w:b/>
          <w:smallCaps/>
        </w:rPr>
      </w:pPr>
    </w:p>
    <w:p w:rsidR="00AB2B4A" w:rsidRPr="001E12E2" w:rsidRDefault="00AB2B4A" w:rsidP="00AB2B4A"/>
    <w:p w:rsidR="00AB2B4A" w:rsidRDefault="00AB2B4A" w:rsidP="00AB2B4A">
      <w:r w:rsidRPr="001E12E2">
        <w:rPr>
          <w:b/>
          <w:smallCaps/>
        </w:rPr>
        <w:t xml:space="preserve">Coram </w:t>
      </w:r>
      <w:r w:rsidRPr="001E12E2">
        <w:t xml:space="preserve">: </w:t>
      </w:r>
      <w:r>
        <w:t xml:space="preserve">Le juge </w:t>
      </w:r>
      <w:proofErr w:type="spellStart"/>
      <w:r>
        <w:t>LeBel</w:t>
      </w:r>
      <w:proofErr w:type="spellEnd"/>
    </w:p>
    <w:p w:rsidR="00AB2B4A" w:rsidRPr="001E12E2" w:rsidRDefault="00AB2B4A" w:rsidP="00AB2B4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B2B4A" w:rsidRPr="001E12E2" w:rsidTr="00070D1C">
        <w:trPr>
          <w:cantSplit/>
        </w:trPr>
        <w:tc>
          <w:tcPr>
            <w:tcW w:w="3618" w:type="dxa"/>
          </w:tcPr>
          <w:p w:rsidR="00AB2B4A" w:rsidRDefault="00AB2B4A" w:rsidP="00070D1C">
            <w:r>
              <w:rPr>
                <w:b/>
                <w:smallCaps/>
              </w:rPr>
              <w:t>Motifs</w:t>
            </w:r>
            <w:r w:rsidRPr="001E12E2">
              <w:rPr>
                <w:b/>
                <w:smallCaps/>
              </w:rPr>
              <w:t xml:space="preserve"> </w:t>
            </w:r>
            <w:r>
              <w:rPr>
                <w:b/>
                <w:smallCaps/>
              </w:rPr>
              <w:t>de</w:t>
            </w:r>
            <w:r w:rsidRPr="001E12E2">
              <w:rPr>
                <w:b/>
                <w:smallCaps/>
              </w:rPr>
              <w:t xml:space="preserve"> </w:t>
            </w:r>
            <w:r>
              <w:rPr>
                <w:b/>
                <w:smallCaps/>
              </w:rPr>
              <w:t>j</w:t>
            </w:r>
            <w:r w:rsidRPr="001E12E2">
              <w:rPr>
                <w:b/>
                <w:smallCaps/>
              </w:rPr>
              <w:t>ug</w:t>
            </w:r>
            <w:r>
              <w:rPr>
                <w:b/>
                <w:smallCaps/>
              </w:rPr>
              <w:t>e</w:t>
            </w:r>
            <w:r w:rsidRPr="001E12E2">
              <w:rPr>
                <w:b/>
                <w:smallCaps/>
              </w:rPr>
              <w:t>ment</w:t>
            </w:r>
            <w:r w:rsidRPr="001E12E2">
              <w:t xml:space="preserve"> :</w:t>
            </w:r>
          </w:p>
          <w:p w:rsidR="00AB2B4A" w:rsidRDefault="00AB2B4A" w:rsidP="00070D1C">
            <w:r>
              <w:t>(requête en révision de l’ordonnance relative aux dépens et en prorogation de délai pour signification et dépôt)</w:t>
            </w:r>
          </w:p>
          <w:p w:rsidR="00AB2B4A" w:rsidRPr="001E12E2" w:rsidRDefault="00AB2B4A" w:rsidP="00070D1C">
            <w:r>
              <w:t>(par. 1 à 5)</w:t>
            </w:r>
          </w:p>
        </w:tc>
        <w:tc>
          <w:tcPr>
            <w:tcW w:w="5958" w:type="dxa"/>
          </w:tcPr>
          <w:p w:rsidR="00AB2B4A" w:rsidRDefault="00AB2B4A" w:rsidP="00070D1C">
            <w:r>
              <w:t xml:space="preserve">Le juge </w:t>
            </w:r>
            <w:proofErr w:type="spellStart"/>
            <w:r>
              <w:t>LeBel</w:t>
            </w:r>
            <w:proofErr w:type="spellEnd"/>
          </w:p>
          <w:p w:rsidR="00AB2B4A" w:rsidRPr="001E12E2" w:rsidRDefault="00AB2B4A" w:rsidP="00070D1C"/>
        </w:tc>
      </w:tr>
    </w:tbl>
    <w:p w:rsidR="00AB2B4A" w:rsidRPr="001E12E2" w:rsidRDefault="00AB2B4A" w:rsidP="00AB2B4A">
      <w:r>
        <w:rPr>
          <w:noProof/>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mso-position-horizontal-relative:text;mso-position-vertical-relative:text" o:connectortype="straight"/>
        </w:pict>
      </w:r>
    </w:p>
    <w:p w:rsidR="00AB2B4A" w:rsidRDefault="00AB2B4A">
      <w:pPr>
        <w:rPr>
          <w:rStyle w:val="SCCAppellantForRunningHeadChar"/>
          <w:smallCaps w:val="0"/>
        </w:rPr>
      </w:pPr>
      <w:r>
        <w:rPr>
          <w:rStyle w:val="SCCAppellantForRunningHeadChar"/>
          <w:smallCaps w:val="0"/>
        </w:rPr>
        <w:br w:type="page"/>
      </w:r>
    </w:p>
    <w:p w:rsidR="008A0CA0" w:rsidRPr="008A0CA0" w:rsidRDefault="008A0CA0" w:rsidP="008A0CA0">
      <w:pPr>
        <w:spacing w:line="480" w:lineRule="auto"/>
        <w:jc w:val="both"/>
        <w:rPr>
          <w:rStyle w:val="SCCRespondentForRunningHeadChar"/>
        </w:rPr>
      </w:pPr>
      <w:r w:rsidRPr="007B4A93">
        <w:rPr>
          <w:rStyle w:val="SCCAppellantForRunningHeadChar"/>
          <w:smallCaps w:val="0"/>
        </w:rPr>
        <w:lastRenderedPageBreak/>
        <w:t>Kuwait Airways Corp.</w:t>
      </w:r>
      <w:r w:rsidRPr="007B4A93">
        <w:rPr>
          <w:smallCaps/>
        </w:rPr>
        <w:t xml:space="preserve"> </w:t>
      </w:r>
      <w:r w:rsidRPr="007B4A93">
        <w:rPr>
          <w:i/>
        </w:rPr>
        <w:t>c</w:t>
      </w:r>
      <w:r w:rsidRPr="007B4A93">
        <w:rPr>
          <w:i/>
          <w:smallCaps/>
        </w:rPr>
        <w:t>.</w:t>
      </w:r>
      <w:r w:rsidRPr="007B4A93">
        <w:rPr>
          <w:smallCaps/>
        </w:rPr>
        <w:t xml:space="preserve"> </w:t>
      </w:r>
      <w:r w:rsidRPr="007B4A93">
        <w:rPr>
          <w:rStyle w:val="SCCAppellantForRunningHeadChar"/>
          <w:smallCaps w:val="0"/>
        </w:rPr>
        <w:t>Irak</w:t>
      </w:r>
      <w:r w:rsidR="007B4A93">
        <w:rPr>
          <w:rStyle w:val="SCCAppellantForRunningHeadChar"/>
        </w:rPr>
        <w:t xml:space="preserve">, </w:t>
      </w:r>
      <w:r w:rsidR="007B4A93" w:rsidRPr="00AB2B4A">
        <w:rPr>
          <w:rStyle w:val="SCCRespondentForRunningHeadChar"/>
        </w:rPr>
        <w:t>2011 CSC 41, [2011] 3 R.C.S. 42</w:t>
      </w:r>
    </w:p>
    <w:p w:rsidR="00271E1D" w:rsidRPr="008A0CA0" w:rsidRDefault="00271E1D" w:rsidP="00271E1D">
      <w:pPr>
        <w:spacing w:line="480" w:lineRule="auto"/>
        <w:jc w:val="both"/>
        <w:rPr>
          <w:rStyle w:val="SCCRespondentForRunningHeadChar"/>
        </w:rPr>
      </w:pPr>
    </w:p>
    <w:p w:rsidR="00E07B54" w:rsidRPr="00E07B54" w:rsidRDefault="008A0CA0" w:rsidP="00E07B54">
      <w:pPr>
        <w:pStyle w:val="SCCLsocParty"/>
        <w:tabs>
          <w:tab w:val="right" w:pos="8280"/>
        </w:tabs>
        <w:spacing w:line="480" w:lineRule="auto"/>
        <w:rPr>
          <w:b w:val="0"/>
          <w:i/>
        </w:rPr>
      </w:pPr>
      <w:r w:rsidRPr="00621655">
        <w:t>Kuwait Airways Corporation</w:t>
      </w:r>
      <w:r w:rsidR="00E07B54" w:rsidRPr="008A0CA0">
        <w:tab/>
      </w:r>
      <w:r w:rsidR="00621655">
        <w:rPr>
          <w:b w:val="0"/>
          <w:i/>
        </w:rPr>
        <w:t>Appelante</w:t>
      </w:r>
      <w:r w:rsidR="00E07B54" w:rsidRPr="00E07B54">
        <w:rPr>
          <w:b w:val="0"/>
          <w:i/>
        </w:rPr>
        <w:t>/</w:t>
      </w:r>
      <w:r w:rsidR="00621655">
        <w:rPr>
          <w:b w:val="0"/>
          <w:i/>
        </w:rPr>
        <w:t xml:space="preserve">Intimée </w:t>
      </w:r>
      <w:r w:rsidR="00E07B54" w:rsidRPr="00E07B54">
        <w:rPr>
          <w:b w:val="0"/>
          <w:i/>
        </w:rPr>
        <w:t>à la requête</w:t>
      </w:r>
    </w:p>
    <w:p w:rsidR="00E07B54" w:rsidRPr="00E07B54" w:rsidRDefault="00E07B54" w:rsidP="00E07B54">
      <w:pPr>
        <w:pStyle w:val="SCCLsocParty"/>
        <w:tabs>
          <w:tab w:val="right" w:pos="8280"/>
        </w:tabs>
        <w:spacing w:line="480" w:lineRule="auto"/>
        <w:rPr>
          <w:b w:val="0"/>
          <w:i/>
        </w:rPr>
      </w:pPr>
    </w:p>
    <w:p w:rsidR="00A34E79" w:rsidRPr="00F93E95" w:rsidRDefault="005B6095" w:rsidP="00271E1D">
      <w:pPr>
        <w:pStyle w:val="SCCLsocVersus"/>
        <w:spacing w:line="480" w:lineRule="auto"/>
      </w:pPr>
      <w:proofErr w:type="gramStart"/>
      <w:r w:rsidRPr="00F93E95">
        <w:t>c</w:t>
      </w:r>
      <w:proofErr w:type="gramEnd"/>
      <w:r w:rsidRPr="00F93E95">
        <w:t>.</w:t>
      </w:r>
      <w:r w:rsidRPr="00F93E95">
        <w:br/>
      </w:r>
    </w:p>
    <w:p w:rsidR="008A0CA0" w:rsidRDefault="00286D45" w:rsidP="00286D45">
      <w:pPr>
        <w:pStyle w:val="SCCLsocParty"/>
        <w:tabs>
          <w:tab w:val="right" w:pos="8280"/>
        </w:tabs>
        <w:spacing w:line="480" w:lineRule="auto"/>
      </w:pPr>
      <w:r>
        <w:t>République d’Irak</w:t>
      </w:r>
      <w:r w:rsidRPr="00286D45">
        <w:rPr>
          <w:i/>
        </w:rPr>
        <w:tab/>
      </w:r>
      <w:r>
        <w:rPr>
          <w:b w:val="0"/>
          <w:i/>
        </w:rPr>
        <w:t>Intimée/Intimée à la requête</w:t>
      </w:r>
    </w:p>
    <w:p w:rsidR="00286D45" w:rsidRDefault="00286D45" w:rsidP="00286D45">
      <w:pPr>
        <w:spacing w:line="480" w:lineRule="auto"/>
      </w:pPr>
    </w:p>
    <w:p w:rsidR="00286D45" w:rsidRDefault="00286D45" w:rsidP="00286D45">
      <w:pPr>
        <w:spacing w:line="480" w:lineRule="auto"/>
      </w:pPr>
      <w:proofErr w:type="gramStart"/>
      <w:r>
        <w:t>et</w:t>
      </w:r>
      <w:proofErr w:type="gramEnd"/>
    </w:p>
    <w:p w:rsidR="00286D45" w:rsidRPr="00286D45" w:rsidRDefault="00286D45" w:rsidP="00286D45">
      <w:pPr>
        <w:spacing w:line="480" w:lineRule="auto"/>
      </w:pPr>
    </w:p>
    <w:p w:rsidR="00E07B54" w:rsidRPr="00E07B54" w:rsidRDefault="008A0CA0" w:rsidP="00E07B54">
      <w:pPr>
        <w:pStyle w:val="SCCLsocParty"/>
        <w:tabs>
          <w:tab w:val="right" w:pos="8280"/>
        </w:tabs>
        <w:spacing w:line="480" w:lineRule="auto"/>
        <w:rPr>
          <w:b w:val="0"/>
          <w:i/>
        </w:rPr>
      </w:pPr>
      <w:r>
        <w:t>Bombardier Aéronautique</w:t>
      </w:r>
      <w:r w:rsidR="00271E1D" w:rsidRPr="00E07B54">
        <w:tab/>
      </w:r>
      <w:r w:rsidR="00E07B54" w:rsidRPr="00E07B54">
        <w:rPr>
          <w:b w:val="0"/>
          <w:i/>
        </w:rPr>
        <w:t>Intimée</w:t>
      </w:r>
      <w:r w:rsidR="00E07B54" w:rsidRPr="00E07B54">
        <w:rPr>
          <w:i/>
        </w:rPr>
        <w:t>/</w:t>
      </w:r>
      <w:r w:rsidR="00F94370">
        <w:rPr>
          <w:b w:val="0"/>
          <w:i/>
        </w:rPr>
        <w:t>R</w:t>
      </w:r>
      <w:r w:rsidR="00621655">
        <w:rPr>
          <w:b w:val="0"/>
          <w:i/>
        </w:rPr>
        <w:t>equérante</w:t>
      </w:r>
      <w:r w:rsidR="00E07B54" w:rsidRPr="00E07B54">
        <w:rPr>
          <w:b w:val="0"/>
          <w:i/>
        </w:rPr>
        <w:t xml:space="preserve"> à la requête</w:t>
      </w:r>
    </w:p>
    <w:p w:rsidR="00766D14" w:rsidRPr="00E07B54" w:rsidRDefault="00766D14" w:rsidP="00271E1D">
      <w:pPr>
        <w:spacing w:line="480" w:lineRule="auto"/>
        <w:jc w:val="both"/>
      </w:pPr>
    </w:p>
    <w:p w:rsidR="00426659" w:rsidRPr="008A0CA0" w:rsidRDefault="0043088E" w:rsidP="00271E1D">
      <w:pPr>
        <w:spacing w:line="480" w:lineRule="auto"/>
        <w:jc w:val="both"/>
      </w:pPr>
      <w:r w:rsidRPr="008A0CA0">
        <w:rPr>
          <w:b/>
        </w:rPr>
        <w:t>Répertorié</w:t>
      </w:r>
      <w:r w:rsidR="00C67CA5" w:rsidRPr="008A0CA0">
        <w:rPr>
          <w:b/>
        </w:rPr>
        <w:t> </w:t>
      </w:r>
      <w:r w:rsidR="00426659" w:rsidRPr="008A0CA0">
        <w:rPr>
          <w:b/>
        </w:rPr>
        <w:t>:</w:t>
      </w:r>
      <w:r w:rsidR="00C67CA5" w:rsidRPr="008A0CA0">
        <w:rPr>
          <w:b/>
        </w:rPr>
        <w:t> </w:t>
      </w:r>
      <w:r w:rsidR="008A0CA0" w:rsidRPr="008A0CA0">
        <w:rPr>
          <w:b/>
        </w:rPr>
        <w:t xml:space="preserve">Kuwait Airways Corp. </w:t>
      </w:r>
      <w:r w:rsidR="00E07B54" w:rsidRPr="008A0CA0">
        <w:rPr>
          <w:b/>
          <w:i/>
        </w:rPr>
        <w:t>c.</w:t>
      </w:r>
      <w:r w:rsidR="00E07B54" w:rsidRPr="008A0CA0">
        <w:rPr>
          <w:b/>
        </w:rPr>
        <w:t xml:space="preserve"> </w:t>
      </w:r>
      <w:r w:rsidR="008A0CA0" w:rsidRPr="008A0CA0">
        <w:rPr>
          <w:b/>
        </w:rPr>
        <w:t>Irak</w:t>
      </w:r>
    </w:p>
    <w:p w:rsidR="00426659" w:rsidRPr="008A0CA0" w:rsidRDefault="00426659" w:rsidP="00271E1D">
      <w:pPr>
        <w:spacing w:line="480" w:lineRule="auto"/>
        <w:jc w:val="both"/>
      </w:pPr>
    </w:p>
    <w:p w:rsidR="00426659" w:rsidRPr="00E07B54" w:rsidRDefault="00F853FB" w:rsidP="00271E1D">
      <w:pPr>
        <w:pStyle w:val="SCCSystemYear"/>
        <w:spacing w:line="480" w:lineRule="auto"/>
        <w:jc w:val="both"/>
        <w:rPr>
          <w:b w:val="0"/>
        </w:rPr>
      </w:pPr>
      <w:r w:rsidRPr="00F93E95">
        <w:t>201</w:t>
      </w:r>
      <w:r w:rsidR="00E07B54">
        <w:t>1</w:t>
      </w:r>
      <w:r w:rsidR="00EE0FAF" w:rsidRPr="00F93E95">
        <w:t xml:space="preserve"> </w:t>
      </w:r>
      <w:r w:rsidR="00C71F58" w:rsidRPr="00F93E95">
        <w:t>C</w:t>
      </w:r>
      <w:r w:rsidR="002C7E14" w:rsidRPr="00F93E95">
        <w:t>SC </w:t>
      </w:r>
      <w:r w:rsidR="00F94370">
        <w:t>41</w:t>
      </w:r>
    </w:p>
    <w:p w:rsidR="00426659" w:rsidRPr="00F93E95" w:rsidRDefault="00426659" w:rsidP="00271E1D">
      <w:pPr>
        <w:spacing w:line="480" w:lineRule="auto"/>
        <w:jc w:val="both"/>
      </w:pPr>
    </w:p>
    <w:p w:rsidR="008322BD" w:rsidRPr="00F93E95" w:rsidRDefault="009B57B3" w:rsidP="00271E1D">
      <w:pPr>
        <w:spacing w:line="480" w:lineRule="auto"/>
        <w:jc w:val="both"/>
      </w:pPr>
      <w:r w:rsidRPr="00F93E95">
        <w:t>N</w:t>
      </w:r>
      <w:r w:rsidRPr="00F93E95">
        <w:rPr>
          <w:vertAlign w:val="superscript"/>
        </w:rPr>
        <w:t>o</w:t>
      </w:r>
      <w:r w:rsidR="0043088E" w:rsidRPr="00F93E95">
        <w:t xml:space="preserve"> du greffe</w:t>
      </w:r>
      <w:r w:rsidR="00C67CA5" w:rsidRPr="00F93E95">
        <w:t> </w:t>
      </w:r>
      <w:r w:rsidRPr="00F93E95">
        <w:t>:</w:t>
      </w:r>
      <w:r w:rsidR="00C67CA5" w:rsidRPr="00F93E95">
        <w:t> </w:t>
      </w:r>
      <w:r w:rsidRPr="00F93E95">
        <w:t>3</w:t>
      </w:r>
      <w:r w:rsidR="000D0060">
        <w:t>3145</w:t>
      </w:r>
      <w:r w:rsidRPr="00F93E95">
        <w:t>.</w:t>
      </w:r>
    </w:p>
    <w:p w:rsidR="00E97830" w:rsidRPr="00F93E95" w:rsidRDefault="00E97830" w:rsidP="00271E1D">
      <w:pPr>
        <w:spacing w:line="480" w:lineRule="auto"/>
        <w:jc w:val="both"/>
      </w:pPr>
    </w:p>
    <w:p w:rsidR="008322BD" w:rsidRPr="00F93E95" w:rsidRDefault="009F1419" w:rsidP="00271E1D">
      <w:pPr>
        <w:spacing w:line="480" w:lineRule="auto"/>
        <w:jc w:val="both"/>
      </w:pPr>
      <w:r w:rsidRPr="00F93E95">
        <w:t>201</w:t>
      </w:r>
      <w:r w:rsidR="00E07B54">
        <w:t>1</w:t>
      </w:r>
      <w:r w:rsidR="00771CAB" w:rsidRPr="00F93E95">
        <w:t> :</w:t>
      </w:r>
      <w:r w:rsidR="006F3DC8" w:rsidRPr="00F93E95">
        <w:t> </w:t>
      </w:r>
      <w:r w:rsidR="00F94370">
        <w:t>28</w:t>
      </w:r>
      <w:r w:rsidR="000D0060">
        <w:t xml:space="preserve"> juillet.</w:t>
      </w:r>
    </w:p>
    <w:p w:rsidR="00E97830" w:rsidRPr="00F93E95" w:rsidRDefault="00E97830" w:rsidP="00271E1D">
      <w:pPr>
        <w:spacing w:line="480" w:lineRule="auto"/>
        <w:jc w:val="both"/>
      </w:pPr>
    </w:p>
    <w:p w:rsidR="008322BD" w:rsidRPr="00F93E95" w:rsidRDefault="009B57B3" w:rsidP="00271E1D">
      <w:pPr>
        <w:spacing w:line="480" w:lineRule="auto"/>
        <w:jc w:val="both"/>
      </w:pPr>
      <w:r w:rsidRPr="00F93E95">
        <w:t>Pr</w:t>
      </w:r>
      <w:r w:rsidR="0043088E" w:rsidRPr="00F93E95">
        <w:t>é</w:t>
      </w:r>
      <w:r w:rsidRPr="00F93E95">
        <w:t>sent</w:t>
      </w:r>
      <w:r w:rsidR="00C67CA5" w:rsidRPr="00F93E95">
        <w:t> </w:t>
      </w:r>
      <w:r w:rsidRPr="00F93E95">
        <w:t>:</w:t>
      </w:r>
      <w:r w:rsidR="006F3DC8" w:rsidRPr="00F93E95">
        <w:t> </w:t>
      </w:r>
      <w:r w:rsidR="000D0060">
        <w:t>Le juge</w:t>
      </w:r>
      <w:r w:rsidR="00271E1D" w:rsidRPr="00F93E95">
        <w:t xml:space="preserve"> </w:t>
      </w:r>
      <w:r w:rsidR="000D0060">
        <w:t>LeBel</w:t>
      </w:r>
      <w:r w:rsidRPr="00F93E95">
        <w:t>.</w:t>
      </w:r>
    </w:p>
    <w:p w:rsidR="00E97830" w:rsidRPr="00F93E95" w:rsidRDefault="00E97830" w:rsidP="00271E1D">
      <w:pPr>
        <w:spacing w:line="480" w:lineRule="auto"/>
        <w:jc w:val="both"/>
      </w:pPr>
    </w:p>
    <w:p w:rsidR="00C93CEF" w:rsidRPr="00C93CEF" w:rsidRDefault="00AC6F91" w:rsidP="003879F4">
      <w:pPr>
        <w:pStyle w:val="SCCLowerCourtNameLowercase"/>
        <w:spacing w:line="240" w:lineRule="auto"/>
      </w:pPr>
      <w:r>
        <w:lastRenderedPageBreak/>
        <w:t xml:space="preserve">requête en </w:t>
      </w:r>
      <w:r w:rsidR="000D0060">
        <w:t xml:space="preserve">révision de </w:t>
      </w:r>
      <w:r w:rsidR="00F94370">
        <w:t>l’ordonnance relative aux</w:t>
      </w:r>
      <w:r w:rsidR="000D0060">
        <w:t xml:space="preserve"> dépens</w:t>
      </w:r>
      <w:r w:rsidR="00C93CEF">
        <w:t xml:space="preserve"> et </w:t>
      </w:r>
      <w:r w:rsidR="00C93CEF" w:rsidRPr="00C93CEF">
        <w:t xml:space="preserve">en prorogation de délai pour signification et dépôt </w:t>
      </w:r>
    </w:p>
    <w:p w:rsidR="00AC6F91" w:rsidRDefault="00AC6F91" w:rsidP="00AC6F91">
      <w:pPr>
        <w:pStyle w:val="SCCLowerCourtNameLowercase"/>
      </w:pPr>
    </w:p>
    <w:p w:rsidR="003879F4" w:rsidRDefault="006A1C7D" w:rsidP="006A1C7D">
      <w:pPr>
        <w:pStyle w:val="SCCNormalDoubleSpacing"/>
        <w:tabs>
          <w:tab w:val="left" w:pos="1170"/>
        </w:tabs>
        <w:rPr>
          <w:i/>
          <w:iCs/>
        </w:rPr>
      </w:pPr>
      <w:r>
        <w:rPr>
          <w:i/>
          <w:iCs/>
        </w:rPr>
        <w:tab/>
      </w:r>
      <w:r w:rsidR="00F94370">
        <w:rPr>
          <w:i/>
          <w:iCs/>
        </w:rPr>
        <w:t>Tribunaux</w:t>
      </w:r>
      <w:r w:rsidR="003879F4" w:rsidRPr="003879F4">
        <w:rPr>
          <w:i/>
          <w:iCs/>
        </w:rPr>
        <w:t xml:space="preserve"> </w:t>
      </w:r>
      <w:r w:rsidR="00A867BC">
        <w:rPr>
          <w:i/>
          <w:iCs/>
        </w:rPr>
        <w:t>—</w:t>
      </w:r>
      <w:r w:rsidR="003879F4" w:rsidRPr="003879F4">
        <w:rPr>
          <w:i/>
          <w:iCs/>
        </w:rPr>
        <w:t xml:space="preserve"> Cour suprême du Canada </w:t>
      </w:r>
      <w:r w:rsidR="00A867BC">
        <w:rPr>
          <w:i/>
          <w:iCs/>
        </w:rPr>
        <w:t>—</w:t>
      </w:r>
      <w:r w:rsidR="003879F4" w:rsidRPr="003879F4">
        <w:rPr>
          <w:i/>
          <w:iCs/>
        </w:rPr>
        <w:t xml:space="preserve"> </w:t>
      </w:r>
      <w:r w:rsidR="00F94370">
        <w:rPr>
          <w:i/>
          <w:iCs/>
        </w:rPr>
        <w:t>D</w:t>
      </w:r>
      <w:r w:rsidR="003879F4" w:rsidRPr="003879F4">
        <w:rPr>
          <w:i/>
          <w:iCs/>
        </w:rPr>
        <w:t>épens</w:t>
      </w:r>
      <w:r w:rsidR="003879F4">
        <w:rPr>
          <w:i/>
          <w:iCs/>
        </w:rPr>
        <w:t xml:space="preserve"> </w:t>
      </w:r>
      <w:r w:rsidR="00A867BC">
        <w:rPr>
          <w:i/>
          <w:iCs/>
        </w:rPr>
        <w:t>—</w:t>
      </w:r>
      <w:r w:rsidR="003879F4">
        <w:rPr>
          <w:i/>
          <w:iCs/>
        </w:rPr>
        <w:t xml:space="preserve"> </w:t>
      </w:r>
      <w:r w:rsidR="00CF053A">
        <w:rPr>
          <w:i/>
          <w:iCs/>
        </w:rPr>
        <w:t xml:space="preserve">Pourvoi accueilli avec dépens dans toutes les cours </w:t>
      </w:r>
      <w:r w:rsidR="00A867BC">
        <w:rPr>
          <w:i/>
          <w:iCs/>
        </w:rPr>
        <w:t>—</w:t>
      </w:r>
      <w:r w:rsidR="00CF053A">
        <w:rPr>
          <w:i/>
          <w:iCs/>
        </w:rPr>
        <w:t xml:space="preserve"> La condamnation aux dépens visait-elle l’intimé</w:t>
      </w:r>
      <w:r w:rsidR="00553FFA">
        <w:rPr>
          <w:i/>
          <w:iCs/>
        </w:rPr>
        <w:t>e</w:t>
      </w:r>
      <w:r w:rsidR="00CF053A">
        <w:rPr>
          <w:i/>
          <w:iCs/>
        </w:rPr>
        <w:t xml:space="preserve">, mise en cause devant la juridiction inférieure, qui est demeurée absente du débat devant la Cour? </w:t>
      </w:r>
      <w:r w:rsidR="00A867BC">
        <w:rPr>
          <w:i/>
          <w:iCs/>
        </w:rPr>
        <w:t>—</w:t>
      </w:r>
      <w:r w:rsidR="00CF053A">
        <w:rPr>
          <w:i/>
          <w:iCs/>
        </w:rPr>
        <w:t xml:space="preserve"> Règles de la Cour suprême du Canada, DORS/2002-156, art. 47.</w:t>
      </w:r>
    </w:p>
    <w:p w:rsidR="00553FFA" w:rsidRPr="00553FFA" w:rsidRDefault="00553FFA" w:rsidP="00F94370">
      <w:pPr>
        <w:pStyle w:val="SCCNormalDoubleSpacing"/>
      </w:pPr>
    </w:p>
    <w:p w:rsidR="005A623F" w:rsidRPr="00F93E95" w:rsidRDefault="005A623F" w:rsidP="005A623F">
      <w:pPr>
        <w:pStyle w:val="SCCNormalDoubleSpacing"/>
        <w:keepNext/>
        <w:keepLines/>
        <w:rPr>
          <w:b/>
        </w:rPr>
      </w:pPr>
      <w:r w:rsidRPr="00F93E95">
        <w:rPr>
          <w:b/>
        </w:rPr>
        <w:t>Jurisprudence</w:t>
      </w:r>
    </w:p>
    <w:p w:rsidR="005A623F" w:rsidRPr="00F93E95" w:rsidRDefault="005A623F" w:rsidP="005A623F">
      <w:pPr>
        <w:spacing w:line="480" w:lineRule="auto"/>
        <w:jc w:val="both"/>
        <w:rPr>
          <w:szCs w:val="24"/>
        </w:rPr>
      </w:pPr>
    </w:p>
    <w:p w:rsidR="00FD39C6" w:rsidRDefault="00E513E2" w:rsidP="006A1C7D">
      <w:pPr>
        <w:pStyle w:val="SCCNormalDoubleSpacing"/>
        <w:tabs>
          <w:tab w:val="left" w:pos="1170"/>
        </w:tabs>
        <w:rPr>
          <w:b/>
          <w:bCs/>
          <w:szCs w:val="24"/>
        </w:rPr>
      </w:pPr>
      <w:r w:rsidRPr="00F93E95">
        <w:rPr>
          <w:szCs w:val="24"/>
        </w:rPr>
        <w:fldChar w:fldCharType="begin"/>
      </w:r>
      <w:r w:rsidR="005A623F" w:rsidRPr="00F93E95">
        <w:rPr>
          <w:szCs w:val="24"/>
        </w:rPr>
        <w:instrText xml:space="preserve"> SEQ CHAPTER \h \r 1</w:instrText>
      </w:r>
      <w:r w:rsidRPr="00F93E95">
        <w:rPr>
          <w:szCs w:val="24"/>
        </w:rPr>
        <w:fldChar w:fldCharType="end"/>
      </w:r>
      <w:r w:rsidR="005A623F" w:rsidRPr="00F93E95">
        <w:rPr>
          <w:szCs w:val="24"/>
        </w:rPr>
        <w:tab/>
      </w:r>
      <w:r w:rsidR="005A623F" w:rsidRPr="00F93E95">
        <w:rPr>
          <w:b/>
          <w:bCs/>
          <w:szCs w:val="24"/>
        </w:rPr>
        <w:t>Arrêt mentionné : </w:t>
      </w:r>
      <w:r w:rsidR="00B50322" w:rsidRPr="006E6C05">
        <w:rPr>
          <w:i/>
        </w:rPr>
        <w:t>Kuwait Airways Corp</w:t>
      </w:r>
      <w:r w:rsidR="00B50322">
        <w:rPr>
          <w:i/>
        </w:rPr>
        <w:t>.</w:t>
      </w:r>
      <w:r w:rsidR="00B50322" w:rsidRPr="006E6C05">
        <w:rPr>
          <w:i/>
        </w:rPr>
        <w:t xml:space="preserve"> c. Ira</w:t>
      </w:r>
      <w:r w:rsidR="00B50322">
        <w:rPr>
          <w:i/>
        </w:rPr>
        <w:t>k</w:t>
      </w:r>
      <w:r w:rsidR="00B50322">
        <w:t>, 2010 CSC 40, [2010] 2 R.C.S. 571.</w:t>
      </w:r>
    </w:p>
    <w:p w:rsidR="00844CF0" w:rsidRPr="00F93E95" w:rsidRDefault="00FD39C6" w:rsidP="005A623F">
      <w:pPr>
        <w:pStyle w:val="SCCNormalDoubleSpacing"/>
        <w:rPr>
          <w:highlight w:val="yellow"/>
        </w:rPr>
      </w:pPr>
      <w:r w:rsidRPr="00F93E95">
        <w:rPr>
          <w:highlight w:val="yellow"/>
        </w:rPr>
        <w:t xml:space="preserve"> </w:t>
      </w:r>
    </w:p>
    <w:p w:rsidR="005F4071" w:rsidRPr="00F93E95" w:rsidRDefault="005F4071" w:rsidP="005F4071">
      <w:pPr>
        <w:pStyle w:val="SCCNormalDoubleSpacing"/>
        <w:spacing w:line="240" w:lineRule="auto"/>
        <w:rPr>
          <w:b/>
        </w:rPr>
      </w:pPr>
      <w:r w:rsidRPr="00F93E95">
        <w:rPr>
          <w:b/>
        </w:rPr>
        <w:t>Lois et règlements cités</w:t>
      </w:r>
    </w:p>
    <w:p w:rsidR="005F4071" w:rsidRPr="00F93E95" w:rsidRDefault="005F4071" w:rsidP="005F4071">
      <w:pPr>
        <w:pStyle w:val="SCCNormalDoubleSpacing"/>
        <w:spacing w:line="240" w:lineRule="auto"/>
      </w:pPr>
    </w:p>
    <w:p w:rsidR="00F868B0" w:rsidRDefault="00B50322" w:rsidP="00092F38">
      <w:pPr>
        <w:pStyle w:val="SCCNormalDoubleSpacing"/>
      </w:pPr>
      <w:r>
        <w:rPr>
          <w:i/>
        </w:rPr>
        <w:t>Règles de</w:t>
      </w:r>
      <w:r w:rsidRPr="00DC4489">
        <w:rPr>
          <w:i/>
        </w:rPr>
        <w:t xml:space="preserve"> la Cour suprême du Canada</w:t>
      </w:r>
      <w:r>
        <w:t>, DORS/2002-156</w:t>
      </w:r>
      <w:r w:rsidR="00A867BC">
        <w:t>, art. 47</w:t>
      </w:r>
      <w:r>
        <w:t>.</w:t>
      </w:r>
    </w:p>
    <w:p w:rsidR="00B50322" w:rsidRPr="00B50322" w:rsidRDefault="00B50322" w:rsidP="00092F38">
      <w:pPr>
        <w:pStyle w:val="SCCNormalDoubleSpacing"/>
        <w:rPr>
          <w:smallCaps/>
        </w:rPr>
      </w:pPr>
    </w:p>
    <w:p w:rsidR="00B50322" w:rsidRPr="00B50322" w:rsidRDefault="00092F38" w:rsidP="006A1C7D">
      <w:pPr>
        <w:pStyle w:val="SCCNormalDoubleSpacing"/>
        <w:tabs>
          <w:tab w:val="left" w:pos="1170"/>
        </w:tabs>
      </w:pPr>
      <w:r w:rsidRPr="00B50322">
        <w:tab/>
      </w:r>
      <w:r w:rsidR="00456AFA" w:rsidRPr="00AC6F91">
        <w:t xml:space="preserve">REQUÊTE </w:t>
      </w:r>
      <w:r w:rsidR="00B50322" w:rsidRPr="00B50322">
        <w:t xml:space="preserve">en révision de </w:t>
      </w:r>
      <w:r w:rsidR="006504CD">
        <w:t>l’ordonnance relative aux</w:t>
      </w:r>
      <w:r w:rsidR="00B50322" w:rsidRPr="00B50322">
        <w:t xml:space="preserve"> dépens et en prorogation de délai pour signification et dépôt</w:t>
      </w:r>
      <w:r w:rsidR="00F94370">
        <w:t>. Requête accueilli</w:t>
      </w:r>
      <w:r w:rsidR="00B50322">
        <w:t>e</w:t>
      </w:r>
      <w:r w:rsidR="00861C97">
        <w:t xml:space="preserve"> en partie</w:t>
      </w:r>
      <w:r w:rsidR="00B50322">
        <w:t>.</w:t>
      </w:r>
      <w:r w:rsidR="00B50322" w:rsidRPr="00B50322">
        <w:t xml:space="preserve"> </w:t>
      </w:r>
    </w:p>
    <w:p w:rsidR="00344AAB" w:rsidRPr="00F93E95" w:rsidRDefault="00344AAB" w:rsidP="00092F38">
      <w:pPr>
        <w:pStyle w:val="SCCNormalDoubleSpacing"/>
      </w:pPr>
    </w:p>
    <w:p w:rsidR="00A34E79" w:rsidRPr="00F93E95" w:rsidRDefault="005B6095" w:rsidP="006A1C7D">
      <w:pPr>
        <w:pStyle w:val="SCCNormalDoubleSpacing"/>
        <w:tabs>
          <w:tab w:val="left" w:pos="1170"/>
        </w:tabs>
      </w:pPr>
      <w:r w:rsidRPr="00F93E95">
        <w:rPr>
          <w:rStyle w:val="SCCCounselNameChar"/>
        </w:rPr>
        <w:tab/>
      </w:r>
      <w:r w:rsidR="00762C84" w:rsidRPr="00762C84">
        <w:rPr>
          <w:rStyle w:val="SCCCounselNameChar"/>
          <w:i w:val="0"/>
        </w:rPr>
        <w:t>Argumentation écrite par</w:t>
      </w:r>
      <w:r w:rsidR="00762C84">
        <w:rPr>
          <w:rStyle w:val="SCCCounselNameChar"/>
        </w:rPr>
        <w:t xml:space="preserve"> </w:t>
      </w:r>
      <w:r w:rsidR="00B50322">
        <w:rPr>
          <w:rStyle w:val="SCCCounselNameChar"/>
        </w:rPr>
        <w:t xml:space="preserve">Laurent </w:t>
      </w:r>
      <w:r w:rsidR="00A867BC">
        <w:rPr>
          <w:rStyle w:val="SCCCounselNameChar"/>
        </w:rPr>
        <w:t xml:space="preserve">G. </w:t>
      </w:r>
      <w:r w:rsidR="00B50322">
        <w:rPr>
          <w:rStyle w:val="SCCCounselNameChar"/>
        </w:rPr>
        <w:t>Fortier</w:t>
      </w:r>
      <w:r w:rsidRPr="00F93E95">
        <w:rPr>
          <w:rStyle w:val="SCCCounselPartyRoleChar"/>
        </w:rPr>
        <w:t xml:space="preserve">, pour </w:t>
      </w:r>
      <w:r w:rsidR="00F94370">
        <w:rPr>
          <w:rStyle w:val="SCCCounselPartyRoleChar"/>
        </w:rPr>
        <w:t>Kuwait Airways Corporation</w:t>
      </w:r>
      <w:r w:rsidRPr="00F93E95">
        <w:rPr>
          <w:rStyle w:val="SCCCounselPartyRoleChar"/>
        </w:rPr>
        <w:t>.</w:t>
      </w:r>
    </w:p>
    <w:p w:rsidR="00A34E79" w:rsidRPr="00F93E95" w:rsidRDefault="00A34E79" w:rsidP="00271E1D">
      <w:pPr>
        <w:pStyle w:val="SCCNormalDoubleSpacing"/>
      </w:pPr>
    </w:p>
    <w:p w:rsidR="0033393C" w:rsidRDefault="005B6095" w:rsidP="006A1C7D">
      <w:pPr>
        <w:pStyle w:val="SCCNormalDoubleSpacing"/>
        <w:tabs>
          <w:tab w:val="left" w:pos="1170"/>
        </w:tabs>
        <w:rPr>
          <w:rStyle w:val="SCCCounselPartyRoleChar"/>
        </w:rPr>
      </w:pPr>
      <w:r w:rsidRPr="00F93E95">
        <w:rPr>
          <w:rStyle w:val="SCCCounselNameChar"/>
        </w:rPr>
        <w:lastRenderedPageBreak/>
        <w:tab/>
      </w:r>
      <w:r w:rsidR="00762C84" w:rsidRPr="00762C84">
        <w:rPr>
          <w:rStyle w:val="SCCCounselNameChar"/>
          <w:i w:val="0"/>
        </w:rPr>
        <w:t>Argumentation écrite par</w:t>
      </w:r>
      <w:r w:rsidR="00762C84">
        <w:rPr>
          <w:rStyle w:val="SCCCounselNameChar"/>
        </w:rPr>
        <w:t xml:space="preserve"> </w:t>
      </w:r>
      <w:r w:rsidR="00B50322">
        <w:rPr>
          <w:rStyle w:val="SCCCounselNameChar"/>
        </w:rPr>
        <w:t xml:space="preserve">Michel G. Sylvestre </w:t>
      </w:r>
      <w:r w:rsidR="00E07B54">
        <w:rPr>
          <w:rStyle w:val="SCCCounselNameChar"/>
          <w:i w:val="0"/>
        </w:rPr>
        <w:t>et</w:t>
      </w:r>
      <w:r w:rsidR="00E07B54" w:rsidRPr="007A07D4">
        <w:rPr>
          <w:rStyle w:val="SCCCounselNameChar"/>
          <w:i w:val="0"/>
        </w:rPr>
        <w:t xml:space="preserve"> </w:t>
      </w:r>
      <w:r w:rsidR="00B50322" w:rsidRPr="00186A98">
        <w:rPr>
          <w:rStyle w:val="SCCCounselPartyRoleChar"/>
          <w:i/>
        </w:rPr>
        <w:t xml:space="preserve">Mercedes </w:t>
      </w:r>
      <w:proofErr w:type="spellStart"/>
      <w:r w:rsidR="00B50322" w:rsidRPr="00186A98">
        <w:rPr>
          <w:rStyle w:val="SCCCounselPartyRoleChar"/>
          <w:i/>
        </w:rPr>
        <w:t>Glockseisen</w:t>
      </w:r>
      <w:proofErr w:type="spellEnd"/>
      <w:r w:rsidR="005A1878" w:rsidRPr="00F93E95">
        <w:rPr>
          <w:rStyle w:val="SCCCounselNameChar"/>
          <w:i w:val="0"/>
        </w:rPr>
        <w:t>,</w:t>
      </w:r>
      <w:r w:rsidR="005A1878" w:rsidRPr="00F93E95">
        <w:rPr>
          <w:rStyle w:val="SCCCounselNameChar"/>
        </w:rPr>
        <w:t xml:space="preserve"> </w:t>
      </w:r>
      <w:r w:rsidRPr="00F93E95">
        <w:rPr>
          <w:rStyle w:val="SCCCounselPartyRoleChar"/>
        </w:rPr>
        <w:t>pour</w:t>
      </w:r>
      <w:r w:rsidR="00F94370">
        <w:rPr>
          <w:rStyle w:val="SCCCounselPartyRoleChar"/>
        </w:rPr>
        <w:t xml:space="preserve"> Bombardier Aéronautique</w:t>
      </w:r>
      <w:r w:rsidRPr="00F93E95">
        <w:rPr>
          <w:rStyle w:val="SCCCounselPartyRoleChar"/>
        </w:rPr>
        <w:t>.</w:t>
      </w:r>
    </w:p>
    <w:p w:rsidR="00F94370" w:rsidRDefault="00F94370" w:rsidP="0033393C">
      <w:pPr>
        <w:pStyle w:val="SCCNormalDoubleSpacing"/>
        <w:rPr>
          <w:rStyle w:val="SCCCounselPartyRoleChar"/>
        </w:rPr>
      </w:pPr>
    </w:p>
    <w:p w:rsidR="00F94370" w:rsidRDefault="00F94370" w:rsidP="006A1C7D">
      <w:pPr>
        <w:pStyle w:val="SCCNormalDoubleSpacing"/>
        <w:tabs>
          <w:tab w:val="left" w:pos="1170"/>
        </w:tabs>
        <w:spacing w:after="480"/>
        <w:rPr>
          <w:rStyle w:val="SCCCounselPartyRoleChar"/>
        </w:rPr>
      </w:pPr>
      <w:r>
        <w:rPr>
          <w:rStyle w:val="SCCCounselPartyRoleChar"/>
        </w:rPr>
        <w:tab/>
        <w:t xml:space="preserve">Aucune argumentation par </w:t>
      </w:r>
      <w:r w:rsidR="00A867BC">
        <w:rPr>
          <w:rStyle w:val="SCCCounselPartyRoleChar"/>
        </w:rPr>
        <w:t xml:space="preserve">la </w:t>
      </w:r>
      <w:r>
        <w:rPr>
          <w:rStyle w:val="SCCCounselPartyRoleChar"/>
        </w:rPr>
        <w:t>République d’Irak.</w:t>
      </w:r>
    </w:p>
    <w:p w:rsidR="00A867BC" w:rsidRDefault="00A867BC" w:rsidP="006A1C7D">
      <w:pPr>
        <w:pStyle w:val="SCCNormalDoubleSpacing"/>
        <w:tabs>
          <w:tab w:val="left" w:pos="1170"/>
        </w:tabs>
        <w:rPr>
          <w:rStyle w:val="SCCCounselPartyRoleChar"/>
        </w:rPr>
      </w:pPr>
      <w:r>
        <w:rPr>
          <w:rStyle w:val="SCCCounselPartyRoleChar"/>
        </w:rPr>
        <w:tab/>
        <w:t>L’ordonnance suivante a été rendue par</w:t>
      </w:r>
    </w:p>
    <w:p w:rsidR="0049352C" w:rsidRDefault="00A867BC" w:rsidP="0049352C">
      <w:pPr>
        <w:pStyle w:val="ParaNoNdepar-AltN"/>
      </w:pPr>
      <w:r w:rsidRPr="00A867BC">
        <w:rPr>
          <w:smallCaps/>
        </w:rPr>
        <w:t xml:space="preserve">Le juge </w:t>
      </w:r>
      <w:proofErr w:type="spellStart"/>
      <w:r w:rsidRPr="00A867BC">
        <w:rPr>
          <w:smallCaps/>
        </w:rPr>
        <w:t>LeBel</w:t>
      </w:r>
      <w:proofErr w:type="spellEnd"/>
      <w:r>
        <w:t xml:space="preserve"> </w:t>
      </w:r>
      <w:r>
        <w:rPr>
          <w:rFonts w:cs="Times New Roman"/>
        </w:rPr>
        <w:t>—</w:t>
      </w:r>
      <w:r>
        <w:t xml:space="preserve"> </w:t>
      </w:r>
      <w:r w:rsidR="0049352C">
        <w:t xml:space="preserve">L’intimée, mise en cause, Bombardier Aéronautique, a présenté une requête en vertu de l’art. 47 des </w:t>
      </w:r>
      <w:r w:rsidR="0049352C">
        <w:rPr>
          <w:i/>
        </w:rPr>
        <w:t>Règles de la Cour suprême du Canada</w:t>
      </w:r>
      <w:r w:rsidR="0049352C">
        <w:t xml:space="preserve">, DORS/2002-156, pour régler un problème relatif à la taxation des dépens dans le pourvoi. Elle demande accessoirement un délai supplémentaire pour la signification et la présentation de cette requête. Je note que l’appelante, Kuwait Airways Corporation, qui a eu gain de cause dans ce pourvoi (voir </w:t>
      </w:r>
      <w:r w:rsidR="0049352C">
        <w:rPr>
          <w:i/>
        </w:rPr>
        <w:t>Kuwait Airways Corp. c. Irak</w:t>
      </w:r>
      <w:r w:rsidR="0049352C">
        <w:t>, 2010 CSC 40, [2010] 2 R.C.S. 571) ne prend pas position à l’égard de cette requête et s’en remet à la décision de notre Cour.</w:t>
      </w:r>
    </w:p>
    <w:p w:rsidR="0049352C" w:rsidRDefault="0049352C" w:rsidP="0049352C">
      <w:pPr>
        <w:pStyle w:val="ParaNoNdepar-AltN"/>
        <w:tabs>
          <w:tab w:val="clear" w:pos="1152"/>
          <w:tab w:val="left" w:pos="1166"/>
        </w:tabs>
      </w:pPr>
      <w:r>
        <w:t xml:space="preserve">L’arrêt de notre Cour a accueilli le pourvoi de Kuwait Airways Corporation avec dépens dans toutes les cours. Le mémoire de frais de l’appelante a été présenté pour taxation contre la République d’Irak et contre Bombardier Aéronautique, qui </w:t>
      </w:r>
      <w:proofErr w:type="gramStart"/>
      <w:r>
        <w:t>ont</w:t>
      </w:r>
      <w:proofErr w:type="gramEnd"/>
      <w:r>
        <w:t xml:space="preserve"> toutes les deux le statut d’intimée devant notre Cour. Jusqu’à l’arrêt de notre Cour, Bombardier Aéronautique n’a présenté aucune observation au sujet de son statut devant la Cour, ni à propos des conclusions éventuelles d’un arrêt de notre Cour, ce qui aurait été une précaution utile.</w:t>
      </w:r>
    </w:p>
    <w:p w:rsidR="0049352C" w:rsidRDefault="0049352C" w:rsidP="0049352C">
      <w:pPr>
        <w:pStyle w:val="ParaNoNdepar-AltN"/>
        <w:tabs>
          <w:tab w:val="clear" w:pos="1152"/>
          <w:tab w:val="left" w:pos="1166"/>
        </w:tabs>
      </w:pPr>
      <w:r>
        <w:lastRenderedPageBreak/>
        <w:t>Cependant, bien qu’elle ait été qualifiée d’intimée selon les règles de procédure de notre Cour, Bombardier Aéronautique n’a pas participé au débat devant celle-ci. Dans ce contexte, ce serait élargir indûment la portée de la conclusion de la Cour que d’inférer qu’elle entendait condamner aussi Bombardier Aéronautique aux dépens. L’arrêt accorde les dépens à l’appelante, sans préciser qu’elle les accorde contre toutes les intimées. Le jugement de la Cour vise nécessairement la République d’Irak, seulement, et non Bombardier Aéronautique, qui est demeurée absente du débat devant la Cour et que celle-ci n’avait aucune raison de condamner aux dépens dans les circonstances.</w:t>
      </w:r>
    </w:p>
    <w:p w:rsidR="0049352C" w:rsidRDefault="0049352C" w:rsidP="0049352C">
      <w:pPr>
        <w:pStyle w:val="ParaNoNdepar-AltN"/>
        <w:tabs>
          <w:tab w:val="clear" w:pos="1152"/>
          <w:tab w:val="left" w:pos="1166"/>
        </w:tabs>
      </w:pPr>
      <w:r>
        <w:t>Certes, Bombardier Aéronautique aurait pu faire preuve de plus de diligence relativement à cette question concernant les dépens. Cependant, le débat relatif à celle-ci se déroule depuis quelques mois sous des formes et devant des instances diverses devant la Cour. De plus, l’appelante ne soulève pas la tardivité de cette procédure. Il ne conviendrait pas alors de refuser d’accorder la prorogation de délai sollicitée par Bombardier Aéronautique.</w:t>
      </w:r>
    </w:p>
    <w:p w:rsidR="0049352C" w:rsidRDefault="0049352C" w:rsidP="0049352C">
      <w:pPr>
        <w:pStyle w:val="ParaNoNdepar-AltN"/>
        <w:tabs>
          <w:tab w:val="clear" w:pos="1152"/>
          <w:tab w:val="left" w:pos="1166"/>
        </w:tabs>
      </w:pPr>
      <w:r>
        <w:t>Pour ces motifs, il est fait droit en partie à la requête de l’intimée, mise en cause, Bombardier Aéronautique, aux fins de proroger le délai de signification et de présentation de la requête et de déclarer que la condamnation aux dépens ne vise pas l’intimée, mise en cause, Bombardier Aéronautique, et que le mémoire de frais ne peut être taxé contre elle, le tout sans frais.</w:t>
      </w:r>
    </w:p>
    <w:p w:rsidR="0033393C" w:rsidRPr="00A16D7E" w:rsidRDefault="0033393C" w:rsidP="006A1C7D">
      <w:pPr>
        <w:pStyle w:val="SCCNormalDoubleSpacing"/>
        <w:tabs>
          <w:tab w:val="left" w:pos="1170"/>
        </w:tabs>
        <w:rPr>
          <w:i/>
        </w:rPr>
      </w:pPr>
      <w:r w:rsidRPr="00F93E95">
        <w:lastRenderedPageBreak/>
        <w:tab/>
      </w:r>
      <w:r w:rsidR="00A16D7E">
        <w:rPr>
          <w:i/>
        </w:rPr>
        <w:t>Ordonnance en conséquence.</w:t>
      </w:r>
    </w:p>
    <w:p w:rsidR="00DB6B11" w:rsidRPr="00F93E95" w:rsidRDefault="00DB6B11" w:rsidP="00DB6B11">
      <w:pPr>
        <w:pStyle w:val="SCCNormalDoubleSpacing"/>
      </w:pPr>
    </w:p>
    <w:p w:rsidR="005A1878" w:rsidRPr="00F93E95" w:rsidRDefault="00F8456F" w:rsidP="006A1C7D">
      <w:pPr>
        <w:pStyle w:val="SCCLawFirm"/>
        <w:tabs>
          <w:tab w:val="left" w:pos="1170"/>
        </w:tabs>
      </w:pPr>
      <w:r w:rsidRPr="00F93E95">
        <w:tab/>
        <w:t>Procureurs d</w:t>
      </w:r>
      <w:r w:rsidR="00E07B54">
        <w:t xml:space="preserve">e </w:t>
      </w:r>
      <w:r w:rsidR="00F94370">
        <w:t>Kuwait Airways Corporation</w:t>
      </w:r>
      <w:r w:rsidR="00E07B54">
        <w:t> </w:t>
      </w:r>
      <w:r w:rsidR="005A1878" w:rsidRPr="00F93E95">
        <w:t>: </w:t>
      </w:r>
      <w:proofErr w:type="spellStart"/>
      <w:r w:rsidR="00F94370">
        <w:t>St</w:t>
      </w:r>
      <w:r w:rsidR="00B50322">
        <w:t>ikeman</w:t>
      </w:r>
      <w:proofErr w:type="spellEnd"/>
      <w:r w:rsidR="00B50322">
        <w:t xml:space="preserve"> Elliott</w:t>
      </w:r>
      <w:r w:rsidR="00E07B54">
        <w:t xml:space="preserve">, </w:t>
      </w:r>
      <w:r w:rsidR="00B50322">
        <w:t>Montréal</w:t>
      </w:r>
      <w:r w:rsidR="005A1878" w:rsidRPr="00F93E95">
        <w:t>.</w:t>
      </w:r>
    </w:p>
    <w:p w:rsidR="005A1878" w:rsidRPr="00F93E95" w:rsidRDefault="005A1878" w:rsidP="005A1878">
      <w:pPr>
        <w:pStyle w:val="SCCLawFirm"/>
      </w:pPr>
    </w:p>
    <w:p w:rsidR="005A1878" w:rsidRPr="00F93E95" w:rsidRDefault="005A1878" w:rsidP="006A1C7D">
      <w:pPr>
        <w:pStyle w:val="SCCLawFirm"/>
        <w:tabs>
          <w:tab w:val="left" w:pos="1170"/>
        </w:tabs>
      </w:pPr>
      <w:r w:rsidRPr="00F93E95">
        <w:tab/>
        <w:t>Procureur</w:t>
      </w:r>
      <w:r w:rsidR="00456AFA">
        <w:t>s</w:t>
      </w:r>
      <w:r w:rsidRPr="00F93E95">
        <w:t xml:space="preserve"> de </w:t>
      </w:r>
      <w:r w:rsidR="00F94370">
        <w:rPr>
          <w:rStyle w:val="SCCCounselPartyRoleChar"/>
        </w:rPr>
        <w:t>Bombardier Aéronautique</w:t>
      </w:r>
      <w:r w:rsidR="00F8456F" w:rsidRPr="00F93E95">
        <w:t> :</w:t>
      </w:r>
      <w:r w:rsidRPr="00F93E95">
        <w:t> </w:t>
      </w:r>
      <w:r w:rsidR="00D37485">
        <w:t>Norton Rose OR</w:t>
      </w:r>
      <w:r w:rsidR="00E07B54">
        <w:t xml:space="preserve">, </w:t>
      </w:r>
      <w:r w:rsidR="00B50322">
        <w:t>Montréal</w:t>
      </w:r>
      <w:r w:rsidRPr="00F93E95">
        <w:t>.</w:t>
      </w:r>
    </w:p>
    <w:p w:rsidR="0033393C" w:rsidRPr="00F93E95" w:rsidRDefault="0033393C" w:rsidP="00D74F2E">
      <w:pPr>
        <w:pStyle w:val="SCCNormalDoubleSpacing"/>
      </w:pPr>
    </w:p>
    <w:sectPr w:rsidR="0033393C" w:rsidRPr="00F93E95" w:rsidSect="00A867BC">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6AD" w:rsidRDefault="001866AD">
      <w:r>
        <w:separator/>
      </w:r>
    </w:p>
  </w:endnote>
  <w:endnote w:type="continuationSeparator" w:id="0">
    <w:p w:rsidR="001866AD" w:rsidRDefault="001866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6AD" w:rsidRDefault="001866AD">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6AD" w:rsidRDefault="001866AD">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6AD" w:rsidRDefault="001866AD">
      <w:r>
        <w:separator/>
      </w:r>
    </w:p>
  </w:footnote>
  <w:footnote w:type="continuationSeparator" w:id="0">
    <w:p w:rsidR="001866AD" w:rsidRDefault="00186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6AD" w:rsidRDefault="001866AD">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6AD" w:rsidRDefault="001866AD">
    <w:pPr>
      <w:pStyle w:val="Header"/>
      <w:jc w:val="center"/>
    </w:pPr>
    <w:r>
      <w:t xml:space="preserve">- </w:t>
    </w:r>
    <w:sdt>
      <w:sdtPr>
        <w:id w:val="4489881"/>
        <w:docPartObj>
          <w:docPartGallery w:val="Page Numbers (Top of Page)"/>
          <w:docPartUnique/>
        </w:docPartObj>
      </w:sdtPr>
      <w:sdtContent>
        <w:fldSimple w:instr=" PAGE   \* MERGEFORMAT ">
          <w:r w:rsidR="00892EB8">
            <w:rPr>
              <w:noProof/>
            </w:rPr>
            <w:t>3</w:t>
          </w:r>
        </w:fldSimple>
        <w:r>
          <w:t xml:space="preserve"> -</w:t>
        </w:r>
      </w:sdtContent>
    </w:sdt>
  </w:p>
  <w:p w:rsidR="001866AD" w:rsidRDefault="001866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5B8696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5169"/>
  </w:hdrShapeDefaults>
  <w:footnotePr>
    <w:footnote w:id="-1"/>
    <w:footnote w:id="0"/>
  </w:footnotePr>
  <w:endnotePr>
    <w:endnote w:id="-1"/>
    <w:endnote w:id="0"/>
  </w:endnotePr>
  <w:compat/>
  <w:rsids>
    <w:rsidRoot w:val="0031414C"/>
    <w:rsid w:val="00010A1A"/>
    <w:rsid w:val="0001221F"/>
    <w:rsid w:val="00015B4E"/>
    <w:rsid w:val="00022D22"/>
    <w:rsid w:val="00025198"/>
    <w:rsid w:val="00055518"/>
    <w:rsid w:val="00055A36"/>
    <w:rsid w:val="000578A3"/>
    <w:rsid w:val="00062E02"/>
    <w:rsid w:val="00064563"/>
    <w:rsid w:val="000648CC"/>
    <w:rsid w:val="00092F38"/>
    <w:rsid w:val="00094DE0"/>
    <w:rsid w:val="000A5321"/>
    <w:rsid w:val="000A7B84"/>
    <w:rsid w:val="000C59B8"/>
    <w:rsid w:val="000D0060"/>
    <w:rsid w:val="0010517C"/>
    <w:rsid w:val="00111DE2"/>
    <w:rsid w:val="001152B4"/>
    <w:rsid w:val="00116B38"/>
    <w:rsid w:val="00117584"/>
    <w:rsid w:val="0013109F"/>
    <w:rsid w:val="00135406"/>
    <w:rsid w:val="00135972"/>
    <w:rsid w:val="001362E1"/>
    <w:rsid w:val="00140667"/>
    <w:rsid w:val="001426A9"/>
    <w:rsid w:val="00143D2F"/>
    <w:rsid w:val="00146C9B"/>
    <w:rsid w:val="00154D7C"/>
    <w:rsid w:val="00154E54"/>
    <w:rsid w:val="001570B0"/>
    <w:rsid w:val="001702CF"/>
    <w:rsid w:val="00172A04"/>
    <w:rsid w:val="00175A97"/>
    <w:rsid w:val="00184624"/>
    <w:rsid w:val="00185394"/>
    <w:rsid w:val="001866AD"/>
    <w:rsid w:val="001A451D"/>
    <w:rsid w:val="001A6921"/>
    <w:rsid w:val="001B33E0"/>
    <w:rsid w:val="001B4573"/>
    <w:rsid w:val="001C27AD"/>
    <w:rsid w:val="001C779F"/>
    <w:rsid w:val="001D2AC1"/>
    <w:rsid w:val="001F7673"/>
    <w:rsid w:val="0021677A"/>
    <w:rsid w:val="00220FC2"/>
    <w:rsid w:val="00224FC0"/>
    <w:rsid w:val="00225EA4"/>
    <w:rsid w:val="00226EAF"/>
    <w:rsid w:val="00231F3A"/>
    <w:rsid w:val="00232FC1"/>
    <w:rsid w:val="002406EE"/>
    <w:rsid w:val="00253210"/>
    <w:rsid w:val="002536E9"/>
    <w:rsid w:val="00263892"/>
    <w:rsid w:val="00271E1D"/>
    <w:rsid w:val="002745CC"/>
    <w:rsid w:val="00286D45"/>
    <w:rsid w:val="002C7E14"/>
    <w:rsid w:val="002D39A4"/>
    <w:rsid w:val="002E4C86"/>
    <w:rsid w:val="002E6705"/>
    <w:rsid w:val="002E707E"/>
    <w:rsid w:val="002F696C"/>
    <w:rsid w:val="0030329A"/>
    <w:rsid w:val="00307AFD"/>
    <w:rsid w:val="0031086F"/>
    <w:rsid w:val="00310E05"/>
    <w:rsid w:val="0031414C"/>
    <w:rsid w:val="00314E01"/>
    <w:rsid w:val="0032089D"/>
    <w:rsid w:val="00324552"/>
    <w:rsid w:val="003273A1"/>
    <w:rsid w:val="0033393C"/>
    <w:rsid w:val="00344AAB"/>
    <w:rsid w:val="00345548"/>
    <w:rsid w:val="0034770C"/>
    <w:rsid w:val="0035259D"/>
    <w:rsid w:val="003738A9"/>
    <w:rsid w:val="003866EC"/>
    <w:rsid w:val="003879F4"/>
    <w:rsid w:val="00394476"/>
    <w:rsid w:val="003A4C70"/>
    <w:rsid w:val="003A4E15"/>
    <w:rsid w:val="003C799C"/>
    <w:rsid w:val="003E1C71"/>
    <w:rsid w:val="003F327B"/>
    <w:rsid w:val="004059A7"/>
    <w:rsid w:val="00406166"/>
    <w:rsid w:val="00411300"/>
    <w:rsid w:val="00426659"/>
    <w:rsid w:val="0043088E"/>
    <w:rsid w:val="00430EDD"/>
    <w:rsid w:val="00432874"/>
    <w:rsid w:val="00443670"/>
    <w:rsid w:val="004439D8"/>
    <w:rsid w:val="00456AFA"/>
    <w:rsid w:val="00465132"/>
    <w:rsid w:val="0046533E"/>
    <w:rsid w:val="004725CF"/>
    <w:rsid w:val="00473668"/>
    <w:rsid w:val="00480C90"/>
    <w:rsid w:val="0048396F"/>
    <w:rsid w:val="00490942"/>
    <w:rsid w:val="0049352C"/>
    <w:rsid w:val="00493C18"/>
    <w:rsid w:val="00494CDC"/>
    <w:rsid w:val="004A600C"/>
    <w:rsid w:val="004C478D"/>
    <w:rsid w:val="004D348D"/>
    <w:rsid w:val="004E6A2C"/>
    <w:rsid w:val="00512EB5"/>
    <w:rsid w:val="00521AE8"/>
    <w:rsid w:val="00527180"/>
    <w:rsid w:val="00536719"/>
    <w:rsid w:val="00553FFA"/>
    <w:rsid w:val="005564A7"/>
    <w:rsid w:val="005842B1"/>
    <w:rsid w:val="005A1878"/>
    <w:rsid w:val="005A623F"/>
    <w:rsid w:val="005B6095"/>
    <w:rsid w:val="005E4698"/>
    <w:rsid w:val="005F4071"/>
    <w:rsid w:val="00614FAC"/>
    <w:rsid w:val="00621655"/>
    <w:rsid w:val="00625C35"/>
    <w:rsid w:val="00634E1B"/>
    <w:rsid w:val="00645057"/>
    <w:rsid w:val="006504CD"/>
    <w:rsid w:val="00654858"/>
    <w:rsid w:val="006565F4"/>
    <w:rsid w:val="00665685"/>
    <w:rsid w:val="00681AD1"/>
    <w:rsid w:val="006A1C7D"/>
    <w:rsid w:val="006A51F0"/>
    <w:rsid w:val="006A56F1"/>
    <w:rsid w:val="006B5FF5"/>
    <w:rsid w:val="006C5661"/>
    <w:rsid w:val="006D4790"/>
    <w:rsid w:val="006F3DC8"/>
    <w:rsid w:val="00701759"/>
    <w:rsid w:val="00702C6F"/>
    <w:rsid w:val="00723368"/>
    <w:rsid w:val="007250A8"/>
    <w:rsid w:val="00736422"/>
    <w:rsid w:val="00741BF0"/>
    <w:rsid w:val="00746ABA"/>
    <w:rsid w:val="00747288"/>
    <w:rsid w:val="00747DD3"/>
    <w:rsid w:val="00752F4E"/>
    <w:rsid w:val="007549C8"/>
    <w:rsid w:val="0075545D"/>
    <w:rsid w:val="00762C84"/>
    <w:rsid w:val="00762D30"/>
    <w:rsid w:val="00763377"/>
    <w:rsid w:val="00766D14"/>
    <w:rsid w:val="00767A0F"/>
    <w:rsid w:val="00771CAB"/>
    <w:rsid w:val="007834A8"/>
    <w:rsid w:val="00792C81"/>
    <w:rsid w:val="007A05F6"/>
    <w:rsid w:val="007A7D6A"/>
    <w:rsid w:val="007B4A93"/>
    <w:rsid w:val="007B6F4A"/>
    <w:rsid w:val="007E1C47"/>
    <w:rsid w:val="007E337A"/>
    <w:rsid w:val="007E5C70"/>
    <w:rsid w:val="007F2FF5"/>
    <w:rsid w:val="00805C68"/>
    <w:rsid w:val="00817190"/>
    <w:rsid w:val="0082117C"/>
    <w:rsid w:val="008225FE"/>
    <w:rsid w:val="00825C90"/>
    <w:rsid w:val="008322BD"/>
    <w:rsid w:val="00844CF0"/>
    <w:rsid w:val="00855307"/>
    <w:rsid w:val="008562CC"/>
    <w:rsid w:val="00861C97"/>
    <w:rsid w:val="00862CF3"/>
    <w:rsid w:val="00864CF8"/>
    <w:rsid w:val="00874914"/>
    <w:rsid w:val="00892E1A"/>
    <w:rsid w:val="00892EB8"/>
    <w:rsid w:val="008958F5"/>
    <w:rsid w:val="00896461"/>
    <w:rsid w:val="008A0CA0"/>
    <w:rsid w:val="008A3D84"/>
    <w:rsid w:val="008A6558"/>
    <w:rsid w:val="008A727C"/>
    <w:rsid w:val="008C01DA"/>
    <w:rsid w:val="008C6884"/>
    <w:rsid w:val="008D29D9"/>
    <w:rsid w:val="008F16D9"/>
    <w:rsid w:val="008F2885"/>
    <w:rsid w:val="008F78E9"/>
    <w:rsid w:val="00902462"/>
    <w:rsid w:val="00930197"/>
    <w:rsid w:val="009403F3"/>
    <w:rsid w:val="00957FA2"/>
    <w:rsid w:val="00966913"/>
    <w:rsid w:val="00967374"/>
    <w:rsid w:val="0097543E"/>
    <w:rsid w:val="00975585"/>
    <w:rsid w:val="00983F3F"/>
    <w:rsid w:val="009856FE"/>
    <w:rsid w:val="00985C69"/>
    <w:rsid w:val="00986289"/>
    <w:rsid w:val="0099079B"/>
    <w:rsid w:val="009B2F23"/>
    <w:rsid w:val="009B53E2"/>
    <w:rsid w:val="009B57B3"/>
    <w:rsid w:val="009D5AEB"/>
    <w:rsid w:val="009E0ED4"/>
    <w:rsid w:val="009F1419"/>
    <w:rsid w:val="009F2D11"/>
    <w:rsid w:val="009F383F"/>
    <w:rsid w:val="00A05F0E"/>
    <w:rsid w:val="00A16D7E"/>
    <w:rsid w:val="00A21107"/>
    <w:rsid w:val="00A21B90"/>
    <w:rsid w:val="00A222A3"/>
    <w:rsid w:val="00A24E15"/>
    <w:rsid w:val="00A2737F"/>
    <w:rsid w:val="00A34E79"/>
    <w:rsid w:val="00A431DC"/>
    <w:rsid w:val="00A548CB"/>
    <w:rsid w:val="00A6242E"/>
    <w:rsid w:val="00A643E7"/>
    <w:rsid w:val="00A73C38"/>
    <w:rsid w:val="00A82FB4"/>
    <w:rsid w:val="00A867BC"/>
    <w:rsid w:val="00A904A7"/>
    <w:rsid w:val="00A96366"/>
    <w:rsid w:val="00AA6A34"/>
    <w:rsid w:val="00AB2B4A"/>
    <w:rsid w:val="00AC6CC7"/>
    <w:rsid w:val="00AC6F91"/>
    <w:rsid w:val="00AC7437"/>
    <w:rsid w:val="00AC7A44"/>
    <w:rsid w:val="00AF03C5"/>
    <w:rsid w:val="00B000D8"/>
    <w:rsid w:val="00B00F75"/>
    <w:rsid w:val="00B145B6"/>
    <w:rsid w:val="00B464AC"/>
    <w:rsid w:val="00B50322"/>
    <w:rsid w:val="00B50C81"/>
    <w:rsid w:val="00B557F8"/>
    <w:rsid w:val="00B64972"/>
    <w:rsid w:val="00B66DD8"/>
    <w:rsid w:val="00B8145D"/>
    <w:rsid w:val="00B815FC"/>
    <w:rsid w:val="00B87CCA"/>
    <w:rsid w:val="00B931F2"/>
    <w:rsid w:val="00B93FBC"/>
    <w:rsid w:val="00B975D2"/>
    <w:rsid w:val="00BA575C"/>
    <w:rsid w:val="00BA7052"/>
    <w:rsid w:val="00BC5B69"/>
    <w:rsid w:val="00BD34FA"/>
    <w:rsid w:val="00C02092"/>
    <w:rsid w:val="00C057F7"/>
    <w:rsid w:val="00C068DF"/>
    <w:rsid w:val="00C21BE3"/>
    <w:rsid w:val="00C24C8C"/>
    <w:rsid w:val="00C24D91"/>
    <w:rsid w:val="00C52532"/>
    <w:rsid w:val="00C53F14"/>
    <w:rsid w:val="00C55C2E"/>
    <w:rsid w:val="00C600CF"/>
    <w:rsid w:val="00C6084F"/>
    <w:rsid w:val="00C62A66"/>
    <w:rsid w:val="00C62A6F"/>
    <w:rsid w:val="00C668E7"/>
    <w:rsid w:val="00C67CA5"/>
    <w:rsid w:val="00C71458"/>
    <w:rsid w:val="00C71F58"/>
    <w:rsid w:val="00C77613"/>
    <w:rsid w:val="00C828E7"/>
    <w:rsid w:val="00C921DD"/>
    <w:rsid w:val="00C93CEF"/>
    <w:rsid w:val="00CA051A"/>
    <w:rsid w:val="00CA4D82"/>
    <w:rsid w:val="00CA6391"/>
    <w:rsid w:val="00CA774F"/>
    <w:rsid w:val="00CD38C8"/>
    <w:rsid w:val="00CE3171"/>
    <w:rsid w:val="00CF053A"/>
    <w:rsid w:val="00CF1601"/>
    <w:rsid w:val="00D20DD5"/>
    <w:rsid w:val="00D30835"/>
    <w:rsid w:val="00D32086"/>
    <w:rsid w:val="00D37485"/>
    <w:rsid w:val="00D37A3F"/>
    <w:rsid w:val="00D45FCF"/>
    <w:rsid w:val="00D4667A"/>
    <w:rsid w:val="00D510BB"/>
    <w:rsid w:val="00D5435D"/>
    <w:rsid w:val="00D74F2E"/>
    <w:rsid w:val="00D86E38"/>
    <w:rsid w:val="00D93905"/>
    <w:rsid w:val="00DA0590"/>
    <w:rsid w:val="00DB6B11"/>
    <w:rsid w:val="00DC1788"/>
    <w:rsid w:val="00DC511D"/>
    <w:rsid w:val="00DE5C32"/>
    <w:rsid w:val="00DF0CA8"/>
    <w:rsid w:val="00DF49A7"/>
    <w:rsid w:val="00E01047"/>
    <w:rsid w:val="00E01106"/>
    <w:rsid w:val="00E04CC7"/>
    <w:rsid w:val="00E07B54"/>
    <w:rsid w:val="00E07EE2"/>
    <w:rsid w:val="00E24573"/>
    <w:rsid w:val="00E377A1"/>
    <w:rsid w:val="00E45109"/>
    <w:rsid w:val="00E513E2"/>
    <w:rsid w:val="00E54B02"/>
    <w:rsid w:val="00E81D80"/>
    <w:rsid w:val="00E8545B"/>
    <w:rsid w:val="00E97830"/>
    <w:rsid w:val="00EA03E5"/>
    <w:rsid w:val="00EA6EEB"/>
    <w:rsid w:val="00EB0559"/>
    <w:rsid w:val="00EB3E7E"/>
    <w:rsid w:val="00EB5B5C"/>
    <w:rsid w:val="00ED2040"/>
    <w:rsid w:val="00EE0FAF"/>
    <w:rsid w:val="00EE1DE7"/>
    <w:rsid w:val="00EF0A33"/>
    <w:rsid w:val="00F00EB7"/>
    <w:rsid w:val="00F164B3"/>
    <w:rsid w:val="00F2258E"/>
    <w:rsid w:val="00F33658"/>
    <w:rsid w:val="00F33959"/>
    <w:rsid w:val="00F36AB6"/>
    <w:rsid w:val="00F3787F"/>
    <w:rsid w:val="00F409CE"/>
    <w:rsid w:val="00F4473A"/>
    <w:rsid w:val="00F64FB9"/>
    <w:rsid w:val="00F7082B"/>
    <w:rsid w:val="00F8456F"/>
    <w:rsid w:val="00F84DF4"/>
    <w:rsid w:val="00F853FB"/>
    <w:rsid w:val="00F85C97"/>
    <w:rsid w:val="00F868B0"/>
    <w:rsid w:val="00F93E95"/>
    <w:rsid w:val="00F94370"/>
    <w:rsid w:val="00FA2FE1"/>
    <w:rsid w:val="00FC1D41"/>
    <w:rsid w:val="00FC606D"/>
    <w:rsid w:val="00FC7068"/>
    <w:rsid w:val="00FD068D"/>
    <w:rsid w:val="00FD39C6"/>
    <w:rsid w:val="00FD4F28"/>
    <w:rsid w:val="00FE6784"/>
    <w:rsid w:val="00FF3C9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3866EC"/>
    <w:pPr>
      <w:spacing w:line="480" w:lineRule="auto"/>
      <w:jc w:val="both"/>
    </w:pPr>
  </w:style>
  <w:style w:type="character" w:customStyle="1" w:styleId="SCCNormalDoubleSpacingChar">
    <w:name w:val="SCC.Normal.DoubleSpacing Char"/>
    <w:basedOn w:val="DefaultParagraphFont"/>
    <w:link w:val="SCCNormalDoubleSpacing"/>
    <w:rsid w:val="003866EC"/>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table" w:styleId="TableGrid">
    <w:name w:val="Table Grid"/>
    <w:basedOn w:val="TableNormal"/>
    <w:uiPriority w:val="59"/>
    <w:rsid w:val="00CA051A"/>
    <w:rPr>
      <w:rFonts w:eastAsiaTheme="minorHAnsi"/>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oNdepar-AltN">
    <w:name w:val="Para. No. / Nº de par. - Alt N"/>
    <w:qFormat/>
    <w:rsid w:val="0049352C"/>
    <w:pPr>
      <w:numPr>
        <w:numId w:val="1"/>
      </w:numPr>
      <w:spacing w:before="480" w:after="480" w:line="480" w:lineRule="auto"/>
      <w:jc w:val="both"/>
    </w:pPr>
    <w:rPr>
      <w:rFonts w:eastAsiaTheme="minorEastAsia" w:cstheme="minorBidi"/>
      <w:sz w:val="24"/>
      <w:szCs w:val="22"/>
      <w:lang w:val="fr-CA" w:eastAsia="en-US"/>
    </w:rPr>
  </w:style>
  <w:style w:type="paragraph" w:customStyle="1" w:styleId="SCCLsocPrefix">
    <w:name w:val="SCC.Lsoc.Prefix"/>
    <w:basedOn w:val="Normal"/>
    <w:next w:val="Normal"/>
    <w:link w:val="SCCLsocPrefixChar"/>
    <w:rsid w:val="00AB2B4A"/>
    <w:rPr>
      <w:rFonts w:eastAsiaTheme="minorHAnsi" w:cstheme="minorBidi"/>
      <w:b/>
      <w:smallCaps/>
      <w:szCs w:val="24"/>
      <w:lang w:eastAsia="en-US"/>
    </w:rPr>
  </w:style>
  <w:style w:type="character" w:customStyle="1" w:styleId="SCCLsocPrefixChar">
    <w:name w:val="SCC.Lsoc.Prefix Char"/>
    <w:basedOn w:val="DefaultParagraphFont"/>
    <w:link w:val="SCCLsocPrefix"/>
    <w:rsid w:val="00AB2B4A"/>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divs>
    <w:div w:id="869759202">
      <w:bodyDiv w:val="1"/>
      <w:marLeft w:val="136"/>
      <w:marRight w:val="136"/>
      <w:marTop w:val="136"/>
      <w:marBottom w:val="136"/>
      <w:divBdr>
        <w:top w:val="none" w:sz="0" w:space="0" w:color="auto"/>
        <w:left w:val="none" w:sz="0" w:space="0" w:color="auto"/>
        <w:bottom w:val="none" w:sz="0" w:space="0" w:color="auto"/>
        <w:right w:val="none" w:sz="0" w:space="0" w:color="auto"/>
      </w:divBdr>
      <w:divsChild>
        <w:div w:id="255138065">
          <w:marLeft w:val="0"/>
          <w:marRight w:val="0"/>
          <w:marTop w:val="0"/>
          <w:marBottom w:val="0"/>
          <w:divBdr>
            <w:top w:val="none" w:sz="0" w:space="0" w:color="auto"/>
            <w:left w:val="none" w:sz="0" w:space="0" w:color="auto"/>
            <w:bottom w:val="none" w:sz="0" w:space="0" w:color="auto"/>
            <w:right w:val="none" w:sz="0" w:space="0" w:color="auto"/>
          </w:divBdr>
          <w:divsChild>
            <w:div w:id="861868834">
              <w:marLeft w:val="0"/>
              <w:marRight w:val="0"/>
              <w:marTop w:val="0"/>
              <w:marBottom w:val="0"/>
              <w:divBdr>
                <w:top w:val="none" w:sz="0" w:space="0" w:color="auto"/>
                <w:left w:val="none" w:sz="0" w:space="0" w:color="auto"/>
                <w:bottom w:val="none" w:sz="0" w:space="0" w:color="auto"/>
                <w:right w:val="none" w:sz="0" w:space="0" w:color="auto"/>
              </w:divBdr>
              <w:divsChild>
                <w:div w:id="510097978">
                  <w:marLeft w:val="0"/>
                  <w:marRight w:val="0"/>
                  <w:marTop w:val="0"/>
                  <w:marBottom w:val="0"/>
                  <w:divBdr>
                    <w:top w:val="none" w:sz="0" w:space="0" w:color="auto"/>
                    <w:left w:val="none" w:sz="0" w:space="0" w:color="auto"/>
                    <w:bottom w:val="none" w:sz="0" w:space="0" w:color="auto"/>
                    <w:right w:val="none" w:sz="0" w:space="0" w:color="auto"/>
                  </w:divBdr>
                  <w:divsChild>
                    <w:div w:id="897473156">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 w:id="1794515947">
      <w:bodyDiv w:val="1"/>
      <w:marLeft w:val="136"/>
      <w:marRight w:val="136"/>
      <w:marTop w:val="136"/>
      <w:marBottom w:val="136"/>
      <w:divBdr>
        <w:top w:val="none" w:sz="0" w:space="0" w:color="auto"/>
        <w:left w:val="none" w:sz="0" w:space="0" w:color="auto"/>
        <w:bottom w:val="none" w:sz="0" w:space="0" w:color="auto"/>
        <w:right w:val="none" w:sz="0" w:space="0" w:color="auto"/>
      </w:divBdr>
      <w:divsChild>
        <w:div w:id="642125467">
          <w:marLeft w:val="0"/>
          <w:marRight w:val="0"/>
          <w:marTop w:val="0"/>
          <w:marBottom w:val="0"/>
          <w:divBdr>
            <w:top w:val="none" w:sz="0" w:space="0" w:color="auto"/>
            <w:left w:val="none" w:sz="0" w:space="0" w:color="auto"/>
            <w:bottom w:val="none" w:sz="0" w:space="0" w:color="auto"/>
            <w:right w:val="none" w:sz="0" w:space="0" w:color="auto"/>
          </w:divBdr>
          <w:divsChild>
            <w:div w:id="1577590700">
              <w:marLeft w:val="0"/>
              <w:marRight w:val="0"/>
              <w:marTop w:val="0"/>
              <w:marBottom w:val="0"/>
              <w:divBdr>
                <w:top w:val="none" w:sz="0" w:space="0" w:color="auto"/>
                <w:left w:val="none" w:sz="0" w:space="0" w:color="auto"/>
                <w:bottom w:val="none" w:sz="0" w:space="0" w:color="auto"/>
                <w:right w:val="none" w:sz="0" w:space="0" w:color="auto"/>
              </w:divBdr>
              <w:divsChild>
                <w:div w:id="2130127424">
                  <w:marLeft w:val="0"/>
                  <w:marRight w:val="0"/>
                  <w:marTop w:val="0"/>
                  <w:marBottom w:val="0"/>
                  <w:divBdr>
                    <w:top w:val="none" w:sz="0" w:space="0" w:color="auto"/>
                    <w:left w:val="none" w:sz="0" w:space="0" w:color="auto"/>
                    <w:bottom w:val="none" w:sz="0" w:space="0" w:color="auto"/>
                    <w:right w:val="none" w:sz="0" w:space="0" w:color="auto"/>
                  </w:divBdr>
                  <w:divsChild>
                    <w:div w:id="1794130672">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838CB-D21C-481E-89F3-1056FB824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733</Words>
  <Characters>4037</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2011-08-08T15:25:00Z</dcterms:created>
  <dcterms:modified xsi:type="dcterms:W3CDTF">2012-01-18T18:39:00Z</dcterms:modified>
</cp:coreProperties>
</file>