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F2" w:rsidRPr="008C2C50" w:rsidRDefault="00D931F2" w:rsidP="00D931F2">
      <w:pPr>
        <w:tabs>
          <w:tab w:val="center" w:pos="4680"/>
          <w:tab w:val="right" w:pos="9360"/>
        </w:tabs>
        <w:jc w:val="center"/>
        <w:rPr>
          <w:rFonts w:eastAsiaTheme="minorHAnsi" w:cstheme="minorBidi"/>
          <w:sz w:val="22"/>
          <w:szCs w:val="22"/>
          <w:lang w:eastAsia="en-US"/>
        </w:rPr>
      </w:pPr>
      <w:r w:rsidRPr="008C2C50">
        <w:rPr>
          <w:rFonts w:eastAsiaTheme="minorHAnsi" w:cstheme="minorBidi"/>
          <w:sz w:val="22"/>
          <w:szCs w:val="22"/>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88484377" r:id="rId9"/>
        </w:object>
      </w:r>
    </w:p>
    <w:p w:rsidR="00D931F2" w:rsidRPr="008C2C50" w:rsidRDefault="00D931F2" w:rsidP="00D931F2">
      <w:pPr>
        <w:tabs>
          <w:tab w:val="center" w:pos="4680"/>
          <w:tab w:val="right" w:pos="9360"/>
        </w:tabs>
        <w:rPr>
          <w:rFonts w:eastAsiaTheme="minorHAnsi" w:cstheme="minorBidi"/>
          <w:sz w:val="22"/>
          <w:szCs w:val="22"/>
          <w:lang w:eastAsia="en-US"/>
        </w:rPr>
      </w:pPr>
    </w:p>
    <w:p w:rsidR="00D931F2" w:rsidRPr="008C2C50" w:rsidRDefault="00D931F2" w:rsidP="00D931F2">
      <w:pPr>
        <w:jc w:val="center"/>
        <w:rPr>
          <w:rFonts w:eastAsiaTheme="minorHAnsi" w:cstheme="minorBidi"/>
          <w:b/>
          <w:sz w:val="22"/>
          <w:szCs w:val="22"/>
          <w:lang w:eastAsia="en-US"/>
        </w:rPr>
      </w:pPr>
      <w:r w:rsidRPr="008C2C50">
        <w:rPr>
          <w:rFonts w:eastAsiaTheme="minorHAnsi" w:cstheme="minorBidi"/>
          <w:b/>
          <w:sz w:val="22"/>
          <w:szCs w:val="22"/>
          <w:lang w:eastAsia="en-US"/>
        </w:rPr>
        <w:t>COUR SUPRÊME DU CANADA</w:t>
      </w:r>
    </w:p>
    <w:p w:rsidR="00D931F2" w:rsidRPr="008C2C50" w:rsidRDefault="00D931F2" w:rsidP="00D931F2">
      <w:pPr>
        <w:rPr>
          <w:rFonts w:eastAsiaTheme="minorHAnsi" w:cstheme="minorBidi"/>
          <w:sz w:val="22"/>
          <w:szCs w:val="22"/>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931F2" w:rsidRPr="008C2C50" w:rsidTr="008D0A0E">
        <w:trPr>
          <w:cantSplit/>
        </w:trPr>
        <w:tc>
          <w:tcPr>
            <w:tcW w:w="6768" w:type="dxa"/>
          </w:tcPr>
          <w:p w:rsidR="00D931F2" w:rsidRPr="008C2C50" w:rsidRDefault="00D931F2" w:rsidP="008D0A0E">
            <w:pPr>
              <w:rPr>
                <w:sz w:val="22"/>
                <w:szCs w:val="22"/>
              </w:rPr>
            </w:pPr>
            <w:r w:rsidRPr="008C2C50">
              <w:rPr>
                <w:b/>
                <w:smallCaps/>
                <w:sz w:val="22"/>
                <w:szCs w:val="22"/>
              </w:rPr>
              <w:t>Référence :</w:t>
            </w:r>
            <w:r w:rsidRPr="008C2C50">
              <w:rPr>
                <w:sz w:val="22"/>
                <w:szCs w:val="22"/>
              </w:rPr>
              <w:t xml:space="preserve"> </w:t>
            </w:r>
            <w:r w:rsidRPr="008C2C50">
              <w:rPr>
                <w:sz w:val="22"/>
              </w:rPr>
              <w:t>R.</w:t>
            </w:r>
            <w:r w:rsidRPr="008C2C50">
              <w:rPr>
                <w:sz w:val="22"/>
                <w:szCs w:val="22"/>
              </w:rPr>
              <w:t xml:space="preserve"> </w:t>
            </w:r>
            <w:r w:rsidRPr="008C2C50">
              <w:rPr>
                <w:i/>
                <w:sz w:val="22"/>
                <w:szCs w:val="22"/>
              </w:rPr>
              <w:t>c.</w:t>
            </w:r>
            <w:r w:rsidRPr="008C2C50">
              <w:rPr>
                <w:sz w:val="22"/>
                <w:szCs w:val="22"/>
              </w:rPr>
              <w:t xml:space="preserve"> </w:t>
            </w:r>
            <w:r w:rsidRPr="008C2C50">
              <w:rPr>
                <w:sz w:val="22"/>
              </w:rPr>
              <w:t xml:space="preserve">Imperial Tobacco Canada </w:t>
            </w:r>
            <w:proofErr w:type="spellStart"/>
            <w:r w:rsidRPr="008C2C50">
              <w:rPr>
                <w:sz w:val="22"/>
              </w:rPr>
              <w:t>Ltée</w:t>
            </w:r>
            <w:proofErr w:type="spellEnd"/>
            <w:r w:rsidRPr="008C2C50">
              <w:rPr>
                <w:sz w:val="22"/>
              </w:rPr>
              <w:t>, 2011 CSC 42</w:t>
            </w:r>
            <w:r w:rsidRPr="00B838E8">
              <w:rPr>
                <w:rStyle w:val="SCCRespondentForRunningHeadChar"/>
                <w:rFonts w:eastAsiaTheme="minorEastAsia"/>
                <w:lang w:val="en-US"/>
              </w:rPr>
              <w:t>, [2011] 3 R.C.S</w:t>
            </w:r>
            <w:r>
              <w:rPr>
                <w:rStyle w:val="SCCRespondentForRunningHeadChar"/>
                <w:rFonts w:eastAsiaTheme="minorEastAsia"/>
                <w:lang w:val="en-US"/>
              </w:rPr>
              <w:t>. 45</w:t>
            </w:r>
          </w:p>
        </w:tc>
        <w:tc>
          <w:tcPr>
            <w:tcW w:w="2808" w:type="dxa"/>
          </w:tcPr>
          <w:p w:rsidR="00D931F2" w:rsidRPr="008C2C50" w:rsidRDefault="00D931F2" w:rsidP="008D0A0E">
            <w:pPr>
              <w:rPr>
                <w:sz w:val="22"/>
                <w:szCs w:val="22"/>
              </w:rPr>
            </w:pPr>
            <w:r w:rsidRPr="008C2C50">
              <w:rPr>
                <w:b/>
                <w:smallCaps/>
                <w:sz w:val="22"/>
                <w:szCs w:val="22"/>
              </w:rPr>
              <w:t>Date :</w:t>
            </w:r>
            <w:r w:rsidRPr="008C2C50">
              <w:rPr>
                <w:sz w:val="22"/>
                <w:szCs w:val="22"/>
              </w:rPr>
              <w:t xml:space="preserve"> 20110729</w:t>
            </w:r>
          </w:p>
          <w:p w:rsidR="00D931F2" w:rsidRPr="008C2C50" w:rsidRDefault="00D931F2" w:rsidP="008D0A0E">
            <w:pPr>
              <w:rPr>
                <w:sz w:val="22"/>
                <w:szCs w:val="22"/>
              </w:rPr>
            </w:pPr>
            <w:r w:rsidRPr="008C2C50">
              <w:rPr>
                <w:b/>
                <w:smallCaps/>
                <w:sz w:val="22"/>
                <w:szCs w:val="22"/>
              </w:rPr>
              <w:t>Dossier :</w:t>
            </w:r>
            <w:r w:rsidRPr="008C2C50">
              <w:rPr>
                <w:sz w:val="22"/>
                <w:szCs w:val="22"/>
              </w:rPr>
              <w:t xml:space="preserve"> 33559, 33563</w:t>
            </w:r>
          </w:p>
        </w:tc>
      </w:tr>
    </w:tbl>
    <w:p w:rsidR="00D931F2" w:rsidRPr="008C2C50" w:rsidRDefault="00D931F2" w:rsidP="00D931F2">
      <w:pPr>
        <w:rPr>
          <w:rFonts w:eastAsiaTheme="minorHAnsi" w:cstheme="minorBidi"/>
          <w:b/>
          <w:smallCaps/>
          <w:sz w:val="22"/>
          <w:szCs w:val="22"/>
          <w:lang w:eastAsia="en-US"/>
        </w:rPr>
      </w:pPr>
      <w:proofErr w:type="gramStart"/>
      <w:r w:rsidRPr="008C2C50">
        <w:rPr>
          <w:rFonts w:eastAsiaTheme="minorHAnsi" w:cstheme="minorBidi"/>
          <w:b/>
          <w:smallCaps/>
          <w:sz w:val="22"/>
          <w:szCs w:val="22"/>
          <w:lang w:eastAsia="en-US"/>
        </w:rPr>
        <w:t>Entre :</w:t>
      </w:r>
      <w:proofErr w:type="gramEnd"/>
    </w:p>
    <w:p w:rsidR="00D931F2" w:rsidRPr="00D931F2" w:rsidRDefault="00D931F2" w:rsidP="00D931F2">
      <w:pPr>
        <w:jc w:val="center"/>
        <w:rPr>
          <w:rFonts w:eastAsiaTheme="minorHAnsi" w:cstheme="minorBidi"/>
          <w:b/>
          <w:sz w:val="22"/>
          <w:szCs w:val="22"/>
          <w:lang w:val="fr-CA" w:eastAsia="en-US"/>
        </w:rPr>
      </w:pPr>
      <w:r w:rsidRPr="00D931F2">
        <w:rPr>
          <w:rFonts w:eastAsiaTheme="minorHAnsi" w:cstheme="minorBidi"/>
          <w:b/>
          <w:sz w:val="22"/>
          <w:szCs w:val="22"/>
          <w:lang w:val="fr-CA" w:eastAsia="en-US"/>
        </w:rPr>
        <w:t>Sa Majesté la Reine du chef du Canada</w:t>
      </w:r>
    </w:p>
    <w:p w:rsidR="00D931F2" w:rsidRPr="00D931F2" w:rsidRDefault="00D931F2" w:rsidP="00D931F2">
      <w:pPr>
        <w:jc w:val="center"/>
        <w:rPr>
          <w:rFonts w:eastAsiaTheme="minorHAnsi" w:cstheme="minorBidi"/>
          <w:sz w:val="22"/>
          <w:szCs w:val="22"/>
          <w:lang w:val="fr-CA" w:eastAsia="en-US"/>
        </w:rPr>
      </w:pPr>
      <w:r w:rsidRPr="00D931F2">
        <w:rPr>
          <w:rFonts w:eastAsiaTheme="minorHAnsi" w:cstheme="minorBidi"/>
          <w:sz w:val="22"/>
          <w:szCs w:val="22"/>
          <w:lang w:val="fr-CA" w:eastAsia="en-US"/>
        </w:rPr>
        <w:t>Appelante / Intimée au pourvoi incident</w:t>
      </w:r>
    </w:p>
    <w:p w:rsidR="00D931F2" w:rsidRPr="00D931F2" w:rsidRDefault="00D931F2" w:rsidP="00D931F2">
      <w:pPr>
        <w:jc w:val="center"/>
        <w:rPr>
          <w:rFonts w:eastAsiaTheme="minorHAnsi" w:cstheme="minorBidi"/>
          <w:sz w:val="22"/>
          <w:szCs w:val="22"/>
          <w:lang w:val="fr-CA" w:eastAsia="en-US"/>
        </w:rPr>
      </w:pPr>
      <w:proofErr w:type="gramStart"/>
      <w:r w:rsidRPr="00D931F2">
        <w:rPr>
          <w:rFonts w:eastAsiaTheme="minorHAnsi" w:cstheme="minorBidi"/>
          <w:sz w:val="22"/>
          <w:szCs w:val="22"/>
          <w:lang w:val="fr-CA" w:eastAsia="en-US"/>
        </w:rPr>
        <w:t>et</w:t>
      </w:r>
      <w:proofErr w:type="gramEnd"/>
    </w:p>
    <w:p w:rsidR="00D931F2" w:rsidRPr="00D931F2" w:rsidRDefault="00D931F2" w:rsidP="00D931F2">
      <w:pPr>
        <w:jc w:val="center"/>
        <w:rPr>
          <w:rFonts w:eastAsiaTheme="minorHAnsi" w:cstheme="minorBidi"/>
          <w:b/>
          <w:sz w:val="22"/>
          <w:szCs w:val="22"/>
          <w:lang w:val="fr-CA" w:eastAsia="en-US"/>
        </w:rPr>
      </w:pPr>
      <w:r w:rsidRPr="00D931F2">
        <w:rPr>
          <w:rFonts w:eastAsiaTheme="minorHAnsi" w:cstheme="minorBidi"/>
          <w:b/>
          <w:sz w:val="22"/>
          <w:szCs w:val="22"/>
          <w:lang w:val="fr-CA" w:eastAsia="en-US"/>
        </w:rPr>
        <w:t>Imperial Tobacco Canada Limitée</w:t>
      </w:r>
    </w:p>
    <w:p w:rsidR="00D931F2" w:rsidRPr="00D931F2" w:rsidRDefault="00D931F2" w:rsidP="00D931F2">
      <w:pPr>
        <w:jc w:val="center"/>
        <w:rPr>
          <w:rFonts w:eastAsiaTheme="minorHAnsi" w:cstheme="minorBidi"/>
          <w:sz w:val="22"/>
          <w:szCs w:val="22"/>
          <w:lang w:val="fr-CA" w:eastAsia="en-US"/>
        </w:rPr>
      </w:pPr>
      <w:r w:rsidRPr="00D931F2">
        <w:rPr>
          <w:rFonts w:eastAsiaTheme="minorHAnsi" w:cstheme="minorBidi"/>
          <w:sz w:val="22"/>
          <w:szCs w:val="22"/>
          <w:lang w:val="fr-CA" w:eastAsia="en-US"/>
        </w:rPr>
        <w:t>Intimée / Appelante au pourvoi incident</w:t>
      </w:r>
    </w:p>
    <w:p w:rsidR="00D931F2" w:rsidRPr="00D931F2" w:rsidRDefault="00D931F2" w:rsidP="00D931F2">
      <w:pPr>
        <w:jc w:val="center"/>
        <w:rPr>
          <w:rFonts w:eastAsiaTheme="minorHAnsi" w:cstheme="minorBidi"/>
          <w:sz w:val="22"/>
          <w:szCs w:val="22"/>
          <w:lang w:val="fr-CA" w:eastAsia="en-US"/>
        </w:rPr>
      </w:pPr>
      <w:r w:rsidRPr="00D931F2">
        <w:rPr>
          <w:rFonts w:eastAsiaTheme="minorHAnsi" w:cstheme="minorBidi"/>
          <w:sz w:val="22"/>
          <w:szCs w:val="22"/>
          <w:lang w:val="fr-CA" w:eastAsia="en-US"/>
        </w:rPr>
        <w:t>- et -</w:t>
      </w:r>
    </w:p>
    <w:p w:rsidR="00D931F2" w:rsidRPr="00D931F2" w:rsidRDefault="00D931F2" w:rsidP="00D931F2">
      <w:pPr>
        <w:jc w:val="center"/>
        <w:rPr>
          <w:rFonts w:eastAsiaTheme="minorHAnsi" w:cstheme="minorBidi"/>
          <w:b/>
          <w:sz w:val="22"/>
          <w:szCs w:val="22"/>
          <w:lang w:val="fr-CA" w:eastAsia="en-US"/>
        </w:rPr>
      </w:pPr>
      <w:r w:rsidRPr="00D931F2">
        <w:rPr>
          <w:rFonts w:eastAsiaTheme="minorHAnsi" w:cstheme="minorBidi"/>
          <w:b/>
          <w:sz w:val="22"/>
          <w:szCs w:val="22"/>
          <w:lang w:val="fr-CA" w:eastAsia="en-US"/>
        </w:rPr>
        <w:t>Procureur général de l’Ontario et procureur général de la Colombie-Britannique</w:t>
      </w:r>
    </w:p>
    <w:p w:rsidR="00D931F2" w:rsidRPr="00D931F2" w:rsidRDefault="00D931F2" w:rsidP="00D931F2">
      <w:pPr>
        <w:jc w:val="center"/>
        <w:rPr>
          <w:rFonts w:eastAsiaTheme="minorHAnsi" w:cstheme="minorBidi"/>
          <w:sz w:val="22"/>
          <w:szCs w:val="22"/>
          <w:lang w:val="fr-CA" w:eastAsia="en-US"/>
        </w:rPr>
      </w:pPr>
      <w:r w:rsidRPr="00D931F2">
        <w:rPr>
          <w:rFonts w:eastAsiaTheme="minorHAnsi" w:cstheme="minorBidi"/>
          <w:sz w:val="22"/>
          <w:szCs w:val="22"/>
          <w:lang w:val="fr-CA" w:eastAsia="en-US"/>
        </w:rPr>
        <w:t>Intervenants</w:t>
      </w:r>
    </w:p>
    <w:p w:rsidR="00D931F2" w:rsidRPr="00D931F2" w:rsidRDefault="00D931F2" w:rsidP="00D931F2">
      <w:pPr>
        <w:rPr>
          <w:rFonts w:eastAsiaTheme="minorHAnsi" w:cstheme="minorBidi"/>
          <w:b/>
          <w:smallCaps/>
          <w:sz w:val="22"/>
          <w:szCs w:val="22"/>
          <w:lang w:val="fr-CA" w:eastAsia="en-US"/>
        </w:rPr>
      </w:pPr>
    </w:p>
    <w:p w:rsidR="00D931F2" w:rsidRPr="00D931F2" w:rsidRDefault="00D931F2" w:rsidP="00D931F2">
      <w:pPr>
        <w:rPr>
          <w:rFonts w:eastAsiaTheme="minorHAnsi" w:cstheme="minorBidi"/>
          <w:b/>
          <w:smallCaps/>
          <w:sz w:val="22"/>
          <w:szCs w:val="22"/>
          <w:lang w:val="fr-CA" w:eastAsia="en-US"/>
        </w:rPr>
      </w:pPr>
      <w:r w:rsidRPr="00D931F2">
        <w:rPr>
          <w:rFonts w:eastAsiaTheme="minorHAnsi" w:cstheme="minorBidi"/>
          <w:b/>
          <w:smallCaps/>
          <w:sz w:val="22"/>
          <w:szCs w:val="22"/>
          <w:lang w:val="fr-CA" w:eastAsia="en-US"/>
        </w:rPr>
        <w:t>Et entre :</w:t>
      </w:r>
    </w:p>
    <w:p w:rsidR="00D931F2" w:rsidRPr="00D931F2" w:rsidRDefault="00D931F2" w:rsidP="00D931F2">
      <w:pPr>
        <w:jc w:val="center"/>
        <w:rPr>
          <w:rFonts w:eastAsiaTheme="minorHAnsi" w:cstheme="minorBidi"/>
          <w:b/>
          <w:sz w:val="22"/>
          <w:szCs w:val="22"/>
          <w:lang w:val="fr-CA" w:eastAsia="en-US"/>
        </w:rPr>
      </w:pPr>
      <w:r w:rsidRPr="00D931F2">
        <w:rPr>
          <w:rFonts w:eastAsiaTheme="minorHAnsi" w:cstheme="minorBidi"/>
          <w:b/>
          <w:sz w:val="22"/>
          <w:szCs w:val="22"/>
          <w:lang w:val="fr-CA" w:eastAsia="en-US"/>
        </w:rPr>
        <w:t>Procureur général du Canada</w:t>
      </w:r>
    </w:p>
    <w:p w:rsidR="00D931F2" w:rsidRPr="00D931F2" w:rsidRDefault="00D931F2" w:rsidP="00D931F2">
      <w:pPr>
        <w:jc w:val="center"/>
        <w:rPr>
          <w:rFonts w:eastAsiaTheme="minorHAnsi" w:cstheme="minorBidi"/>
          <w:sz w:val="22"/>
          <w:szCs w:val="22"/>
          <w:lang w:val="fr-CA" w:eastAsia="en-US"/>
        </w:rPr>
      </w:pPr>
      <w:r w:rsidRPr="00D931F2">
        <w:rPr>
          <w:rFonts w:eastAsiaTheme="minorHAnsi" w:cstheme="minorBidi"/>
          <w:sz w:val="22"/>
          <w:szCs w:val="22"/>
          <w:lang w:val="fr-CA" w:eastAsia="en-US"/>
        </w:rPr>
        <w:t>Appelant / Intimé au pourvoi incident</w:t>
      </w:r>
    </w:p>
    <w:p w:rsidR="00D931F2" w:rsidRPr="00D931F2" w:rsidRDefault="00D931F2" w:rsidP="00D931F2">
      <w:pPr>
        <w:jc w:val="center"/>
        <w:rPr>
          <w:rFonts w:eastAsiaTheme="minorHAnsi" w:cstheme="minorBidi"/>
          <w:sz w:val="22"/>
          <w:szCs w:val="22"/>
          <w:lang w:val="fr-CA" w:eastAsia="en-US"/>
        </w:rPr>
      </w:pPr>
      <w:proofErr w:type="gramStart"/>
      <w:r w:rsidRPr="00D931F2">
        <w:rPr>
          <w:rFonts w:eastAsiaTheme="minorHAnsi" w:cstheme="minorBidi"/>
          <w:sz w:val="22"/>
          <w:szCs w:val="22"/>
          <w:lang w:val="fr-CA" w:eastAsia="en-US"/>
        </w:rPr>
        <w:t>et</w:t>
      </w:r>
      <w:proofErr w:type="gramEnd"/>
    </w:p>
    <w:p w:rsidR="00D931F2" w:rsidRPr="00D931F2" w:rsidRDefault="00D931F2" w:rsidP="00D931F2">
      <w:pPr>
        <w:jc w:val="center"/>
        <w:rPr>
          <w:rFonts w:eastAsiaTheme="minorHAnsi" w:cstheme="minorBidi"/>
          <w:b/>
          <w:sz w:val="22"/>
          <w:szCs w:val="22"/>
          <w:lang w:val="fr-CA" w:eastAsia="en-US"/>
        </w:rPr>
      </w:pPr>
      <w:r w:rsidRPr="00D931F2">
        <w:rPr>
          <w:rFonts w:eastAsiaTheme="minorHAnsi" w:cstheme="minorBidi"/>
          <w:b/>
          <w:sz w:val="22"/>
          <w:szCs w:val="22"/>
          <w:lang w:val="fr-CA" w:eastAsia="en-US"/>
        </w:rPr>
        <w:t>Sa Majesté la Reine du chef de la Colombie-Britannique</w:t>
      </w:r>
    </w:p>
    <w:p w:rsidR="00D931F2" w:rsidRPr="008C2C50" w:rsidRDefault="00D931F2" w:rsidP="00D931F2">
      <w:pPr>
        <w:jc w:val="center"/>
        <w:rPr>
          <w:rFonts w:eastAsiaTheme="minorHAnsi" w:cstheme="minorBidi"/>
          <w:sz w:val="22"/>
          <w:szCs w:val="22"/>
          <w:lang w:val="en-US" w:eastAsia="en-US"/>
        </w:rPr>
      </w:pPr>
      <w:proofErr w:type="spellStart"/>
      <w:r w:rsidRPr="008C2C50">
        <w:rPr>
          <w:rFonts w:eastAsiaTheme="minorHAnsi" w:cstheme="minorBidi"/>
          <w:sz w:val="22"/>
          <w:szCs w:val="22"/>
          <w:lang w:val="en-US" w:eastAsia="en-US"/>
        </w:rPr>
        <w:t>Intimée</w:t>
      </w:r>
      <w:proofErr w:type="spellEnd"/>
    </w:p>
    <w:p w:rsidR="00D931F2" w:rsidRPr="008C2C50" w:rsidRDefault="00D931F2" w:rsidP="00D931F2">
      <w:pPr>
        <w:jc w:val="center"/>
        <w:rPr>
          <w:rFonts w:eastAsiaTheme="minorHAnsi" w:cstheme="minorBidi"/>
          <w:b/>
          <w:sz w:val="22"/>
          <w:szCs w:val="22"/>
          <w:lang w:val="en-US" w:eastAsia="en-US"/>
        </w:rPr>
      </w:pPr>
      <w:r w:rsidRPr="008C2C50">
        <w:rPr>
          <w:rFonts w:eastAsiaTheme="minorHAnsi" w:cstheme="minorBidi"/>
          <w:b/>
          <w:sz w:val="22"/>
          <w:szCs w:val="22"/>
          <w:lang w:val="en-US" w:eastAsia="en-US"/>
        </w:rPr>
        <w:t xml:space="preserve">Imperial Tobacco Canada </w:t>
      </w:r>
      <w:proofErr w:type="spellStart"/>
      <w:r w:rsidRPr="008C2C50">
        <w:rPr>
          <w:rFonts w:eastAsiaTheme="minorHAnsi" w:cstheme="minorBidi"/>
          <w:b/>
          <w:sz w:val="22"/>
          <w:szCs w:val="22"/>
          <w:lang w:val="en-US" w:eastAsia="en-US"/>
        </w:rPr>
        <w:t>Limitée</w:t>
      </w:r>
      <w:proofErr w:type="spellEnd"/>
      <w:r w:rsidRPr="008C2C50">
        <w:rPr>
          <w:rFonts w:eastAsiaTheme="minorHAnsi" w:cstheme="minorBidi"/>
          <w:b/>
          <w:sz w:val="22"/>
          <w:szCs w:val="22"/>
          <w:lang w:val="en-US" w:eastAsia="en-US"/>
        </w:rPr>
        <w:t>, Rothmans, Benson &amp; Hedges Inc.,</w:t>
      </w:r>
    </w:p>
    <w:p w:rsidR="00D931F2" w:rsidRPr="008C2C50" w:rsidRDefault="00D931F2" w:rsidP="00D931F2">
      <w:pPr>
        <w:jc w:val="center"/>
        <w:rPr>
          <w:rFonts w:eastAsiaTheme="minorHAnsi" w:cstheme="minorBidi"/>
          <w:b/>
          <w:sz w:val="22"/>
          <w:szCs w:val="22"/>
          <w:lang w:val="en-US" w:eastAsia="en-US"/>
        </w:rPr>
      </w:pPr>
      <w:r w:rsidRPr="008C2C50">
        <w:rPr>
          <w:rFonts w:eastAsiaTheme="minorHAnsi" w:cstheme="minorBidi"/>
          <w:b/>
          <w:sz w:val="22"/>
          <w:szCs w:val="22"/>
          <w:lang w:val="en-US" w:eastAsia="en-US"/>
        </w:rPr>
        <w:t>Rothmans Inc., JTI-MacDonald Corp., R.J. Reynolds Tobacco Company,</w:t>
      </w:r>
    </w:p>
    <w:p w:rsidR="00D931F2" w:rsidRPr="008C2C50" w:rsidRDefault="00D931F2" w:rsidP="00D931F2">
      <w:pPr>
        <w:jc w:val="center"/>
        <w:rPr>
          <w:rFonts w:eastAsiaTheme="minorHAnsi" w:cstheme="minorBidi"/>
          <w:b/>
          <w:sz w:val="22"/>
          <w:szCs w:val="22"/>
          <w:lang w:val="en-US" w:eastAsia="en-US"/>
        </w:rPr>
      </w:pPr>
      <w:r w:rsidRPr="008C2C50">
        <w:rPr>
          <w:rFonts w:eastAsiaTheme="minorHAnsi" w:cstheme="minorBidi"/>
          <w:b/>
          <w:sz w:val="22"/>
          <w:szCs w:val="22"/>
          <w:lang w:val="en-US" w:eastAsia="en-US"/>
        </w:rPr>
        <w:t xml:space="preserve">R.J. Reynolds Tobacco International Inc., B.A.T. Industries </w:t>
      </w:r>
      <w:proofErr w:type="spellStart"/>
      <w:r w:rsidRPr="008C2C50">
        <w:rPr>
          <w:rFonts w:eastAsiaTheme="minorHAnsi" w:cstheme="minorBidi"/>
          <w:b/>
          <w:sz w:val="22"/>
          <w:szCs w:val="22"/>
          <w:lang w:val="en-US" w:eastAsia="en-US"/>
        </w:rPr>
        <w:t>p.l.c</w:t>
      </w:r>
      <w:proofErr w:type="spellEnd"/>
      <w:proofErr w:type="gramStart"/>
      <w:r w:rsidRPr="008C2C50">
        <w:rPr>
          <w:rFonts w:eastAsiaTheme="minorHAnsi" w:cstheme="minorBidi"/>
          <w:b/>
          <w:sz w:val="22"/>
          <w:szCs w:val="22"/>
          <w:lang w:val="en-US" w:eastAsia="en-US"/>
        </w:rPr>
        <w:t>.,</w:t>
      </w:r>
      <w:proofErr w:type="gramEnd"/>
      <w:r w:rsidRPr="008C2C50">
        <w:rPr>
          <w:rFonts w:eastAsiaTheme="minorHAnsi" w:cstheme="minorBidi"/>
          <w:b/>
          <w:sz w:val="22"/>
          <w:szCs w:val="22"/>
          <w:lang w:val="en-US" w:eastAsia="en-US"/>
        </w:rPr>
        <w:t xml:space="preserve"> </w:t>
      </w:r>
    </w:p>
    <w:p w:rsidR="00D931F2" w:rsidRPr="008C2C50" w:rsidRDefault="00D931F2" w:rsidP="00D931F2">
      <w:pPr>
        <w:jc w:val="center"/>
        <w:rPr>
          <w:rFonts w:eastAsiaTheme="minorHAnsi" w:cstheme="minorBidi"/>
          <w:b/>
          <w:sz w:val="22"/>
          <w:szCs w:val="22"/>
          <w:lang w:val="en-US" w:eastAsia="en-US"/>
        </w:rPr>
      </w:pPr>
      <w:r w:rsidRPr="008C2C50">
        <w:rPr>
          <w:rFonts w:eastAsiaTheme="minorHAnsi" w:cstheme="minorBidi"/>
          <w:b/>
          <w:sz w:val="22"/>
          <w:szCs w:val="22"/>
          <w:lang w:val="en-US" w:eastAsia="en-US"/>
        </w:rPr>
        <w:t>British American Tobacco (Investments) Limited, Carreras Rothmans Limited,</w:t>
      </w:r>
    </w:p>
    <w:p w:rsidR="00D931F2" w:rsidRPr="00D931F2" w:rsidRDefault="00D931F2" w:rsidP="00D931F2">
      <w:pPr>
        <w:jc w:val="center"/>
        <w:rPr>
          <w:rFonts w:eastAsiaTheme="minorHAnsi" w:cstheme="minorBidi"/>
          <w:b/>
          <w:sz w:val="22"/>
          <w:szCs w:val="22"/>
          <w:lang w:val="fr-CA" w:eastAsia="en-US"/>
        </w:rPr>
      </w:pPr>
      <w:r w:rsidRPr="00D931F2">
        <w:rPr>
          <w:rFonts w:eastAsiaTheme="minorHAnsi" w:cstheme="minorBidi"/>
          <w:b/>
          <w:sz w:val="22"/>
          <w:szCs w:val="22"/>
          <w:lang w:val="fr-CA" w:eastAsia="en-US"/>
        </w:rPr>
        <w:t>Philip Morris USA Inc. et Philip Morris International Inc.</w:t>
      </w:r>
    </w:p>
    <w:p w:rsidR="00D931F2" w:rsidRPr="00D931F2" w:rsidRDefault="00D931F2" w:rsidP="00D931F2">
      <w:pPr>
        <w:jc w:val="center"/>
        <w:rPr>
          <w:rFonts w:eastAsiaTheme="minorHAnsi" w:cstheme="minorBidi"/>
          <w:sz w:val="22"/>
          <w:szCs w:val="22"/>
          <w:lang w:val="fr-CA" w:eastAsia="en-US"/>
        </w:rPr>
      </w:pPr>
      <w:r w:rsidRPr="00D931F2">
        <w:rPr>
          <w:rFonts w:eastAsiaTheme="minorHAnsi" w:cstheme="minorBidi"/>
          <w:sz w:val="22"/>
          <w:szCs w:val="22"/>
          <w:lang w:val="fr-CA" w:eastAsia="en-US"/>
        </w:rPr>
        <w:t>Intimées / Appelantes au pourvoi incident</w:t>
      </w:r>
    </w:p>
    <w:p w:rsidR="00D931F2" w:rsidRPr="00D931F2" w:rsidRDefault="00D931F2" w:rsidP="00D931F2">
      <w:pPr>
        <w:jc w:val="center"/>
        <w:rPr>
          <w:rFonts w:eastAsiaTheme="minorHAnsi" w:cstheme="minorBidi"/>
          <w:sz w:val="22"/>
          <w:szCs w:val="22"/>
          <w:lang w:val="fr-CA" w:eastAsia="en-US"/>
        </w:rPr>
      </w:pPr>
      <w:r w:rsidRPr="00D931F2">
        <w:rPr>
          <w:rFonts w:eastAsiaTheme="minorHAnsi" w:cstheme="minorBidi"/>
          <w:sz w:val="22"/>
          <w:szCs w:val="22"/>
          <w:lang w:val="fr-CA" w:eastAsia="en-US"/>
        </w:rPr>
        <w:t>- et -</w:t>
      </w:r>
    </w:p>
    <w:p w:rsidR="00D931F2" w:rsidRPr="00D931F2" w:rsidRDefault="00D931F2" w:rsidP="00D931F2">
      <w:pPr>
        <w:jc w:val="center"/>
        <w:rPr>
          <w:rFonts w:eastAsiaTheme="minorHAnsi" w:cstheme="minorBidi"/>
          <w:b/>
          <w:sz w:val="22"/>
          <w:szCs w:val="22"/>
          <w:lang w:val="fr-CA" w:eastAsia="en-US"/>
        </w:rPr>
      </w:pPr>
      <w:r w:rsidRPr="00D931F2">
        <w:rPr>
          <w:rFonts w:eastAsiaTheme="minorHAnsi" w:cstheme="minorBidi"/>
          <w:b/>
          <w:sz w:val="22"/>
          <w:szCs w:val="22"/>
          <w:lang w:val="fr-CA" w:eastAsia="en-US"/>
        </w:rPr>
        <w:t>Procureur général de l’Ontario, procureur général de la Colombie-Britannique</w:t>
      </w:r>
    </w:p>
    <w:p w:rsidR="00D931F2" w:rsidRPr="00D931F2" w:rsidRDefault="00D931F2" w:rsidP="00D931F2">
      <w:pPr>
        <w:jc w:val="center"/>
        <w:rPr>
          <w:rFonts w:eastAsiaTheme="minorHAnsi" w:cstheme="minorBidi"/>
          <w:b/>
          <w:sz w:val="22"/>
          <w:szCs w:val="22"/>
          <w:lang w:val="fr-CA" w:eastAsia="en-US"/>
        </w:rPr>
      </w:pPr>
      <w:proofErr w:type="gramStart"/>
      <w:r w:rsidRPr="00D931F2">
        <w:rPr>
          <w:rFonts w:eastAsiaTheme="minorHAnsi" w:cstheme="minorBidi"/>
          <w:b/>
          <w:sz w:val="22"/>
          <w:szCs w:val="22"/>
          <w:lang w:val="fr-CA" w:eastAsia="en-US"/>
        </w:rPr>
        <w:t>et</w:t>
      </w:r>
      <w:proofErr w:type="gramEnd"/>
      <w:r w:rsidRPr="00D931F2">
        <w:rPr>
          <w:rFonts w:eastAsiaTheme="minorHAnsi" w:cstheme="minorBidi"/>
          <w:b/>
          <w:sz w:val="22"/>
          <w:szCs w:val="22"/>
          <w:lang w:val="fr-CA" w:eastAsia="en-US"/>
        </w:rPr>
        <w:t xml:space="preserve"> Sa Majesté la Reine du chef de la province du Nouveau-Brunswick</w:t>
      </w:r>
    </w:p>
    <w:p w:rsidR="00D931F2" w:rsidRPr="008D0A0E" w:rsidRDefault="00D931F2" w:rsidP="00D931F2">
      <w:pPr>
        <w:jc w:val="center"/>
        <w:rPr>
          <w:rFonts w:eastAsiaTheme="minorHAnsi" w:cstheme="minorBidi"/>
          <w:sz w:val="22"/>
          <w:szCs w:val="22"/>
          <w:lang w:val="fr-CA" w:eastAsia="en-US"/>
        </w:rPr>
      </w:pPr>
      <w:r w:rsidRPr="008D0A0E">
        <w:rPr>
          <w:rFonts w:eastAsiaTheme="minorHAnsi" w:cstheme="minorBidi"/>
          <w:sz w:val="22"/>
          <w:szCs w:val="22"/>
          <w:lang w:val="fr-CA" w:eastAsia="en-US"/>
        </w:rPr>
        <w:t>Intervenants</w:t>
      </w:r>
    </w:p>
    <w:p w:rsidR="00D931F2" w:rsidRPr="008D0A0E" w:rsidRDefault="00D931F2" w:rsidP="00D931F2">
      <w:pPr>
        <w:rPr>
          <w:rFonts w:eastAsiaTheme="minorHAnsi" w:cstheme="minorBidi"/>
          <w:sz w:val="22"/>
          <w:szCs w:val="22"/>
          <w:lang w:val="fr-CA" w:eastAsia="en-US"/>
        </w:rPr>
      </w:pPr>
    </w:p>
    <w:p w:rsidR="00D931F2" w:rsidRPr="00D931F2" w:rsidRDefault="00D931F2" w:rsidP="00D931F2">
      <w:pPr>
        <w:jc w:val="center"/>
        <w:rPr>
          <w:rFonts w:eastAsiaTheme="minorHAnsi" w:cstheme="minorBidi"/>
          <w:b/>
          <w:smallCaps/>
          <w:sz w:val="22"/>
          <w:szCs w:val="22"/>
          <w:lang w:val="fr-CA" w:eastAsia="en-US"/>
        </w:rPr>
      </w:pPr>
      <w:r w:rsidRPr="00D931F2">
        <w:rPr>
          <w:rFonts w:eastAsiaTheme="minorHAnsi" w:cstheme="minorBidi"/>
          <w:b/>
          <w:smallCaps/>
          <w:sz w:val="22"/>
          <w:szCs w:val="22"/>
          <w:lang w:val="fr-CA" w:eastAsia="en-US"/>
        </w:rPr>
        <w:t>Traduction française officielle</w:t>
      </w:r>
    </w:p>
    <w:p w:rsidR="00D931F2" w:rsidRPr="00D931F2" w:rsidRDefault="00D931F2" w:rsidP="00D931F2">
      <w:pPr>
        <w:rPr>
          <w:rFonts w:eastAsiaTheme="minorHAnsi" w:cstheme="minorBidi"/>
          <w:sz w:val="22"/>
          <w:szCs w:val="22"/>
          <w:lang w:val="fr-CA" w:eastAsia="en-US"/>
        </w:rPr>
      </w:pPr>
    </w:p>
    <w:p w:rsidR="00D931F2" w:rsidRPr="00D931F2" w:rsidRDefault="00D931F2" w:rsidP="00D931F2">
      <w:pPr>
        <w:rPr>
          <w:rFonts w:eastAsiaTheme="minorHAnsi" w:cstheme="minorBidi"/>
          <w:sz w:val="22"/>
          <w:szCs w:val="22"/>
          <w:lang w:val="fr-CA" w:eastAsia="en-US"/>
        </w:rPr>
      </w:pPr>
      <w:r w:rsidRPr="00D931F2">
        <w:rPr>
          <w:rFonts w:eastAsiaTheme="minorHAnsi" w:cstheme="minorBidi"/>
          <w:b/>
          <w:smallCaps/>
          <w:sz w:val="22"/>
          <w:szCs w:val="22"/>
          <w:lang w:val="fr-CA" w:eastAsia="en-US"/>
        </w:rPr>
        <w:t>Coram :</w:t>
      </w:r>
      <w:r w:rsidRPr="00D931F2">
        <w:rPr>
          <w:rFonts w:eastAsiaTheme="minorHAnsi" w:cstheme="minorBidi"/>
          <w:sz w:val="22"/>
          <w:szCs w:val="22"/>
          <w:lang w:val="fr-CA" w:eastAsia="en-US"/>
        </w:rPr>
        <w:t xml:space="preserve"> La juge en chef </w:t>
      </w:r>
      <w:proofErr w:type="spellStart"/>
      <w:r w:rsidRPr="00D931F2">
        <w:rPr>
          <w:rFonts w:eastAsiaTheme="minorHAnsi" w:cstheme="minorBidi"/>
          <w:sz w:val="22"/>
          <w:szCs w:val="22"/>
          <w:lang w:val="fr-CA" w:eastAsia="en-US"/>
        </w:rPr>
        <w:t>McLachlin</w:t>
      </w:r>
      <w:proofErr w:type="spellEnd"/>
      <w:r w:rsidRPr="00D931F2">
        <w:rPr>
          <w:rFonts w:eastAsiaTheme="minorHAnsi" w:cstheme="minorBidi"/>
          <w:sz w:val="22"/>
          <w:szCs w:val="22"/>
          <w:lang w:val="fr-CA" w:eastAsia="en-US"/>
        </w:rPr>
        <w:t xml:space="preserve"> et les juges </w:t>
      </w:r>
      <w:proofErr w:type="spellStart"/>
      <w:r w:rsidRPr="00D931F2">
        <w:rPr>
          <w:rFonts w:eastAsiaTheme="minorHAnsi" w:cstheme="minorBidi"/>
          <w:sz w:val="22"/>
          <w:szCs w:val="22"/>
          <w:lang w:val="fr-CA" w:eastAsia="en-US"/>
        </w:rPr>
        <w:t>Binnie</w:t>
      </w:r>
      <w:proofErr w:type="spellEnd"/>
      <w:r w:rsidRPr="00D931F2">
        <w:rPr>
          <w:rFonts w:eastAsiaTheme="minorHAnsi" w:cstheme="minorBidi"/>
          <w:sz w:val="22"/>
          <w:szCs w:val="22"/>
          <w:lang w:val="fr-CA" w:eastAsia="en-US"/>
        </w:rPr>
        <w:t xml:space="preserve">, </w:t>
      </w:r>
      <w:proofErr w:type="spellStart"/>
      <w:r w:rsidRPr="00D931F2">
        <w:rPr>
          <w:rFonts w:eastAsiaTheme="minorHAnsi" w:cstheme="minorBidi"/>
          <w:sz w:val="22"/>
          <w:szCs w:val="22"/>
          <w:lang w:val="fr-CA" w:eastAsia="en-US"/>
        </w:rPr>
        <w:t>LeBel</w:t>
      </w:r>
      <w:proofErr w:type="spellEnd"/>
      <w:r w:rsidRPr="00D931F2">
        <w:rPr>
          <w:rFonts w:eastAsiaTheme="minorHAnsi" w:cstheme="minorBidi"/>
          <w:sz w:val="22"/>
          <w:szCs w:val="22"/>
          <w:lang w:val="fr-CA" w:eastAsia="en-US"/>
        </w:rPr>
        <w:t xml:space="preserve">, Deschamps, Fish, Abella, Charron, </w:t>
      </w:r>
      <w:proofErr w:type="spellStart"/>
      <w:r w:rsidRPr="00D931F2">
        <w:rPr>
          <w:rFonts w:eastAsiaTheme="minorHAnsi" w:cstheme="minorBidi"/>
          <w:sz w:val="22"/>
          <w:szCs w:val="22"/>
          <w:lang w:val="fr-CA" w:eastAsia="en-US"/>
        </w:rPr>
        <w:t>Rothstein</w:t>
      </w:r>
      <w:proofErr w:type="spellEnd"/>
      <w:r w:rsidRPr="00D931F2">
        <w:rPr>
          <w:rFonts w:eastAsiaTheme="minorHAnsi" w:cstheme="minorBidi"/>
          <w:sz w:val="22"/>
          <w:szCs w:val="22"/>
          <w:lang w:val="fr-CA" w:eastAsia="en-US"/>
        </w:rPr>
        <w:t xml:space="preserve"> et Cromwell</w:t>
      </w:r>
    </w:p>
    <w:p w:rsidR="00D931F2" w:rsidRPr="00D931F2" w:rsidRDefault="00D931F2" w:rsidP="00D931F2">
      <w:pPr>
        <w:rPr>
          <w:rFonts w:eastAsiaTheme="minorHAnsi" w:cstheme="minorBidi"/>
          <w:sz w:val="22"/>
          <w:szCs w:val="22"/>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931F2" w:rsidRPr="00F77C7D" w:rsidTr="008D0A0E">
        <w:trPr>
          <w:cantSplit/>
        </w:trPr>
        <w:tc>
          <w:tcPr>
            <w:tcW w:w="3618" w:type="dxa"/>
          </w:tcPr>
          <w:p w:rsidR="00D931F2" w:rsidRPr="00D931F2" w:rsidRDefault="00D931F2" w:rsidP="008D0A0E">
            <w:pPr>
              <w:rPr>
                <w:b/>
                <w:smallCaps/>
                <w:sz w:val="22"/>
                <w:szCs w:val="22"/>
                <w:lang w:val="fr-CA"/>
              </w:rPr>
            </w:pPr>
            <w:r w:rsidRPr="00D931F2">
              <w:rPr>
                <w:b/>
                <w:smallCaps/>
                <w:sz w:val="22"/>
                <w:szCs w:val="22"/>
                <w:lang w:val="fr-CA"/>
              </w:rPr>
              <w:t>Motifs de jugement :</w:t>
            </w:r>
          </w:p>
          <w:p w:rsidR="00D931F2" w:rsidRPr="00D931F2" w:rsidRDefault="00D931F2" w:rsidP="008D0A0E">
            <w:pPr>
              <w:rPr>
                <w:sz w:val="22"/>
                <w:szCs w:val="22"/>
                <w:lang w:val="fr-CA"/>
              </w:rPr>
            </w:pPr>
            <w:r w:rsidRPr="00D931F2">
              <w:rPr>
                <w:sz w:val="22"/>
                <w:szCs w:val="22"/>
                <w:lang w:val="fr-CA"/>
              </w:rPr>
              <w:t>(par. 1 à 151)</w:t>
            </w:r>
          </w:p>
        </w:tc>
        <w:tc>
          <w:tcPr>
            <w:tcW w:w="5958" w:type="dxa"/>
          </w:tcPr>
          <w:p w:rsidR="00D931F2" w:rsidRPr="00D931F2" w:rsidRDefault="00D931F2" w:rsidP="008D0A0E">
            <w:pPr>
              <w:rPr>
                <w:sz w:val="22"/>
                <w:szCs w:val="22"/>
                <w:lang w:val="fr-CA"/>
              </w:rPr>
            </w:pPr>
            <w:r w:rsidRPr="00D931F2">
              <w:rPr>
                <w:sz w:val="22"/>
                <w:szCs w:val="22"/>
                <w:lang w:val="fr-CA"/>
              </w:rPr>
              <w:t xml:space="preserve">La juge en chef </w:t>
            </w:r>
            <w:proofErr w:type="spellStart"/>
            <w:r w:rsidRPr="00D931F2">
              <w:rPr>
                <w:sz w:val="22"/>
                <w:szCs w:val="22"/>
                <w:lang w:val="fr-CA"/>
              </w:rPr>
              <w:t>McLachlin</w:t>
            </w:r>
            <w:proofErr w:type="spellEnd"/>
            <w:r w:rsidRPr="00D931F2">
              <w:rPr>
                <w:sz w:val="22"/>
                <w:szCs w:val="22"/>
                <w:lang w:val="fr-CA"/>
              </w:rPr>
              <w:t xml:space="preserve"> (avec l’accord des juges </w:t>
            </w:r>
            <w:proofErr w:type="spellStart"/>
            <w:r w:rsidRPr="00D931F2">
              <w:rPr>
                <w:sz w:val="22"/>
                <w:szCs w:val="22"/>
                <w:lang w:val="fr-CA"/>
              </w:rPr>
              <w:t>Binnie</w:t>
            </w:r>
            <w:proofErr w:type="spellEnd"/>
            <w:r w:rsidRPr="00D931F2">
              <w:rPr>
                <w:sz w:val="22"/>
                <w:szCs w:val="22"/>
                <w:lang w:val="fr-CA"/>
              </w:rPr>
              <w:t xml:space="preserve">, </w:t>
            </w:r>
            <w:proofErr w:type="spellStart"/>
            <w:r w:rsidRPr="00D931F2">
              <w:rPr>
                <w:sz w:val="22"/>
                <w:szCs w:val="22"/>
                <w:lang w:val="fr-CA"/>
              </w:rPr>
              <w:t>LeBel</w:t>
            </w:r>
            <w:proofErr w:type="spellEnd"/>
            <w:r w:rsidRPr="00D931F2">
              <w:rPr>
                <w:sz w:val="22"/>
                <w:szCs w:val="22"/>
                <w:lang w:val="fr-CA"/>
              </w:rPr>
              <w:t xml:space="preserve">, Deschamps, Fish, Abella, Charron, </w:t>
            </w:r>
            <w:proofErr w:type="spellStart"/>
            <w:r w:rsidRPr="00D931F2">
              <w:rPr>
                <w:sz w:val="22"/>
                <w:szCs w:val="22"/>
                <w:lang w:val="fr-CA"/>
              </w:rPr>
              <w:t>Rothstein</w:t>
            </w:r>
            <w:proofErr w:type="spellEnd"/>
            <w:r w:rsidRPr="00D931F2">
              <w:rPr>
                <w:sz w:val="22"/>
                <w:szCs w:val="22"/>
                <w:lang w:val="fr-CA"/>
              </w:rPr>
              <w:t xml:space="preserve"> et Cromwell)</w:t>
            </w:r>
          </w:p>
          <w:p w:rsidR="00D931F2" w:rsidRPr="00D931F2" w:rsidRDefault="00D931F2" w:rsidP="008D0A0E">
            <w:pPr>
              <w:rPr>
                <w:sz w:val="22"/>
                <w:szCs w:val="22"/>
                <w:lang w:val="fr-CA"/>
              </w:rPr>
            </w:pPr>
          </w:p>
        </w:tc>
      </w:tr>
    </w:tbl>
    <w:p w:rsidR="00D931F2" w:rsidRPr="00D931F2" w:rsidRDefault="007937F3" w:rsidP="00D931F2">
      <w:pPr>
        <w:rPr>
          <w:rFonts w:eastAsiaTheme="minorHAnsi" w:cstheme="minorBidi"/>
          <w:sz w:val="22"/>
          <w:szCs w:val="22"/>
          <w:lang w:val="fr-CA" w:eastAsia="en-US"/>
        </w:rPr>
      </w:pPr>
      <w:r w:rsidRPr="007937F3">
        <w:rPr>
          <w:rFonts w:eastAsiaTheme="minorHAnsi" w:cstheme="minorBidi"/>
          <w:noProof/>
          <w:sz w:val="22"/>
          <w:szCs w:val="22"/>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C74417" w:rsidRPr="00E2584C" w:rsidRDefault="00E2584C" w:rsidP="00C74417">
      <w:pPr>
        <w:spacing w:after="720"/>
        <w:jc w:val="both"/>
        <w:rPr>
          <w:smallCaps/>
          <w:lang w:val="en-US"/>
        </w:rPr>
      </w:pPr>
      <w:r w:rsidRPr="00E2584C">
        <w:rPr>
          <w:lang w:val="en-US"/>
        </w:rPr>
        <w:lastRenderedPageBreak/>
        <w:t xml:space="preserve">R. </w:t>
      </w:r>
      <w:r w:rsidRPr="00E2584C">
        <w:rPr>
          <w:i/>
          <w:lang w:val="en-US"/>
        </w:rPr>
        <w:t>c.</w:t>
      </w:r>
      <w:r w:rsidRPr="00E2584C">
        <w:rPr>
          <w:lang w:val="en-US"/>
        </w:rPr>
        <w:t xml:space="preserve"> Imperial Tobacco Canada </w:t>
      </w:r>
      <w:proofErr w:type="spellStart"/>
      <w:r w:rsidRPr="00E2584C">
        <w:rPr>
          <w:lang w:val="en-US"/>
        </w:rPr>
        <w:t>Ltée</w:t>
      </w:r>
      <w:proofErr w:type="spellEnd"/>
      <w:r w:rsidRPr="00E2584C">
        <w:rPr>
          <w:smallCaps/>
          <w:lang w:val="en-US"/>
        </w:rPr>
        <w:t>,</w:t>
      </w:r>
      <w:r>
        <w:rPr>
          <w:smallCaps/>
          <w:lang w:val="en-US"/>
        </w:rPr>
        <w:t xml:space="preserve"> </w:t>
      </w:r>
      <w:r w:rsidRPr="00B838E8">
        <w:rPr>
          <w:rStyle w:val="SCCRespondentForRunningHeadChar"/>
          <w:rFonts w:eastAsiaTheme="minorEastAsia"/>
          <w:lang w:val="en-US"/>
        </w:rPr>
        <w:t>2011 CSC 4</w:t>
      </w:r>
      <w:r>
        <w:rPr>
          <w:rStyle w:val="SCCRespondentForRunningHeadChar"/>
          <w:rFonts w:eastAsiaTheme="minorEastAsia"/>
          <w:lang w:val="en-US"/>
        </w:rPr>
        <w:t>2</w:t>
      </w:r>
      <w:r w:rsidRPr="00B838E8">
        <w:rPr>
          <w:rStyle w:val="SCCRespondentForRunningHeadChar"/>
          <w:rFonts w:eastAsiaTheme="minorEastAsia"/>
          <w:lang w:val="en-US"/>
        </w:rPr>
        <w:t>, [2011] 3 R.C.S</w:t>
      </w:r>
      <w:r>
        <w:rPr>
          <w:rStyle w:val="SCCRespondentForRunningHeadChar"/>
          <w:rFonts w:eastAsiaTheme="minorEastAsia"/>
          <w:lang w:val="en-US"/>
        </w:rPr>
        <w:t>. 45</w:t>
      </w:r>
    </w:p>
    <w:p w:rsidR="00C74417" w:rsidRPr="00C74417" w:rsidRDefault="00C74417" w:rsidP="00C74417">
      <w:pPr>
        <w:tabs>
          <w:tab w:val="right" w:pos="8222"/>
        </w:tabs>
        <w:spacing w:after="720"/>
        <w:jc w:val="both"/>
        <w:rPr>
          <w:i/>
          <w:lang w:val="fr-CA"/>
        </w:rPr>
      </w:pPr>
      <w:r w:rsidRPr="00C74417">
        <w:rPr>
          <w:b/>
          <w:lang w:val="fr-CA"/>
        </w:rPr>
        <w:t>Sa Majesté la Reine du chef du Canada</w:t>
      </w:r>
      <w:r w:rsidRPr="00C74417">
        <w:rPr>
          <w:b/>
          <w:lang w:val="fr-CA"/>
        </w:rPr>
        <w:tab/>
      </w:r>
      <w:r w:rsidRPr="00C74417">
        <w:rPr>
          <w:i/>
          <w:lang w:val="fr-CA"/>
        </w:rPr>
        <w:t>Appelante/intimée au pourvoi incident</w:t>
      </w:r>
    </w:p>
    <w:p w:rsidR="00C74417" w:rsidRPr="00C74417" w:rsidRDefault="00C74417" w:rsidP="00C74417">
      <w:pPr>
        <w:spacing w:after="720"/>
        <w:rPr>
          <w:i/>
          <w:lang w:val="fr-CA"/>
        </w:rPr>
      </w:pPr>
      <w:proofErr w:type="gramStart"/>
      <w:r w:rsidRPr="00C74417">
        <w:rPr>
          <w:i/>
          <w:lang w:val="fr-CA"/>
        </w:rPr>
        <w:t>c</w:t>
      </w:r>
      <w:proofErr w:type="gramEnd"/>
      <w:r w:rsidRPr="00C74417">
        <w:rPr>
          <w:i/>
          <w:lang w:val="fr-CA"/>
        </w:rPr>
        <w:t>.</w:t>
      </w:r>
    </w:p>
    <w:p w:rsidR="00C74417" w:rsidRPr="00C74417" w:rsidRDefault="00C74417" w:rsidP="00C74417">
      <w:pPr>
        <w:tabs>
          <w:tab w:val="right" w:pos="8222"/>
        </w:tabs>
        <w:spacing w:after="720"/>
        <w:jc w:val="both"/>
        <w:rPr>
          <w:i/>
          <w:lang w:val="fr-CA"/>
        </w:rPr>
      </w:pPr>
      <w:r w:rsidRPr="00C74417">
        <w:rPr>
          <w:b/>
          <w:lang w:val="fr-CA"/>
        </w:rPr>
        <w:t>Imperial Tobacco Canada Limitée</w:t>
      </w:r>
      <w:r w:rsidRPr="00C74417">
        <w:rPr>
          <w:b/>
          <w:lang w:val="fr-CA"/>
        </w:rPr>
        <w:tab/>
      </w:r>
      <w:r w:rsidRPr="00C74417">
        <w:rPr>
          <w:i/>
          <w:lang w:val="fr-CA"/>
        </w:rPr>
        <w:t>Intimée/appelante au pourvoi incident</w:t>
      </w:r>
    </w:p>
    <w:p w:rsidR="00C74417" w:rsidRPr="00C74417" w:rsidRDefault="00C74417" w:rsidP="00C74417">
      <w:pPr>
        <w:spacing w:after="720"/>
        <w:rPr>
          <w:lang w:val="fr-CA"/>
        </w:rPr>
      </w:pPr>
      <w:proofErr w:type="gramStart"/>
      <w:r w:rsidRPr="00C74417">
        <w:rPr>
          <w:lang w:val="fr-CA"/>
        </w:rPr>
        <w:t>et</w:t>
      </w:r>
      <w:proofErr w:type="gramEnd"/>
    </w:p>
    <w:p w:rsidR="00C74417" w:rsidRPr="00C74417" w:rsidRDefault="00C74417" w:rsidP="00C74417">
      <w:pPr>
        <w:jc w:val="both"/>
        <w:rPr>
          <w:b/>
          <w:lang w:val="fr-CA"/>
        </w:rPr>
      </w:pPr>
      <w:r w:rsidRPr="00C74417">
        <w:rPr>
          <w:b/>
          <w:lang w:val="fr-CA"/>
        </w:rPr>
        <w:t xml:space="preserve">Procureur général de l’Ontario et procureur </w:t>
      </w:r>
    </w:p>
    <w:p w:rsidR="00C74417" w:rsidRPr="00C74417" w:rsidRDefault="00C74417" w:rsidP="00C74417">
      <w:pPr>
        <w:tabs>
          <w:tab w:val="right" w:pos="8222"/>
        </w:tabs>
        <w:spacing w:after="720"/>
        <w:jc w:val="both"/>
        <w:rPr>
          <w:i/>
          <w:lang w:val="fr-CA"/>
        </w:rPr>
      </w:pPr>
      <w:proofErr w:type="gramStart"/>
      <w:r w:rsidRPr="00C74417">
        <w:rPr>
          <w:b/>
          <w:lang w:val="fr-CA"/>
        </w:rPr>
        <w:t>général</w:t>
      </w:r>
      <w:proofErr w:type="gramEnd"/>
      <w:r w:rsidRPr="00C74417">
        <w:rPr>
          <w:b/>
          <w:lang w:val="fr-CA"/>
        </w:rPr>
        <w:t xml:space="preserve"> de la </w:t>
      </w:r>
      <w:proofErr w:type="spellStart"/>
      <w:r w:rsidRPr="00C74417">
        <w:rPr>
          <w:b/>
          <w:lang w:val="fr-CA"/>
        </w:rPr>
        <w:t>Colombie</w:t>
      </w:r>
      <w:r w:rsidRPr="00C74417">
        <w:rPr>
          <w:b/>
          <w:lang w:val="fr-CA"/>
        </w:rPr>
        <w:noBreakHyphen/>
        <w:t>Britannique</w:t>
      </w:r>
      <w:proofErr w:type="spellEnd"/>
      <w:r w:rsidRPr="00C74417">
        <w:rPr>
          <w:b/>
          <w:lang w:val="fr-CA"/>
        </w:rPr>
        <w:tab/>
      </w:r>
      <w:r w:rsidRPr="00C74417">
        <w:rPr>
          <w:i/>
          <w:lang w:val="fr-CA"/>
        </w:rPr>
        <w:t>Intervenants</w:t>
      </w:r>
    </w:p>
    <w:p w:rsidR="00C74417" w:rsidRPr="00C74417" w:rsidRDefault="00C74417" w:rsidP="00C74417">
      <w:pPr>
        <w:spacing w:after="720"/>
        <w:rPr>
          <w:lang w:val="fr-CA"/>
        </w:rPr>
      </w:pPr>
      <w:r w:rsidRPr="00C74417">
        <w:rPr>
          <w:szCs w:val="24"/>
          <w:lang w:val="fr-CA"/>
        </w:rPr>
        <w:noBreakHyphen/>
      </w:r>
      <w:r w:rsidRPr="00C74417">
        <w:rPr>
          <w:lang w:val="fr-CA"/>
        </w:rPr>
        <w:t xml:space="preserve"> </w:t>
      </w:r>
      <w:proofErr w:type="gramStart"/>
      <w:r w:rsidRPr="00C74417">
        <w:rPr>
          <w:lang w:val="fr-CA"/>
        </w:rPr>
        <w:t>et</w:t>
      </w:r>
      <w:proofErr w:type="gramEnd"/>
      <w:r w:rsidRPr="00C74417">
        <w:rPr>
          <w:lang w:val="fr-CA"/>
        </w:rPr>
        <w:t xml:space="preserve"> </w:t>
      </w:r>
      <w:r w:rsidRPr="00C74417">
        <w:rPr>
          <w:szCs w:val="24"/>
          <w:lang w:val="fr-CA"/>
        </w:rPr>
        <w:noBreakHyphen/>
      </w:r>
    </w:p>
    <w:p w:rsidR="00C74417" w:rsidRPr="00C74417" w:rsidRDefault="00C74417" w:rsidP="00C74417">
      <w:pPr>
        <w:tabs>
          <w:tab w:val="right" w:pos="8222"/>
        </w:tabs>
        <w:spacing w:after="720"/>
        <w:jc w:val="both"/>
        <w:rPr>
          <w:i/>
          <w:lang w:val="fr-CA"/>
        </w:rPr>
      </w:pPr>
      <w:r w:rsidRPr="00C74417">
        <w:rPr>
          <w:b/>
          <w:lang w:val="fr-CA"/>
        </w:rPr>
        <w:t>Procureur général du Canada</w:t>
      </w:r>
      <w:r w:rsidRPr="00C74417">
        <w:rPr>
          <w:b/>
          <w:lang w:val="fr-CA"/>
        </w:rPr>
        <w:tab/>
      </w:r>
      <w:r w:rsidRPr="00C74417">
        <w:rPr>
          <w:i/>
          <w:lang w:val="fr-CA"/>
        </w:rPr>
        <w:t>Appelant/intimé au pourvoi incident</w:t>
      </w:r>
    </w:p>
    <w:p w:rsidR="00C74417" w:rsidRPr="00C74417" w:rsidRDefault="00C74417" w:rsidP="00C74417">
      <w:pPr>
        <w:spacing w:after="720"/>
        <w:rPr>
          <w:i/>
          <w:lang w:val="fr-CA"/>
        </w:rPr>
      </w:pPr>
      <w:proofErr w:type="gramStart"/>
      <w:r w:rsidRPr="00C74417">
        <w:rPr>
          <w:i/>
          <w:lang w:val="fr-CA"/>
        </w:rPr>
        <w:t>c</w:t>
      </w:r>
      <w:proofErr w:type="gramEnd"/>
      <w:r w:rsidRPr="00C74417">
        <w:rPr>
          <w:i/>
          <w:lang w:val="fr-CA"/>
        </w:rPr>
        <w:t>.</w:t>
      </w:r>
    </w:p>
    <w:p w:rsidR="00C74417" w:rsidRPr="00C74417" w:rsidRDefault="00C74417" w:rsidP="00C74417">
      <w:pPr>
        <w:tabs>
          <w:tab w:val="right" w:pos="8222"/>
        </w:tabs>
        <w:spacing w:after="720"/>
        <w:jc w:val="both"/>
        <w:rPr>
          <w:i/>
          <w:lang w:val="fr-CA"/>
        </w:rPr>
      </w:pPr>
      <w:r w:rsidRPr="00C74417">
        <w:rPr>
          <w:b/>
          <w:lang w:val="fr-CA"/>
        </w:rPr>
        <w:t xml:space="preserve">Sa Majesté la Reine du chef de la </w:t>
      </w:r>
      <w:proofErr w:type="spellStart"/>
      <w:r w:rsidRPr="00C74417">
        <w:rPr>
          <w:b/>
          <w:lang w:val="fr-CA"/>
        </w:rPr>
        <w:t>Colombie</w:t>
      </w:r>
      <w:r w:rsidRPr="00C74417">
        <w:rPr>
          <w:b/>
          <w:lang w:val="fr-CA"/>
        </w:rPr>
        <w:noBreakHyphen/>
        <w:t>Britannique</w:t>
      </w:r>
      <w:proofErr w:type="spellEnd"/>
      <w:r w:rsidRPr="00C74417">
        <w:rPr>
          <w:b/>
          <w:lang w:val="fr-CA"/>
        </w:rPr>
        <w:tab/>
      </w:r>
      <w:r w:rsidRPr="00C74417">
        <w:rPr>
          <w:i/>
          <w:lang w:val="fr-CA"/>
        </w:rPr>
        <w:t>Intimée</w:t>
      </w:r>
    </w:p>
    <w:p w:rsidR="00C74417" w:rsidRPr="00C74417" w:rsidRDefault="00C74417" w:rsidP="00C74417">
      <w:pPr>
        <w:spacing w:after="720"/>
        <w:rPr>
          <w:lang w:val="en-US"/>
        </w:rPr>
      </w:pPr>
      <w:proofErr w:type="gramStart"/>
      <w:r w:rsidRPr="00C74417">
        <w:rPr>
          <w:lang w:val="en-US"/>
        </w:rPr>
        <w:t>et</w:t>
      </w:r>
      <w:proofErr w:type="gramEnd"/>
    </w:p>
    <w:p w:rsidR="00C74417" w:rsidRPr="00C74417" w:rsidRDefault="00C74417" w:rsidP="00C74417">
      <w:pPr>
        <w:jc w:val="both"/>
        <w:rPr>
          <w:b/>
          <w:lang w:val="en-US"/>
        </w:rPr>
      </w:pPr>
      <w:r w:rsidRPr="00C74417">
        <w:rPr>
          <w:b/>
          <w:lang w:val="en-US"/>
        </w:rPr>
        <w:lastRenderedPageBreak/>
        <w:t xml:space="preserve">Imperial Tobacco Canada </w:t>
      </w:r>
      <w:proofErr w:type="spellStart"/>
      <w:r w:rsidRPr="00C74417">
        <w:rPr>
          <w:b/>
          <w:lang w:val="en-US"/>
        </w:rPr>
        <w:t>Limitée</w:t>
      </w:r>
      <w:proofErr w:type="spellEnd"/>
      <w:r w:rsidRPr="00C74417">
        <w:rPr>
          <w:b/>
          <w:lang w:val="en-US"/>
        </w:rPr>
        <w:t xml:space="preserve">, Rothmans, Benson </w:t>
      </w:r>
    </w:p>
    <w:p w:rsidR="00C74417" w:rsidRPr="00C74417" w:rsidRDefault="00C74417" w:rsidP="00C74417">
      <w:pPr>
        <w:jc w:val="both"/>
        <w:rPr>
          <w:b/>
          <w:lang w:val="en-US"/>
        </w:rPr>
      </w:pPr>
      <w:r w:rsidRPr="00C74417">
        <w:rPr>
          <w:b/>
          <w:lang w:val="en-US"/>
        </w:rPr>
        <w:t xml:space="preserve">&amp; Hedges Inc., Rothmans Inc., </w:t>
      </w:r>
      <w:proofErr w:type="spellStart"/>
      <w:r w:rsidRPr="00C74417">
        <w:rPr>
          <w:b/>
          <w:lang w:val="en-US"/>
        </w:rPr>
        <w:t>JTI</w:t>
      </w:r>
      <w:r w:rsidRPr="00C74417">
        <w:rPr>
          <w:b/>
          <w:lang w:val="en-US"/>
        </w:rPr>
        <w:noBreakHyphen/>
        <w:t>MacDonald</w:t>
      </w:r>
      <w:proofErr w:type="spellEnd"/>
      <w:r w:rsidRPr="00C74417">
        <w:rPr>
          <w:b/>
          <w:lang w:val="en-US"/>
        </w:rPr>
        <w:t xml:space="preserve"> Corp., </w:t>
      </w:r>
    </w:p>
    <w:p w:rsidR="00C74417" w:rsidRPr="00C74417" w:rsidRDefault="00C74417" w:rsidP="00C74417">
      <w:pPr>
        <w:jc w:val="both"/>
        <w:rPr>
          <w:b/>
          <w:lang w:val="en-US"/>
        </w:rPr>
      </w:pPr>
      <w:r w:rsidRPr="00C74417">
        <w:rPr>
          <w:b/>
          <w:lang w:val="en-US"/>
        </w:rPr>
        <w:t xml:space="preserve">R.J. Reynolds Tobacco Company, R.J. Reynolds </w:t>
      </w:r>
    </w:p>
    <w:p w:rsidR="00C74417" w:rsidRPr="00C74417" w:rsidRDefault="00C74417" w:rsidP="00C74417">
      <w:pPr>
        <w:jc w:val="both"/>
        <w:rPr>
          <w:b/>
          <w:lang w:val="en-US"/>
        </w:rPr>
      </w:pPr>
      <w:r w:rsidRPr="00C74417">
        <w:rPr>
          <w:b/>
          <w:lang w:val="en-US"/>
        </w:rPr>
        <w:t xml:space="preserve">Tobacco International Inc., B.A.T. Industries </w:t>
      </w:r>
      <w:proofErr w:type="spellStart"/>
      <w:r w:rsidRPr="00C74417">
        <w:rPr>
          <w:b/>
          <w:lang w:val="en-US"/>
        </w:rPr>
        <w:t>p.l.c</w:t>
      </w:r>
      <w:proofErr w:type="spellEnd"/>
      <w:proofErr w:type="gramStart"/>
      <w:r w:rsidRPr="00C74417">
        <w:rPr>
          <w:b/>
          <w:lang w:val="en-US"/>
        </w:rPr>
        <w:t>.,</w:t>
      </w:r>
      <w:proofErr w:type="gramEnd"/>
      <w:r w:rsidRPr="00C74417">
        <w:rPr>
          <w:b/>
          <w:lang w:val="en-US"/>
        </w:rPr>
        <w:t xml:space="preserve"> </w:t>
      </w:r>
    </w:p>
    <w:p w:rsidR="00C74417" w:rsidRPr="00C74417" w:rsidRDefault="00C74417" w:rsidP="00C74417">
      <w:pPr>
        <w:jc w:val="both"/>
        <w:rPr>
          <w:b/>
          <w:lang w:val="en-US"/>
        </w:rPr>
      </w:pPr>
      <w:r w:rsidRPr="00C74417">
        <w:rPr>
          <w:b/>
          <w:lang w:val="en-US"/>
        </w:rPr>
        <w:t xml:space="preserve">British American Tobacco (Investments) Limited, </w:t>
      </w:r>
    </w:p>
    <w:p w:rsidR="00C74417" w:rsidRPr="00C74417" w:rsidRDefault="00C74417" w:rsidP="00C74417">
      <w:pPr>
        <w:jc w:val="both"/>
        <w:rPr>
          <w:b/>
          <w:lang w:val="fr-CA"/>
        </w:rPr>
      </w:pPr>
      <w:r w:rsidRPr="00C74417">
        <w:rPr>
          <w:b/>
          <w:lang w:val="fr-CA"/>
        </w:rPr>
        <w:t xml:space="preserve">Carreras </w:t>
      </w:r>
      <w:proofErr w:type="spellStart"/>
      <w:r w:rsidRPr="00C74417">
        <w:rPr>
          <w:b/>
          <w:lang w:val="fr-CA"/>
        </w:rPr>
        <w:t>Rothmans</w:t>
      </w:r>
      <w:proofErr w:type="spellEnd"/>
      <w:r w:rsidRPr="00C74417">
        <w:rPr>
          <w:b/>
          <w:lang w:val="fr-CA"/>
        </w:rPr>
        <w:t xml:space="preserve"> Limited, Philip Morris USA Inc. </w:t>
      </w:r>
    </w:p>
    <w:p w:rsidR="00C74417" w:rsidRPr="00C74417" w:rsidRDefault="00C74417" w:rsidP="00C74417">
      <w:pPr>
        <w:tabs>
          <w:tab w:val="right" w:pos="8222"/>
        </w:tabs>
        <w:spacing w:after="720"/>
        <w:jc w:val="both"/>
        <w:rPr>
          <w:i/>
          <w:lang w:val="fr-CA"/>
        </w:rPr>
      </w:pPr>
      <w:proofErr w:type="gramStart"/>
      <w:r w:rsidRPr="00C74417">
        <w:rPr>
          <w:b/>
          <w:lang w:val="fr-CA"/>
        </w:rPr>
        <w:t>et</w:t>
      </w:r>
      <w:proofErr w:type="gramEnd"/>
      <w:r w:rsidRPr="00C74417">
        <w:rPr>
          <w:b/>
          <w:lang w:val="fr-CA"/>
        </w:rPr>
        <w:t xml:space="preserve"> Philip Morris International Inc.</w:t>
      </w:r>
      <w:r w:rsidRPr="00C74417">
        <w:rPr>
          <w:b/>
          <w:lang w:val="fr-CA"/>
        </w:rPr>
        <w:tab/>
      </w:r>
      <w:r w:rsidRPr="00C74417">
        <w:rPr>
          <w:i/>
          <w:lang w:val="fr-CA"/>
        </w:rPr>
        <w:t>Intimées/appelantes au pourvoi incident</w:t>
      </w:r>
    </w:p>
    <w:p w:rsidR="00C74417" w:rsidRPr="00C74417" w:rsidRDefault="00C74417" w:rsidP="00C74417">
      <w:pPr>
        <w:spacing w:after="720"/>
        <w:rPr>
          <w:lang w:val="fr-CA"/>
        </w:rPr>
      </w:pPr>
      <w:proofErr w:type="gramStart"/>
      <w:r w:rsidRPr="00C74417">
        <w:rPr>
          <w:lang w:val="fr-CA"/>
        </w:rPr>
        <w:t>et</w:t>
      </w:r>
      <w:proofErr w:type="gramEnd"/>
    </w:p>
    <w:p w:rsidR="00C74417" w:rsidRPr="00C74417" w:rsidRDefault="00C74417" w:rsidP="00C74417">
      <w:pPr>
        <w:jc w:val="both"/>
        <w:rPr>
          <w:b/>
          <w:lang w:val="fr-CA"/>
        </w:rPr>
      </w:pPr>
      <w:r w:rsidRPr="00C74417">
        <w:rPr>
          <w:b/>
          <w:lang w:val="fr-CA"/>
        </w:rPr>
        <w:t xml:space="preserve">Procureur général de l’Ontario, procureur général de la </w:t>
      </w:r>
    </w:p>
    <w:p w:rsidR="00C74417" w:rsidRPr="00C74417" w:rsidRDefault="00C74417" w:rsidP="00C74417">
      <w:pPr>
        <w:jc w:val="both"/>
        <w:rPr>
          <w:b/>
          <w:lang w:val="fr-CA"/>
        </w:rPr>
      </w:pPr>
      <w:proofErr w:type="spellStart"/>
      <w:r w:rsidRPr="00C74417">
        <w:rPr>
          <w:b/>
          <w:lang w:val="fr-CA"/>
        </w:rPr>
        <w:t>Colombie</w:t>
      </w:r>
      <w:r w:rsidRPr="00C74417">
        <w:rPr>
          <w:b/>
          <w:lang w:val="fr-CA"/>
        </w:rPr>
        <w:noBreakHyphen/>
        <w:t>Britannique</w:t>
      </w:r>
      <w:proofErr w:type="spellEnd"/>
      <w:r w:rsidRPr="00C74417">
        <w:rPr>
          <w:b/>
          <w:lang w:val="fr-CA"/>
        </w:rPr>
        <w:t xml:space="preserve"> et Sa Majesté la Reine du chef de la </w:t>
      </w:r>
    </w:p>
    <w:p w:rsidR="00C74417" w:rsidRPr="00C74417" w:rsidRDefault="00C74417" w:rsidP="00C74417">
      <w:pPr>
        <w:tabs>
          <w:tab w:val="right" w:pos="8021"/>
        </w:tabs>
        <w:spacing w:after="720"/>
        <w:jc w:val="both"/>
        <w:rPr>
          <w:b/>
          <w:lang w:val="fr-CA"/>
        </w:rPr>
      </w:pPr>
      <w:proofErr w:type="gramStart"/>
      <w:r w:rsidRPr="00C74417">
        <w:rPr>
          <w:b/>
          <w:lang w:val="fr-CA"/>
        </w:rPr>
        <w:t>province</w:t>
      </w:r>
      <w:proofErr w:type="gramEnd"/>
      <w:r w:rsidRPr="00C74417">
        <w:rPr>
          <w:b/>
          <w:lang w:val="fr-CA"/>
        </w:rPr>
        <w:t xml:space="preserve"> du </w:t>
      </w:r>
      <w:proofErr w:type="spellStart"/>
      <w:r w:rsidRPr="00C74417">
        <w:rPr>
          <w:b/>
          <w:lang w:val="fr-CA"/>
        </w:rPr>
        <w:t>Nouveau</w:t>
      </w:r>
      <w:r w:rsidRPr="00C74417">
        <w:rPr>
          <w:b/>
          <w:lang w:val="fr-CA"/>
        </w:rPr>
        <w:noBreakHyphen/>
        <w:t>Brunswick</w:t>
      </w:r>
      <w:proofErr w:type="spellEnd"/>
      <w:r w:rsidRPr="00C74417">
        <w:rPr>
          <w:b/>
          <w:lang w:val="fr-CA"/>
        </w:rPr>
        <w:tab/>
      </w:r>
      <w:r w:rsidRPr="00C74417">
        <w:rPr>
          <w:i/>
          <w:lang w:val="fr-CA"/>
        </w:rPr>
        <w:t>Intervenants</w:t>
      </w:r>
    </w:p>
    <w:p w:rsidR="00C74417" w:rsidRPr="00C74417" w:rsidRDefault="00C74417" w:rsidP="00C74417">
      <w:pPr>
        <w:spacing w:after="720"/>
        <w:jc w:val="both"/>
        <w:rPr>
          <w:b/>
          <w:lang w:val="fr-CA"/>
        </w:rPr>
      </w:pPr>
      <w:r w:rsidRPr="00C74417">
        <w:rPr>
          <w:b/>
          <w:lang w:val="fr-CA"/>
        </w:rPr>
        <w:t xml:space="preserve">Répertorié : R. </w:t>
      </w:r>
      <w:r w:rsidRPr="00C74417">
        <w:rPr>
          <w:b/>
          <w:i/>
          <w:lang w:val="fr-CA"/>
        </w:rPr>
        <w:t>c.</w:t>
      </w:r>
      <w:r w:rsidRPr="00C74417">
        <w:rPr>
          <w:b/>
          <w:lang w:val="fr-CA"/>
        </w:rPr>
        <w:t xml:space="preserve"> Imperial Tobacco Canada </w:t>
      </w:r>
      <w:proofErr w:type="spellStart"/>
      <w:r w:rsidRPr="00C74417">
        <w:rPr>
          <w:b/>
          <w:lang w:val="fr-CA"/>
        </w:rPr>
        <w:t>Ltée</w:t>
      </w:r>
      <w:proofErr w:type="spellEnd"/>
    </w:p>
    <w:p w:rsidR="00C74417" w:rsidRPr="00C74417" w:rsidRDefault="00C74417" w:rsidP="00C74417">
      <w:pPr>
        <w:spacing w:after="720"/>
        <w:jc w:val="both"/>
        <w:rPr>
          <w:b/>
          <w:lang w:val="fr-CA"/>
        </w:rPr>
      </w:pPr>
      <w:r w:rsidRPr="00C74417">
        <w:rPr>
          <w:b/>
          <w:lang w:val="fr-CA"/>
        </w:rPr>
        <w:t>2011 CSC 42</w:t>
      </w:r>
    </w:p>
    <w:p w:rsidR="00C74417" w:rsidRPr="0090274C" w:rsidRDefault="00C74417" w:rsidP="00C74417">
      <w:pPr>
        <w:spacing w:after="720"/>
        <w:jc w:val="both"/>
        <w:rPr>
          <w:lang w:val="fr-CA"/>
        </w:rPr>
      </w:pPr>
      <w:r w:rsidRPr="0090274C">
        <w:rPr>
          <w:lang w:val="fr-CA"/>
        </w:rPr>
        <w:t>N</w:t>
      </w:r>
      <w:r w:rsidRPr="0090274C">
        <w:rPr>
          <w:vertAlign w:val="superscript"/>
          <w:lang w:val="fr-CA"/>
        </w:rPr>
        <w:t>os</w:t>
      </w:r>
      <w:r w:rsidRPr="0090274C">
        <w:rPr>
          <w:lang w:val="fr-CA"/>
        </w:rPr>
        <w:t xml:space="preserve"> du greffe : 33559, 33563.</w:t>
      </w:r>
    </w:p>
    <w:p w:rsidR="00C74417" w:rsidRPr="0090274C" w:rsidRDefault="00C74417" w:rsidP="00C74417">
      <w:pPr>
        <w:spacing w:after="720"/>
        <w:jc w:val="both"/>
        <w:rPr>
          <w:lang w:val="fr-CA"/>
        </w:rPr>
      </w:pPr>
      <w:r w:rsidRPr="0090274C">
        <w:rPr>
          <w:lang w:val="fr-CA"/>
        </w:rPr>
        <w:t>2011 : 24 février; 2011 : 29 juillet.</w:t>
      </w:r>
    </w:p>
    <w:p w:rsidR="00C74417" w:rsidRPr="0090274C" w:rsidRDefault="00C74417" w:rsidP="00C74417">
      <w:pPr>
        <w:spacing w:after="720"/>
        <w:jc w:val="both"/>
        <w:rPr>
          <w:lang w:val="fr-CA"/>
        </w:rPr>
      </w:pPr>
      <w:r w:rsidRPr="0090274C">
        <w:rPr>
          <w:lang w:val="fr-CA"/>
        </w:rPr>
        <w:t xml:space="preserve">Présents : La juge en chef </w:t>
      </w:r>
      <w:proofErr w:type="spellStart"/>
      <w:r w:rsidRPr="0090274C">
        <w:rPr>
          <w:lang w:val="fr-CA"/>
        </w:rPr>
        <w:t>McLachlin</w:t>
      </w:r>
      <w:proofErr w:type="spellEnd"/>
      <w:r w:rsidRPr="0090274C">
        <w:rPr>
          <w:lang w:val="fr-CA"/>
        </w:rPr>
        <w:t xml:space="preserve"> et les juges </w:t>
      </w:r>
      <w:proofErr w:type="spellStart"/>
      <w:r w:rsidRPr="0090274C">
        <w:rPr>
          <w:lang w:val="fr-CA"/>
        </w:rPr>
        <w:t>Binnie</w:t>
      </w:r>
      <w:proofErr w:type="spellEnd"/>
      <w:r w:rsidRPr="0090274C">
        <w:rPr>
          <w:lang w:val="fr-CA"/>
        </w:rPr>
        <w:t xml:space="preserve">, </w:t>
      </w:r>
      <w:proofErr w:type="spellStart"/>
      <w:r w:rsidRPr="0090274C">
        <w:rPr>
          <w:lang w:val="fr-CA"/>
        </w:rPr>
        <w:t>LeBel</w:t>
      </w:r>
      <w:proofErr w:type="spellEnd"/>
      <w:r w:rsidRPr="0090274C">
        <w:rPr>
          <w:lang w:val="fr-CA"/>
        </w:rPr>
        <w:t xml:space="preserve">, Deschamps, Fish, Abella, Charron, </w:t>
      </w:r>
      <w:proofErr w:type="spellStart"/>
      <w:r w:rsidRPr="0090274C">
        <w:rPr>
          <w:lang w:val="fr-CA"/>
        </w:rPr>
        <w:t>Rothstein</w:t>
      </w:r>
      <w:proofErr w:type="spellEnd"/>
      <w:r w:rsidRPr="0090274C">
        <w:rPr>
          <w:lang w:val="fr-CA"/>
        </w:rPr>
        <w:t xml:space="preserve"> et Cromwell.</w:t>
      </w:r>
    </w:p>
    <w:p w:rsidR="00C74417" w:rsidRPr="00073DF1" w:rsidRDefault="00C74417" w:rsidP="00C74417">
      <w:pPr>
        <w:pStyle w:val="SCCLowerCourtNameLowercase"/>
        <w:spacing w:after="480"/>
      </w:pPr>
      <w:r w:rsidRPr="00073DF1">
        <w:t>en appel de</w:t>
      </w:r>
      <w:r w:rsidR="00854D03">
        <w:t xml:space="preserve"> la cour d’appel de la </w:t>
      </w:r>
      <w:proofErr w:type="spellStart"/>
      <w:r w:rsidR="00854D03">
        <w:t>colombie</w:t>
      </w:r>
      <w:r w:rsidR="00874213">
        <w:t>-</w:t>
      </w:r>
      <w:r w:rsidRPr="00073DF1">
        <w:t>britannique</w:t>
      </w:r>
      <w:proofErr w:type="spellEnd"/>
    </w:p>
    <w:p w:rsidR="00C74417" w:rsidRPr="00073DF1" w:rsidRDefault="00C74417" w:rsidP="00C74417">
      <w:pPr>
        <w:pStyle w:val="SCCNormalDoubleSpacing"/>
        <w:spacing w:after="480"/>
        <w:rPr>
          <w:i/>
          <w:lang w:val="fr-FR"/>
        </w:rPr>
      </w:pPr>
      <w:r w:rsidRPr="00073DF1">
        <w:rPr>
          <w:i/>
        </w:rPr>
        <w:lastRenderedPageBreak/>
        <w:tab/>
      </w:r>
      <w:r w:rsidRPr="00073DF1">
        <w:rPr>
          <w:i/>
          <w:lang w:val="fr-FR"/>
        </w:rPr>
        <w:t xml:space="preserve">Procédure civile — Mise en cause — Requête en radiation — Fabricants de tabac poursuivis par le gouvernement d’une province qui cherche à recouvrer les sommes consacrées au traitement des maladies liées au tabagisme, et par des consommateurs de cigarettes dites « légères » ou « douces » qui demandent des dommages-intérêts et des dommages-intérêts punitifs — Compagnies de tabac mettant en cause le gouvernement fédéral pour lui réclamer une contribution et une indemnisation — Est-il évident et manifeste que les avis de mise en cause ne révèlent aucune cause d’action raisonnable? </w:t>
      </w:r>
    </w:p>
    <w:p w:rsidR="00C74417" w:rsidRPr="00073DF1" w:rsidRDefault="00C74417" w:rsidP="00C74417">
      <w:pPr>
        <w:pStyle w:val="SCCNormalDoubleSpacing"/>
        <w:spacing w:after="480"/>
        <w:rPr>
          <w:i/>
          <w:lang w:val="fr-FR"/>
        </w:rPr>
      </w:pPr>
      <w:r w:rsidRPr="00073DF1">
        <w:rPr>
          <w:i/>
          <w:lang w:val="fr-FR"/>
        </w:rPr>
        <w:tab/>
        <w:t xml:space="preserve">Responsabilité délictuelle — Déclaration inexacte faite par négligence — </w:t>
      </w:r>
      <w:r>
        <w:rPr>
          <w:i/>
          <w:lang w:val="fr-FR"/>
        </w:rPr>
        <w:t>Défaut de mise en garde</w:t>
      </w:r>
      <w:r w:rsidRPr="00073DF1">
        <w:rPr>
          <w:i/>
          <w:lang w:val="fr-FR"/>
        </w:rPr>
        <w:t xml:space="preserve"> — Conception négligente — Obligation de diligence — Lien de proximité — Poursuites engagées par le gouvernement d’une province et des consommateurs contre des fabricants de tabac qui ont mis en cause le gouvernement fédéral pour lui réclamer une contribution et une indemnisation — Gouvernement fédéral prétendant que les déclarations relevaient de la politique générale du gouvernement et étaient de ce fait soustraites au contrôle judiciaire — Les faits allégués établissent-ils l’existence d’une obligation de diligence prima </w:t>
      </w:r>
      <w:proofErr w:type="spellStart"/>
      <w:r w:rsidRPr="00073DF1">
        <w:rPr>
          <w:i/>
          <w:lang w:val="fr-FR"/>
        </w:rPr>
        <w:t>facie</w:t>
      </w:r>
      <w:proofErr w:type="spellEnd"/>
      <w:r w:rsidRPr="00073DF1">
        <w:rPr>
          <w:i/>
          <w:lang w:val="fr-FR"/>
        </w:rPr>
        <w:t xml:space="preserve">? — Dans l’affirmative, des considérations de politique générale opposées écartent-elles cette obligation? </w:t>
      </w:r>
    </w:p>
    <w:p w:rsidR="00C74417" w:rsidRPr="00073DF1" w:rsidRDefault="00C74417" w:rsidP="00C74417">
      <w:pPr>
        <w:pStyle w:val="SCCNormalDoubleSpacing"/>
        <w:spacing w:after="480"/>
        <w:rPr>
          <w:lang w:val="fr-FR"/>
        </w:rPr>
      </w:pPr>
      <w:r w:rsidRPr="00073DF1">
        <w:rPr>
          <w:i/>
          <w:lang w:val="fr-FR"/>
        </w:rPr>
        <w:lastRenderedPageBreak/>
        <w:tab/>
        <w:t xml:space="preserve">Responsabilité délictuelle — Régime législatif provincial conférant un droit d’action contre les fabricants et les fournisseurs de tabac — Le gouvernement fédéral a-t-il engagé sa responsabilité à titre de « fabricant » au sens de la Tobacco Damages and </w:t>
      </w:r>
      <w:proofErr w:type="spellStart"/>
      <w:r w:rsidRPr="00073DF1">
        <w:rPr>
          <w:i/>
          <w:lang w:val="fr-FR"/>
        </w:rPr>
        <w:t>Health</w:t>
      </w:r>
      <w:proofErr w:type="spellEnd"/>
      <w:r w:rsidRPr="00073DF1">
        <w:rPr>
          <w:i/>
          <w:lang w:val="fr-FR"/>
        </w:rPr>
        <w:t xml:space="preserve"> Care </w:t>
      </w:r>
      <w:proofErr w:type="spellStart"/>
      <w:r w:rsidRPr="00073DF1">
        <w:rPr>
          <w:i/>
          <w:lang w:val="fr-FR"/>
        </w:rPr>
        <w:t>Costs</w:t>
      </w:r>
      <w:proofErr w:type="spellEnd"/>
      <w:r w:rsidRPr="00073DF1">
        <w:rPr>
          <w:i/>
          <w:lang w:val="fr-FR"/>
        </w:rPr>
        <w:t xml:space="preserve"> </w:t>
      </w:r>
      <w:proofErr w:type="spellStart"/>
      <w:r w:rsidRPr="00073DF1">
        <w:rPr>
          <w:i/>
          <w:lang w:val="fr-FR"/>
        </w:rPr>
        <w:t>Recovery</w:t>
      </w:r>
      <w:proofErr w:type="spellEnd"/>
      <w:r w:rsidRPr="00073DF1">
        <w:rPr>
          <w:i/>
          <w:lang w:val="fr-FR"/>
        </w:rPr>
        <w:t xml:space="preserve"> </w:t>
      </w:r>
      <w:proofErr w:type="spellStart"/>
      <w:r w:rsidRPr="00073DF1">
        <w:rPr>
          <w:i/>
          <w:lang w:val="fr-FR"/>
        </w:rPr>
        <w:t>Act</w:t>
      </w:r>
      <w:proofErr w:type="spellEnd"/>
      <w:r w:rsidRPr="00073DF1">
        <w:rPr>
          <w:i/>
          <w:lang w:val="fr-FR"/>
        </w:rPr>
        <w:t xml:space="preserve">, S.B.C. 2000, ch. 30, ou de « fournisseur » au sens de la Business Practices and Consumer Protection </w:t>
      </w:r>
      <w:proofErr w:type="spellStart"/>
      <w:r w:rsidRPr="00073DF1">
        <w:rPr>
          <w:i/>
          <w:lang w:val="fr-FR"/>
        </w:rPr>
        <w:t>Act</w:t>
      </w:r>
      <w:proofErr w:type="spellEnd"/>
      <w:r w:rsidRPr="00073DF1">
        <w:rPr>
          <w:i/>
          <w:lang w:val="fr-FR"/>
        </w:rPr>
        <w:t xml:space="preserve">, S.B.C. 2004, ch. 2, et de la Trade Practice </w:t>
      </w:r>
      <w:proofErr w:type="spellStart"/>
      <w:r w:rsidRPr="00073DF1">
        <w:rPr>
          <w:i/>
          <w:lang w:val="fr-FR"/>
        </w:rPr>
        <w:t>Act</w:t>
      </w:r>
      <w:proofErr w:type="spellEnd"/>
      <w:r w:rsidRPr="00073DF1">
        <w:rPr>
          <w:i/>
          <w:lang w:val="fr-FR"/>
        </w:rPr>
        <w:t>, R.S.B.C. 1996, ch. 457?</w:t>
      </w:r>
    </w:p>
    <w:p w:rsidR="00C74417" w:rsidRPr="00073DF1" w:rsidRDefault="00C74417" w:rsidP="00C74417">
      <w:pPr>
        <w:pStyle w:val="SCCNormalDoubleSpacing"/>
        <w:spacing w:after="480"/>
        <w:rPr>
          <w:lang w:val="fr-FR"/>
        </w:rPr>
      </w:pPr>
      <w:r w:rsidRPr="00073DF1">
        <w:rPr>
          <w:lang w:val="fr-FR"/>
        </w:rPr>
        <w:tab/>
        <w:t>Le pourvoi porte sur deux actions intentées devant les tribunaux de la Colombie-Britannique.  Dans l’</w:t>
      </w:r>
      <w:r w:rsidRPr="00073DF1">
        <w:rPr>
          <w:i/>
          <w:lang w:val="fr-FR"/>
        </w:rPr>
        <w:t>Affaire du recouvrement des coûts</w:t>
      </w:r>
      <w:r w:rsidRPr="00073DF1">
        <w:rPr>
          <w:lang w:val="fr-FR"/>
        </w:rPr>
        <w:t xml:space="preserve">, le gouvernement de la Colombie-Britannique cherche, aux termes de la </w:t>
      </w:r>
      <w:r w:rsidRPr="00073DF1">
        <w:rPr>
          <w:i/>
          <w:lang w:val="fr-FR"/>
        </w:rPr>
        <w:t xml:space="preserve">Tobacco Damages and </w:t>
      </w:r>
      <w:proofErr w:type="spellStart"/>
      <w:r w:rsidRPr="00073DF1">
        <w:rPr>
          <w:i/>
          <w:lang w:val="fr-FR"/>
        </w:rPr>
        <w:t>Health</w:t>
      </w:r>
      <w:proofErr w:type="spellEnd"/>
      <w:r w:rsidRPr="00073DF1">
        <w:rPr>
          <w:i/>
          <w:lang w:val="fr-FR"/>
        </w:rPr>
        <w:t xml:space="preserve"> Care </w:t>
      </w:r>
      <w:proofErr w:type="spellStart"/>
      <w:r w:rsidRPr="00073DF1">
        <w:rPr>
          <w:i/>
          <w:lang w:val="fr-FR"/>
        </w:rPr>
        <w:t>Costs</w:t>
      </w:r>
      <w:proofErr w:type="spellEnd"/>
      <w:r w:rsidRPr="00073DF1">
        <w:rPr>
          <w:i/>
          <w:lang w:val="fr-FR"/>
        </w:rPr>
        <w:t xml:space="preserve"> </w:t>
      </w:r>
      <w:proofErr w:type="spellStart"/>
      <w:r w:rsidRPr="00073DF1">
        <w:rPr>
          <w:i/>
          <w:lang w:val="fr-FR"/>
        </w:rPr>
        <w:t>Recovery</w:t>
      </w:r>
      <w:proofErr w:type="spellEnd"/>
      <w:r w:rsidRPr="00073DF1">
        <w:rPr>
          <w:i/>
          <w:lang w:val="fr-FR"/>
        </w:rPr>
        <w:t xml:space="preserve"> </w:t>
      </w:r>
      <w:proofErr w:type="spellStart"/>
      <w:r w:rsidRPr="00073DF1">
        <w:rPr>
          <w:i/>
          <w:lang w:val="fr-FR"/>
        </w:rPr>
        <w:t>Act</w:t>
      </w:r>
      <w:proofErr w:type="spellEnd"/>
      <w:r w:rsidRPr="00073DF1">
        <w:rPr>
          <w:lang w:val="fr-FR"/>
        </w:rPr>
        <w:t xml:space="preserve"> (« </w:t>
      </w:r>
      <w:r w:rsidRPr="00073DF1">
        <w:rPr>
          <w:i/>
          <w:lang w:val="fr-FR"/>
        </w:rPr>
        <w:t xml:space="preserve">CRA </w:t>
      </w:r>
      <w:r w:rsidRPr="00073DF1">
        <w:rPr>
          <w:lang w:val="fr-FR"/>
        </w:rPr>
        <w:t xml:space="preserve">»), à recouvrer d’un groupe de compagnies de tabac, dont Imperial, les sommes consacrées au traitement médical de personnes souffrant de maladies liées au tabagisme.  Selon la Colombie-Britannique, dès 1950, les compagnies de tabac savaient ou auraient dû savoir que les cigarettes étaient néfastes pour la santé et ont </w:t>
      </w:r>
      <w:r>
        <w:rPr>
          <w:lang w:val="fr-FR"/>
        </w:rPr>
        <w:t>fait défaut de mettre le public en garde</w:t>
      </w:r>
      <w:r w:rsidRPr="00073DF1">
        <w:rPr>
          <w:lang w:val="fr-FR"/>
        </w:rPr>
        <w:t xml:space="preserve"> adéquatement </w:t>
      </w:r>
      <w:r>
        <w:rPr>
          <w:lang w:val="fr-FR"/>
        </w:rPr>
        <w:t>contre les</w:t>
      </w:r>
      <w:r w:rsidRPr="00073DF1">
        <w:rPr>
          <w:lang w:val="fr-FR"/>
        </w:rPr>
        <w:t xml:space="preserve"> risques associés à l’usage de leur produit.  Dans l’affaire </w:t>
      </w:r>
      <w:r w:rsidRPr="00073DF1">
        <w:rPr>
          <w:i/>
          <w:lang w:val="fr-FR"/>
        </w:rPr>
        <w:t>Knight</w:t>
      </w:r>
      <w:r w:rsidRPr="00073DF1">
        <w:rPr>
          <w:lang w:val="fr-FR"/>
        </w:rPr>
        <w:t xml:space="preserve">, un recours collectif a été intenté contre Imperial seulement, pour demander, au nom des membres qui ont acheté des cigarettes dites « légères » ou « douces », le remboursement du coût des cigarettes ainsi que le versement de dommages-intérêts punitifs.  Selon eux, la teneur en goudron et en nicotine indiquée sur les paquets de cigarettes fabriquées par Imperial ne correspondait pas aux émissions toxiques réelles pour les fumeurs. Ils </w:t>
      </w:r>
      <w:r w:rsidRPr="00073DF1">
        <w:rPr>
          <w:lang w:val="fr-FR"/>
        </w:rPr>
        <w:lastRenderedPageBreak/>
        <w:t xml:space="preserve">font valoir que la fumée dégagée par les cigarettes légères était tout aussi néfaste que celle dégagée par les cigarettes régulières.   </w:t>
      </w:r>
    </w:p>
    <w:p w:rsidR="00C74417" w:rsidRPr="00073DF1" w:rsidRDefault="00C74417" w:rsidP="00C74417">
      <w:pPr>
        <w:pStyle w:val="SCCNormalDoubleSpacing"/>
        <w:spacing w:after="480"/>
        <w:rPr>
          <w:lang w:val="fr-FR"/>
        </w:rPr>
      </w:pPr>
      <w:r w:rsidRPr="00073DF1">
        <w:rPr>
          <w:lang w:val="fr-FR"/>
        </w:rPr>
        <w:tab/>
        <w:t xml:space="preserve">Dans les deux affaires, les compagnies de tabac ont mis en cause le gouvernement du Canada, prétendant que, si elles étaient tenues responsables envers les demandeurs, elles avaient le droit d’être indemnisées par le Canada </w:t>
      </w:r>
      <w:r>
        <w:rPr>
          <w:lang w:val="fr-FR"/>
        </w:rPr>
        <w:t>pour</w:t>
      </w:r>
      <w:r w:rsidRPr="00073DF1">
        <w:rPr>
          <w:lang w:val="fr-FR"/>
        </w:rPr>
        <w:t xml:space="preserve"> déclarations inexactes faites par négligence, conception négligente et </w:t>
      </w:r>
      <w:r>
        <w:rPr>
          <w:lang w:val="fr-FR"/>
        </w:rPr>
        <w:t>défaut de mise en garde</w:t>
      </w:r>
      <w:r w:rsidRPr="00073DF1">
        <w:rPr>
          <w:lang w:val="fr-FR"/>
        </w:rPr>
        <w:t>; ainsi qu’en vertu de l’</w:t>
      </w:r>
      <w:proofErr w:type="spellStart"/>
      <w:r w:rsidRPr="00073DF1">
        <w:rPr>
          <w:lang w:val="fr-FR"/>
        </w:rPr>
        <w:t>equity</w:t>
      </w:r>
      <w:proofErr w:type="spellEnd"/>
      <w:r w:rsidRPr="00073DF1">
        <w:rPr>
          <w:lang w:val="fr-FR"/>
        </w:rPr>
        <w:t xml:space="preserve">.  Elles font également valoir que le Canada </w:t>
      </w:r>
      <w:proofErr w:type="gramStart"/>
      <w:r w:rsidRPr="00073DF1">
        <w:rPr>
          <w:lang w:val="fr-FR"/>
        </w:rPr>
        <w:t>aurait</w:t>
      </w:r>
      <w:proofErr w:type="gramEnd"/>
      <w:r w:rsidRPr="00073DF1">
        <w:rPr>
          <w:lang w:val="fr-FR"/>
        </w:rPr>
        <w:t xml:space="preserve"> engagé sa propre responsabilité à titre de « fabricant » au sens de la </w:t>
      </w:r>
      <w:r w:rsidRPr="00073DF1">
        <w:rPr>
          <w:i/>
          <w:lang w:val="fr-FR"/>
        </w:rPr>
        <w:t>CRA</w:t>
      </w:r>
      <w:r w:rsidRPr="00073DF1">
        <w:rPr>
          <w:lang w:val="fr-FR"/>
        </w:rPr>
        <w:t xml:space="preserve"> ou à titre de « fournisseur » au sens de la </w:t>
      </w:r>
      <w:r w:rsidRPr="00073DF1">
        <w:rPr>
          <w:i/>
          <w:lang w:val="fr-FR"/>
        </w:rPr>
        <w:t xml:space="preserve">Business Practices and Consumer Protection </w:t>
      </w:r>
      <w:proofErr w:type="spellStart"/>
      <w:r w:rsidRPr="00073DF1">
        <w:rPr>
          <w:i/>
          <w:lang w:val="fr-FR"/>
        </w:rPr>
        <w:t>Act</w:t>
      </w:r>
      <w:proofErr w:type="spellEnd"/>
      <w:r w:rsidRPr="00073DF1">
        <w:rPr>
          <w:lang w:val="fr-FR"/>
        </w:rPr>
        <w:t xml:space="preserve"> et de la </w:t>
      </w:r>
      <w:r w:rsidRPr="00073DF1">
        <w:rPr>
          <w:i/>
          <w:lang w:val="fr-FR"/>
        </w:rPr>
        <w:t xml:space="preserve">Trade Practice </w:t>
      </w:r>
      <w:proofErr w:type="spellStart"/>
      <w:r w:rsidRPr="00073DF1">
        <w:rPr>
          <w:i/>
          <w:lang w:val="fr-FR"/>
        </w:rPr>
        <w:t>Act</w:t>
      </w:r>
      <w:proofErr w:type="spellEnd"/>
      <w:r w:rsidRPr="00073DF1">
        <w:rPr>
          <w:lang w:val="fr-FR"/>
        </w:rPr>
        <w:t xml:space="preserve">, et qu’elles sont en droit d’obtenir du Canada une contribution et une indemnisation en vertu de la </w:t>
      </w:r>
      <w:proofErr w:type="spellStart"/>
      <w:r w:rsidRPr="00073DF1">
        <w:rPr>
          <w:i/>
          <w:lang w:val="fr-FR"/>
        </w:rPr>
        <w:t>Negligence</w:t>
      </w:r>
      <w:proofErr w:type="spellEnd"/>
      <w:r w:rsidRPr="00073DF1">
        <w:rPr>
          <w:i/>
          <w:lang w:val="fr-FR"/>
        </w:rPr>
        <w:t xml:space="preserve"> </w:t>
      </w:r>
      <w:proofErr w:type="spellStart"/>
      <w:r w:rsidRPr="00073DF1">
        <w:rPr>
          <w:i/>
          <w:lang w:val="fr-FR"/>
        </w:rPr>
        <w:t>Act</w:t>
      </w:r>
      <w:proofErr w:type="spellEnd"/>
      <w:r w:rsidRPr="00073DF1">
        <w:rPr>
          <w:lang w:val="fr-FR"/>
        </w:rPr>
        <w:t>.  Le Canada a présenté des requêtes en radiation des avis de mise en cause, faisant valoir qu’il était évident et manifeste que ces avis ne révélaient aucune cause d’action raisonnable.  Dans les deux affaires, les juges siégeant en cabinet ont ordonné la radiation de tous les avis de mise en cause.  La Cour d’appel de la Colombie-Britannique a accueilli en partie les appels interjetés par les compagnies de tabac.  Les juges majoritaires ont conclu à l’opportunité d’instruire, dans l’</w:t>
      </w:r>
      <w:r w:rsidRPr="00073DF1">
        <w:rPr>
          <w:i/>
          <w:lang w:val="fr-FR"/>
        </w:rPr>
        <w:t>Affaire</w:t>
      </w:r>
      <w:r w:rsidRPr="00073DF1">
        <w:rPr>
          <w:lang w:val="fr-FR"/>
        </w:rPr>
        <w:t xml:space="preserve"> </w:t>
      </w:r>
      <w:r w:rsidRPr="00073DF1">
        <w:rPr>
          <w:i/>
          <w:lang w:val="fr-FR"/>
        </w:rPr>
        <w:t>du recouvrement des coûts</w:t>
      </w:r>
      <w:r w:rsidRPr="00073DF1">
        <w:rPr>
          <w:lang w:val="fr-FR"/>
        </w:rPr>
        <w:t xml:space="preserve"> et dans l’affaire </w:t>
      </w:r>
      <w:r w:rsidRPr="00073DF1">
        <w:rPr>
          <w:i/>
          <w:lang w:val="fr-FR"/>
        </w:rPr>
        <w:t>Knight</w:t>
      </w:r>
      <w:r w:rsidRPr="00073DF1">
        <w:rPr>
          <w:lang w:val="fr-FR"/>
        </w:rPr>
        <w:t xml:space="preserve">, les demandes relatives aux déclarations inexactes faites par négligence en violation d’une prétendue obligation de diligence du Canada envers les compagnies de tabac.  Dans l’affaire </w:t>
      </w:r>
      <w:r w:rsidRPr="00073DF1">
        <w:rPr>
          <w:i/>
          <w:lang w:val="fr-FR"/>
        </w:rPr>
        <w:t>Knight</w:t>
      </w:r>
      <w:r w:rsidRPr="00073DF1">
        <w:rPr>
          <w:lang w:val="fr-FR"/>
        </w:rPr>
        <w:t xml:space="preserve">, les juges majoritaires ont conclu en </w:t>
      </w:r>
      <w:r w:rsidRPr="00073DF1">
        <w:rPr>
          <w:lang w:val="fr-FR"/>
        </w:rPr>
        <w:lastRenderedPageBreak/>
        <w:t xml:space="preserve">outre à l’opportunité d’instruire la demande relative aux déclarations inexactes faites par négligence fondée sur une prétendue obligation de diligence du Canada envers les consommateurs, ainsi que la demande relative à la conception négligente.  La cour a radié à l’unanimité les autres demandes présentées par les compagnies de tabac. </w:t>
      </w:r>
    </w:p>
    <w:p w:rsidR="00C74417" w:rsidRPr="00073DF1" w:rsidRDefault="00C74417" w:rsidP="00C74417">
      <w:pPr>
        <w:pStyle w:val="SCCNormalDoubleSpacing"/>
        <w:spacing w:after="480"/>
        <w:rPr>
          <w:lang w:val="fr-FR"/>
        </w:rPr>
      </w:pPr>
      <w:r w:rsidRPr="00073DF1">
        <w:rPr>
          <w:lang w:val="fr-FR"/>
        </w:rPr>
        <w:tab/>
      </w:r>
      <w:r w:rsidRPr="00073DF1">
        <w:rPr>
          <w:i/>
          <w:lang w:val="fr-FR"/>
        </w:rPr>
        <w:t>Arrêt </w:t>
      </w:r>
      <w:r w:rsidRPr="00B1794F">
        <w:rPr>
          <w:rStyle w:val="QuoteChar"/>
          <w:i w:val="0"/>
          <w:lang w:val="fr-FR"/>
        </w:rPr>
        <w:t>:</w:t>
      </w:r>
      <w:r w:rsidRPr="00B1794F">
        <w:rPr>
          <w:i/>
          <w:lang w:val="fr-FR"/>
        </w:rPr>
        <w:t xml:space="preserve"> </w:t>
      </w:r>
      <w:r w:rsidRPr="00073DF1">
        <w:rPr>
          <w:lang w:val="fr-FR"/>
        </w:rPr>
        <w:t xml:space="preserve">Les pourvois sont accueillis et les demandes sont radiées. Les pourvois incidents interjetés par les compagnies de tabac sont rejetés. </w:t>
      </w:r>
    </w:p>
    <w:p w:rsidR="00C74417" w:rsidRPr="00073DF1" w:rsidRDefault="00C74417" w:rsidP="00C74417">
      <w:pPr>
        <w:pStyle w:val="SCCNormalDoubleSpacing"/>
        <w:spacing w:after="480"/>
        <w:rPr>
          <w:lang w:val="fr-FR"/>
        </w:rPr>
      </w:pPr>
      <w:r w:rsidRPr="00073DF1">
        <w:rPr>
          <w:lang w:val="fr-FR"/>
        </w:rPr>
        <w:tab/>
        <w:t xml:space="preserve">Dans le cas d’une requête en radiation, une demande ne sera radiée que s’il est évident et manifeste, dans l’hypothèse où les faits allégués seraient avérés, que la déclaration ne révèle aucune cause d’action raisonnable.  L’approche doit être généreuse et permettre, dans la mesure du possible, l’instruction de toute demande inédite, mais soutenable.  Cependant, le juge ne peut pas anticiper ce que la preuve qui sera produite permettra d’établir.  En l’espèce, il est évident et manifeste qu’aucune des allégations des compagnies de tabac visant le Canada n’a une possibilité raisonnable d’être accueillie. </w:t>
      </w:r>
    </w:p>
    <w:p w:rsidR="00C74417" w:rsidRPr="00073DF1" w:rsidRDefault="00C74417" w:rsidP="00C74417">
      <w:pPr>
        <w:pStyle w:val="SCCNormalDoubleSpacing"/>
        <w:keepNext/>
        <w:spacing w:after="720" w:line="240" w:lineRule="auto"/>
        <w:rPr>
          <w:i/>
          <w:lang w:val="fr-FR"/>
        </w:rPr>
      </w:pPr>
      <w:r w:rsidRPr="00073DF1">
        <w:rPr>
          <w:i/>
          <w:lang w:val="fr-FR"/>
        </w:rPr>
        <w:t xml:space="preserve">Les prétendues obligations de diligence du Canada envers les fumeurs dans l’Affaire du recouvrement des coûts </w:t>
      </w:r>
    </w:p>
    <w:p w:rsidR="00C74417" w:rsidRPr="00073DF1" w:rsidRDefault="00C74417" w:rsidP="00C74417">
      <w:pPr>
        <w:pStyle w:val="SCCNormalDoubleSpacing"/>
        <w:spacing w:after="480"/>
        <w:rPr>
          <w:lang w:val="fr-FR"/>
        </w:rPr>
      </w:pPr>
      <w:r w:rsidRPr="00073DF1">
        <w:rPr>
          <w:lang w:val="fr-FR"/>
        </w:rPr>
        <w:tab/>
        <w:t>Dans l’</w:t>
      </w:r>
      <w:r w:rsidRPr="00073DF1">
        <w:rPr>
          <w:i/>
          <w:lang w:val="fr-FR"/>
        </w:rPr>
        <w:t>Affaire du recouvrement des coûts</w:t>
      </w:r>
      <w:r w:rsidRPr="00073DF1">
        <w:rPr>
          <w:lang w:val="fr-FR"/>
        </w:rPr>
        <w:t xml:space="preserve">, les demandes de contribution et d’indemnisation de droit privé dirigées contre le Canada et fondées sur des </w:t>
      </w:r>
      <w:r w:rsidRPr="00073DF1">
        <w:rPr>
          <w:lang w:val="fr-FR"/>
        </w:rPr>
        <w:lastRenderedPageBreak/>
        <w:t>manquements allégués à une obligation de diligence envers les fumeurs</w:t>
      </w:r>
      <w:r w:rsidRPr="00073DF1">
        <w:rPr>
          <w:i/>
          <w:lang w:val="fr-FR"/>
        </w:rPr>
        <w:t xml:space="preserve"> </w:t>
      </w:r>
      <w:r w:rsidRPr="00073DF1">
        <w:rPr>
          <w:lang w:val="fr-FR"/>
        </w:rPr>
        <w:t xml:space="preserve">doivent être radiées.  Un tiers ne peut être tenu de verser une contribution en vertu de la </w:t>
      </w:r>
      <w:proofErr w:type="spellStart"/>
      <w:r w:rsidRPr="00073DF1">
        <w:rPr>
          <w:i/>
          <w:lang w:val="fr-FR"/>
        </w:rPr>
        <w:t>Negligence</w:t>
      </w:r>
      <w:proofErr w:type="spellEnd"/>
      <w:r w:rsidRPr="00073DF1">
        <w:rPr>
          <w:i/>
          <w:lang w:val="fr-FR"/>
        </w:rPr>
        <w:t xml:space="preserve"> </w:t>
      </w:r>
      <w:proofErr w:type="spellStart"/>
      <w:r w:rsidRPr="00073DF1">
        <w:rPr>
          <w:i/>
          <w:lang w:val="fr-FR"/>
        </w:rPr>
        <w:t>Act</w:t>
      </w:r>
      <w:proofErr w:type="spellEnd"/>
      <w:r w:rsidRPr="00073DF1">
        <w:rPr>
          <w:lang w:val="fr-FR"/>
        </w:rPr>
        <w:t xml:space="preserve"> que s’il est directement responsable envers le demandeur, en l’occurrence la Colombie-Britannique.  En l’espèce, même si le Canada a manqué à ses obligations envers les fumeurs, ce manquement n’aurait aucune incidence sur la question de savoir s’il est responsable envers la Colombie-Britannique. </w:t>
      </w:r>
    </w:p>
    <w:p w:rsidR="00C74417" w:rsidRPr="00073DF1" w:rsidRDefault="00C74417" w:rsidP="00C74417">
      <w:pPr>
        <w:pStyle w:val="SCCNormalDoubleSpacing"/>
        <w:keepNext/>
        <w:spacing w:after="480"/>
        <w:rPr>
          <w:i/>
          <w:lang w:val="fr-FR"/>
        </w:rPr>
      </w:pPr>
      <w:r w:rsidRPr="00073DF1">
        <w:rPr>
          <w:i/>
          <w:lang w:val="fr-FR"/>
        </w:rPr>
        <w:t xml:space="preserve">Les allégations de déclarations inexactes faites par négligence </w:t>
      </w:r>
    </w:p>
    <w:p w:rsidR="00C74417" w:rsidRPr="00073DF1" w:rsidRDefault="00C74417" w:rsidP="00C74417">
      <w:pPr>
        <w:pStyle w:val="SCCNormalDoubleSpacing"/>
        <w:spacing w:after="480"/>
        <w:rPr>
          <w:lang w:val="fr-FR"/>
        </w:rPr>
      </w:pPr>
      <w:r w:rsidRPr="00073DF1">
        <w:rPr>
          <w:lang w:val="fr-FR"/>
        </w:rPr>
        <w:tab/>
        <w:t xml:space="preserve">Les allégations en l’espèce mettent en cause deux liens : celui entre le Canada et les consommateurs, et celui entre le Canada et les compagnies de tabac.  Dans l’affaire </w:t>
      </w:r>
      <w:r w:rsidRPr="00073DF1">
        <w:rPr>
          <w:i/>
          <w:lang w:val="fr-FR"/>
        </w:rPr>
        <w:t>Knight</w:t>
      </w:r>
      <w:r w:rsidRPr="00073DF1">
        <w:rPr>
          <w:lang w:val="fr-FR"/>
        </w:rPr>
        <w:t xml:space="preserve">, Imperial prétend que le Canada a fait preuve de négligence en déclarant faussement aux fumeurs que la cigarette à teneur réduite en goudron serait moins nocive pour la santé. Dans l’affaire </w:t>
      </w:r>
      <w:r w:rsidRPr="00073DF1">
        <w:rPr>
          <w:i/>
          <w:lang w:val="fr-FR"/>
        </w:rPr>
        <w:t>Knight</w:t>
      </w:r>
      <w:r w:rsidRPr="00073DF1">
        <w:rPr>
          <w:lang w:val="fr-FR"/>
        </w:rPr>
        <w:t xml:space="preserve"> et l’</w:t>
      </w:r>
      <w:r w:rsidRPr="00073DF1">
        <w:rPr>
          <w:i/>
          <w:lang w:val="fr-FR"/>
        </w:rPr>
        <w:t>Affaire</w:t>
      </w:r>
      <w:r w:rsidRPr="00073DF1">
        <w:rPr>
          <w:lang w:val="fr-FR"/>
        </w:rPr>
        <w:t xml:space="preserve"> </w:t>
      </w:r>
      <w:r w:rsidRPr="00073DF1">
        <w:rPr>
          <w:i/>
          <w:lang w:val="fr-FR"/>
        </w:rPr>
        <w:t>du</w:t>
      </w:r>
      <w:r w:rsidRPr="00073DF1">
        <w:rPr>
          <w:lang w:val="fr-FR"/>
        </w:rPr>
        <w:t xml:space="preserve"> </w:t>
      </w:r>
      <w:r w:rsidRPr="00073DF1">
        <w:rPr>
          <w:i/>
          <w:lang w:val="fr-FR"/>
        </w:rPr>
        <w:t>recouvrement des coûts</w:t>
      </w:r>
      <w:r w:rsidRPr="00073DF1">
        <w:rPr>
          <w:lang w:val="fr-FR"/>
        </w:rPr>
        <w:t xml:space="preserve">, les compagnies de tabac prétendent que le Canada leur a fait des déclarations inexactes par négligence.  </w:t>
      </w:r>
    </w:p>
    <w:p w:rsidR="00C74417" w:rsidRPr="00073DF1" w:rsidRDefault="00C74417" w:rsidP="00C74417">
      <w:pPr>
        <w:pStyle w:val="SCCNormalDoubleSpacing"/>
        <w:spacing w:after="480"/>
        <w:rPr>
          <w:lang w:val="fr-FR"/>
        </w:rPr>
      </w:pPr>
      <w:r w:rsidRPr="00073DF1">
        <w:rPr>
          <w:lang w:val="fr-FR"/>
        </w:rPr>
        <w:tab/>
        <w:t xml:space="preserve">Les faits allégués ne font pas entrer la relation du Canada avec les consommateurs et les compagnies de tabac dans une catégorie définie en matière de déclarations inexactes faites par négligence.  Par conséquent, afin de déterminer si les causes d’action alléguées ont une possibilité raisonnable d’être accueillies, il faut que </w:t>
      </w:r>
      <w:r w:rsidRPr="00073DF1">
        <w:rPr>
          <w:lang w:val="fr-FR"/>
        </w:rPr>
        <w:lastRenderedPageBreak/>
        <w:t xml:space="preserve">les exigences générales en matière de responsabilité délictuelle soient remplies.  À la première étape, il faut se demander si les faits révèlent l’existence d’un lien de proximité dans le cadre duquel l’omission de faire preuve de diligence raisonnable peut, de façon prévisible, causer une perte ou un préjudice au plaignant.  Dans le cadre d’une action pour déclaration inexacte faite par négligence, ces deux conditions pour qu’il existe une obligation de diligence </w:t>
      </w:r>
      <w:r w:rsidRPr="00073DF1">
        <w:rPr>
          <w:i/>
          <w:lang w:val="fr-FR"/>
        </w:rPr>
        <w:t xml:space="preserve">prima </w:t>
      </w:r>
      <w:proofErr w:type="spellStart"/>
      <w:r w:rsidRPr="00073DF1">
        <w:rPr>
          <w:i/>
          <w:lang w:val="fr-FR"/>
        </w:rPr>
        <w:t>facie</w:t>
      </w:r>
      <w:proofErr w:type="spellEnd"/>
      <w:r w:rsidRPr="00073DF1">
        <w:rPr>
          <w:i/>
          <w:lang w:val="fr-FR"/>
        </w:rPr>
        <w:t xml:space="preserve"> </w:t>
      </w:r>
      <w:r w:rsidRPr="00073DF1">
        <w:rPr>
          <w:lang w:val="fr-FR"/>
        </w:rPr>
        <w:t xml:space="preserve">sont remplies lorsqu’un « lien spécial » unit les parties.  L’existence d’un lien spécial est établie lorsque : (1) le défendeur doit raisonnablement prévoir que le demandeur se fiera à sa déclaration; et que (2) la confiance que le demandeur accorde à la déclaration serait raisonnable dans les circonstances.  Si l’existence d’un lien de proximité est établie, il y a obligation de diligence </w:t>
      </w:r>
      <w:r w:rsidRPr="00073DF1">
        <w:rPr>
          <w:i/>
          <w:lang w:val="fr-FR"/>
        </w:rPr>
        <w:t xml:space="preserve">prima </w:t>
      </w:r>
      <w:proofErr w:type="spellStart"/>
      <w:r w:rsidRPr="00073DF1">
        <w:rPr>
          <w:i/>
          <w:lang w:val="fr-FR"/>
        </w:rPr>
        <w:t>facie</w:t>
      </w:r>
      <w:proofErr w:type="spellEnd"/>
      <w:r w:rsidRPr="00073DF1">
        <w:rPr>
          <w:lang w:val="fr-FR"/>
        </w:rPr>
        <w:t xml:space="preserve"> et l’analyse passe à l’étape suivante dans laquelle on se demande si des considérations de politique empêcheraient de reconnaître cette obligation de diligence </w:t>
      </w:r>
      <w:r w:rsidRPr="00073DF1">
        <w:rPr>
          <w:i/>
          <w:lang w:val="fr-FR"/>
        </w:rPr>
        <w:t xml:space="preserve">prima </w:t>
      </w:r>
      <w:proofErr w:type="spellStart"/>
      <w:r w:rsidRPr="00073DF1">
        <w:rPr>
          <w:i/>
          <w:lang w:val="fr-FR"/>
        </w:rPr>
        <w:t>facie</w:t>
      </w:r>
      <w:proofErr w:type="spellEnd"/>
      <w:r w:rsidRPr="00073DF1">
        <w:rPr>
          <w:lang w:val="fr-FR"/>
        </w:rPr>
        <w:t>.</w:t>
      </w:r>
    </w:p>
    <w:p w:rsidR="00C74417" w:rsidRPr="00073DF1" w:rsidRDefault="00C74417" w:rsidP="00C74417">
      <w:pPr>
        <w:pStyle w:val="SCCNormalDoubleSpacing"/>
        <w:spacing w:after="480"/>
        <w:rPr>
          <w:lang w:val="fr-FR"/>
        </w:rPr>
      </w:pPr>
      <w:r w:rsidRPr="00073DF1">
        <w:rPr>
          <w:lang w:val="fr-FR"/>
        </w:rPr>
        <w:tab/>
        <w:t xml:space="preserve">Compte tenu des faits allégués, le Canada n’avait pas d’obligation de ce genre envers les consommateurs.  Le lien entre eux se limitait aux déclarations du Canada adressées au grand public selon lesquelles les cigarettes à faible teneur en goudron sont moins dangereuses pour la santé. Le Canada n’entretenait pas de rapports spéciaux avec les membres du groupe.  Par conséquent, le constat qu’il s’agit d’un lien suffisamment étroit doit découler des lois applicables.  Les lois pertinentes n’établissent toutefois que des obligations générales envers le public, et aucune </w:t>
      </w:r>
      <w:r w:rsidRPr="00073DF1">
        <w:rPr>
          <w:lang w:val="fr-FR"/>
        </w:rPr>
        <w:lastRenderedPageBreak/>
        <w:t xml:space="preserve">obligation de nature privée envers les consommateurs. Vu l’absence de lien de proximité, il convient de radier cette allégation dans l’affaire </w:t>
      </w:r>
      <w:r w:rsidRPr="00073DF1">
        <w:rPr>
          <w:i/>
          <w:lang w:val="fr-FR"/>
        </w:rPr>
        <w:t>Knight</w:t>
      </w:r>
      <w:r w:rsidRPr="00073DF1">
        <w:rPr>
          <w:lang w:val="fr-FR"/>
        </w:rPr>
        <w:t xml:space="preserve"> à la première étape de l’analyse. </w:t>
      </w:r>
    </w:p>
    <w:p w:rsidR="00C74417" w:rsidRPr="00073DF1" w:rsidRDefault="00C74417" w:rsidP="00C74417">
      <w:pPr>
        <w:pStyle w:val="SCCNormalDoubleSpacing"/>
        <w:spacing w:after="480"/>
        <w:rPr>
          <w:lang w:val="fr-FR"/>
        </w:rPr>
      </w:pPr>
      <w:r w:rsidRPr="00073DF1">
        <w:rPr>
          <w:lang w:val="fr-FR"/>
        </w:rPr>
        <w:tab/>
        <w:t xml:space="preserve">En ce qui concerne les compagnies de tabac, les faits allégués révèlent que le Canada et les compagnies de tabac entretiennent depuis longtemps des rapports qui peuvent constituer un lien spécial imposant une obligation de diligence </w:t>
      </w:r>
      <w:r w:rsidRPr="00073DF1">
        <w:rPr>
          <w:i/>
          <w:lang w:val="fr-FR"/>
        </w:rPr>
        <w:t xml:space="preserve">prima </w:t>
      </w:r>
      <w:proofErr w:type="spellStart"/>
      <w:r w:rsidRPr="00073DF1">
        <w:rPr>
          <w:i/>
          <w:lang w:val="fr-FR"/>
        </w:rPr>
        <w:t>facie</w:t>
      </w:r>
      <w:proofErr w:type="spellEnd"/>
      <w:r w:rsidRPr="00073DF1">
        <w:rPr>
          <w:lang w:val="fr-FR"/>
        </w:rPr>
        <w:t xml:space="preserve">.  On allègue que le Canada a joué un rôle de conseiller auprès d’un nombre déterminé de fabricants et a entretenu des rapports commerciaux avec les sociétés en cause compte tenu, en partie, des avis fournis à ces dernières par des fonctionnaires, avis qui vont bien au-delà des déclarations faites par le Canada au grand public.  De plus, les pouvoirs de réglementation du Canada envers les fabricants, conjugués aux avis précis qu’il a donnés et à sa participation à des activités commerciales, pourraient être considérés comme étayant la conclusion que le Canada aurait raisonnablement dû prévoir que les compagnies de tabac se fieraient aux déclarations et que cette confiance serait raisonnable dans les circonstances alléguées.  </w:t>
      </w:r>
    </w:p>
    <w:p w:rsidR="00C74417" w:rsidRPr="00073DF1" w:rsidRDefault="00C74417" w:rsidP="00C74417">
      <w:pPr>
        <w:pStyle w:val="SCCNormalDoubleSpacing"/>
        <w:spacing w:after="480"/>
        <w:rPr>
          <w:lang w:val="fr-FR"/>
        </w:rPr>
      </w:pPr>
      <w:r w:rsidRPr="00073DF1">
        <w:rPr>
          <w:lang w:val="fr-FR"/>
        </w:rPr>
        <w:tab/>
        <w:t xml:space="preserve">Les déclarations inexactes que le Canada aurait faites par négligence n’engagent toutefois pas sa responsabilité délictuelle parce que des considérations de politique générale s’y opposent.  Les déclarations qui auraient été faites sont des expressions protégées de politique générale du gouvernement.  Les décisions de </w:t>
      </w:r>
      <w:r w:rsidRPr="00073DF1">
        <w:rPr>
          <w:lang w:val="fr-FR"/>
        </w:rPr>
        <w:lastRenderedPageBreak/>
        <w:t xml:space="preserve">politique générale fondamentale du gouvernement qui sont soustraites aux poursuites sont les décisions qui se rapportent à une ligne de conduite et reposent sur des considérations d’intérêt public, tels des facteurs économiques, sociaux ou politiques, pourvu qu’elles ne soient ni irrationnelles ni prises de mauvaise foi.  Les déclarations en cause faisaient partie intégrante d’une politique générale adoptée par les plus hautes instances du gouvernement canadien et élaborée par souci pour la santé des Canadiens et des Canadiennes et en raison des coûts individuels et institutionnels associés aux maladies causées par le tabac, afin d’inciter les personnes qui continuaient de fumer à opter pour des cigarettes à faible teneur en goudron.  </w:t>
      </w:r>
    </w:p>
    <w:p w:rsidR="00C74417" w:rsidRPr="00073DF1" w:rsidRDefault="00C74417" w:rsidP="00C74417">
      <w:pPr>
        <w:pStyle w:val="SCCNormalDoubleSpacing"/>
        <w:spacing w:after="480"/>
        <w:rPr>
          <w:lang w:val="fr-FR"/>
        </w:rPr>
      </w:pPr>
      <w:r w:rsidRPr="00073DF1">
        <w:rPr>
          <w:lang w:val="fr-FR"/>
        </w:rPr>
        <w:tab/>
        <w:t xml:space="preserve">Les allégations de déclarations inexactes faites par négligence doivent aussi être rejetées parce qu’elles exposeraient le Canada à une responsabilité indéterminée. Reconnaître une obligation de diligence à l’égard des déclarations faites aux compagnies de tabac reviendrait en fait à reconnaître une obligation envers les consommateurs.  Le montant des dommages-intérêts dus par le Canada aux compagnies de tabac dans les deux cas dépendrait du nombre de fumeurs et du nombre de cigarettes vendues, alors que le Canada n’exerçait aucun contrôle sur le nombre de fumeurs de cigarettes légères. </w:t>
      </w:r>
    </w:p>
    <w:p w:rsidR="00C74417" w:rsidRPr="00073DF1" w:rsidRDefault="00C74417" w:rsidP="00C74417">
      <w:pPr>
        <w:pStyle w:val="SCCNormalDoubleSpacing"/>
        <w:keepNext/>
        <w:spacing w:after="480"/>
        <w:rPr>
          <w:i/>
          <w:lang w:val="fr-FR"/>
        </w:rPr>
      </w:pPr>
      <w:r w:rsidRPr="00073DF1">
        <w:rPr>
          <w:i/>
          <w:lang w:val="fr-FR"/>
        </w:rPr>
        <w:lastRenderedPageBreak/>
        <w:t xml:space="preserve">Les allégations </w:t>
      </w:r>
      <w:r>
        <w:rPr>
          <w:i/>
          <w:lang w:val="fr-FR"/>
        </w:rPr>
        <w:t>de défaut de mise en garde</w:t>
      </w:r>
    </w:p>
    <w:p w:rsidR="00C74417" w:rsidRPr="00073DF1" w:rsidRDefault="00C74417" w:rsidP="00C74417">
      <w:pPr>
        <w:pStyle w:val="SCCNormalDoubleSpacing"/>
        <w:spacing w:after="480"/>
        <w:rPr>
          <w:lang w:val="fr-FR"/>
        </w:rPr>
      </w:pPr>
      <w:r>
        <w:rPr>
          <w:lang w:val="fr-FR"/>
        </w:rPr>
        <w:tab/>
      </w:r>
      <w:r w:rsidRPr="00073DF1">
        <w:rPr>
          <w:lang w:val="fr-FR"/>
        </w:rPr>
        <w:t xml:space="preserve">Les compagnies de tabac formulent deux allégations </w:t>
      </w:r>
      <w:r>
        <w:rPr>
          <w:lang w:val="fr-FR"/>
        </w:rPr>
        <w:t>de défaut de mise en garde </w:t>
      </w:r>
      <w:r w:rsidRPr="00073DF1">
        <w:rPr>
          <w:lang w:val="fr-FR"/>
        </w:rPr>
        <w:t xml:space="preserve">: (1) le Canada a interdit aux compagnies de tabac d’apposer sur les paquets de cigarettes des mises en garde à l’égard des dangers que présentent les cigarettes pour la santé et (2) le Canada n’a pas avisé les compagnies de tabac des dangers que présentent les souches de tabac conçues par le Canada et pour lesquelles il a octroyé des licences.  Il faut radier ces allégations.  L’élément crucial de la première allégation est essentiellement le même que celui des allégations de déclarations inexactes faites par </w:t>
      </w:r>
      <w:r w:rsidR="00B1794F">
        <w:rPr>
          <w:lang w:val="fr-FR"/>
        </w:rPr>
        <w:t>négligence, et il y a lieu de la</w:t>
      </w:r>
      <w:r w:rsidRPr="00073DF1">
        <w:rPr>
          <w:lang w:val="fr-FR"/>
        </w:rPr>
        <w:t xml:space="preserve"> rejeter pour les mêmes considérations de politique générale. Les recommandations du ministre de la Santé sur les mises en garde faisaient partie intégrante de la politique générale du gouvernement visant à inciter les fumeurs à opter pour des cigarettes à faible teneur en goudron.  En tant que telles, elles ne peuvent fonder une action pour </w:t>
      </w:r>
      <w:r>
        <w:rPr>
          <w:lang w:val="fr-FR"/>
        </w:rPr>
        <w:t>défaut de mise en garde</w:t>
      </w:r>
      <w:r w:rsidRPr="00073DF1">
        <w:rPr>
          <w:lang w:val="fr-FR"/>
        </w:rPr>
        <w:t xml:space="preserve">.  Cela vaut aussi pour la deuxième allégation. Bien que le délit </w:t>
      </w:r>
      <w:r>
        <w:rPr>
          <w:lang w:val="fr-FR"/>
        </w:rPr>
        <w:t>de défaut de mise en garde</w:t>
      </w:r>
      <w:r w:rsidRPr="00073DF1">
        <w:rPr>
          <w:lang w:val="fr-FR"/>
        </w:rPr>
        <w:t xml:space="preserve"> requière la preuve d’une obligation positive envers le demandeur, les avis de mise en cause ne donnent aucunement matière à croire que le Canada avait une telle obligation en l’espèce. Une allégation de négligence, sans plus, est insuffisante pour imposer une obligation de </w:t>
      </w:r>
      <w:r>
        <w:rPr>
          <w:lang w:val="fr-FR"/>
        </w:rPr>
        <w:t>mise en garde</w:t>
      </w:r>
      <w:r w:rsidRPr="00073DF1">
        <w:rPr>
          <w:lang w:val="fr-FR"/>
        </w:rPr>
        <w:t xml:space="preserve">. Quoi qu’il en soit, une allégation de ce genre serait rejetée pour les considérations de politique générale qui s’appliquent aux allégations de déclarations inexactes faites par négligence.  </w:t>
      </w:r>
    </w:p>
    <w:p w:rsidR="00C74417" w:rsidRPr="00073DF1" w:rsidRDefault="00C74417" w:rsidP="00C74417">
      <w:pPr>
        <w:pStyle w:val="SCCNormalDoubleSpacing"/>
        <w:keepNext/>
        <w:spacing w:after="480"/>
        <w:rPr>
          <w:i/>
          <w:lang w:val="fr-FR"/>
        </w:rPr>
      </w:pPr>
      <w:r w:rsidRPr="00073DF1">
        <w:rPr>
          <w:i/>
          <w:lang w:val="fr-FR"/>
        </w:rPr>
        <w:lastRenderedPageBreak/>
        <w:t xml:space="preserve">La conception négligente </w:t>
      </w:r>
    </w:p>
    <w:p w:rsidR="00C74417" w:rsidRPr="00073DF1" w:rsidRDefault="00C74417" w:rsidP="00C74417">
      <w:pPr>
        <w:pStyle w:val="SCCNormalDoubleSpacing"/>
        <w:spacing w:after="480"/>
        <w:rPr>
          <w:lang w:val="fr-FR"/>
        </w:rPr>
      </w:pPr>
      <w:r w:rsidRPr="00073DF1">
        <w:rPr>
          <w:lang w:val="fr-FR"/>
        </w:rPr>
        <w:tab/>
        <w:t xml:space="preserve">Les compagnies de tabac ont soulevé à l’encontre du Canada deux types d’allégations de conception négligente.  Elles affirment que le Canada a manqué à son obligation de diligence envers elles en concevant de manière négligente ses souches de tabac à faible teneur en goudron.  Dans l’affaire </w:t>
      </w:r>
      <w:r w:rsidRPr="00073DF1">
        <w:rPr>
          <w:i/>
          <w:lang w:val="fr-FR"/>
        </w:rPr>
        <w:t>Knight</w:t>
      </w:r>
      <w:r w:rsidRPr="00073DF1">
        <w:rPr>
          <w:lang w:val="fr-FR"/>
        </w:rPr>
        <w:t xml:space="preserve">, Imperial fait valoir que le Canada a manqué à son obligation de diligence envers les consommateurs de cigarettes légères et douces.  Ces deux allégations de conception négligente établissent l’existence d’une obligation de diligence </w:t>
      </w:r>
      <w:r w:rsidRPr="00073DF1">
        <w:rPr>
          <w:i/>
          <w:lang w:val="fr-FR"/>
        </w:rPr>
        <w:t xml:space="preserve">prima </w:t>
      </w:r>
      <w:proofErr w:type="spellStart"/>
      <w:r w:rsidRPr="00073DF1">
        <w:rPr>
          <w:i/>
          <w:lang w:val="fr-FR"/>
        </w:rPr>
        <w:t>facie</w:t>
      </w:r>
      <w:proofErr w:type="spellEnd"/>
      <w:r w:rsidRPr="00073DF1">
        <w:rPr>
          <w:lang w:val="fr-FR"/>
        </w:rPr>
        <w:t xml:space="preserve">.  Pour ce qui est des souches de tabac à faible teneur en goudron conçues par le Canada, le prétendu lien de proximité avec les compagnies de tabac se fonde non pas sur une obligation prévue par la loi, mais sur les rapports entre le Canada et les compagnies de tabac.  Dans l’affaire </w:t>
      </w:r>
      <w:r w:rsidRPr="00073DF1">
        <w:rPr>
          <w:i/>
          <w:lang w:val="fr-FR"/>
        </w:rPr>
        <w:t>Knight</w:t>
      </w:r>
      <w:r w:rsidRPr="00073DF1">
        <w:rPr>
          <w:lang w:val="fr-FR"/>
        </w:rPr>
        <w:t xml:space="preserve"> également, il est au moins possible de soutenir que le Canada agissait comme une entreprise commerciale envers les consommateurs de cigarettes légères et douces lorsqu’il a conçu ses souches de tabac.  Cependant, la décision de concevoir des souches de tabac à faible teneur en goudron parce qu’on croit que les cigarettes fabriquées avec ce tabac seraient moins nuisibles pour la santé constitue une ligne de conduite fondée sur la politique générale du Canada en matière de santé et repose sur des facteurs sociaux et économiques.  Cette décision de politique générale fondamentale du gouvernement ne saurait fonder une poursuite pour conception négligente.  Il faut donc rejeter ces allégations. </w:t>
      </w:r>
    </w:p>
    <w:p w:rsidR="00C74417" w:rsidRPr="00073DF1" w:rsidRDefault="00C74417" w:rsidP="00C74417">
      <w:pPr>
        <w:pStyle w:val="SCCNormalDoubleSpacing"/>
        <w:keepNext/>
        <w:spacing w:after="480"/>
        <w:rPr>
          <w:i/>
          <w:lang w:val="fr-FR"/>
        </w:rPr>
      </w:pPr>
      <w:r w:rsidRPr="00073DF1">
        <w:rPr>
          <w:i/>
          <w:lang w:val="fr-FR"/>
        </w:rPr>
        <w:lastRenderedPageBreak/>
        <w:t xml:space="preserve">Responsabilité d’un « fabricant » et d’un « fournisseur » </w:t>
      </w:r>
    </w:p>
    <w:p w:rsidR="00C74417" w:rsidRPr="00073DF1" w:rsidRDefault="00C74417" w:rsidP="00C74417">
      <w:pPr>
        <w:pStyle w:val="SCCNormalDoubleSpacing"/>
        <w:spacing w:after="480"/>
        <w:rPr>
          <w:lang w:val="fr-FR"/>
        </w:rPr>
      </w:pPr>
      <w:r w:rsidRPr="00073DF1">
        <w:rPr>
          <w:lang w:val="fr-FR"/>
        </w:rPr>
        <w:tab/>
        <w:t>Dans l’</w:t>
      </w:r>
      <w:r w:rsidRPr="00073DF1">
        <w:rPr>
          <w:i/>
          <w:lang w:val="fr-FR"/>
        </w:rPr>
        <w:t>Affaire</w:t>
      </w:r>
      <w:r w:rsidRPr="00073DF1">
        <w:rPr>
          <w:lang w:val="fr-FR"/>
        </w:rPr>
        <w:t xml:space="preserve"> </w:t>
      </w:r>
      <w:r w:rsidRPr="00073DF1">
        <w:rPr>
          <w:i/>
          <w:lang w:val="fr-FR"/>
        </w:rPr>
        <w:t>du recouvrement des coûts</w:t>
      </w:r>
      <w:r w:rsidRPr="00073DF1">
        <w:rPr>
          <w:lang w:val="fr-FR"/>
        </w:rPr>
        <w:t xml:space="preserve">, la demande de contribution des compagnies de tabac visant à faire reconnaître au Canada la qualité de « fabricant » au sens de la </w:t>
      </w:r>
      <w:r w:rsidRPr="00073DF1">
        <w:rPr>
          <w:i/>
          <w:lang w:val="fr-FR"/>
        </w:rPr>
        <w:t>CRA</w:t>
      </w:r>
      <w:r w:rsidRPr="00073DF1">
        <w:rPr>
          <w:lang w:val="fr-FR"/>
        </w:rPr>
        <w:t xml:space="preserve"> doit être radiée.  Il est manifeste et évident que le gouvernement fédéral n’est pas un fabricant de produits du tabac au sens de cette loi.  Lorsqu’on interprète la loi dans son contexte eu égard à l’ensemble de ses dispositions, il appert que la législature de la Colombie-Britannique ne voulait pas imposer au Canada la responsabilité d’un fabricant.  C’est ce que confirment le texte de la loi, l’intention qu’avait le législateur au moment de l’adopter et le contexte plus général des rapports entre la province et le gouvernement fédéral.  Tenir le Canada responsable en application de la </w:t>
      </w:r>
      <w:r w:rsidRPr="00073DF1">
        <w:rPr>
          <w:i/>
          <w:lang w:val="fr-FR"/>
        </w:rPr>
        <w:t>CRA</w:t>
      </w:r>
      <w:r w:rsidRPr="00073DF1">
        <w:rPr>
          <w:lang w:val="fr-FR"/>
        </w:rPr>
        <w:t xml:space="preserve"> contrecarrerait l’intention de la législature de faire passer des contribuables à l’industrie du tabac la responsabilité des coûts des soins de santé résultant d’une faute du fabricant.  Dans le même ordre d’idées, les compagnies de tabac ne peuvent s’appuyer sur la </w:t>
      </w:r>
      <w:proofErr w:type="spellStart"/>
      <w:r w:rsidRPr="00073DF1">
        <w:rPr>
          <w:i/>
          <w:lang w:val="fr-FR"/>
        </w:rPr>
        <w:t>Health</w:t>
      </w:r>
      <w:proofErr w:type="spellEnd"/>
      <w:r w:rsidRPr="00073DF1">
        <w:rPr>
          <w:i/>
          <w:lang w:val="fr-FR"/>
        </w:rPr>
        <w:t xml:space="preserve"> Care </w:t>
      </w:r>
      <w:proofErr w:type="spellStart"/>
      <w:r w:rsidRPr="00073DF1">
        <w:rPr>
          <w:i/>
          <w:lang w:val="fr-FR"/>
        </w:rPr>
        <w:t>Costs</w:t>
      </w:r>
      <w:proofErr w:type="spellEnd"/>
      <w:r w:rsidRPr="00073DF1">
        <w:rPr>
          <w:i/>
          <w:lang w:val="fr-FR"/>
        </w:rPr>
        <w:t xml:space="preserve"> </w:t>
      </w:r>
      <w:proofErr w:type="spellStart"/>
      <w:r w:rsidRPr="00073DF1">
        <w:rPr>
          <w:i/>
          <w:lang w:val="fr-FR"/>
        </w:rPr>
        <w:t>Recovery</w:t>
      </w:r>
      <w:proofErr w:type="spellEnd"/>
      <w:r w:rsidRPr="00073DF1">
        <w:rPr>
          <w:i/>
          <w:lang w:val="fr-FR"/>
        </w:rPr>
        <w:t xml:space="preserve"> </w:t>
      </w:r>
      <w:proofErr w:type="spellStart"/>
      <w:r w:rsidRPr="00073DF1">
        <w:rPr>
          <w:i/>
          <w:lang w:val="fr-FR"/>
        </w:rPr>
        <w:t>Act</w:t>
      </w:r>
      <w:proofErr w:type="spellEnd"/>
      <w:r w:rsidRPr="00073DF1">
        <w:rPr>
          <w:lang w:val="fr-FR"/>
        </w:rPr>
        <w:t xml:space="preserve">, récemment édictée, dans le cadre d’une action intentée pour obtenir une contribution en vertu de la </w:t>
      </w:r>
      <w:r w:rsidRPr="00073DF1">
        <w:rPr>
          <w:i/>
          <w:lang w:val="fr-FR"/>
        </w:rPr>
        <w:t>CRA</w:t>
      </w:r>
      <w:r w:rsidRPr="00073DF1">
        <w:rPr>
          <w:lang w:val="fr-FR"/>
        </w:rPr>
        <w:t xml:space="preserve">.  Enfin, le Canada ne peut être tenu à une contribution au titre de la </w:t>
      </w:r>
      <w:proofErr w:type="spellStart"/>
      <w:r w:rsidRPr="00073DF1">
        <w:rPr>
          <w:i/>
          <w:lang w:val="fr-FR"/>
        </w:rPr>
        <w:t>Negligence</w:t>
      </w:r>
      <w:proofErr w:type="spellEnd"/>
      <w:r w:rsidRPr="00073DF1">
        <w:rPr>
          <w:i/>
          <w:lang w:val="fr-FR"/>
        </w:rPr>
        <w:t xml:space="preserve"> </w:t>
      </w:r>
      <w:proofErr w:type="spellStart"/>
      <w:r w:rsidRPr="00073DF1">
        <w:rPr>
          <w:i/>
          <w:lang w:val="fr-FR"/>
        </w:rPr>
        <w:t>Act</w:t>
      </w:r>
      <w:proofErr w:type="spellEnd"/>
      <w:r w:rsidRPr="00073DF1">
        <w:rPr>
          <w:lang w:val="fr-FR"/>
        </w:rPr>
        <w:t xml:space="preserve"> ou en </w:t>
      </w:r>
      <w:proofErr w:type="spellStart"/>
      <w:r w:rsidRPr="00073DF1">
        <w:rPr>
          <w:lang w:val="fr-FR"/>
        </w:rPr>
        <w:t>common</w:t>
      </w:r>
      <w:proofErr w:type="spellEnd"/>
      <w:r w:rsidRPr="00073DF1">
        <w:rPr>
          <w:lang w:val="fr-FR"/>
        </w:rPr>
        <w:t xml:space="preserve"> </w:t>
      </w:r>
      <w:proofErr w:type="spellStart"/>
      <w:r w:rsidRPr="00073DF1">
        <w:rPr>
          <w:lang w:val="fr-FR"/>
        </w:rPr>
        <w:t>law</w:t>
      </w:r>
      <w:proofErr w:type="spellEnd"/>
      <w:r w:rsidRPr="00073DF1">
        <w:rPr>
          <w:lang w:val="fr-FR"/>
        </w:rPr>
        <w:t xml:space="preserve"> parce qu’il n’est pas directement responsable envers la Colombie-Britannique. </w:t>
      </w:r>
    </w:p>
    <w:p w:rsidR="00C74417" w:rsidRPr="00073DF1" w:rsidRDefault="00C74417" w:rsidP="00C74417">
      <w:pPr>
        <w:pStyle w:val="SCCNormalDoubleSpacing"/>
        <w:spacing w:after="480"/>
        <w:rPr>
          <w:lang w:val="fr-FR"/>
        </w:rPr>
      </w:pPr>
      <w:r w:rsidRPr="00073DF1">
        <w:rPr>
          <w:lang w:val="fr-FR"/>
        </w:rPr>
        <w:lastRenderedPageBreak/>
        <w:tab/>
        <w:t xml:space="preserve">Dans l’affaire </w:t>
      </w:r>
      <w:r w:rsidRPr="00073DF1">
        <w:rPr>
          <w:i/>
          <w:lang w:val="fr-FR"/>
        </w:rPr>
        <w:t>Knight</w:t>
      </w:r>
      <w:r w:rsidRPr="00073DF1">
        <w:rPr>
          <w:lang w:val="fr-FR"/>
        </w:rPr>
        <w:t xml:space="preserve">, la demande d’Imperial de reconnaître au Canada la qualité de « fournisseur » au sens de la </w:t>
      </w:r>
      <w:r w:rsidRPr="00073DF1">
        <w:rPr>
          <w:i/>
          <w:lang w:val="fr-FR"/>
        </w:rPr>
        <w:t xml:space="preserve">Trade Practice </w:t>
      </w:r>
      <w:proofErr w:type="spellStart"/>
      <w:r w:rsidRPr="00073DF1">
        <w:rPr>
          <w:i/>
          <w:lang w:val="fr-FR"/>
        </w:rPr>
        <w:t>Act</w:t>
      </w:r>
      <w:proofErr w:type="spellEnd"/>
      <w:r w:rsidRPr="00073DF1">
        <w:rPr>
          <w:lang w:val="fr-FR"/>
        </w:rPr>
        <w:t xml:space="preserve"> et de la loi qui l’a remplacée, la </w:t>
      </w:r>
      <w:r w:rsidRPr="00073DF1">
        <w:rPr>
          <w:i/>
          <w:lang w:val="fr-FR"/>
        </w:rPr>
        <w:t xml:space="preserve">Business Practices and Consumer Protection </w:t>
      </w:r>
      <w:proofErr w:type="spellStart"/>
      <w:r w:rsidRPr="00073DF1">
        <w:rPr>
          <w:i/>
          <w:lang w:val="fr-FR"/>
        </w:rPr>
        <w:t>Act</w:t>
      </w:r>
      <w:proofErr w:type="spellEnd"/>
      <w:r w:rsidRPr="00073DF1">
        <w:rPr>
          <w:lang w:val="fr-FR"/>
        </w:rPr>
        <w:t xml:space="preserve">, doit aussi être radiée.  Le but recherché par le Canada lorsqu’il a développé et promu le tabac, comme l’indique l’avis de mise en cause, tend à indiquer que le Canada n’agissait pas « dans le cours de ses affaires », dans le sens où cette expression est employée dans ces lois.  Cette expression doit être interprétée comme visant seulement les activités exercées à une fin commerciale.  Il ressort de façon évidente et manifeste des faits allégués que le Canada a promu la consommation de cigarettes à faible teneur en goudron non pas à une fin commerciale, mais à une fin liée à la santé.  Le Canada n’est donc pas un fournisseur et sa responsabilité n’est pas engagée en application de ces lois. </w:t>
      </w:r>
    </w:p>
    <w:p w:rsidR="00C74417" w:rsidRPr="00073DF1" w:rsidRDefault="00C74417" w:rsidP="00C74417">
      <w:pPr>
        <w:pStyle w:val="SCCNormalDoubleSpacing"/>
        <w:keepNext/>
        <w:spacing w:after="480"/>
        <w:rPr>
          <w:i/>
          <w:lang w:val="fr-FR"/>
        </w:rPr>
      </w:pPr>
      <w:r w:rsidRPr="00073DF1">
        <w:rPr>
          <w:i/>
          <w:lang w:val="fr-FR"/>
        </w:rPr>
        <w:t>Demandes d’indemnité fondées sur l’</w:t>
      </w:r>
      <w:proofErr w:type="spellStart"/>
      <w:r w:rsidRPr="00073DF1">
        <w:rPr>
          <w:i/>
          <w:lang w:val="fr-FR"/>
        </w:rPr>
        <w:t>equity</w:t>
      </w:r>
      <w:proofErr w:type="spellEnd"/>
      <w:r w:rsidRPr="00073DF1">
        <w:rPr>
          <w:i/>
          <w:lang w:val="fr-FR"/>
        </w:rPr>
        <w:t xml:space="preserve"> et considérations d’ordre procédural </w:t>
      </w:r>
    </w:p>
    <w:p w:rsidR="00C74417" w:rsidRPr="00073DF1" w:rsidRDefault="00C74417" w:rsidP="00C74417">
      <w:pPr>
        <w:pStyle w:val="SCCNormalDoubleSpacing"/>
        <w:spacing w:after="480"/>
        <w:rPr>
          <w:lang w:val="fr-FR"/>
        </w:rPr>
      </w:pPr>
      <w:r w:rsidRPr="00073DF1">
        <w:rPr>
          <w:lang w:val="fr-FR"/>
        </w:rPr>
        <w:tab/>
        <w:t xml:space="preserve">Les demandes des compagnies de tabac relatives à l’indemnisation en </w:t>
      </w:r>
      <w:proofErr w:type="spellStart"/>
      <w:r w:rsidRPr="00073DF1">
        <w:rPr>
          <w:lang w:val="fr-FR"/>
        </w:rPr>
        <w:t>equity</w:t>
      </w:r>
      <w:proofErr w:type="spellEnd"/>
      <w:r w:rsidRPr="00073DF1">
        <w:rPr>
          <w:lang w:val="fr-FR"/>
        </w:rPr>
        <w:t xml:space="preserve"> doivent être radiées.  La doctrine de l’indemnité fondée sur l’</w:t>
      </w:r>
      <w:proofErr w:type="spellStart"/>
      <w:r w:rsidRPr="00073DF1">
        <w:rPr>
          <w:lang w:val="fr-FR"/>
        </w:rPr>
        <w:t>equity</w:t>
      </w:r>
      <w:proofErr w:type="spellEnd"/>
      <w:r w:rsidRPr="00073DF1">
        <w:rPr>
          <w:lang w:val="fr-FR"/>
        </w:rPr>
        <w:t xml:space="preserve"> est une doctrine restreinte qui ne s’applique que dans les cas où le mandant s’engage expressément ou implicitement à indemniser son mandataire pour avoir agi conformément à ses directives.  Lorsque le Canada a donné à l’industrie du tabac des directives sur la manière dont elle devrait se comporter, il le faisait à titre d’autorité de réglementation du gouvernement qui se souciait de la santé des Canadiens et des </w:t>
      </w:r>
      <w:r w:rsidRPr="00073DF1">
        <w:rPr>
          <w:lang w:val="fr-FR"/>
        </w:rPr>
        <w:lastRenderedPageBreak/>
        <w:t xml:space="preserve">Canadiennes. Dans ces circonstances, il est déraisonnable de déduire que le Canada avait promis implicitement d’indemniser l’industrie pour avoir donné suite à sa demande. </w:t>
      </w:r>
    </w:p>
    <w:p w:rsidR="00C74417" w:rsidRPr="00073DF1" w:rsidRDefault="00C74417" w:rsidP="00C74417">
      <w:pPr>
        <w:pStyle w:val="SCCNormalDoubleSpacing"/>
        <w:spacing w:after="480"/>
        <w:rPr>
          <w:lang w:val="fr-FR"/>
        </w:rPr>
      </w:pPr>
      <w:r w:rsidRPr="00073DF1">
        <w:rPr>
          <w:lang w:val="fr-FR"/>
        </w:rPr>
        <w:tab/>
        <w:t xml:space="preserve">Enfin, il convient de radier les demandes de jugement déclaratoire. La capacité des compagnies de tabac de se défendre ne serait pas gravement compromise si la mise en cause du Canada en l’espèce prenait fin. </w:t>
      </w:r>
    </w:p>
    <w:p w:rsidR="00C74417" w:rsidRPr="00073DF1" w:rsidRDefault="00C74417" w:rsidP="00C74417">
      <w:pPr>
        <w:pStyle w:val="SCCNormalDoubleSpacing"/>
        <w:keepNext/>
        <w:keepLines/>
        <w:spacing w:after="480"/>
        <w:rPr>
          <w:b/>
          <w:lang w:val="en-US"/>
        </w:rPr>
      </w:pPr>
      <w:r w:rsidRPr="00073DF1">
        <w:rPr>
          <w:b/>
          <w:lang w:val="en-US"/>
        </w:rPr>
        <w:t>Jurisprudence</w:t>
      </w:r>
    </w:p>
    <w:p w:rsidR="00C74417" w:rsidRPr="00073DF1" w:rsidRDefault="00C74417" w:rsidP="00C74417">
      <w:pPr>
        <w:pStyle w:val="SCCNormalDoubleSpacing"/>
        <w:spacing w:after="480"/>
        <w:rPr>
          <w:rStyle w:val="documentbody"/>
          <w:lang w:val="en-US"/>
        </w:rPr>
      </w:pPr>
      <w:r w:rsidRPr="00073DF1">
        <w:rPr>
          <w:lang w:val="en-US"/>
        </w:rPr>
        <w:tab/>
      </w:r>
      <w:proofErr w:type="spellStart"/>
      <w:r w:rsidRPr="00073DF1">
        <w:rPr>
          <w:b/>
          <w:lang w:val="en-US"/>
        </w:rPr>
        <w:t>Arrêts</w:t>
      </w:r>
      <w:proofErr w:type="spellEnd"/>
      <w:r w:rsidRPr="00073DF1">
        <w:rPr>
          <w:b/>
          <w:lang w:val="en-US"/>
        </w:rPr>
        <w:t xml:space="preserve"> appliqués :</w:t>
      </w:r>
      <w:r w:rsidRPr="00073DF1">
        <w:rPr>
          <w:lang w:val="en-US"/>
        </w:rPr>
        <w:t xml:space="preserve"> </w:t>
      </w:r>
      <w:r w:rsidRPr="00073DF1">
        <w:rPr>
          <w:i/>
          <w:lang w:val="en-US"/>
        </w:rPr>
        <w:t xml:space="preserve">Succession </w:t>
      </w:r>
      <w:proofErr w:type="spellStart"/>
      <w:r w:rsidRPr="00073DF1">
        <w:rPr>
          <w:rStyle w:val="documentbody"/>
          <w:i/>
          <w:lang w:val="en-US"/>
        </w:rPr>
        <w:t>Odhavji</w:t>
      </w:r>
      <w:proofErr w:type="spellEnd"/>
      <w:r w:rsidRPr="00073DF1">
        <w:rPr>
          <w:rStyle w:val="documentbody"/>
          <w:i/>
          <w:lang w:val="en-US"/>
        </w:rPr>
        <w:t xml:space="preserve"> c. Woodhouse</w:t>
      </w:r>
      <w:r w:rsidRPr="00073DF1">
        <w:rPr>
          <w:rStyle w:val="documentbody"/>
          <w:lang w:val="en-US"/>
        </w:rPr>
        <w:t xml:space="preserve">, 2003 CSC 69, [2003] 3 R.C.S. 263; </w:t>
      </w:r>
      <w:r w:rsidRPr="00073DF1">
        <w:rPr>
          <w:i/>
          <w:lang w:val="en-US"/>
        </w:rPr>
        <w:t>Hunt c. Carey Canada Inc.</w:t>
      </w:r>
      <w:r w:rsidRPr="00073DF1">
        <w:rPr>
          <w:lang w:val="en-US"/>
        </w:rPr>
        <w:t xml:space="preserve">, [1990] 2 R.C.S. 959; </w:t>
      </w:r>
      <w:proofErr w:type="spellStart"/>
      <w:r w:rsidRPr="00073DF1">
        <w:rPr>
          <w:i/>
          <w:iCs/>
          <w:lang w:val="en-US"/>
        </w:rPr>
        <w:t>Anns</w:t>
      </w:r>
      <w:proofErr w:type="spellEnd"/>
      <w:r w:rsidRPr="00073DF1">
        <w:rPr>
          <w:i/>
          <w:iCs/>
          <w:lang w:val="en-US"/>
        </w:rPr>
        <w:t xml:space="preserve"> c. Merton London Borough Council</w:t>
      </w:r>
      <w:r w:rsidRPr="00073DF1">
        <w:rPr>
          <w:lang w:val="en-US"/>
        </w:rPr>
        <w:t xml:space="preserve">, [1978] A.C. 728; </w:t>
      </w:r>
      <w:r w:rsidRPr="00073DF1">
        <w:rPr>
          <w:i/>
          <w:lang w:val="en-US"/>
        </w:rPr>
        <w:t>Cooper c. Hobart</w:t>
      </w:r>
      <w:r w:rsidRPr="00073DF1">
        <w:rPr>
          <w:lang w:val="en-US"/>
        </w:rPr>
        <w:t>,</w:t>
      </w:r>
      <w:r w:rsidRPr="00073DF1">
        <w:rPr>
          <w:i/>
          <w:lang w:val="en-US"/>
        </w:rPr>
        <w:t xml:space="preserve"> </w:t>
      </w:r>
      <w:r w:rsidRPr="00073DF1">
        <w:rPr>
          <w:lang w:val="en-US"/>
        </w:rPr>
        <w:t xml:space="preserve">2001 CSC 79, [2001] 3 R.C.S. 537; </w:t>
      </w:r>
      <w:r w:rsidRPr="00073DF1">
        <w:rPr>
          <w:i/>
          <w:lang w:val="en-US"/>
        </w:rPr>
        <w:t>Hercules Managements</w:t>
      </w:r>
      <w:r w:rsidRPr="00073DF1">
        <w:rPr>
          <w:lang w:val="en-US"/>
        </w:rPr>
        <w:t xml:space="preserve"> </w:t>
      </w:r>
      <w:r w:rsidRPr="00073DF1">
        <w:rPr>
          <w:i/>
          <w:iCs/>
          <w:lang w:val="en-US"/>
        </w:rPr>
        <w:t>Ltd. c. Ernst &amp; Young</w:t>
      </w:r>
      <w:r w:rsidRPr="00073DF1">
        <w:rPr>
          <w:lang w:val="en-US"/>
        </w:rPr>
        <w:t xml:space="preserve">, [1997] 2 R.C.S. 165; </w:t>
      </w:r>
      <w:proofErr w:type="spellStart"/>
      <w:r w:rsidRPr="00073DF1">
        <w:rPr>
          <w:b/>
          <w:lang w:val="en-US"/>
        </w:rPr>
        <w:t>arrêts</w:t>
      </w:r>
      <w:proofErr w:type="spellEnd"/>
      <w:r w:rsidRPr="00073DF1">
        <w:rPr>
          <w:b/>
          <w:lang w:val="en-US"/>
        </w:rPr>
        <w:t xml:space="preserve"> </w:t>
      </w:r>
      <w:proofErr w:type="spellStart"/>
      <w:r w:rsidRPr="00073DF1">
        <w:rPr>
          <w:b/>
          <w:lang w:val="en-US"/>
        </w:rPr>
        <w:t>mentionnés</w:t>
      </w:r>
      <w:proofErr w:type="spellEnd"/>
      <w:r w:rsidRPr="00073DF1">
        <w:rPr>
          <w:b/>
          <w:lang w:val="en-US"/>
        </w:rPr>
        <w:t> :</w:t>
      </w:r>
      <w:r w:rsidRPr="00073DF1">
        <w:rPr>
          <w:lang w:val="en-US"/>
        </w:rPr>
        <w:t xml:space="preserve"> </w:t>
      </w:r>
      <w:proofErr w:type="spellStart"/>
      <w:r w:rsidRPr="00073DF1">
        <w:rPr>
          <w:i/>
          <w:iCs/>
          <w:lang w:val="en-US"/>
        </w:rPr>
        <w:t>Syl</w:t>
      </w:r>
      <w:proofErr w:type="spellEnd"/>
      <w:r w:rsidRPr="00073DF1">
        <w:rPr>
          <w:i/>
          <w:iCs/>
          <w:lang w:val="en-US"/>
        </w:rPr>
        <w:t xml:space="preserve"> Apps Secure Treatment Centre c. B.D.</w:t>
      </w:r>
      <w:r w:rsidRPr="00073DF1">
        <w:rPr>
          <w:lang w:val="en-US"/>
        </w:rPr>
        <w:t>, 2007 CSC 38, [2007] 3 R.C.S.</w:t>
      </w:r>
      <w:r w:rsidRPr="00073DF1">
        <w:rPr>
          <w:i/>
          <w:iCs/>
          <w:lang w:val="en-US"/>
        </w:rPr>
        <w:t xml:space="preserve"> </w:t>
      </w:r>
      <w:r w:rsidRPr="00073DF1">
        <w:rPr>
          <w:lang w:val="en-US"/>
        </w:rPr>
        <w:t xml:space="preserve">83; </w:t>
      </w:r>
      <w:proofErr w:type="spellStart"/>
      <w:r w:rsidRPr="00073DF1">
        <w:rPr>
          <w:i/>
          <w:lang w:val="en-US"/>
        </w:rPr>
        <w:t>Procureur</w:t>
      </w:r>
      <w:proofErr w:type="spellEnd"/>
      <w:r w:rsidRPr="00073DF1">
        <w:rPr>
          <w:i/>
          <w:lang w:val="en-US"/>
        </w:rPr>
        <w:t xml:space="preserve"> </w:t>
      </w:r>
      <w:proofErr w:type="spellStart"/>
      <w:r w:rsidRPr="00073DF1">
        <w:rPr>
          <w:i/>
          <w:lang w:val="en-US"/>
        </w:rPr>
        <w:t>général</w:t>
      </w:r>
      <w:proofErr w:type="spellEnd"/>
      <w:r w:rsidRPr="00073DF1">
        <w:rPr>
          <w:i/>
          <w:lang w:val="en-US"/>
        </w:rPr>
        <w:t xml:space="preserve"> du </w:t>
      </w:r>
      <w:r w:rsidRPr="00073DF1">
        <w:rPr>
          <w:rStyle w:val="documentbody"/>
          <w:i/>
          <w:iCs/>
          <w:lang w:val="en-US"/>
        </w:rPr>
        <w:t>Canada c. Inuit Tapirisat of Canada</w:t>
      </w:r>
      <w:r w:rsidRPr="00073DF1">
        <w:rPr>
          <w:rStyle w:val="documentbody"/>
          <w:lang w:val="en-US"/>
        </w:rPr>
        <w:t xml:space="preserve">, [1980] 2 R.C.S. 735; </w:t>
      </w:r>
      <w:bookmarkStart w:id="0" w:name="OLE_LINK1"/>
      <w:bookmarkStart w:id="1" w:name="OLE_LINK2"/>
      <w:proofErr w:type="spellStart"/>
      <w:r w:rsidRPr="00073DF1">
        <w:rPr>
          <w:i/>
          <w:lang w:val="en-US"/>
        </w:rPr>
        <w:t>Donoghue</w:t>
      </w:r>
      <w:proofErr w:type="spellEnd"/>
      <w:r w:rsidRPr="00073DF1">
        <w:rPr>
          <w:i/>
          <w:lang w:val="en-US"/>
        </w:rPr>
        <w:t xml:space="preserve"> </w:t>
      </w:r>
      <w:bookmarkEnd w:id="0"/>
      <w:bookmarkEnd w:id="1"/>
      <w:r w:rsidRPr="00073DF1">
        <w:rPr>
          <w:i/>
          <w:lang w:val="en-US"/>
        </w:rPr>
        <w:t>c. Stevenson</w:t>
      </w:r>
      <w:r w:rsidRPr="00073DF1">
        <w:rPr>
          <w:lang w:val="en-US"/>
        </w:rPr>
        <w:t xml:space="preserve">, [1932] A.C. 562; </w:t>
      </w:r>
      <w:r w:rsidRPr="00073DF1">
        <w:rPr>
          <w:i/>
          <w:iCs/>
          <w:spacing w:val="-3"/>
          <w:lang w:val="en-US"/>
        </w:rPr>
        <w:t>Hedley Byrne &amp; Co. c. Heller &amp; Partners</w:t>
      </w:r>
      <w:r w:rsidR="00874213">
        <w:rPr>
          <w:i/>
          <w:iCs/>
          <w:spacing w:val="-3"/>
          <w:lang w:val="en-US"/>
        </w:rPr>
        <w:t>,</w:t>
      </w:r>
      <w:r w:rsidRPr="00073DF1">
        <w:rPr>
          <w:i/>
          <w:iCs/>
          <w:spacing w:val="-3"/>
          <w:lang w:val="en-US"/>
        </w:rPr>
        <w:t xml:space="preserve"> Ltd.</w:t>
      </w:r>
      <w:r w:rsidRPr="00073DF1">
        <w:rPr>
          <w:spacing w:val="-3"/>
          <w:lang w:val="en-US"/>
        </w:rPr>
        <w:t xml:space="preserve">, [1963] 2 All E.R. 575; </w:t>
      </w:r>
      <w:r w:rsidRPr="00073DF1">
        <w:rPr>
          <w:i/>
          <w:spacing w:val="-3"/>
          <w:lang w:val="en-US"/>
        </w:rPr>
        <w:t xml:space="preserve">Operation Dismantle Inc. c. La </w:t>
      </w:r>
      <w:proofErr w:type="spellStart"/>
      <w:r w:rsidRPr="00073DF1">
        <w:rPr>
          <w:i/>
          <w:spacing w:val="-3"/>
          <w:lang w:val="en-US"/>
        </w:rPr>
        <w:t>Reine</w:t>
      </w:r>
      <w:proofErr w:type="spellEnd"/>
      <w:r w:rsidRPr="00073DF1">
        <w:rPr>
          <w:spacing w:val="-3"/>
          <w:lang w:val="en-US"/>
        </w:rPr>
        <w:t>, [1985] 1 R.C.S. 441</w:t>
      </w:r>
      <w:r w:rsidRPr="00073DF1">
        <w:rPr>
          <w:lang w:val="en-US"/>
        </w:rPr>
        <w:t xml:space="preserve">; </w:t>
      </w:r>
      <w:proofErr w:type="spellStart"/>
      <w:r w:rsidRPr="00073DF1">
        <w:rPr>
          <w:i/>
          <w:lang w:val="en-US"/>
        </w:rPr>
        <w:t>Giffels</w:t>
      </w:r>
      <w:proofErr w:type="spellEnd"/>
      <w:r w:rsidRPr="00073DF1">
        <w:rPr>
          <w:i/>
          <w:lang w:val="en-US"/>
        </w:rPr>
        <w:t xml:space="preserve"> Associates Ltd. c. Eastern Construction Co.</w:t>
      </w:r>
      <w:r w:rsidRPr="00073DF1">
        <w:rPr>
          <w:lang w:val="en-US"/>
        </w:rPr>
        <w:t>, [1978] 2 R.C.S. 1346</w:t>
      </w:r>
      <w:r w:rsidRPr="00073DF1">
        <w:rPr>
          <w:spacing w:val="-3"/>
          <w:lang w:val="en-US"/>
        </w:rPr>
        <w:t xml:space="preserve">; </w:t>
      </w:r>
      <w:r w:rsidRPr="00073DF1">
        <w:rPr>
          <w:i/>
          <w:lang w:val="en-US"/>
        </w:rPr>
        <w:t xml:space="preserve">Childs c. </w:t>
      </w:r>
      <w:proofErr w:type="spellStart"/>
      <w:r w:rsidRPr="00073DF1">
        <w:rPr>
          <w:i/>
          <w:lang w:val="en-US"/>
        </w:rPr>
        <w:t>Desormeaux</w:t>
      </w:r>
      <w:proofErr w:type="spellEnd"/>
      <w:r w:rsidRPr="00073DF1">
        <w:rPr>
          <w:lang w:val="en-US"/>
        </w:rPr>
        <w:t xml:space="preserve">, 2006 CSC 18, [2006] 1 R.C.S. 643; </w:t>
      </w:r>
      <w:r w:rsidRPr="00073DF1">
        <w:rPr>
          <w:i/>
          <w:lang w:val="en-US"/>
        </w:rPr>
        <w:t xml:space="preserve">Hill c. Commission des services </w:t>
      </w:r>
      <w:proofErr w:type="spellStart"/>
      <w:r w:rsidRPr="00073DF1">
        <w:rPr>
          <w:i/>
          <w:lang w:val="en-US"/>
        </w:rPr>
        <w:t>policiers</w:t>
      </w:r>
      <w:proofErr w:type="spellEnd"/>
      <w:r w:rsidRPr="00073DF1">
        <w:rPr>
          <w:i/>
          <w:lang w:val="en-US"/>
        </w:rPr>
        <w:t xml:space="preserve"> de la </w:t>
      </w:r>
      <w:proofErr w:type="spellStart"/>
      <w:r w:rsidRPr="00073DF1">
        <w:rPr>
          <w:i/>
          <w:lang w:val="en-US"/>
        </w:rPr>
        <w:t>municipalité</w:t>
      </w:r>
      <w:proofErr w:type="spellEnd"/>
      <w:r w:rsidRPr="00073DF1">
        <w:rPr>
          <w:i/>
          <w:lang w:val="en-US"/>
        </w:rPr>
        <w:t xml:space="preserve"> </w:t>
      </w:r>
      <w:proofErr w:type="spellStart"/>
      <w:r w:rsidRPr="00073DF1">
        <w:rPr>
          <w:i/>
          <w:lang w:val="en-US"/>
        </w:rPr>
        <w:t>régionale</w:t>
      </w:r>
      <w:proofErr w:type="spellEnd"/>
      <w:r w:rsidRPr="00073DF1">
        <w:rPr>
          <w:i/>
          <w:lang w:val="en-US"/>
        </w:rPr>
        <w:t xml:space="preserve"> de </w:t>
      </w:r>
      <w:r w:rsidR="00B1794F">
        <w:rPr>
          <w:i/>
          <w:lang w:val="en-US"/>
        </w:rPr>
        <w:t>Hamilton-</w:t>
      </w:r>
      <w:r w:rsidRPr="00073DF1">
        <w:rPr>
          <w:i/>
          <w:lang w:val="en-US"/>
        </w:rPr>
        <w:lastRenderedPageBreak/>
        <w:t>Wentworth</w:t>
      </w:r>
      <w:r w:rsidRPr="00073DF1">
        <w:rPr>
          <w:lang w:val="en-US"/>
        </w:rPr>
        <w:t xml:space="preserve">, 2007 CSC 41, [2007] 3 R.C.S. 129; </w:t>
      </w:r>
      <w:proofErr w:type="spellStart"/>
      <w:r w:rsidRPr="00073DF1">
        <w:rPr>
          <w:i/>
          <w:iCs/>
          <w:lang w:val="en-US"/>
        </w:rPr>
        <w:t>Cie</w:t>
      </w:r>
      <w:proofErr w:type="spellEnd"/>
      <w:r w:rsidRPr="00073DF1">
        <w:rPr>
          <w:i/>
          <w:iCs/>
          <w:lang w:val="en-US"/>
        </w:rPr>
        <w:t xml:space="preserve"> des </w:t>
      </w:r>
      <w:proofErr w:type="spellStart"/>
      <w:r w:rsidRPr="00073DF1">
        <w:rPr>
          <w:i/>
          <w:iCs/>
          <w:lang w:val="en-US"/>
        </w:rPr>
        <w:t>chemins</w:t>
      </w:r>
      <w:proofErr w:type="spellEnd"/>
      <w:r w:rsidRPr="00073DF1">
        <w:rPr>
          <w:i/>
          <w:iCs/>
          <w:lang w:val="en-US"/>
        </w:rPr>
        <w:t xml:space="preserve"> de </w:t>
      </w:r>
      <w:proofErr w:type="spellStart"/>
      <w:r w:rsidRPr="00073DF1">
        <w:rPr>
          <w:i/>
          <w:iCs/>
          <w:lang w:val="en-US"/>
        </w:rPr>
        <w:t>fer</w:t>
      </w:r>
      <w:proofErr w:type="spellEnd"/>
      <w:r w:rsidRPr="00073DF1">
        <w:rPr>
          <w:i/>
          <w:iCs/>
          <w:lang w:val="en-US"/>
        </w:rPr>
        <w:t xml:space="preserve"> </w:t>
      </w:r>
      <w:proofErr w:type="spellStart"/>
      <w:r w:rsidRPr="00073DF1">
        <w:rPr>
          <w:i/>
          <w:iCs/>
          <w:lang w:val="en-US"/>
        </w:rPr>
        <w:t>nationaux</w:t>
      </w:r>
      <w:proofErr w:type="spellEnd"/>
      <w:r w:rsidRPr="00073DF1">
        <w:rPr>
          <w:i/>
          <w:iCs/>
          <w:lang w:val="en-US"/>
        </w:rPr>
        <w:t xml:space="preserve"> du Canada c. </w:t>
      </w:r>
      <w:proofErr w:type="spellStart"/>
      <w:r w:rsidRPr="00073DF1">
        <w:rPr>
          <w:i/>
          <w:iCs/>
          <w:lang w:val="en-US"/>
        </w:rPr>
        <w:t>Norsk</w:t>
      </w:r>
      <w:proofErr w:type="spellEnd"/>
      <w:r w:rsidRPr="00073DF1">
        <w:rPr>
          <w:i/>
          <w:iCs/>
          <w:lang w:val="en-US"/>
        </w:rPr>
        <w:t xml:space="preserve"> Pacific Steamship Co.</w:t>
      </w:r>
      <w:r w:rsidRPr="00073DF1">
        <w:rPr>
          <w:lang w:val="en-US"/>
        </w:rPr>
        <w:t xml:space="preserve">, [1992] 1 R.C.S. 1021; </w:t>
      </w:r>
      <w:r w:rsidRPr="00073DF1">
        <w:rPr>
          <w:i/>
          <w:iCs/>
          <w:lang w:val="en-US"/>
        </w:rPr>
        <w:t>Bow Valley Husky (Bermuda) Ltd. c. Saint John Shipbuilding Ltd.</w:t>
      </w:r>
      <w:r w:rsidRPr="00073DF1">
        <w:rPr>
          <w:lang w:val="en-US"/>
        </w:rPr>
        <w:t xml:space="preserve">, [1997] 3 R.C.S. 1210; </w:t>
      </w:r>
      <w:proofErr w:type="spellStart"/>
      <w:r w:rsidRPr="00073DF1">
        <w:rPr>
          <w:i/>
          <w:lang w:val="en-US"/>
        </w:rPr>
        <w:t>Fullowka</w:t>
      </w:r>
      <w:proofErr w:type="spellEnd"/>
      <w:r w:rsidRPr="00073DF1">
        <w:rPr>
          <w:i/>
          <w:lang w:val="en-US"/>
        </w:rPr>
        <w:t xml:space="preserve"> c. Pinkerton’s of Canada Ltd.</w:t>
      </w:r>
      <w:r w:rsidRPr="00073DF1">
        <w:rPr>
          <w:lang w:val="en-US"/>
        </w:rPr>
        <w:t xml:space="preserve">, 2010 CSC 5, [2010] 1 R.C.S. 132; </w:t>
      </w:r>
      <w:proofErr w:type="spellStart"/>
      <w:r w:rsidRPr="00073DF1">
        <w:rPr>
          <w:i/>
          <w:lang w:val="en-US"/>
        </w:rPr>
        <w:t>Heaslip</w:t>
      </w:r>
      <w:proofErr w:type="spellEnd"/>
      <w:r w:rsidRPr="00073DF1">
        <w:rPr>
          <w:i/>
          <w:lang w:val="en-US"/>
        </w:rPr>
        <w:t xml:space="preserve"> Estate c. Mansfield Ski Club Inc.</w:t>
      </w:r>
      <w:r w:rsidRPr="00073DF1">
        <w:rPr>
          <w:lang w:val="en-US"/>
        </w:rPr>
        <w:t xml:space="preserve">, 2009 ONCA 594, 96 O.R. (3d) 401; </w:t>
      </w:r>
      <w:r w:rsidRPr="00073DF1">
        <w:rPr>
          <w:bCs/>
          <w:i/>
          <w:lang w:val="en-US"/>
        </w:rPr>
        <w:t xml:space="preserve">Eliopoulos Estate c. Ontario (Minister of Health and </w:t>
      </w:r>
      <w:proofErr w:type="spellStart"/>
      <w:r w:rsidRPr="00073DF1">
        <w:rPr>
          <w:bCs/>
          <w:i/>
          <w:lang w:val="en-US"/>
        </w:rPr>
        <w:t>Long</w:t>
      </w:r>
      <w:r w:rsidRPr="00073DF1">
        <w:rPr>
          <w:bCs/>
          <w:i/>
          <w:lang w:val="en-US"/>
        </w:rPr>
        <w:noBreakHyphen/>
        <w:t>Term</w:t>
      </w:r>
      <w:proofErr w:type="spellEnd"/>
      <w:r w:rsidRPr="00073DF1">
        <w:rPr>
          <w:bCs/>
          <w:i/>
          <w:lang w:val="en-US"/>
        </w:rPr>
        <w:t xml:space="preserve"> Care)</w:t>
      </w:r>
      <w:r w:rsidRPr="00073DF1">
        <w:rPr>
          <w:bCs/>
          <w:lang w:val="en-US"/>
        </w:rPr>
        <w:t xml:space="preserve"> (2006), </w:t>
      </w:r>
      <w:r w:rsidRPr="00073DF1">
        <w:rPr>
          <w:rStyle w:val="canliicitation"/>
          <w:lang w:val="en-US"/>
        </w:rPr>
        <w:t xml:space="preserve">276 D.L.R. (4th) 411; </w:t>
      </w:r>
      <w:r w:rsidRPr="00073DF1">
        <w:rPr>
          <w:i/>
          <w:iCs/>
          <w:szCs w:val="24"/>
          <w:lang w:val="en-US"/>
        </w:rPr>
        <w:t xml:space="preserve">Just c. </w:t>
      </w:r>
      <w:proofErr w:type="spellStart"/>
      <w:r w:rsidRPr="00073DF1">
        <w:rPr>
          <w:i/>
          <w:iCs/>
          <w:szCs w:val="24"/>
          <w:lang w:val="en-US"/>
        </w:rPr>
        <w:t>Colombie</w:t>
      </w:r>
      <w:r w:rsidRPr="00073DF1">
        <w:rPr>
          <w:i/>
          <w:iCs/>
          <w:szCs w:val="24"/>
          <w:lang w:val="en-US"/>
        </w:rPr>
        <w:noBreakHyphen/>
        <w:t>Britannique</w:t>
      </w:r>
      <w:proofErr w:type="spellEnd"/>
      <w:r w:rsidRPr="00073DF1">
        <w:rPr>
          <w:szCs w:val="24"/>
          <w:lang w:val="en-US"/>
        </w:rPr>
        <w:t xml:space="preserve">, [1989] 2 R.C.S. 1228; </w:t>
      </w:r>
      <w:r w:rsidRPr="00073DF1">
        <w:rPr>
          <w:i/>
          <w:lang w:val="en-US"/>
        </w:rPr>
        <w:t>Home Office c. Dorset Yacht Co.</w:t>
      </w:r>
      <w:r w:rsidRPr="00073DF1">
        <w:rPr>
          <w:lang w:val="en-US"/>
        </w:rPr>
        <w:t xml:space="preserve">, [1970] 2 W.L.R. 1140; </w:t>
      </w:r>
      <w:r w:rsidR="00B1794F">
        <w:rPr>
          <w:i/>
          <w:lang w:val="en-US"/>
        </w:rPr>
        <w:t xml:space="preserve">Brown c. </w:t>
      </w:r>
      <w:proofErr w:type="spellStart"/>
      <w:r w:rsidR="00B1794F">
        <w:rPr>
          <w:i/>
          <w:lang w:val="en-US"/>
        </w:rPr>
        <w:t>Colombie-</w:t>
      </w:r>
      <w:r w:rsidRPr="00073DF1">
        <w:rPr>
          <w:i/>
          <w:lang w:val="en-US"/>
        </w:rPr>
        <w:t>Britannique</w:t>
      </w:r>
      <w:proofErr w:type="spellEnd"/>
      <w:r w:rsidRPr="00073DF1">
        <w:rPr>
          <w:i/>
          <w:lang w:val="en-US"/>
        </w:rPr>
        <w:t xml:space="preserve"> (</w:t>
      </w:r>
      <w:proofErr w:type="spellStart"/>
      <w:r w:rsidRPr="00073DF1">
        <w:rPr>
          <w:i/>
          <w:lang w:val="en-US"/>
        </w:rPr>
        <w:t>Ministre</w:t>
      </w:r>
      <w:proofErr w:type="spellEnd"/>
      <w:r w:rsidRPr="00073DF1">
        <w:rPr>
          <w:i/>
          <w:lang w:val="en-US"/>
        </w:rPr>
        <w:t xml:space="preserve"> des Transports et de la </w:t>
      </w:r>
      <w:proofErr w:type="spellStart"/>
      <w:r w:rsidRPr="00073DF1">
        <w:rPr>
          <w:i/>
          <w:lang w:val="en-US"/>
        </w:rPr>
        <w:t>Voirie</w:t>
      </w:r>
      <w:proofErr w:type="spellEnd"/>
      <w:r w:rsidRPr="00073DF1">
        <w:rPr>
          <w:i/>
          <w:lang w:val="en-US"/>
        </w:rPr>
        <w:t>)</w:t>
      </w:r>
      <w:r w:rsidRPr="00073DF1">
        <w:rPr>
          <w:lang w:val="en-US"/>
        </w:rPr>
        <w:t xml:space="preserve">, [1994] 1 R.C.S. 420; </w:t>
      </w:r>
      <w:proofErr w:type="spellStart"/>
      <w:r w:rsidRPr="00073DF1">
        <w:rPr>
          <w:rStyle w:val="title"/>
          <w:i/>
          <w:lang w:val="en-US"/>
        </w:rPr>
        <w:t>Sw</w:t>
      </w:r>
      <w:r w:rsidR="00B1794F">
        <w:rPr>
          <w:rStyle w:val="title"/>
          <w:i/>
          <w:lang w:val="en-US"/>
        </w:rPr>
        <w:t>inamer</w:t>
      </w:r>
      <w:proofErr w:type="spellEnd"/>
      <w:r w:rsidR="00B1794F">
        <w:rPr>
          <w:rStyle w:val="title"/>
          <w:i/>
          <w:lang w:val="en-US"/>
        </w:rPr>
        <w:t xml:space="preserve"> c. Nouvelle-</w:t>
      </w:r>
      <w:proofErr w:type="spellStart"/>
      <w:r w:rsidRPr="00073DF1">
        <w:rPr>
          <w:rStyle w:val="title"/>
          <w:i/>
          <w:lang w:val="en-US"/>
        </w:rPr>
        <w:t>Écosse</w:t>
      </w:r>
      <w:proofErr w:type="spellEnd"/>
      <w:r w:rsidRPr="00073DF1">
        <w:rPr>
          <w:rStyle w:val="title"/>
          <w:i/>
          <w:lang w:val="en-US"/>
        </w:rPr>
        <w:t xml:space="preserve"> (</w:t>
      </w:r>
      <w:proofErr w:type="spellStart"/>
      <w:r w:rsidRPr="00073DF1">
        <w:rPr>
          <w:rStyle w:val="title"/>
          <w:i/>
          <w:lang w:val="en-US"/>
        </w:rPr>
        <w:t>Procureur</w:t>
      </w:r>
      <w:proofErr w:type="spellEnd"/>
      <w:r w:rsidRPr="00073DF1">
        <w:rPr>
          <w:rStyle w:val="title"/>
          <w:i/>
          <w:lang w:val="en-US"/>
        </w:rPr>
        <w:t xml:space="preserve"> </w:t>
      </w:r>
      <w:proofErr w:type="spellStart"/>
      <w:r w:rsidRPr="00073DF1">
        <w:rPr>
          <w:rStyle w:val="title"/>
          <w:i/>
          <w:lang w:val="en-US"/>
        </w:rPr>
        <w:t>général</w:t>
      </w:r>
      <w:proofErr w:type="spellEnd"/>
      <w:r w:rsidRPr="00073DF1">
        <w:rPr>
          <w:rStyle w:val="title"/>
          <w:i/>
          <w:lang w:val="en-US"/>
        </w:rPr>
        <w:t>)</w:t>
      </w:r>
      <w:r w:rsidRPr="00073DF1">
        <w:rPr>
          <w:rStyle w:val="item"/>
          <w:lang w:val="en-US"/>
        </w:rPr>
        <w:t xml:space="preserve">, </w:t>
      </w:r>
      <w:r w:rsidRPr="00073DF1">
        <w:rPr>
          <w:rStyle w:val="selected"/>
          <w:lang w:val="en-US"/>
        </w:rPr>
        <w:t xml:space="preserve">[1994] 1 R.C.S. 445; </w:t>
      </w:r>
      <w:r w:rsidRPr="00073DF1">
        <w:rPr>
          <w:rStyle w:val="selected"/>
          <w:i/>
          <w:lang w:val="en-US"/>
        </w:rPr>
        <w:t>Lewis (</w:t>
      </w:r>
      <w:proofErr w:type="spellStart"/>
      <w:r w:rsidRPr="00073DF1">
        <w:rPr>
          <w:rStyle w:val="selected"/>
          <w:i/>
          <w:lang w:val="en-US"/>
        </w:rPr>
        <w:t>Tutri</w:t>
      </w:r>
      <w:r w:rsidR="00B1794F">
        <w:rPr>
          <w:rStyle w:val="selected"/>
          <w:i/>
          <w:lang w:val="en-US"/>
        </w:rPr>
        <w:t>ce</w:t>
      </w:r>
      <w:proofErr w:type="spellEnd"/>
      <w:r w:rsidR="00B1794F">
        <w:rPr>
          <w:rStyle w:val="selected"/>
          <w:i/>
          <w:lang w:val="en-US"/>
        </w:rPr>
        <w:t xml:space="preserve"> à </w:t>
      </w:r>
      <w:proofErr w:type="spellStart"/>
      <w:r w:rsidR="00B1794F">
        <w:rPr>
          <w:rStyle w:val="selected"/>
          <w:i/>
          <w:lang w:val="en-US"/>
        </w:rPr>
        <w:t>l’instance</w:t>
      </w:r>
      <w:proofErr w:type="spellEnd"/>
      <w:r w:rsidR="00B1794F">
        <w:rPr>
          <w:rStyle w:val="selected"/>
          <w:i/>
          <w:lang w:val="en-US"/>
        </w:rPr>
        <w:t xml:space="preserve"> de) c. </w:t>
      </w:r>
      <w:proofErr w:type="spellStart"/>
      <w:r w:rsidR="00B1794F">
        <w:rPr>
          <w:rStyle w:val="selected"/>
          <w:i/>
          <w:lang w:val="en-US"/>
        </w:rPr>
        <w:t>Colombie-</w:t>
      </w:r>
      <w:r w:rsidRPr="00073DF1">
        <w:rPr>
          <w:rStyle w:val="selected"/>
          <w:i/>
          <w:lang w:val="en-US"/>
        </w:rPr>
        <w:t>Britannique</w:t>
      </w:r>
      <w:proofErr w:type="spellEnd"/>
      <w:r w:rsidRPr="00073DF1">
        <w:rPr>
          <w:rStyle w:val="selected"/>
          <w:lang w:val="en-US"/>
        </w:rPr>
        <w:t>, [1997] 3 R.C.S. 1145</w:t>
      </w:r>
      <w:r w:rsidRPr="00073DF1">
        <w:rPr>
          <w:lang w:val="en-US"/>
        </w:rPr>
        <w:t xml:space="preserve">; </w:t>
      </w:r>
      <w:r w:rsidRPr="00073DF1">
        <w:rPr>
          <w:i/>
          <w:lang w:val="en-US"/>
        </w:rPr>
        <w:t>X c. Bedfor</w:t>
      </w:r>
      <w:r w:rsidR="00B1794F">
        <w:rPr>
          <w:i/>
          <w:lang w:val="en-US"/>
        </w:rPr>
        <w:t>d</w:t>
      </w:r>
      <w:r w:rsidRPr="00073DF1">
        <w:rPr>
          <w:i/>
          <w:lang w:val="en-US"/>
        </w:rPr>
        <w:t>shire County Council</w:t>
      </w:r>
      <w:r w:rsidRPr="00073DF1">
        <w:rPr>
          <w:lang w:val="en-US"/>
        </w:rPr>
        <w:t>, [1995] 3 All E.R. 353;</w:t>
      </w:r>
      <w:r w:rsidR="00B1794F">
        <w:rPr>
          <w:lang w:val="en-US"/>
        </w:rPr>
        <w:t xml:space="preserve"> </w:t>
      </w:r>
      <w:proofErr w:type="spellStart"/>
      <w:r w:rsidR="00B1794F" w:rsidRPr="00B1794F">
        <w:rPr>
          <w:i/>
          <w:lang w:val="en-US"/>
        </w:rPr>
        <w:t>Stovin</w:t>
      </w:r>
      <w:proofErr w:type="spellEnd"/>
      <w:r w:rsidR="00B1794F" w:rsidRPr="00B1794F">
        <w:rPr>
          <w:i/>
          <w:lang w:val="en-US"/>
        </w:rPr>
        <w:t xml:space="preserve"> c. Wise</w:t>
      </w:r>
      <w:r w:rsidR="00B1794F">
        <w:rPr>
          <w:lang w:val="en-US"/>
        </w:rPr>
        <w:t>, [1996] A.C. 923</w:t>
      </w:r>
      <w:r w:rsidR="00874213">
        <w:rPr>
          <w:lang w:val="en-US"/>
        </w:rPr>
        <w:t>;</w:t>
      </w:r>
      <w:r w:rsidRPr="00073DF1">
        <w:rPr>
          <w:lang w:val="en-US"/>
        </w:rPr>
        <w:t xml:space="preserve"> </w:t>
      </w:r>
      <w:r w:rsidRPr="00073DF1">
        <w:rPr>
          <w:i/>
          <w:lang w:val="en-US"/>
        </w:rPr>
        <w:t>Barrett c. Enfield London Borough Council</w:t>
      </w:r>
      <w:r w:rsidRPr="00073DF1">
        <w:rPr>
          <w:lang w:val="en-US"/>
        </w:rPr>
        <w:t xml:space="preserve">, [2001] 2 A.C. 550; </w:t>
      </w:r>
      <w:r w:rsidRPr="00073DF1">
        <w:rPr>
          <w:i/>
          <w:szCs w:val="24"/>
          <w:lang w:val="en-US"/>
        </w:rPr>
        <w:t xml:space="preserve">Sutherland Shire Council c. </w:t>
      </w:r>
      <w:proofErr w:type="spellStart"/>
      <w:r w:rsidRPr="00073DF1">
        <w:rPr>
          <w:i/>
          <w:szCs w:val="24"/>
          <w:lang w:val="en-US"/>
        </w:rPr>
        <w:t>Heyman</w:t>
      </w:r>
      <w:proofErr w:type="spellEnd"/>
      <w:r w:rsidRPr="00073DF1">
        <w:rPr>
          <w:szCs w:val="24"/>
          <w:lang w:val="en-US"/>
        </w:rPr>
        <w:t xml:space="preserve"> (1985), 157 C.L.R. 424; </w:t>
      </w:r>
      <w:r w:rsidRPr="00073DF1">
        <w:rPr>
          <w:rFonts w:ascii="Times" w:hAnsi="Times" w:cs="Times"/>
          <w:i/>
          <w:szCs w:val="24"/>
          <w:lang w:val="en-US"/>
        </w:rPr>
        <w:t>Pyrenees Shire Council c. Day</w:t>
      </w:r>
      <w:r w:rsidRPr="00073DF1">
        <w:rPr>
          <w:rFonts w:ascii="Times" w:hAnsi="Times" w:cs="Times"/>
          <w:szCs w:val="24"/>
          <w:lang w:val="en-US"/>
        </w:rPr>
        <w:t xml:space="preserve">, [1998] HCA 3, 192 C.L.R. 330; </w:t>
      </w:r>
      <w:r w:rsidRPr="00073DF1">
        <w:rPr>
          <w:rFonts w:ascii="Times" w:hAnsi="Times" w:cs="Times"/>
          <w:bCs/>
          <w:i/>
          <w:szCs w:val="24"/>
          <w:lang w:val="en-US"/>
        </w:rPr>
        <w:t xml:space="preserve">Office of </w:t>
      </w:r>
      <w:r w:rsidRPr="00073DF1">
        <w:rPr>
          <w:bCs/>
          <w:i/>
          <w:lang w:val="en-US"/>
        </w:rPr>
        <w:t>Personnel Management c. Richmond</w:t>
      </w:r>
      <w:r w:rsidRPr="00073DF1">
        <w:rPr>
          <w:bCs/>
          <w:lang w:val="en-US"/>
        </w:rPr>
        <w:t xml:space="preserve">, 496 U.S. 414 (1990); </w:t>
      </w:r>
      <w:r w:rsidRPr="00073DF1">
        <w:rPr>
          <w:bCs/>
          <w:i/>
          <w:lang w:val="en-US"/>
        </w:rPr>
        <w:t xml:space="preserve">United States c. </w:t>
      </w:r>
      <w:proofErr w:type="spellStart"/>
      <w:r w:rsidRPr="00073DF1">
        <w:rPr>
          <w:bCs/>
          <w:i/>
          <w:lang w:val="en-US"/>
        </w:rPr>
        <w:t>Neustadt</w:t>
      </w:r>
      <w:proofErr w:type="spellEnd"/>
      <w:r w:rsidRPr="00073DF1">
        <w:rPr>
          <w:bCs/>
          <w:lang w:val="en-US"/>
        </w:rPr>
        <w:t xml:space="preserve">, 366 U.S. 696 (1961); </w:t>
      </w:r>
      <w:proofErr w:type="spellStart"/>
      <w:r w:rsidR="00874213">
        <w:rPr>
          <w:i/>
          <w:szCs w:val="24"/>
          <w:lang w:val="en-US"/>
        </w:rPr>
        <w:t>Dalehite</w:t>
      </w:r>
      <w:proofErr w:type="spellEnd"/>
      <w:r w:rsidR="00874213">
        <w:rPr>
          <w:i/>
          <w:szCs w:val="24"/>
          <w:lang w:val="en-US"/>
        </w:rPr>
        <w:t xml:space="preserve"> c</w:t>
      </w:r>
      <w:r w:rsidRPr="00073DF1">
        <w:rPr>
          <w:i/>
          <w:szCs w:val="24"/>
          <w:lang w:val="en-US"/>
        </w:rPr>
        <w:t>. United States</w:t>
      </w:r>
      <w:r w:rsidRPr="00073DF1">
        <w:rPr>
          <w:szCs w:val="24"/>
          <w:lang w:val="en-US"/>
        </w:rPr>
        <w:t xml:space="preserve">, 346 U.S. 15 (1953); </w:t>
      </w:r>
      <w:r w:rsidR="00874213">
        <w:rPr>
          <w:i/>
          <w:lang w:val="en-US"/>
        </w:rPr>
        <w:t>United States c</w:t>
      </w:r>
      <w:r w:rsidRPr="00073DF1">
        <w:rPr>
          <w:i/>
          <w:lang w:val="en-US"/>
        </w:rPr>
        <w:t xml:space="preserve">. </w:t>
      </w:r>
      <w:proofErr w:type="spellStart"/>
      <w:r w:rsidRPr="00073DF1">
        <w:rPr>
          <w:i/>
          <w:lang w:val="en-US"/>
        </w:rPr>
        <w:t>Gaubert</w:t>
      </w:r>
      <w:proofErr w:type="spellEnd"/>
      <w:r w:rsidRPr="00073DF1">
        <w:rPr>
          <w:lang w:val="en-US"/>
        </w:rPr>
        <w:t>, 499 U.S. 315 (1991);</w:t>
      </w:r>
      <w:r w:rsidRPr="00073DF1">
        <w:rPr>
          <w:i/>
          <w:iCs/>
          <w:lang w:val="en-US"/>
        </w:rPr>
        <w:t xml:space="preserve"> </w:t>
      </w:r>
      <w:proofErr w:type="spellStart"/>
      <w:r w:rsidRPr="00073DF1">
        <w:rPr>
          <w:i/>
          <w:iCs/>
          <w:lang w:val="en-US"/>
        </w:rPr>
        <w:t>Berkovitz</w:t>
      </w:r>
      <w:proofErr w:type="spellEnd"/>
      <w:r w:rsidRPr="00073DF1">
        <w:rPr>
          <w:i/>
          <w:iCs/>
          <w:lang w:val="en-US"/>
        </w:rPr>
        <w:t xml:space="preserve"> c. United States</w:t>
      </w:r>
      <w:r w:rsidRPr="00073DF1">
        <w:rPr>
          <w:lang w:val="en-US"/>
        </w:rPr>
        <w:t xml:space="preserve">, 486 U.S. 531 (1988); </w:t>
      </w:r>
      <w:r w:rsidRPr="00073DF1">
        <w:rPr>
          <w:rStyle w:val="listitemlarge"/>
          <w:rFonts w:eastAsiaTheme="minorHAnsi"/>
          <w:i/>
          <w:szCs w:val="24"/>
          <w:lang w:val="en-US"/>
        </w:rPr>
        <w:t xml:space="preserve">United States c. S.A. </w:t>
      </w:r>
      <w:proofErr w:type="spellStart"/>
      <w:r w:rsidRPr="00073DF1">
        <w:rPr>
          <w:rStyle w:val="listitemlarge"/>
          <w:rFonts w:eastAsiaTheme="minorHAnsi"/>
          <w:i/>
          <w:szCs w:val="24"/>
          <w:lang w:val="en-US"/>
        </w:rPr>
        <w:t>Empresa</w:t>
      </w:r>
      <w:proofErr w:type="spellEnd"/>
      <w:r w:rsidRPr="00073DF1">
        <w:rPr>
          <w:rStyle w:val="listitemlarge"/>
          <w:rFonts w:eastAsiaTheme="minorHAnsi"/>
          <w:i/>
          <w:szCs w:val="24"/>
          <w:lang w:val="en-US"/>
        </w:rPr>
        <w:t xml:space="preserve"> de </w:t>
      </w:r>
      <w:proofErr w:type="spellStart"/>
      <w:r w:rsidRPr="00073DF1">
        <w:rPr>
          <w:rStyle w:val="listitemlarge"/>
          <w:rFonts w:eastAsiaTheme="minorHAnsi"/>
          <w:i/>
          <w:szCs w:val="24"/>
          <w:lang w:val="en-US"/>
        </w:rPr>
        <w:t>Viacao</w:t>
      </w:r>
      <w:proofErr w:type="spellEnd"/>
      <w:r w:rsidRPr="00073DF1">
        <w:rPr>
          <w:rStyle w:val="listitemlarge"/>
          <w:rFonts w:eastAsiaTheme="minorHAnsi"/>
          <w:i/>
          <w:szCs w:val="24"/>
          <w:lang w:val="en-US"/>
        </w:rPr>
        <w:t xml:space="preserve"> </w:t>
      </w:r>
      <w:proofErr w:type="spellStart"/>
      <w:r w:rsidRPr="00073DF1">
        <w:rPr>
          <w:rStyle w:val="listitemlarge"/>
          <w:rFonts w:eastAsiaTheme="minorHAnsi"/>
          <w:i/>
          <w:szCs w:val="24"/>
          <w:lang w:val="en-US"/>
        </w:rPr>
        <w:t>Aerea</w:t>
      </w:r>
      <w:proofErr w:type="spellEnd"/>
      <w:r w:rsidRPr="00073DF1">
        <w:rPr>
          <w:rStyle w:val="listitemlarge"/>
          <w:rFonts w:eastAsiaTheme="minorHAnsi"/>
          <w:i/>
          <w:szCs w:val="24"/>
          <w:lang w:val="en-US"/>
        </w:rPr>
        <w:t xml:space="preserve"> Rio </w:t>
      </w:r>
      <w:proofErr w:type="spellStart"/>
      <w:r w:rsidRPr="00073DF1">
        <w:rPr>
          <w:rStyle w:val="listitemlarge"/>
          <w:rFonts w:eastAsiaTheme="minorHAnsi"/>
          <w:i/>
          <w:szCs w:val="24"/>
          <w:lang w:val="en-US"/>
        </w:rPr>
        <w:t>Grandense</w:t>
      </w:r>
      <w:proofErr w:type="spellEnd"/>
      <w:r w:rsidRPr="00073DF1">
        <w:rPr>
          <w:rStyle w:val="listitemlarge"/>
          <w:rFonts w:eastAsiaTheme="minorHAnsi"/>
          <w:i/>
          <w:szCs w:val="24"/>
          <w:lang w:val="en-US"/>
        </w:rPr>
        <w:t xml:space="preserve"> (</w:t>
      </w:r>
      <w:proofErr w:type="spellStart"/>
      <w:r w:rsidRPr="00073DF1">
        <w:rPr>
          <w:rStyle w:val="listitemlarge"/>
          <w:rFonts w:eastAsiaTheme="minorHAnsi"/>
          <w:i/>
          <w:szCs w:val="24"/>
          <w:lang w:val="en-US"/>
        </w:rPr>
        <w:t>Varig</w:t>
      </w:r>
      <w:proofErr w:type="spellEnd"/>
      <w:r w:rsidRPr="00073DF1">
        <w:rPr>
          <w:rStyle w:val="listitemlarge"/>
          <w:rFonts w:eastAsiaTheme="minorHAnsi"/>
          <w:i/>
          <w:szCs w:val="24"/>
          <w:lang w:val="en-US"/>
        </w:rPr>
        <w:t xml:space="preserve"> Airlines)</w:t>
      </w:r>
      <w:r w:rsidRPr="00073DF1">
        <w:rPr>
          <w:rStyle w:val="listitemlarge"/>
          <w:rFonts w:eastAsiaTheme="minorHAnsi"/>
          <w:szCs w:val="24"/>
          <w:lang w:val="en-US"/>
        </w:rPr>
        <w:t xml:space="preserve">, 467 U.S. 797 (1984); </w:t>
      </w:r>
      <w:r w:rsidRPr="00073DF1">
        <w:rPr>
          <w:i/>
          <w:szCs w:val="24"/>
          <w:lang w:val="en-US"/>
        </w:rPr>
        <w:t>Design Services Ltd. c. Canada</w:t>
      </w:r>
      <w:r w:rsidRPr="00073DF1">
        <w:rPr>
          <w:szCs w:val="24"/>
          <w:lang w:val="en-US"/>
        </w:rPr>
        <w:t xml:space="preserve">, 2008 CSC 22, [2008] 1 R.C.S. 737; </w:t>
      </w:r>
      <w:r w:rsidRPr="00073DF1">
        <w:rPr>
          <w:i/>
          <w:lang w:val="en-US"/>
        </w:rPr>
        <w:t>Day c. Central Okanagan (Regional District)</w:t>
      </w:r>
      <w:r w:rsidRPr="00073DF1">
        <w:rPr>
          <w:lang w:val="en-US"/>
        </w:rPr>
        <w:t xml:space="preserve">, 2000 BCSC 1134, 79 B.C.L.R. (3d) </w:t>
      </w:r>
      <w:r w:rsidRPr="00073DF1">
        <w:rPr>
          <w:lang w:val="en-US"/>
        </w:rPr>
        <w:lastRenderedPageBreak/>
        <w:t xml:space="preserve">36; </w:t>
      </w:r>
      <w:r w:rsidRPr="00073DF1">
        <w:rPr>
          <w:i/>
          <w:iCs/>
          <w:szCs w:val="24"/>
          <w:lang w:val="en-US"/>
        </w:rPr>
        <w:t>Elias c. Headache and Pain Management Clinic</w:t>
      </w:r>
      <w:r w:rsidRPr="00073DF1">
        <w:rPr>
          <w:iCs/>
          <w:szCs w:val="24"/>
          <w:lang w:val="en-US"/>
        </w:rPr>
        <w:t xml:space="preserve">, </w:t>
      </w:r>
      <w:r w:rsidRPr="00073DF1">
        <w:rPr>
          <w:szCs w:val="24"/>
          <w:lang w:val="en-US"/>
        </w:rPr>
        <w:t xml:space="preserve">2008 </w:t>
      </w:r>
      <w:proofErr w:type="spellStart"/>
      <w:r w:rsidRPr="00073DF1">
        <w:rPr>
          <w:szCs w:val="24"/>
          <w:lang w:val="en-US"/>
        </w:rPr>
        <w:t>CanLII</w:t>
      </w:r>
      <w:proofErr w:type="spellEnd"/>
      <w:r w:rsidRPr="00073DF1">
        <w:rPr>
          <w:szCs w:val="24"/>
          <w:lang w:val="en-US"/>
        </w:rPr>
        <w:t xml:space="preserve"> 53133; </w:t>
      </w:r>
      <w:proofErr w:type="spellStart"/>
      <w:r w:rsidRPr="00073DF1">
        <w:rPr>
          <w:bCs/>
          <w:i/>
          <w:iCs/>
          <w:lang w:val="en-US"/>
        </w:rPr>
        <w:t>Colombie</w:t>
      </w:r>
      <w:r w:rsidRPr="00073DF1">
        <w:rPr>
          <w:bCs/>
          <w:i/>
          <w:iCs/>
          <w:lang w:val="en-US"/>
        </w:rPr>
        <w:noBreakHyphen/>
        <w:t>Britannique</w:t>
      </w:r>
      <w:proofErr w:type="spellEnd"/>
      <w:r w:rsidRPr="00073DF1">
        <w:rPr>
          <w:bCs/>
          <w:i/>
          <w:iCs/>
          <w:lang w:val="en-US"/>
        </w:rPr>
        <w:t xml:space="preserve"> c. Imperial Tobacco Canada </w:t>
      </w:r>
      <w:proofErr w:type="spellStart"/>
      <w:r w:rsidRPr="00073DF1">
        <w:rPr>
          <w:bCs/>
          <w:i/>
          <w:iCs/>
          <w:lang w:val="en-US"/>
        </w:rPr>
        <w:t>Ltée</w:t>
      </w:r>
      <w:proofErr w:type="spellEnd"/>
      <w:r w:rsidRPr="00073DF1">
        <w:rPr>
          <w:lang w:val="en-US"/>
        </w:rPr>
        <w:t xml:space="preserve">, 2005 CSC 49, [2005] 2 R.C.S. 473; </w:t>
      </w:r>
      <w:proofErr w:type="spellStart"/>
      <w:r w:rsidRPr="00073DF1">
        <w:rPr>
          <w:i/>
          <w:lang w:val="en-US"/>
        </w:rPr>
        <w:t>Blackwater</w:t>
      </w:r>
      <w:proofErr w:type="spellEnd"/>
      <w:r w:rsidRPr="00073DF1">
        <w:rPr>
          <w:i/>
          <w:lang w:val="en-US"/>
        </w:rPr>
        <w:t xml:space="preserve"> c. </w:t>
      </w:r>
      <w:proofErr w:type="spellStart"/>
      <w:r w:rsidRPr="00073DF1">
        <w:rPr>
          <w:i/>
          <w:lang w:val="en-US"/>
        </w:rPr>
        <w:t>Plint</w:t>
      </w:r>
      <w:proofErr w:type="spellEnd"/>
      <w:r w:rsidRPr="00073DF1">
        <w:rPr>
          <w:lang w:val="en-US"/>
        </w:rPr>
        <w:t xml:space="preserve">, 2005 CSC 58, [2005] 3 R.C.S. 3; </w:t>
      </w:r>
      <w:proofErr w:type="spellStart"/>
      <w:r w:rsidRPr="00073DF1">
        <w:rPr>
          <w:i/>
          <w:lang w:val="en-US"/>
        </w:rPr>
        <w:t>Parmley</w:t>
      </w:r>
      <w:proofErr w:type="spellEnd"/>
      <w:r w:rsidRPr="00073DF1">
        <w:rPr>
          <w:i/>
          <w:lang w:val="en-US"/>
        </w:rPr>
        <w:t xml:space="preserve"> c. </w:t>
      </w:r>
      <w:proofErr w:type="spellStart"/>
      <w:r w:rsidRPr="00073DF1">
        <w:rPr>
          <w:i/>
          <w:lang w:val="en-US"/>
        </w:rPr>
        <w:t>Parmley</w:t>
      </w:r>
      <w:proofErr w:type="spellEnd"/>
      <w:r w:rsidRPr="00073DF1">
        <w:rPr>
          <w:lang w:val="en-US"/>
        </w:rPr>
        <w:t>, [1945] R.C.S. 635</w:t>
      </w:r>
      <w:r w:rsidRPr="00073DF1">
        <w:rPr>
          <w:rStyle w:val="documentbody"/>
          <w:lang w:val="en-US"/>
        </w:rPr>
        <w:t>.</w:t>
      </w:r>
    </w:p>
    <w:p w:rsidR="00C74417" w:rsidRPr="00073DF1" w:rsidRDefault="00C74417" w:rsidP="00C74417">
      <w:pPr>
        <w:pStyle w:val="SCCNormalDoubleSpacing"/>
        <w:keepNext/>
        <w:spacing w:after="480"/>
        <w:rPr>
          <w:b/>
          <w:lang w:val="en-US"/>
        </w:rPr>
      </w:pPr>
      <w:r w:rsidRPr="00073DF1">
        <w:rPr>
          <w:b/>
          <w:lang w:val="en-US"/>
        </w:rPr>
        <w:t xml:space="preserve">Lois </w:t>
      </w:r>
      <w:proofErr w:type="gramStart"/>
      <w:r w:rsidRPr="00073DF1">
        <w:rPr>
          <w:b/>
          <w:lang w:val="en-US"/>
        </w:rPr>
        <w:t>et</w:t>
      </w:r>
      <w:proofErr w:type="gramEnd"/>
      <w:r w:rsidRPr="00073DF1">
        <w:rPr>
          <w:b/>
          <w:lang w:val="en-US"/>
        </w:rPr>
        <w:t xml:space="preserve"> </w:t>
      </w:r>
      <w:proofErr w:type="spellStart"/>
      <w:r w:rsidRPr="00073DF1">
        <w:rPr>
          <w:b/>
          <w:lang w:val="en-US"/>
        </w:rPr>
        <w:t>règlements</w:t>
      </w:r>
      <w:proofErr w:type="spellEnd"/>
      <w:r w:rsidRPr="00073DF1">
        <w:rPr>
          <w:b/>
          <w:lang w:val="en-US"/>
        </w:rPr>
        <w:t xml:space="preserve"> </w:t>
      </w:r>
      <w:proofErr w:type="spellStart"/>
      <w:r w:rsidRPr="00073DF1">
        <w:rPr>
          <w:b/>
          <w:lang w:val="en-US"/>
        </w:rPr>
        <w:t>cités</w:t>
      </w:r>
      <w:proofErr w:type="spellEnd"/>
    </w:p>
    <w:p w:rsidR="00C74417" w:rsidRPr="00073DF1" w:rsidRDefault="00C74417" w:rsidP="00C74417">
      <w:pPr>
        <w:pStyle w:val="SCCNormalDoubleSpacing"/>
        <w:spacing w:after="240" w:line="240" w:lineRule="auto"/>
        <w:ind w:left="539" w:hanging="539"/>
        <w:rPr>
          <w:bCs/>
          <w:szCs w:val="24"/>
          <w:lang w:val="en-US"/>
        </w:rPr>
      </w:pPr>
      <w:proofErr w:type="gramStart"/>
      <w:r w:rsidRPr="00073DF1">
        <w:rPr>
          <w:bCs/>
          <w:i/>
          <w:szCs w:val="24"/>
          <w:lang w:val="en-US"/>
        </w:rPr>
        <w:t>Business Practices and Consumer Protection Act</w:t>
      </w:r>
      <w:r w:rsidRPr="00B1794F">
        <w:rPr>
          <w:bCs/>
          <w:szCs w:val="24"/>
          <w:lang w:val="en-US"/>
        </w:rPr>
        <w:t>,</w:t>
      </w:r>
      <w:r w:rsidRPr="00073DF1">
        <w:rPr>
          <w:b/>
          <w:bCs/>
          <w:i/>
          <w:szCs w:val="24"/>
          <w:lang w:val="en-US"/>
        </w:rPr>
        <w:t xml:space="preserve"> </w:t>
      </w:r>
      <w:r w:rsidRPr="00073DF1">
        <w:rPr>
          <w:bCs/>
          <w:szCs w:val="24"/>
          <w:lang w:val="en-US"/>
        </w:rPr>
        <w:t xml:space="preserve">S.B.C. 2004, </w:t>
      </w:r>
      <w:proofErr w:type="spellStart"/>
      <w:r w:rsidRPr="00073DF1">
        <w:rPr>
          <w:bCs/>
          <w:szCs w:val="24"/>
          <w:lang w:val="en-US"/>
        </w:rPr>
        <w:t>ch</w:t>
      </w:r>
      <w:proofErr w:type="spellEnd"/>
      <w:r w:rsidRPr="00073DF1">
        <w:rPr>
          <w:bCs/>
          <w:szCs w:val="24"/>
          <w:lang w:val="en-US"/>
        </w:rPr>
        <w:t>. 2</w:t>
      </w:r>
      <w:r w:rsidRPr="00073DF1">
        <w:rPr>
          <w:lang w:val="en-US"/>
        </w:rPr>
        <w:t>, art.</w:t>
      </w:r>
      <w:proofErr w:type="gramEnd"/>
      <w:r w:rsidRPr="00073DF1">
        <w:rPr>
          <w:lang w:val="en-US"/>
        </w:rPr>
        <w:t> </w:t>
      </w:r>
      <w:proofErr w:type="gramStart"/>
      <w:r w:rsidRPr="00073DF1">
        <w:rPr>
          <w:lang w:val="en-US"/>
        </w:rPr>
        <w:t>1</w:t>
      </w:r>
      <w:r w:rsidR="00B1794F">
        <w:rPr>
          <w:lang w:val="en-US"/>
        </w:rPr>
        <w:t>(1)</w:t>
      </w:r>
      <w:r w:rsidRPr="00073DF1">
        <w:rPr>
          <w:lang w:val="en-US"/>
        </w:rPr>
        <w:t xml:space="preserve"> </w:t>
      </w:r>
      <w:r w:rsidRPr="00073DF1">
        <w:rPr>
          <w:szCs w:val="24"/>
          <w:lang w:val="en-US"/>
        </w:rPr>
        <w:t>« </w:t>
      </w:r>
      <w:r w:rsidRPr="00073DF1">
        <w:rPr>
          <w:i/>
          <w:lang w:val="en-US"/>
        </w:rPr>
        <w:t>supplier</w:t>
      </w:r>
      <w:r w:rsidRPr="00073DF1">
        <w:rPr>
          <w:szCs w:val="24"/>
          <w:lang w:val="en-US"/>
        </w:rPr>
        <w:t> »</w:t>
      </w:r>
      <w:r w:rsidRPr="00073DF1">
        <w:rPr>
          <w:bCs/>
          <w:szCs w:val="24"/>
          <w:lang w:val="en-US"/>
        </w:rPr>
        <w:t>.</w:t>
      </w:r>
      <w:proofErr w:type="gramEnd"/>
      <w:r w:rsidRPr="00073DF1">
        <w:rPr>
          <w:bCs/>
          <w:szCs w:val="24"/>
          <w:lang w:val="en-US"/>
        </w:rPr>
        <w:t xml:space="preserve"> </w:t>
      </w:r>
    </w:p>
    <w:p w:rsidR="00C74417" w:rsidRPr="00073DF1" w:rsidRDefault="00C74417" w:rsidP="00C74417">
      <w:pPr>
        <w:pStyle w:val="SCCNormalDoubleSpacing"/>
        <w:spacing w:after="240" w:line="240" w:lineRule="auto"/>
        <w:ind w:left="539" w:hanging="539"/>
        <w:rPr>
          <w:lang w:val="en-US"/>
        </w:rPr>
      </w:pPr>
      <w:r w:rsidRPr="00073DF1">
        <w:rPr>
          <w:i/>
          <w:szCs w:val="24"/>
          <w:lang w:val="en-US"/>
        </w:rPr>
        <w:t>Federal Tort Claims Act</w:t>
      </w:r>
      <w:r w:rsidRPr="00073DF1">
        <w:rPr>
          <w:szCs w:val="24"/>
          <w:lang w:val="en-US"/>
        </w:rPr>
        <w:t xml:space="preserve">, 28 U.S.C. </w:t>
      </w:r>
      <w:r w:rsidRPr="009D0564">
        <w:rPr>
          <w:lang w:val="en-US"/>
        </w:rPr>
        <w:t>§§2680</w:t>
      </w:r>
      <w:r w:rsidR="00B401B4" w:rsidRPr="009D0564">
        <w:rPr>
          <w:lang w:val="en-US"/>
        </w:rPr>
        <w:t xml:space="preserve">a), </w:t>
      </w:r>
      <w:r w:rsidRPr="009D0564">
        <w:rPr>
          <w:lang w:val="en-US"/>
        </w:rPr>
        <w:t>h).</w:t>
      </w:r>
    </w:p>
    <w:p w:rsidR="00C74417" w:rsidRPr="00073DF1" w:rsidRDefault="00C74417" w:rsidP="00C74417">
      <w:pPr>
        <w:pStyle w:val="SCCNormalDoubleSpacing"/>
        <w:spacing w:after="240" w:line="240" w:lineRule="auto"/>
        <w:ind w:left="539" w:hanging="539"/>
        <w:rPr>
          <w:lang w:val="en-US"/>
        </w:rPr>
      </w:pPr>
      <w:proofErr w:type="gramStart"/>
      <w:r w:rsidRPr="00073DF1">
        <w:rPr>
          <w:i/>
          <w:lang w:val="en-US"/>
        </w:rPr>
        <w:t>Health Care Costs Recovery Act</w:t>
      </w:r>
      <w:r w:rsidRPr="00073DF1">
        <w:rPr>
          <w:lang w:val="en-US"/>
        </w:rPr>
        <w:t xml:space="preserve">, </w:t>
      </w:r>
      <w:r w:rsidRPr="00073DF1">
        <w:rPr>
          <w:rStyle w:val="reference"/>
          <w:lang w:val="en-US"/>
        </w:rPr>
        <w:t xml:space="preserve">S.B.C. 2008, </w:t>
      </w:r>
      <w:proofErr w:type="spellStart"/>
      <w:r w:rsidRPr="00073DF1">
        <w:rPr>
          <w:rStyle w:val="reference"/>
          <w:lang w:val="en-US"/>
        </w:rPr>
        <w:t>ch</w:t>
      </w:r>
      <w:proofErr w:type="spellEnd"/>
      <w:r w:rsidRPr="00073DF1">
        <w:rPr>
          <w:rStyle w:val="reference"/>
          <w:lang w:val="en-US"/>
        </w:rPr>
        <w:t>. 27, art.</w:t>
      </w:r>
      <w:proofErr w:type="gramEnd"/>
      <w:r w:rsidRPr="00073DF1">
        <w:rPr>
          <w:rStyle w:val="reference"/>
          <w:lang w:val="en-US"/>
        </w:rPr>
        <w:t> 8(1), 24(3</w:t>
      </w:r>
      <w:proofErr w:type="gramStart"/>
      <w:r w:rsidRPr="00073DF1">
        <w:rPr>
          <w:rStyle w:val="reference"/>
          <w:lang w:val="en-US"/>
        </w:rPr>
        <w:t>)</w:t>
      </w:r>
      <w:proofErr w:type="gramEnd"/>
      <w:r w:rsidRPr="00073DF1">
        <w:rPr>
          <w:rStyle w:val="reference"/>
          <w:lang w:val="en-US"/>
        </w:rPr>
        <w:t>b).</w:t>
      </w:r>
    </w:p>
    <w:p w:rsidR="00C74417" w:rsidRPr="00073DF1" w:rsidRDefault="00C74417" w:rsidP="00C74417">
      <w:pPr>
        <w:pStyle w:val="SCCNormalDoubleSpacing"/>
        <w:spacing w:after="240" w:line="240" w:lineRule="auto"/>
        <w:ind w:left="539" w:hanging="539"/>
        <w:rPr>
          <w:bCs/>
          <w:szCs w:val="24"/>
        </w:rPr>
      </w:pPr>
      <w:r w:rsidRPr="00073DF1">
        <w:rPr>
          <w:i/>
        </w:rPr>
        <w:t>Loi réglementant les produits du tabac</w:t>
      </w:r>
      <w:r w:rsidRPr="00073DF1">
        <w:t>, L.</w:t>
      </w:r>
      <w:r w:rsidR="00874213">
        <w:t>R.</w:t>
      </w:r>
      <w:r w:rsidRPr="00073DF1">
        <w:t>C. 198</w:t>
      </w:r>
      <w:r w:rsidR="00874213">
        <w:t>5</w:t>
      </w:r>
      <w:r w:rsidRPr="00073DF1">
        <w:t>, ch. </w:t>
      </w:r>
      <w:r w:rsidR="00874213">
        <w:t>14 (4</w:t>
      </w:r>
      <w:r w:rsidR="00874213" w:rsidRPr="00874213">
        <w:rPr>
          <w:vertAlign w:val="superscript"/>
        </w:rPr>
        <w:t>e</w:t>
      </w:r>
      <w:r w:rsidR="00874213">
        <w:t xml:space="preserve"> suppl.), art. 3 [</w:t>
      </w:r>
      <w:proofErr w:type="spellStart"/>
      <w:r w:rsidR="00874213">
        <w:t>abr</w:t>
      </w:r>
      <w:proofErr w:type="spellEnd"/>
      <w:r w:rsidR="00874213">
        <w:t>. 1997, ch. 13, art. 64]</w:t>
      </w:r>
      <w:r w:rsidRPr="00073DF1">
        <w:t>.</w:t>
      </w:r>
    </w:p>
    <w:p w:rsidR="00C74417" w:rsidRPr="00073DF1" w:rsidRDefault="00C74417" w:rsidP="00C74417">
      <w:pPr>
        <w:pStyle w:val="SCCNormalDoubleSpacing"/>
        <w:spacing w:after="240" w:line="240" w:lineRule="auto"/>
        <w:ind w:left="539" w:hanging="539"/>
        <w:rPr>
          <w:bCs/>
          <w:szCs w:val="24"/>
        </w:rPr>
      </w:pPr>
      <w:r w:rsidRPr="00073DF1">
        <w:rPr>
          <w:i/>
        </w:rPr>
        <w:t>Loi sur le ministère de l’Agriculture et de l’Agroalimentaire</w:t>
      </w:r>
      <w:r w:rsidR="00B1794F">
        <w:t>, L.R.C. 1985, ch. A-</w:t>
      </w:r>
      <w:r w:rsidRPr="00073DF1">
        <w:t>9, art. 4.</w:t>
      </w:r>
    </w:p>
    <w:p w:rsidR="00C74417" w:rsidRPr="00073DF1" w:rsidRDefault="00C74417" w:rsidP="00C74417">
      <w:pPr>
        <w:pStyle w:val="SCCNormalDoubleSpacing"/>
        <w:spacing w:after="240" w:line="240" w:lineRule="auto"/>
        <w:ind w:left="539" w:hanging="539"/>
      </w:pPr>
      <w:r w:rsidRPr="00073DF1">
        <w:rPr>
          <w:i/>
        </w:rPr>
        <w:t>Loi sur le ministère de la Santé</w:t>
      </w:r>
      <w:r w:rsidRPr="00073DF1">
        <w:t xml:space="preserve">, L.C. 1996, ch. 8, art. 4(1).  </w:t>
      </w:r>
    </w:p>
    <w:p w:rsidR="00C74417" w:rsidRPr="00073DF1" w:rsidRDefault="00C74417" w:rsidP="00C74417">
      <w:pPr>
        <w:pStyle w:val="SCCNormalDoubleSpacing"/>
        <w:spacing w:after="240" w:line="240" w:lineRule="auto"/>
        <w:ind w:left="539" w:hanging="539"/>
      </w:pPr>
      <w:r w:rsidRPr="00073DF1">
        <w:rPr>
          <w:i/>
        </w:rPr>
        <w:t>Loi sur le tabac</w:t>
      </w:r>
      <w:r w:rsidRPr="00073DF1">
        <w:t>, L.C. 1997, ch. 13, art. 4.</w:t>
      </w:r>
    </w:p>
    <w:p w:rsidR="00C74417" w:rsidRPr="00073DF1" w:rsidRDefault="00C74417" w:rsidP="00C74417">
      <w:pPr>
        <w:pStyle w:val="SCCNormalDoubleSpacing"/>
        <w:spacing w:after="240" w:line="240" w:lineRule="auto"/>
        <w:ind w:left="539" w:hanging="539"/>
        <w:rPr>
          <w:bCs/>
          <w:szCs w:val="24"/>
          <w:lang w:val="en-US"/>
        </w:rPr>
      </w:pPr>
      <w:proofErr w:type="gramStart"/>
      <w:r w:rsidRPr="00073DF1">
        <w:rPr>
          <w:bCs/>
          <w:i/>
          <w:szCs w:val="24"/>
          <w:lang w:val="en-US"/>
        </w:rPr>
        <w:t>Negligence Act</w:t>
      </w:r>
      <w:r w:rsidRPr="00073DF1">
        <w:rPr>
          <w:bCs/>
          <w:szCs w:val="24"/>
          <w:lang w:val="en-US"/>
        </w:rPr>
        <w:t xml:space="preserve">, R.S.B.C. 1996, </w:t>
      </w:r>
      <w:proofErr w:type="spellStart"/>
      <w:r w:rsidRPr="00073DF1">
        <w:rPr>
          <w:bCs/>
          <w:szCs w:val="24"/>
          <w:lang w:val="en-US"/>
        </w:rPr>
        <w:t>ch</w:t>
      </w:r>
      <w:proofErr w:type="spellEnd"/>
      <w:r w:rsidRPr="00073DF1">
        <w:rPr>
          <w:bCs/>
          <w:szCs w:val="24"/>
          <w:lang w:val="en-US"/>
        </w:rPr>
        <w:t>. 333.</w:t>
      </w:r>
      <w:proofErr w:type="gramEnd"/>
    </w:p>
    <w:p w:rsidR="00C74417" w:rsidRPr="00073DF1" w:rsidRDefault="00C74417" w:rsidP="00C74417">
      <w:pPr>
        <w:pStyle w:val="SCCNormalDoubleSpacing"/>
        <w:spacing w:after="240" w:line="240" w:lineRule="auto"/>
        <w:ind w:left="539" w:hanging="539"/>
        <w:rPr>
          <w:lang w:val="en-US"/>
        </w:rPr>
      </w:pPr>
      <w:r w:rsidRPr="00073DF1">
        <w:rPr>
          <w:i/>
          <w:szCs w:val="24"/>
          <w:lang w:val="en-US"/>
        </w:rPr>
        <w:t>Supreme Court Civil Rules</w:t>
      </w:r>
      <w:r w:rsidRPr="00073DF1">
        <w:rPr>
          <w:szCs w:val="24"/>
          <w:lang w:val="en-US"/>
        </w:rPr>
        <w:t>, B.C. Reg. 168/2009, r. 9</w:t>
      </w:r>
      <w:r w:rsidRPr="00073DF1">
        <w:rPr>
          <w:szCs w:val="24"/>
          <w:lang w:val="en-US"/>
        </w:rPr>
        <w:noBreakHyphen/>
        <w:t>5.</w:t>
      </w:r>
    </w:p>
    <w:p w:rsidR="00C74417" w:rsidRPr="00073DF1" w:rsidRDefault="00C74417" w:rsidP="00C74417">
      <w:pPr>
        <w:pStyle w:val="SCCNormalDoubleSpacing"/>
        <w:spacing w:after="240" w:line="240" w:lineRule="auto"/>
        <w:ind w:left="539" w:hanging="539"/>
        <w:rPr>
          <w:lang w:val="en-US"/>
        </w:rPr>
      </w:pPr>
      <w:proofErr w:type="gramStart"/>
      <w:r w:rsidRPr="00073DF1">
        <w:rPr>
          <w:i/>
          <w:szCs w:val="24"/>
          <w:lang w:val="en-US"/>
        </w:rPr>
        <w:t>Supreme Court Rules</w:t>
      </w:r>
      <w:r w:rsidRPr="00073DF1">
        <w:rPr>
          <w:szCs w:val="24"/>
          <w:lang w:val="en-US"/>
        </w:rPr>
        <w:t>, B.C. Reg. 221/90, r. 19(24), (27).</w:t>
      </w:r>
      <w:proofErr w:type="gramEnd"/>
    </w:p>
    <w:p w:rsidR="00C74417" w:rsidRPr="00073DF1" w:rsidRDefault="00C74417" w:rsidP="00C74417">
      <w:pPr>
        <w:pStyle w:val="SCCNormalDoubleSpacing"/>
        <w:spacing w:after="240" w:line="240" w:lineRule="auto"/>
        <w:ind w:left="539" w:hanging="539"/>
        <w:rPr>
          <w:szCs w:val="24"/>
          <w:lang w:val="en-US"/>
        </w:rPr>
      </w:pPr>
      <w:proofErr w:type="gramStart"/>
      <w:r w:rsidRPr="00073DF1">
        <w:rPr>
          <w:i/>
          <w:szCs w:val="24"/>
          <w:lang w:val="en-US"/>
        </w:rPr>
        <w:t>Tobacco Damages and Health Care Costs Recovery Act</w:t>
      </w:r>
      <w:r w:rsidRPr="00073DF1">
        <w:rPr>
          <w:szCs w:val="24"/>
          <w:lang w:val="en-US"/>
        </w:rPr>
        <w:t xml:space="preserve">, S.B.C. 2000, </w:t>
      </w:r>
      <w:proofErr w:type="spellStart"/>
      <w:r w:rsidRPr="00073DF1">
        <w:rPr>
          <w:szCs w:val="24"/>
          <w:lang w:val="en-US"/>
        </w:rPr>
        <w:t>ch</w:t>
      </w:r>
      <w:proofErr w:type="spellEnd"/>
      <w:r w:rsidRPr="00073DF1">
        <w:rPr>
          <w:szCs w:val="24"/>
          <w:lang w:val="en-US"/>
        </w:rPr>
        <w:t>. 30, art.</w:t>
      </w:r>
      <w:proofErr w:type="gramEnd"/>
      <w:r w:rsidRPr="00073DF1">
        <w:rPr>
          <w:szCs w:val="24"/>
          <w:lang w:val="en-US"/>
        </w:rPr>
        <w:t> 1</w:t>
      </w:r>
      <w:r w:rsidR="00B1794F">
        <w:rPr>
          <w:szCs w:val="24"/>
          <w:lang w:val="en-US"/>
        </w:rPr>
        <w:t>(1)</w:t>
      </w:r>
      <w:r w:rsidRPr="00073DF1">
        <w:rPr>
          <w:szCs w:val="24"/>
          <w:lang w:val="en-US"/>
        </w:rPr>
        <w:t xml:space="preserve"> « </w:t>
      </w:r>
      <w:r w:rsidRPr="00073DF1">
        <w:rPr>
          <w:i/>
          <w:szCs w:val="24"/>
          <w:lang w:val="en-US"/>
        </w:rPr>
        <w:t>manufacture</w:t>
      </w:r>
      <w:r w:rsidRPr="00073DF1">
        <w:rPr>
          <w:szCs w:val="24"/>
          <w:lang w:val="en-US"/>
        </w:rPr>
        <w:t> », « </w:t>
      </w:r>
      <w:r w:rsidRPr="00073DF1">
        <w:rPr>
          <w:i/>
          <w:szCs w:val="24"/>
          <w:lang w:val="en-US"/>
        </w:rPr>
        <w:t>manufacturer</w:t>
      </w:r>
      <w:r w:rsidRPr="00073DF1">
        <w:rPr>
          <w:szCs w:val="24"/>
          <w:lang w:val="en-US"/>
        </w:rPr>
        <w:t> », 2, 3(3</w:t>
      </w:r>
      <w:proofErr w:type="gramStart"/>
      <w:r w:rsidRPr="00073DF1">
        <w:rPr>
          <w:szCs w:val="24"/>
          <w:lang w:val="en-US"/>
        </w:rPr>
        <w:t>)b</w:t>
      </w:r>
      <w:proofErr w:type="gramEnd"/>
      <w:r w:rsidRPr="00073DF1">
        <w:rPr>
          <w:szCs w:val="24"/>
          <w:lang w:val="en-US"/>
        </w:rPr>
        <w:t>).</w:t>
      </w:r>
    </w:p>
    <w:p w:rsidR="00C74417" w:rsidRPr="00073DF1" w:rsidRDefault="00C74417" w:rsidP="00C74417">
      <w:pPr>
        <w:pStyle w:val="SCCNormalDoubleSpacing"/>
        <w:spacing w:after="720" w:line="240" w:lineRule="auto"/>
        <w:ind w:left="539" w:hanging="539"/>
        <w:rPr>
          <w:lang w:val="en-US"/>
        </w:rPr>
      </w:pPr>
      <w:proofErr w:type="gramStart"/>
      <w:r w:rsidRPr="00073DF1">
        <w:rPr>
          <w:i/>
          <w:szCs w:val="24"/>
          <w:lang w:val="en-US"/>
        </w:rPr>
        <w:t>Trade Practice Act</w:t>
      </w:r>
      <w:r w:rsidRPr="00073DF1">
        <w:rPr>
          <w:szCs w:val="24"/>
          <w:lang w:val="en-US"/>
        </w:rPr>
        <w:t>,</w:t>
      </w:r>
      <w:r w:rsidRPr="00073DF1">
        <w:rPr>
          <w:i/>
          <w:szCs w:val="24"/>
          <w:lang w:val="en-US"/>
        </w:rPr>
        <w:t xml:space="preserve"> </w:t>
      </w:r>
      <w:r w:rsidRPr="00073DF1">
        <w:rPr>
          <w:lang w:val="en-US"/>
        </w:rPr>
        <w:t xml:space="preserve">R.S.B.C. 1996, </w:t>
      </w:r>
      <w:proofErr w:type="spellStart"/>
      <w:r w:rsidRPr="00073DF1">
        <w:rPr>
          <w:lang w:val="en-US"/>
        </w:rPr>
        <w:t>ch</w:t>
      </w:r>
      <w:proofErr w:type="spellEnd"/>
      <w:r w:rsidRPr="00073DF1">
        <w:rPr>
          <w:lang w:val="en-US"/>
        </w:rPr>
        <w:t>. 457, art.</w:t>
      </w:r>
      <w:proofErr w:type="gramEnd"/>
      <w:r w:rsidRPr="00073DF1">
        <w:rPr>
          <w:lang w:val="en-US"/>
        </w:rPr>
        <w:t> </w:t>
      </w:r>
      <w:proofErr w:type="gramStart"/>
      <w:r w:rsidRPr="00073DF1">
        <w:rPr>
          <w:lang w:val="en-US"/>
        </w:rPr>
        <w:t xml:space="preserve">1 </w:t>
      </w:r>
      <w:r w:rsidRPr="00073DF1">
        <w:rPr>
          <w:szCs w:val="24"/>
          <w:lang w:val="en-US"/>
        </w:rPr>
        <w:t>« </w:t>
      </w:r>
      <w:r w:rsidRPr="00073DF1">
        <w:rPr>
          <w:i/>
          <w:lang w:val="en-US"/>
        </w:rPr>
        <w:t>supplier</w:t>
      </w:r>
      <w:r w:rsidRPr="00073DF1">
        <w:rPr>
          <w:szCs w:val="24"/>
          <w:lang w:val="en-US"/>
        </w:rPr>
        <w:t> »</w:t>
      </w:r>
      <w:r w:rsidRPr="00073DF1">
        <w:rPr>
          <w:lang w:val="en-US"/>
        </w:rPr>
        <w:t>.</w:t>
      </w:r>
      <w:proofErr w:type="gramEnd"/>
    </w:p>
    <w:p w:rsidR="00C74417" w:rsidRPr="00073DF1" w:rsidRDefault="00C74417" w:rsidP="00C74417">
      <w:pPr>
        <w:pStyle w:val="SCCNormalDoubleSpacing"/>
        <w:keepNext/>
        <w:spacing w:after="480"/>
        <w:rPr>
          <w:lang w:val="en-US"/>
        </w:rPr>
      </w:pPr>
      <w:r w:rsidRPr="00073DF1">
        <w:rPr>
          <w:b/>
          <w:lang w:val="en-US"/>
        </w:rPr>
        <w:lastRenderedPageBreak/>
        <w:t xml:space="preserve">Doctrine </w:t>
      </w:r>
      <w:proofErr w:type="spellStart"/>
      <w:r w:rsidRPr="00073DF1">
        <w:rPr>
          <w:b/>
          <w:lang w:val="en-US"/>
        </w:rPr>
        <w:t>citée</w:t>
      </w:r>
      <w:proofErr w:type="spellEnd"/>
    </w:p>
    <w:p w:rsidR="00C74417" w:rsidRPr="00073DF1" w:rsidRDefault="00B1794F" w:rsidP="00C74417">
      <w:pPr>
        <w:pStyle w:val="SCCNormalDoubleSpacing"/>
        <w:spacing w:after="240" w:line="240" w:lineRule="auto"/>
        <w:ind w:left="539" w:hanging="539"/>
        <w:rPr>
          <w:lang w:val="en-US"/>
        </w:rPr>
      </w:pPr>
      <w:proofErr w:type="spellStart"/>
      <w:proofErr w:type="gramStart"/>
      <w:r>
        <w:rPr>
          <w:lang w:val="en-US"/>
        </w:rPr>
        <w:t>Colombie</w:t>
      </w:r>
      <w:r>
        <w:rPr>
          <w:lang w:val="en-US"/>
        </w:rPr>
        <w:noBreakHyphen/>
        <w:t>Britannique</w:t>
      </w:r>
      <w:proofErr w:type="spellEnd"/>
      <w:r>
        <w:rPr>
          <w:lang w:val="en-US"/>
        </w:rPr>
        <w:t>.</w:t>
      </w:r>
      <w:proofErr w:type="gramEnd"/>
      <w:r>
        <w:rPr>
          <w:lang w:val="en-US"/>
        </w:rPr>
        <w:t xml:space="preserve">  </w:t>
      </w:r>
      <w:r w:rsidRPr="00B1794F">
        <w:rPr>
          <w:i/>
          <w:lang w:val="en-US"/>
        </w:rPr>
        <w:t>Official Report of</w:t>
      </w:r>
      <w:r>
        <w:rPr>
          <w:lang w:val="en-US"/>
        </w:rPr>
        <w:t xml:space="preserve"> </w:t>
      </w:r>
      <w:r w:rsidR="00C74417" w:rsidRPr="00073DF1">
        <w:rPr>
          <w:i/>
          <w:szCs w:val="24"/>
          <w:lang w:val="en-US"/>
        </w:rPr>
        <w:t>Debates</w:t>
      </w:r>
      <w:r w:rsidR="00C74417" w:rsidRPr="00073DF1">
        <w:rPr>
          <w:i/>
          <w:lang w:val="en-US"/>
        </w:rPr>
        <w:t xml:space="preserve"> of the Legislative Assembly</w:t>
      </w:r>
      <w:r>
        <w:rPr>
          <w:i/>
          <w:lang w:val="en-US"/>
        </w:rPr>
        <w:t xml:space="preserve"> (</w:t>
      </w:r>
      <w:proofErr w:type="spellStart"/>
      <w:r>
        <w:rPr>
          <w:i/>
          <w:lang w:val="en-US"/>
        </w:rPr>
        <w:t>Hansard</w:t>
      </w:r>
      <w:proofErr w:type="spellEnd"/>
      <w:r>
        <w:rPr>
          <w:i/>
          <w:lang w:val="en-US"/>
        </w:rPr>
        <w:t>)</w:t>
      </w:r>
      <w:r w:rsidR="00C74417" w:rsidRPr="00073DF1">
        <w:rPr>
          <w:lang w:val="en-US"/>
        </w:rPr>
        <w:t>, vol. 20, 4th Sess., 36th Parl., June 7, 2000, p. 16314.</w:t>
      </w:r>
    </w:p>
    <w:p w:rsidR="00C74417" w:rsidRPr="00073DF1" w:rsidRDefault="00C74417" w:rsidP="00B1794F">
      <w:pPr>
        <w:pStyle w:val="SCCNormalDoubleSpacing"/>
        <w:spacing w:after="720" w:line="240" w:lineRule="auto"/>
        <w:ind w:left="533" w:hanging="533"/>
        <w:rPr>
          <w:lang w:val="fr-FR"/>
        </w:rPr>
      </w:pPr>
      <w:proofErr w:type="spellStart"/>
      <w:r w:rsidRPr="00073DF1">
        <w:rPr>
          <w:i/>
          <w:lang w:val="fr-FR"/>
        </w:rPr>
        <w:t>Multidictionnaire</w:t>
      </w:r>
      <w:proofErr w:type="spellEnd"/>
      <w:r w:rsidRPr="00073DF1">
        <w:rPr>
          <w:i/>
          <w:lang w:val="fr-FR"/>
        </w:rPr>
        <w:t xml:space="preserve"> de la </w:t>
      </w:r>
      <w:r w:rsidRPr="00073DF1">
        <w:rPr>
          <w:i/>
          <w:szCs w:val="24"/>
        </w:rPr>
        <w:t>langue</w:t>
      </w:r>
      <w:r w:rsidRPr="00073DF1">
        <w:rPr>
          <w:i/>
          <w:lang w:val="fr-FR"/>
        </w:rPr>
        <w:t xml:space="preserve"> française</w:t>
      </w:r>
      <w:r w:rsidRPr="00073DF1">
        <w:rPr>
          <w:lang w:val="fr-FR"/>
        </w:rPr>
        <w:t>, 5</w:t>
      </w:r>
      <w:r w:rsidRPr="00073DF1">
        <w:rPr>
          <w:vertAlign w:val="superscript"/>
          <w:lang w:val="fr-FR"/>
        </w:rPr>
        <w:t>e</w:t>
      </w:r>
      <w:r w:rsidRPr="00073DF1">
        <w:rPr>
          <w:lang w:val="fr-FR"/>
        </w:rPr>
        <w:t xml:space="preserve"> éd.  Montréal : Québec Amérique, 2009, « politique ».</w:t>
      </w:r>
    </w:p>
    <w:p w:rsidR="00C74417" w:rsidRPr="00073DF1" w:rsidRDefault="00C74417" w:rsidP="00C74417">
      <w:pPr>
        <w:pStyle w:val="SCCNormalDoubleSpacing"/>
        <w:spacing w:after="480"/>
        <w:rPr>
          <w:szCs w:val="24"/>
        </w:rPr>
      </w:pPr>
      <w:r w:rsidRPr="00073DF1">
        <w:tab/>
        <w:t xml:space="preserve">POURVOI et POURVOI INCIDENT contre un arrêt de la Cour d’appel de la </w:t>
      </w:r>
      <w:proofErr w:type="spellStart"/>
      <w:r w:rsidRPr="00073DF1">
        <w:rPr>
          <w:rStyle w:val="documentbody"/>
        </w:rPr>
        <w:t>Colombie</w:t>
      </w:r>
      <w:r w:rsidRPr="00073DF1">
        <w:noBreakHyphen/>
      </w:r>
      <w:r w:rsidRPr="00073DF1">
        <w:rPr>
          <w:rStyle w:val="documentbody"/>
        </w:rPr>
        <w:t>Britannique</w:t>
      </w:r>
      <w:proofErr w:type="spellEnd"/>
      <w:r w:rsidRPr="00073DF1">
        <w:t xml:space="preserve"> (les juges </w:t>
      </w:r>
      <w:r w:rsidRPr="00073DF1">
        <w:rPr>
          <w:szCs w:val="24"/>
        </w:rPr>
        <w:t xml:space="preserve">Hall, </w:t>
      </w:r>
      <w:proofErr w:type="spellStart"/>
      <w:r w:rsidRPr="00073DF1">
        <w:rPr>
          <w:szCs w:val="24"/>
        </w:rPr>
        <w:t>Saunders</w:t>
      </w:r>
      <w:proofErr w:type="spellEnd"/>
      <w:r w:rsidRPr="00073DF1">
        <w:rPr>
          <w:szCs w:val="24"/>
        </w:rPr>
        <w:t xml:space="preserve">, Lowry, </w:t>
      </w:r>
      <w:proofErr w:type="spellStart"/>
      <w:r w:rsidRPr="00073DF1">
        <w:rPr>
          <w:szCs w:val="24"/>
        </w:rPr>
        <w:t>Tysoe</w:t>
      </w:r>
      <w:proofErr w:type="spellEnd"/>
      <w:r w:rsidRPr="00073DF1">
        <w:rPr>
          <w:szCs w:val="24"/>
        </w:rPr>
        <w:t xml:space="preserve"> et Smith), 2009 BCCA 541, 99 B.C.L.R. (4th) 93, 313 D.L.R. (4th) 695, [2010] 2 W.W.R. 9, 280 B.C.A.C. 160, 474 W.A.C. 160, </w:t>
      </w:r>
      <w:r w:rsidR="007937F3" w:rsidRPr="00073DF1">
        <w:rPr>
          <w:szCs w:val="24"/>
        </w:rPr>
        <w:fldChar w:fldCharType="begin"/>
      </w:r>
      <w:r w:rsidRPr="00073DF1">
        <w:rPr>
          <w:szCs w:val="24"/>
        </w:rPr>
        <w:instrText xml:space="preserve"> SEQ CHAPTER \h \r 1</w:instrText>
      </w:r>
      <w:r w:rsidR="007937F3" w:rsidRPr="00073DF1">
        <w:rPr>
          <w:szCs w:val="24"/>
        </w:rPr>
        <w:fldChar w:fldCharType="end"/>
      </w:r>
      <w:r w:rsidRPr="00073DF1">
        <w:rPr>
          <w:szCs w:val="24"/>
        </w:rPr>
        <w:t xml:space="preserve">[2009] B.C.J. No. 2445 (QL), 2009 </w:t>
      </w:r>
      <w:proofErr w:type="spellStart"/>
      <w:r w:rsidRPr="00073DF1">
        <w:rPr>
          <w:szCs w:val="24"/>
        </w:rPr>
        <w:t>CarswellBC</w:t>
      </w:r>
      <w:proofErr w:type="spellEnd"/>
      <w:r w:rsidRPr="00073DF1">
        <w:rPr>
          <w:szCs w:val="24"/>
        </w:rPr>
        <w:t xml:space="preserve"> 3300, qui a infirmé en partie une décision de la juge </w:t>
      </w:r>
      <w:proofErr w:type="spellStart"/>
      <w:r w:rsidRPr="00073DF1">
        <w:rPr>
          <w:szCs w:val="24"/>
        </w:rPr>
        <w:t>Satanove</w:t>
      </w:r>
      <w:proofErr w:type="spellEnd"/>
      <w:r w:rsidRPr="00073DF1">
        <w:rPr>
          <w:szCs w:val="24"/>
        </w:rPr>
        <w:t xml:space="preserve"> qui a ordonné la radiation des avis de mise en cause, </w:t>
      </w:r>
      <w:r w:rsidR="007937F3" w:rsidRPr="00073DF1">
        <w:rPr>
          <w:szCs w:val="24"/>
        </w:rPr>
        <w:fldChar w:fldCharType="begin"/>
      </w:r>
      <w:r w:rsidRPr="00073DF1">
        <w:rPr>
          <w:szCs w:val="24"/>
        </w:rPr>
        <w:instrText xml:space="preserve"> SEQ CHAPTER \h \r 1</w:instrText>
      </w:r>
      <w:r w:rsidR="007937F3" w:rsidRPr="00073DF1">
        <w:rPr>
          <w:szCs w:val="24"/>
        </w:rPr>
        <w:fldChar w:fldCharType="end"/>
      </w:r>
      <w:r w:rsidRPr="00073DF1">
        <w:rPr>
          <w:szCs w:val="24"/>
        </w:rPr>
        <w:t xml:space="preserve">2007 BCSC 964, 76 B.C.L.R. (4th) 100, [2008] 4 W.W.R. 156, [2007] B.C.J. No. 1461 (QL), 2007 </w:t>
      </w:r>
      <w:proofErr w:type="spellStart"/>
      <w:r w:rsidRPr="00073DF1">
        <w:rPr>
          <w:szCs w:val="24"/>
        </w:rPr>
        <w:t>CarswellBC</w:t>
      </w:r>
      <w:proofErr w:type="spellEnd"/>
      <w:r w:rsidRPr="00073DF1">
        <w:rPr>
          <w:szCs w:val="24"/>
        </w:rPr>
        <w:t xml:space="preserve"> 1806</w:t>
      </w:r>
      <w:r w:rsidR="00874213">
        <w:rPr>
          <w:szCs w:val="24"/>
        </w:rPr>
        <w:t xml:space="preserve"> (</w:t>
      </w:r>
      <w:proofErr w:type="spellStart"/>
      <w:r w:rsidR="00874213" w:rsidRPr="00415D23">
        <w:rPr>
          <w:i/>
          <w:szCs w:val="24"/>
        </w:rPr>
        <w:t>sub</w:t>
      </w:r>
      <w:proofErr w:type="spellEnd"/>
      <w:r w:rsidR="00874213" w:rsidRPr="00415D23">
        <w:rPr>
          <w:i/>
          <w:szCs w:val="24"/>
        </w:rPr>
        <w:t xml:space="preserve"> nom.</w:t>
      </w:r>
      <w:r w:rsidR="00874213">
        <w:rPr>
          <w:szCs w:val="24"/>
        </w:rPr>
        <w:t xml:space="preserve"> </w:t>
      </w:r>
      <w:r w:rsidR="00874213">
        <w:rPr>
          <w:i/>
          <w:szCs w:val="24"/>
        </w:rPr>
        <w:t>Knight c. Imperial Tobacco Ltd.</w:t>
      </w:r>
      <w:r w:rsidR="00874213">
        <w:rPr>
          <w:szCs w:val="24"/>
        </w:rPr>
        <w:t>)</w:t>
      </w:r>
      <w:r w:rsidRPr="00073DF1">
        <w:rPr>
          <w:szCs w:val="24"/>
        </w:rPr>
        <w:t>.  Pourvoi accueilli et pour</w:t>
      </w:r>
      <w:r>
        <w:rPr>
          <w:szCs w:val="24"/>
        </w:rPr>
        <w:t>voi</w:t>
      </w:r>
      <w:r w:rsidRPr="00073DF1">
        <w:rPr>
          <w:szCs w:val="24"/>
        </w:rPr>
        <w:t xml:space="preserve"> incident rejeté. </w:t>
      </w:r>
    </w:p>
    <w:p w:rsidR="00C74417" w:rsidRPr="00073DF1" w:rsidRDefault="00C74417" w:rsidP="00C74417">
      <w:pPr>
        <w:pStyle w:val="SCCNormalDoubleSpacing"/>
        <w:spacing w:after="480"/>
        <w:rPr>
          <w:szCs w:val="24"/>
        </w:rPr>
      </w:pPr>
      <w:r w:rsidRPr="00073DF1">
        <w:tab/>
        <w:t xml:space="preserve">POURVOI et POURVOI INCIDENT contre un arrêt de la Cour d’appel de la </w:t>
      </w:r>
      <w:proofErr w:type="spellStart"/>
      <w:r w:rsidRPr="00073DF1">
        <w:rPr>
          <w:rStyle w:val="documentbody"/>
        </w:rPr>
        <w:t>Colombie</w:t>
      </w:r>
      <w:r w:rsidRPr="00073DF1">
        <w:noBreakHyphen/>
      </w:r>
      <w:r w:rsidRPr="00073DF1">
        <w:rPr>
          <w:rStyle w:val="documentbody"/>
        </w:rPr>
        <w:t>Britannique</w:t>
      </w:r>
      <w:proofErr w:type="spellEnd"/>
      <w:r w:rsidRPr="00073DF1">
        <w:t xml:space="preserve"> (les juges </w:t>
      </w:r>
      <w:r w:rsidRPr="00073DF1">
        <w:rPr>
          <w:szCs w:val="24"/>
        </w:rPr>
        <w:t xml:space="preserve">Hall, </w:t>
      </w:r>
      <w:proofErr w:type="spellStart"/>
      <w:r w:rsidRPr="00073DF1">
        <w:rPr>
          <w:szCs w:val="24"/>
        </w:rPr>
        <w:t>Saunders</w:t>
      </w:r>
      <w:proofErr w:type="spellEnd"/>
      <w:r w:rsidRPr="00073DF1">
        <w:rPr>
          <w:szCs w:val="24"/>
        </w:rPr>
        <w:t xml:space="preserve">, Lowry, </w:t>
      </w:r>
      <w:proofErr w:type="spellStart"/>
      <w:r w:rsidRPr="00073DF1">
        <w:rPr>
          <w:szCs w:val="24"/>
        </w:rPr>
        <w:t>Tysoe</w:t>
      </w:r>
      <w:proofErr w:type="spellEnd"/>
      <w:r w:rsidRPr="00073DF1">
        <w:rPr>
          <w:szCs w:val="24"/>
        </w:rPr>
        <w:t xml:space="preserve"> et Smith), 2009 BCCA 540, 98 B.C.L.R. (4th) 201, 313 D.L.R. (4th) 651, [2010] 2 W.W.R. 385, 280 B.C.A.C. 100, 474 W.A.C. 100, [2009] B.C.J. No. 2444 (QL), 2009 </w:t>
      </w:r>
      <w:proofErr w:type="spellStart"/>
      <w:r w:rsidRPr="00073DF1">
        <w:rPr>
          <w:szCs w:val="24"/>
        </w:rPr>
        <w:t>CarswellBC</w:t>
      </w:r>
      <w:proofErr w:type="spellEnd"/>
      <w:r w:rsidRPr="00073DF1">
        <w:rPr>
          <w:szCs w:val="24"/>
        </w:rPr>
        <w:t xml:space="preserve"> 3307, qui a infirmé en partie une décision de la juge </w:t>
      </w:r>
      <w:proofErr w:type="spellStart"/>
      <w:r w:rsidRPr="00073DF1">
        <w:rPr>
          <w:szCs w:val="24"/>
        </w:rPr>
        <w:t>Wedge</w:t>
      </w:r>
      <w:proofErr w:type="spellEnd"/>
      <w:r w:rsidRPr="00073DF1">
        <w:rPr>
          <w:szCs w:val="24"/>
        </w:rPr>
        <w:t xml:space="preserve"> qui a ordonné la radiation des avis de mise en cause, </w:t>
      </w:r>
      <w:r w:rsidR="007937F3" w:rsidRPr="00073DF1">
        <w:rPr>
          <w:szCs w:val="24"/>
        </w:rPr>
        <w:fldChar w:fldCharType="begin"/>
      </w:r>
      <w:r w:rsidRPr="00073DF1">
        <w:rPr>
          <w:szCs w:val="24"/>
        </w:rPr>
        <w:instrText xml:space="preserve"> SEQ CHAPTER \h \r 1</w:instrText>
      </w:r>
      <w:r w:rsidR="007937F3" w:rsidRPr="00073DF1">
        <w:rPr>
          <w:szCs w:val="24"/>
        </w:rPr>
        <w:fldChar w:fldCharType="end"/>
      </w:r>
      <w:r w:rsidRPr="00073DF1">
        <w:rPr>
          <w:szCs w:val="24"/>
        </w:rPr>
        <w:t xml:space="preserve">2008 BCSC 419, 82 B.C.L.R. (4th) 362, 292 D.L.R. (4th) </w:t>
      </w:r>
      <w:r w:rsidRPr="00073DF1">
        <w:rPr>
          <w:szCs w:val="24"/>
        </w:rPr>
        <w:lastRenderedPageBreak/>
        <w:t xml:space="preserve">353, [2008] 12 W.W.R. 241, [2008] B.C.J. No. 609 (QL), 2008 </w:t>
      </w:r>
      <w:proofErr w:type="spellStart"/>
      <w:r w:rsidRPr="00073DF1">
        <w:rPr>
          <w:szCs w:val="24"/>
        </w:rPr>
        <w:t>CarswellBC</w:t>
      </w:r>
      <w:proofErr w:type="spellEnd"/>
      <w:r w:rsidRPr="00073DF1">
        <w:rPr>
          <w:szCs w:val="24"/>
        </w:rPr>
        <w:t xml:space="preserve"> 687</w:t>
      </w:r>
      <w:r w:rsidR="00874213">
        <w:rPr>
          <w:szCs w:val="24"/>
        </w:rPr>
        <w:t xml:space="preserve"> (</w:t>
      </w:r>
      <w:proofErr w:type="spellStart"/>
      <w:r w:rsidR="00874213" w:rsidRPr="00415D23">
        <w:rPr>
          <w:i/>
          <w:szCs w:val="24"/>
        </w:rPr>
        <w:t>sub</w:t>
      </w:r>
      <w:proofErr w:type="spellEnd"/>
      <w:r w:rsidR="00874213" w:rsidRPr="00415D23">
        <w:rPr>
          <w:i/>
          <w:szCs w:val="24"/>
        </w:rPr>
        <w:t xml:space="preserve"> nom.</w:t>
      </w:r>
      <w:r w:rsidR="00874213">
        <w:rPr>
          <w:szCs w:val="24"/>
        </w:rPr>
        <w:t xml:space="preserve"> </w:t>
      </w:r>
      <w:r w:rsidR="00874213">
        <w:rPr>
          <w:i/>
          <w:szCs w:val="24"/>
        </w:rPr>
        <w:t>British Columbia c. Imperial Tobacco Canada Ltd.</w:t>
      </w:r>
      <w:r w:rsidR="00874213">
        <w:rPr>
          <w:szCs w:val="24"/>
        </w:rPr>
        <w:t>)</w:t>
      </w:r>
      <w:r w:rsidRPr="00073DF1">
        <w:rPr>
          <w:szCs w:val="24"/>
        </w:rPr>
        <w:t>.  Pourvoi accueilli et pour</w:t>
      </w:r>
      <w:r>
        <w:rPr>
          <w:szCs w:val="24"/>
        </w:rPr>
        <w:t>voi</w:t>
      </w:r>
      <w:r w:rsidRPr="00073DF1">
        <w:rPr>
          <w:szCs w:val="24"/>
        </w:rPr>
        <w:t xml:space="preserve"> incident rejeté. </w:t>
      </w:r>
    </w:p>
    <w:p w:rsidR="00C74417" w:rsidRPr="00073DF1" w:rsidRDefault="00C74417" w:rsidP="00C74417">
      <w:pPr>
        <w:pStyle w:val="SCCNormalDoubleSpacing"/>
        <w:spacing w:after="480"/>
      </w:pPr>
      <w:r w:rsidRPr="00073DF1">
        <w:rPr>
          <w:i/>
        </w:rPr>
        <w:tab/>
        <w:t xml:space="preserve">John S. </w:t>
      </w:r>
      <w:proofErr w:type="spellStart"/>
      <w:r w:rsidRPr="00073DF1">
        <w:rPr>
          <w:i/>
        </w:rPr>
        <w:t>Tyhurst</w:t>
      </w:r>
      <w:proofErr w:type="spellEnd"/>
      <w:r w:rsidRPr="00073DF1">
        <w:t xml:space="preserve">, </w:t>
      </w:r>
      <w:r w:rsidRPr="00073DF1">
        <w:rPr>
          <w:i/>
        </w:rPr>
        <w:t xml:space="preserve">Paul </w:t>
      </w:r>
      <w:proofErr w:type="spellStart"/>
      <w:r w:rsidRPr="00073DF1">
        <w:rPr>
          <w:i/>
        </w:rPr>
        <w:t>Vickery</w:t>
      </w:r>
      <w:proofErr w:type="spellEnd"/>
      <w:r w:rsidRPr="00073DF1">
        <w:t xml:space="preserve"> et </w:t>
      </w:r>
      <w:proofErr w:type="spellStart"/>
      <w:r w:rsidRPr="00073DF1">
        <w:rPr>
          <w:i/>
        </w:rPr>
        <w:t>Travis</w:t>
      </w:r>
      <w:proofErr w:type="spellEnd"/>
      <w:r w:rsidRPr="00073DF1">
        <w:rPr>
          <w:i/>
        </w:rPr>
        <w:t xml:space="preserve"> Henderson</w:t>
      </w:r>
      <w:r w:rsidRPr="00073DF1">
        <w:t xml:space="preserve">, pour l’appelante/intimée au pourvoi </w:t>
      </w:r>
      <w:r w:rsidRPr="00073DF1">
        <w:rPr>
          <w:rStyle w:val="documentbody"/>
        </w:rPr>
        <w:t>incident</w:t>
      </w:r>
      <w:r w:rsidRPr="00073DF1">
        <w:t xml:space="preserve"> Sa Majesté la Reine du chef du Canada (33559).</w:t>
      </w:r>
    </w:p>
    <w:p w:rsidR="00C74417" w:rsidRPr="00073DF1" w:rsidRDefault="00C74417" w:rsidP="00C74417">
      <w:pPr>
        <w:pStyle w:val="SCCNormalDoubleSpacing"/>
        <w:spacing w:after="480"/>
      </w:pPr>
      <w:r w:rsidRPr="00073DF1">
        <w:rPr>
          <w:i/>
        </w:rPr>
        <w:tab/>
        <w:t xml:space="preserve">Paul </w:t>
      </w:r>
      <w:proofErr w:type="spellStart"/>
      <w:r w:rsidRPr="00073DF1">
        <w:rPr>
          <w:i/>
        </w:rPr>
        <w:t>Vickery</w:t>
      </w:r>
      <w:proofErr w:type="spellEnd"/>
      <w:r w:rsidRPr="00073DF1">
        <w:t xml:space="preserve">, </w:t>
      </w:r>
      <w:r w:rsidRPr="00073DF1">
        <w:rPr>
          <w:i/>
        </w:rPr>
        <w:t xml:space="preserve">John S. </w:t>
      </w:r>
      <w:proofErr w:type="spellStart"/>
      <w:r w:rsidRPr="00073DF1">
        <w:rPr>
          <w:i/>
        </w:rPr>
        <w:t>Tyhurst</w:t>
      </w:r>
      <w:proofErr w:type="spellEnd"/>
      <w:r w:rsidRPr="00073DF1">
        <w:rPr>
          <w:i/>
        </w:rPr>
        <w:t xml:space="preserve"> </w:t>
      </w:r>
      <w:r w:rsidRPr="00073DF1">
        <w:t xml:space="preserve">et </w:t>
      </w:r>
      <w:proofErr w:type="spellStart"/>
      <w:r w:rsidRPr="00073DF1">
        <w:rPr>
          <w:i/>
        </w:rPr>
        <w:t>Travis</w:t>
      </w:r>
      <w:proofErr w:type="spellEnd"/>
      <w:r w:rsidRPr="00073DF1">
        <w:rPr>
          <w:i/>
        </w:rPr>
        <w:t xml:space="preserve"> Henderson</w:t>
      </w:r>
      <w:r w:rsidRPr="00073DF1">
        <w:t xml:space="preserve">, pour l’appelant/intimé au </w:t>
      </w:r>
      <w:r w:rsidRPr="006B345B">
        <w:t>pourvoi</w:t>
      </w:r>
      <w:r w:rsidRPr="00073DF1">
        <w:t xml:space="preserve"> </w:t>
      </w:r>
      <w:r w:rsidRPr="00073DF1">
        <w:rPr>
          <w:rStyle w:val="documentbody"/>
        </w:rPr>
        <w:t>incident</w:t>
      </w:r>
      <w:r w:rsidRPr="00073DF1">
        <w:t xml:space="preserve"> le procureur général du Canada (33563).</w:t>
      </w:r>
    </w:p>
    <w:p w:rsidR="00C74417" w:rsidRPr="00073DF1" w:rsidRDefault="00C74417" w:rsidP="00C74417">
      <w:pPr>
        <w:pStyle w:val="SCCNormalDoubleSpacing"/>
        <w:spacing w:after="480"/>
      </w:pPr>
      <w:r w:rsidRPr="00073DF1">
        <w:rPr>
          <w:i/>
        </w:rPr>
        <w:tab/>
        <w:t xml:space="preserve">Deborah </w:t>
      </w:r>
      <w:proofErr w:type="spellStart"/>
      <w:r w:rsidRPr="00073DF1">
        <w:rPr>
          <w:i/>
        </w:rPr>
        <w:t>Glendining</w:t>
      </w:r>
      <w:proofErr w:type="spellEnd"/>
      <w:r w:rsidRPr="00073DF1">
        <w:t xml:space="preserve"> et </w:t>
      </w:r>
      <w:r w:rsidRPr="00073DF1">
        <w:rPr>
          <w:i/>
        </w:rPr>
        <w:t xml:space="preserve">Nada </w:t>
      </w:r>
      <w:proofErr w:type="spellStart"/>
      <w:r w:rsidRPr="00073DF1">
        <w:rPr>
          <w:i/>
        </w:rPr>
        <w:t>Khirdaji</w:t>
      </w:r>
      <w:proofErr w:type="spellEnd"/>
      <w:r w:rsidRPr="00073DF1">
        <w:t xml:space="preserve">, pour l’intimée/appelante au pourvoi </w:t>
      </w:r>
      <w:r w:rsidRPr="00073DF1">
        <w:rPr>
          <w:rStyle w:val="documentbody"/>
        </w:rPr>
        <w:t>incident</w:t>
      </w:r>
      <w:r w:rsidRPr="00073DF1">
        <w:t xml:space="preserve"> </w:t>
      </w:r>
      <w:r w:rsidRPr="00073DF1">
        <w:rPr>
          <w:rStyle w:val="documentbody"/>
        </w:rPr>
        <w:t>Imperial</w:t>
      </w:r>
      <w:r w:rsidRPr="00073DF1">
        <w:t xml:space="preserve"> Tobacco Canada Limitée (33559).</w:t>
      </w:r>
    </w:p>
    <w:p w:rsidR="00C74417" w:rsidRPr="00073DF1" w:rsidRDefault="00C74417" w:rsidP="00C74417">
      <w:pPr>
        <w:pStyle w:val="SCCNormalDoubleSpacing"/>
        <w:spacing w:after="480"/>
      </w:pPr>
      <w:r w:rsidRPr="00073DF1">
        <w:rPr>
          <w:i/>
        </w:rPr>
        <w:tab/>
        <w:t xml:space="preserve">Ryan D. W. Dalziel </w:t>
      </w:r>
      <w:r w:rsidRPr="00073DF1">
        <w:t xml:space="preserve">et </w:t>
      </w:r>
      <w:r w:rsidRPr="00073DF1">
        <w:rPr>
          <w:i/>
        </w:rPr>
        <w:t>Daniel A. Webster</w:t>
      </w:r>
      <w:r w:rsidRPr="00073DF1">
        <w:t xml:space="preserve">, </w:t>
      </w:r>
      <w:proofErr w:type="gramStart"/>
      <w:r w:rsidRPr="00073DF1">
        <w:rPr>
          <w:i/>
        </w:rPr>
        <w:t>c.r.</w:t>
      </w:r>
      <w:r w:rsidRPr="00073DF1">
        <w:t>,</w:t>
      </w:r>
      <w:proofErr w:type="gramEnd"/>
      <w:r w:rsidRPr="00073DF1">
        <w:t xml:space="preserve"> pour l’intimée Sa Majesté la Reine du </w:t>
      </w:r>
      <w:r w:rsidRPr="00073DF1">
        <w:rPr>
          <w:rStyle w:val="documentbody"/>
        </w:rPr>
        <w:t>chef</w:t>
      </w:r>
      <w:r w:rsidRPr="00073DF1">
        <w:t xml:space="preserve"> de la </w:t>
      </w:r>
      <w:proofErr w:type="spellStart"/>
      <w:r w:rsidRPr="00073DF1">
        <w:t>Colombie</w:t>
      </w:r>
      <w:r w:rsidRPr="00073DF1">
        <w:noBreakHyphen/>
        <w:t>Britannique</w:t>
      </w:r>
      <w:proofErr w:type="spellEnd"/>
      <w:r w:rsidRPr="00073DF1">
        <w:t xml:space="preserve"> (33563).</w:t>
      </w:r>
    </w:p>
    <w:p w:rsidR="00C74417" w:rsidRPr="00073DF1" w:rsidRDefault="00C74417" w:rsidP="00C74417">
      <w:pPr>
        <w:pStyle w:val="SCCNormalDoubleSpacing"/>
        <w:spacing w:after="480"/>
      </w:pPr>
      <w:r w:rsidRPr="00073DF1">
        <w:rPr>
          <w:i/>
        </w:rPr>
        <w:tab/>
        <w:t>John J. L. Hunter</w:t>
      </w:r>
      <w:r w:rsidRPr="00073DF1">
        <w:t xml:space="preserve">, </w:t>
      </w:r>
      <w:proofErr w:type="gramStart"/>
      <w:r w:rsidRPr="00073DF1">
        <w:rPr>
          <w:i/>
        </w:rPr>
        <w:t>c.r.</w:t>
      </w:r>
      <w:r w:rsidRPr="00073DF1">
        <w:t>,</w:t>
      </w:r>
      <w:proofErr w:type="gramEnd"/>
      <w:r w:rsidRPr="00073DF1">
        <w:t xml:space="preserve"> et </w:t>
      </w:r>
      <w:r w:rsidRPr="00073DF1">
        <w:rPr>
          <w:i/>
        </w:rPr>
        <w:t xml:space="preserve">Brent B. </w:t>
      </w:r>
      <w:proofErr w:type="spellStart"/>
      <w:r w:rsidRPr="00073DF1">
        <w:rPr>
          <w:i/>
        </w:rPr>
        <w:t>Olthuis</w:t>
      </w:r>
      <w:proofErr w:type="spellEnd"/>
      <w:r w:rsidRPr="00073DF1">
        <w:t xml:space="preserve">, pour l’intimée/appelante au pourvoi incident </w:t>
      </w:r>
      <w:r w:rsidRPr="00073DF1">
        <w:rPr>
          <w:rStyle w:val="documentbody"/>
        </w:rPr>
        <w:t>Imperial</w:t>
      </w:r>
      <w:r w:rsidRPr="00073DF1">
        <w:t xml:space="preserve"> Tobacco Canada Limitée (33563).</w:t>
      </w:r>
    </w:p>
    <w:p w:rsidR="00C74417" w:rsidRPr="00073DF1" w:rsidRDefault="00C74417" w:rsidP="00C74417">
      <w:pPr>
        <w:pStyle w:val="SCCNormalDoubleSpacing"/>
        <w:spacing w:after="480"/>
        <w:rPr>
          <w:b/>
        </w:rPr>
      </w:pPr>
      <w:r w:rsidRPr="00073DF1">
        <w:lastRenderedPageBreak/>
        <w:tab/>
        <w:t xml:space="preserve">Argumentation écrite seulement par </w:t>
      </w:r>
      <w:r w:rsidRPr="00073DF1">
        <w:rPr>
          <w:i/>
          <w:szCs w:val="24"/>
        </w:rPr>
        <w:t xml:space="preserve">Kenneth N. </w:t>
      </w:r>
      <w:proofErr w:type="spellStart"/>
      <w:r w:rsidRPr="00073DF1">
        <w:rPr>
          <w:i/>
          <w:szCs w:val="24"/>
        </w:rPr>
        <w:t>Affleck</w:t>
      </w:r>
      <w:proofErr w:type="spellEnd"/>
      <w:r w:rsidRPr="00073DF1">
        <w:rPr>
          <w:szCs w:val="24"/>
        </w:rPr>
        <w:t xml:space="preserve">, </w:t>
      </w:r>
      <w:proofErr w:type="gramStart"/>
      <w:r w:rsidRPr="00073DF1">
        <w:rPr>
          <w:i/>
          <w:szCs w:val="24"/>
        </w:rPr>
        <w:t>c.r.</w:t>
      </w:r>
      <w:r w:rsidRPr="00073DF1">
        <w:rPr>
          <w:szCs w:val="24"/>
        </w:rPr>
        <w:t>,</w:t>
      </w:r>
      <w:proofErr w:type="gramEnd"/>
      <w:r w:rsidRPr="00073DF1">
        <w:rPr>
          <w:szCs w:val="24"/>
        </w:rPr>
        <w:t xml:space="preserve"> pour les intimées/</w:t>
      </w:r>
      <w:r w:rsidRPr="00073DF1">
        <w:rPr>
          <w:rStyle w:val="documentbody"/>
        </w:rPr>
        <w:t>appelantes</w:t>
      </w:r>
      <w:r w:rsidRPr="00073DF1">
        <w:rPr>
          <w:szCs w:val="24"/>
        </w:rPr>
        <w:t xml:space="preserve"> au pourvoi incident </w:t>
      </w:r>
      <w:proofErr w:type="spellStart"/>
      <w:r w:rsidRPr="00073DF1">
        <w:t>Rothmans</w:t>
      </w:r>
      <w:proofErr w:type="spellEnd"/>
      <w:r w:rsidRPr="00073DF1">
        <w:t xml:space="preserve">, Benson &amp; </w:t>
      </w:r>
      <w:proofErr w:type="spellStart"/>
      <w:r w:rsidRPr="00073DF1">
        <w:t>Hedges</w:t>
      </w:r>
      <w:proofErr w:type="spellEnd"/>
      <w:r w:rsidRPr="00073DF1">
        <w:t xml:space="preserve"> Inc. et </w:t>
      </w:r>
      <w:proofErr w:type="spellStart"/>
      <w:r w:rsidRPr="00073DF1">
        <w:t>Rothmans</w:t>
      </w:r>
      <w:proofErr w:type="spellEnd"/>
      <w:r w:rsidRPr="00073DF1">
        <w:t xml:space="preserve"> Inc. (33563).</w:t>
      </w:r>
    </w:p>
    <w:p w:rsidR="00C74417" w:rsidRPr="00073DF1" w:rsidRDefault="00C74417" w:rsidP="00C74417">
      <w:pPr>
        <w:pStyle w:val="SCCNormalDoubleSpacing"/>
        <w:spacing w:after="480"/>
      </w:pPr>
      <w:r w:rsidRPr="00073DF1">
        <w:rPr>
          <w:i/>
        </w:rPr>
        <w:tab/>
      </w:r>
      <w:r w:rsidRPr="00073DF1">
        <w:t>Argumentation écrite seulement par</w:t>
      </w:r>
      <w:r w:rsidRPr="00073DF1">
        <w:rPr>
          <w:b/>
        </w:rPr>
        <w:t xml:space="preserve"> </w:t>
      </w:r>
      <w:r w:rsidRPr="00073DF1">
        <w:rPr>
          <w:i/>
        </w:rPr>
        <w:t>Jeffrey J. Kay</w:t>
      </w:r>
      <w:r w:rsidRPr="00073DF1">
        <w:t xml:space="preserve">, </w:t>
      </w:r>
      <w:proofErr w:type="gramStart"/>
      <w:r w:rsidRPr="00073DF1">
        <w:rPr>
          <w:i/>
        </w:rPr>
        <w:t>c.r.</w:t>
      </w:r>
      <w:r w:rsidRPr="00073DF1">
        <w:t>,</w:t>
      </w:r>
      <w:proofErr w:type="gramEnd"/>
      <w:r w:rsidRPr="00073DF1">
        <w:t xml:space="preserve"> pour les </w:t>
      </w:r>
      <w:r w:rsidRPr="00073DF1">
        <w:rPr>
          <w:szCs w:val="24"/>
        </w:rPr>
        <w:t>intimées/</w:t>
      </w:r>
      <w:r w:rsidRPr="00073DF1">
        <w:rPr>
          <w:rStyle w:val="documentbody"/>
        </w:rPr>
        <w:t>appelantes</w:t>
      </w:r>
      <w:r w:rsidRPr="00073DF1">
        <w:rPr>
          <w:szCs w:val="24"/>
        </w:rPr>
        <w:t xml:space="preserve"> au pourvoi incident </w:t>
      </w:r>
      <w:proofErr w:type="spellStart"/>
      <w:r w:rsidRPr="00073DF1">
        <w:t>JTI</w:t>
      </w:r>
      <w:r w:rsidRPr="00073DF1">
        <w:noBreakHyphen/>
        <w:t>MacDonald</w:t>
      </w:r>
      <w:proofErr w:type="spellEnd"/>
      <w:r w:rsidRPr="00073DF1">
        <w:t xml:space="preserve"> Corp., R.J. Reynolds Tobacco </w:t>
      </w:r>
      <w:proofErr w:type="spellStart"/>
      <w:r w:rsidRPr="00073DF1">
        <w:t>Company</w:t>
      </w:r>
      <w:proofErr w:type="spellEnd"/>
      <w:r w:rsidRPr="00073DF1">
        <w:t xml:space="preserve"> et R.J. Reynolds Tobacco International Inc. (33563).</w:t>
      </w:r>
    </w:p>
    <w:p w:rsidR="00C74417" w:rsidRPr="00073DF1" w:rsidRDefault="00C74417" w:rsidP="00C74417">
      <w:pPr>
        <w:pStyle w:val="SCCNormalDoubleSpacing"/>
        <w:spacing w:after="480"/>
      </w:pPr>
      <w:r w:rsidRPr="00073DF1">
        <w:rPr>
          <w:i/>
        </w:rPr>
        <w:tab/>
      </w:r>
      <w:r w:rsidRPr="00073DF1">
        <w:t>Argumentation écrite seulement par</w:t>
      </w:r>
      <w:r w:rsidRPr="00073DF1">
        <w:rPr>
          <w:b/>
        </w:rPr>
        <w:t xml:space="preserve"> </w:t>
      </w:r>
      <w:r w:rsidRPr="00073DF1">
        <w:rPr>
          <w:i/>
        </w:rPr>
        <w:t xml:space="preserve">Craig P. Dennis </w:t>
      </w:r>
      <w:r w:rsidRPr="00073DF1">
        <w:t xml:space="preserve">et </w:t>
      </w:r>
      <w:r w:rsidRPr="00073DF1">
        <w:rPr>
          <w:i/>
        </w:rPr>
        <w:t xml:space="preserve">Michael D. </w:t>
      </w:r>
      <w:proofErr w:type="spellStart"/>
      <w:r w:rsidRPr="00073DF1">
        <w:rPr>
          <w:i/>
        </w:rPr>
        <w:t>Shirreff</w:t>
      </w:r>
      <w:proofErr w:type="spellEnd"/>
      <w:r w:rsidRPr="00073DF1">
        <w:t xml:space="preserve">, pour les </w:t>
      </w:r>
      <w:r w:rsidRPr="00073DF1">
        <w:rPr>
          <w:rStyle w:val="documentbody"/>
        </w:rPr>
        <w:t>intimées</w:t>
      </w:r>
      <w:r w:rsidRPr="00073DF1">
        <w:rPr>
          <w:szCs w:val="24"/>
        </w:rPr>
        <w:t>/</w:t>
      </w:r>
      <w:r w:rsidRPr="00073DF1">
        <w:t>a</w:t>
      </w:r>
      <w:r w:rsidRPr="00073DF1">
        <w:rPr>
          <w:szCs w:val="24"/>
        </w:rPr>
        <w:t xml:space="preserve">ppelantes au pourvoi incident </w:t>
      </w:r>
      <w:r w:rsidRPr="00073DF1">
        <w:t xml:space="preserve">B.A.T. Industries </w:t>
      </w:r>
      <w:proofErr w:type="spellStart"/>
      <w:r w:rsidRPr="00073DF1">
        <w:t>p.l.c</w:t>
      </w:r>
      <w:proofErr w:type="spellEnd"/>
      <w:r w:rsidRPr="00073DF1">
        <w:t>. et British American Tobacco (</w:t>
      </w:r>
      <w:proofErr w:type="spellStart"/>
      <w:r w:rsidRPr="00073DF1">
        <w:t>Investments</w:t>
      </w:r>
      <w:proofErr w:type="spellEnd"/>
      <w:r w:rsidRPr="00073DF1">
        <w:t>) Limited (33563).</w:t>
      </w:r>
    </w:p>
    <w:p w:rsidR="00C74417" w:rsidRPr="00073DF1" w:rsidRDefault="00C74417" w:rsidP="00C74417">
      <w:pPr>
        <w:pStyle w:val="SCCNormalDoubleSpacing"/>
        <w:spacing w:after="480"/>
      </w:pPr>
      <w:r w:rsidRPr="00073DF1">
        <w:tab/>
        <w:t>Argumentation écrite seulement par</w:t>
      </w:r>
      <w:r w:rsidRPr="00073DF1">
        <w:rPr>
          <w:b/>
        </w:rPr>
        <w:t xml:space="preserve"> </w:t>
      </w:r>
      <w:r w:rsidRPr="00073DF1">
        <w:rPr>
          <w:i/>
        </w:rPr>
        <w:t xml:space="preserve">Christopher M. </w:t>
      </w:r>
      <w:proofErr w:type="spellStart"/>
      <w:r w:rsidRPr="00073DF1">
        <w:rPr>
          <w:i/>
        </w:rPr>
        <w:t>Rusnak</w:t>
      </w:r>
      <w:proofErr w:type="spellEnd"/>
      <w:r w:rsidRPr="00073DF1">
        <w:t>, pour l’intimée</w:t>
      </w:r>
      <w:r w:rsidRPr="00073DF1">
        <w:rPr>
          <w:szCs w:val="24"/>
        </w:rPr>
        <w:t>/</w:t>
      </w:r>
      <w:r w:rsidRPr="00073DF1">
        <w:rPr>
          <w:rStyle w:val="documentbody"/>
        </w:rPr>
        <w:t>appelante</w:t>
      </w:r>
      <w:r w:rsidRPr="00073DF1">
        <w:rPr>
          <w:szCs w:val="24"/>
        </w:rPr>
        <w:t xml:space="preserve"> au pourvoi incident </w:t>
      </w:r>
      <w:r w:rsidRPr="00073DF1">
        <w:t xml:space="preserve">Carreras </w:t>
      </w:r>
      <w:proofErr w:type="spellStart"/>
      <w:r w:rsidRPr="00073DF1">
        <w:t>Rothmans</w:t>
      </w:r>
      <w:proofErr w:type="spellEnd"/>
      <w:r w:rsidRPr="00073DF1">
        <w:t xml:space="preserve"> Limited (33563).</w:t>
      </w:r>
    </w:p>
    <w:p w:rsidR="00C74417" w:rsidRPr="00073DF1" w:rsidRDefault="00C74417" w:rsidP="00C74417">
      <w:pPr>
        <w:pStyle w:val="SCCNormalDoubleSpacing"/>
        <w:spacing w:after="480"/>
      </w:pPr>
      <w:r w:rsidRPr="00073DF1">
        <w:rPr>
          <w:sz w:val="22"/>
          <w:szCs w:val="22"/>
        </w:rPr>
        <w:tab/>
      </w:r>
      <w:r w:rsidRPr="00073DF1">
        <w:t>Argumentation écrite seulement par</w:t>
      </w:r>
      <w:r w:rsidRPr="00073DF1">
        <w:rPr>
          <w:b/>
        </w:rPr>
        <w:t xml:space="preserve"> </w:t>
      </w:r>
      <w:r w:rsidRPr="00073DF1">
        <w:rPr>
          <w:i/>
        </w:rPr>
        <w:t>D. Ross Clark</w:t>
      </w:r>
      <w:r w:rsidRPr="00073DF1">
        <w:t>, pour l’intimée</w:t>
      </w:r>
      <w:r w:rsidRPr="00073DF1">
        <w:rPr>
          <w:szCs w:val="24"/>
        </w:rPr>
        <w:t>/</w:t>
      </w:r>
      <w:r w:rsidRPr="00073DF1">
        <w:t>a</w:t>
      </w:r>
      <w:r w:rsidRPr="00073DF1">
        <w:rPr>
          <w:szCs w:val="24"/>
        </w:rPr>
        <w:t xml:space="preserve">ppelante au pourvoi </w:t>
      </w:r>
      <w:r w:rsidRPr="00073DF1">
        <w:rPr>
          <w:rStyle w:val="documentbody"/>
        </w:rPr>
        <w:t>incident</w:t>
      </w:r>
      <w:r w:rsidRPr="00073DF1">
        <w:rPr>
          <w:szCs w:val="24"/>
        </w:rPr>
        <w:t xml:space="preserve"> </w:t>
      </w:r>
      <w:r w:rsidRPr="00073DF1">
        <w:t>Philip Morris U.S.A. Inc. (33563).</w:t>
      </w:r>
    </w:p>
    <w:p w:rsidR="00C74417" w:rsidRPr="00073DF1" w:rsidRDefault="00C74417" w:rsidP="00C74417">
      <w:pPr>
        <w:pStyle w:val="SCCNormalDoubleSpacing"/>
        <w:spacing w:after="480"/>
      </w:pPr>
      <w:r w:rsidRPr="00073DF1">
        <w:tab/>
      </w:r>
      <w:r w:rsidRPr="00073DF1">
        <w:rPr>
          <w:i/>
        </w:rPr>
        <w:t>Simon V. Potter</w:t>
      </w:r>
      <w:r w:rsidRPr="00073DF1">
        <w:t xml:space="preserve">, </w:t>
      </w:r>
      <w:r w:rsidRPr="00073DF1">
        <w:rPr>
          <w:i/>
        </w:rPr>
        <w:t xml:space="preserve">Michael A. </w:t>
      </w:r>
      <w:proofErr w:type="spellStart"/>
      <w:r w:rsidRPr="00073DF1">
        <w:rPr>
          <w:i/>
        </w:rPr>
        <w:t>Feder</w:t>
      </w:r>
      <w:proofErr w:type="spellEnd"/>
      <w:r w:rsidRPr="00073DF1">
        <w:rPr>
          <w:i/>
        </w:rPr>
        <w:t xml:space="preserve"> </w:t>
      </w:r>
      <w:r w:rsidRPr="00073DF1">
        <w:t xml:space="preserve">et </w:t>
      </w:r>
      <w:r w:rsidRPr="00073DF1">
        <w:rPr>
          <w:i/>
        </w:rPr>
        <w:t>Angela M. Juba</w:t>
      </w:r>
      <w:r w:rsidRPr="00073DF1">
        <w:t>, pour l’intimée</w:t>
      </w:r>
      <w:r w:rsidRPr="00073DF1">
        <w:rPr>
          <w:szCs w:val="24"/>
        </w:rPr>
        <w:t>/</w:t>
      </w:r>
      <w:r w:rsidRPr="00073DF1">
        <w:t>a</w:t>
      </w:r>
      <w:r w:rsidRPr="00073DF1">
        <w:rPr>
          <w:szCs w:val="24"/>
        </w:rPr>
        <w:t xml:space="preserve">ppelante au pourvoi </w:t>
      </w:r>
      <w:r w:rsidRPr="00073DF1">
        <w:rPr>
          <w:rStyle w:val="documentbody"/>
        </w:rPr>
        <w:t>incident</w:t>
      </w:r>
      <w:r w:rsidRPr="00073DF1">
        <w:t xml:space="preserve"> Philip Morris International Inc. (33563).</w:t>
      </w:r>
    </w:p>
    <w:p w:rsidR="00C74417" w:rsidRPr="00073DF1" w:rsidRDefault="00C74417" w:rsidP="00C74417">
      <w:pPr>
        <w:pStyle w:val="SCCNormalDoubleSpacing"/>
        <w:spacing w:after="480"/>
      </w:pPr>
      <w:r w:rsidRPr="00073DF1">
        <w:lastRenderedPageBreak/>
        <w:tab/>
      </w:r>
      <w:proofErr w:type="spellStart"/>
      <w:r w:rsidRPr="00073DF1">
        <w:rPr>
          <w:i/>
        </w:rPr>
        <w:t>Malliha</w:t>
      </w:r>
      <w:proofErr w:type="spellEnd"/>
      <w:r w:rsidRPr="00073DF1">
        <w:rPr>
          <w:i/>
        </w:rPr>
        <w:t xml:space="preserve"> Wilson </w:t>
      </w:r>
      <w:r w:rsidRPr="00073DF1">
        <w:t xml:space="preserve">et </w:t>
      </w:r>
      <w:r w:rsidRPr="00073DF1">
        <w:rPr>
          <w:i/>
        </w:rPr>
        <w:t xml:space="preserve">Lynne </w:t>
      </w:r>
      <w:proofErr w:type="spellStart"/>
      <w:r w:rsidRPr="00073DF1">
        <w:rPr>
          <w:i/>
        </w:rPr>
        <w:t>McArdle</w:t>
      </w:r>
      <w:proofErr w:type="spellEnd"/>
      <w:r w:rsidRPr="00073DF1">
        <w:t xml:space="preserve">, pour l’intervenant le procureur général de </w:t>
      </w:r>
      <w:r w:rsidRPr="00073DF1">
        <w:rPr>
          <w:rStyle w:val="documentbody"/>
        </w:rPr>
        <w:t>l’Ontario</w:t>
      </w:r>
      <w:r w:rsidRPr="00073DF1">
        <w:t xml:space="preserve"> (33559</w:t>
      </w:r>
      <w:r w:rsidRPr="00073DF1">
        <w:noBreakHyphen/>
        <w:t>33563).</w:t>
      </w:r>
    </w:p>
    <w:p w:rsidR="00C74417" w:rsidRPr="00073DF1" w:rsidRDefault="00C74417" w:rsidP="00C74417">
      <w:pPr>
        <w:pStyle w:val="SCCNormalDoubleSpacing"/>
        <w:spacing w:after="480"/>
        <w:rPr>
          <w:b/>
        </w:rPr>
      </w:pPr>
      <w:r w:rsidRPr="00073DF1">
        <w:tab/>
      </w:r>
      <w:r w:rsidRPr="00073DF1">
        <w:rPr>
          <w:i/>
        </w:rPr>
        <w:t xml:space="preserve">Jeffrey S. </w:t>
      </w:r>
      <w:proofErr w:type="spellStart"/>
      <w:r w:rsidRPr="00073DF1">
        <w:rPr>
          <w:i/>
        </w:rPr>
        <w:t>Leon</w:t>
      </w:r>
      <w:proofErr w:type="spellEnd"/>
      <w:r w:rsidRPr="00073DF1">
        <w:t xml:space="preserve">, </w:t>
      </w:r>
      <w:r w:rsidRPr="00073DF1">
        <w:rPr>
          <w:i/>
        </w:rPr>
        <w:t>Robyn M. Ryan Bell</w:t>
      </w:r>
      <w:r w:rsidRPr="00073DF1">
        <w:t xml:space="preserve"> et </w:t>
      </w:r>
      <w:r w:rsidRPr="00073DF1">
        <w:rPr>
          <w:i/>
        </w:rPr>
        <w:t xml:space="preserve">Michael A. </w:t>
      </w:r>
      <w:proofErr w:type="spellStart"/>
      <w:r w:rsidRPr="00073DF1">
        <w:rPr>
          <w:i/>
        </w:rPr>
        <w:t>Eizenga</w:t>
      </w:r>
      <w:proofErr w:type="spellEnd"/>
      <w:r w:rsidRPr="00073DF1">
        <w:t xml:space="preserve">, pour l’intervenante Sa Majesté la </w:t>
      </w:r>
      <w:r w:rsidRPr="00073DF1">
        <w:rPr>
          <w:rStyle w:val="documentbody"/>
        </w:rPr>
        <w:t>Reine</w:t>
      </w:r>
      <w:r w:rsidRPr="00073DF1">
        <w:t xml:space="preserve"> du chef de la province du </w:t>
      </w:r>
      <w:proofErr w:type="spellStart"/>
      <w:r w:rsidRPr="00073DF1">
        <w:t>Nouveau</w:t>
      </w:r>
      <w:r w:rsidRPr="00073DF1">
        <w:noBreakHyphen/>
        <w:t>Brunswick</w:t>
      </w:r>
      <w:proofErr w:type="spellEnd"/>
      <w:r w:rsidRPr="00073DF1">
        <w:t xml:space="preserve"> (33563).</w:t>
      </w:r>
    </w:p>
    <w:p w:rsidR="00C74417" w:rsidRDefault="00C74417" w:rsidP="00C74417">
      <w:pPr>
        <w:pStyle w:val="SCCNormalDoubleSpacing"/>
        <w:spacing w:after="480"/>
      </w:pPr>
      <w:r w:rsidRPr="00073DF1">
        <w:tab/>
      </w:r>
      <w:r w:rsidRPr="00073DF1">
        <w:rPr>
          <w:i/>
        </w:rPr>
        <w:t>Nancy Brown</w:t>
      </w:r>
      <w:r w:rsidRPr="00073DF1">
        <w:t xml:space="preserve">, pour </w:t>
      </w:r>
      <w:r w:rsidRPr="00073DF1">
        <w:rPr>
          <w:rStyle w:val="documentbody"/>
        </w:rPr>
        <w:t>l’intervenant</w:t>
      </w:r>
      <w:r w:rsidRPr="00073DF1">
        <w:t xml:space="preserve"> le procureur général de</w:t>
      </w:r>
      <w:r w:rsidR="00FC2DFC">
        <w:t xml:space="preserve"> la Colombie-Britannique (33559-</w:t>
      </w:r>
      <w:r w:rsidRPr="00073DF1">
        <w:t>33563).</w:t>
      </w:r>
    </w:p>
    <w:p w:rsidR="00514EE8" w:rsidRPr="00073DF1" w:rsidRDefault="00514EE8" w:rsidP="00C74417">
      <w:pPr>
        <w:pStyle w:val="SCCNormalDoubleSpacing"/>
        <w:spacing w:after="480"/>
      </w:pPr>
      <w:r>
        <w:tab/>
        <w:t>Version française du jugement de la Cour rendu par</w:t>
      </w:r>
    </w:p>
    <w:p w:rsidR="0047179D" w:rsidRPr="00403220" w:rsidRDefault="0047179D" w:rsidP="00CB396B">
      <w:pPr>
        <w:tabs>
          <w:tab w:val="left" w:pos="-1440"/>
          <w:tab w:val="left" w:pos="-720"/>
          <w:tab w:val="left" w:pos="1170"/>
        </w:tabs>
        <w:spacing w:before="480" w:after="720"/>
        <w:jc w:val="both"/>
        <w:rPr>
          <w:szCs w:val="24"/>
          <w:lang w:val="fr-CA"/>
        </w:rPr>
      </w:pPr>
      <w:r w:rsidRPr="00403220">
        <w:rPr>
          <w:szCs w:val="24"/>
          <w:lang w:val="fr-CA"/>
        </w:rPr>
        <w:tab/>
      </w:r>
      <w:r w:rsidRPr="00403220">
        <w:rPr>
          <w:smallCaps/>
          <w:szCs w:val="24"/>
          <w:lang w:val="fr-CA"/>
        </w:rPr>
        <w:t>La Juge en chef</w:t>
      </w:r>
      <w:r w:rsidRPr="00403220">
        <w:rPr>
          <w:szCs w:val="24"/>
          <w:lang w:val="fr-CA"/>
        </w:rPr>
        <w:t xml:space="preserve"> — </w:t>
      </w:r>
    </w:p>
    <w:tbl>
      <w:tblPr>
        <w:tblStyle w:val="TableGrid"/>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460"/>
      </w:tblGrid>
      <w:tr w:rsidR="008D0A0E" w:rsidRPr="001A2010" w:rsidTr="008D0A0E">
        <w:tc>
          <w:tcPr>
            <w:tcW w:w="8460" w:type="dxa"/>
          </w:tcPr>
          <w:p w:rsidR="008D0A0E" w:rsidRPr="00C244EC" w:rsidRDefault="008D0A0E" w:rsidP="00C244EC">
            <w:pPr>
              <w:tabs>
                <w:tab w:val="center" w:pos="4050"/>
              </w:tabs>
              <w:rPr>
                <w:b/>
                <w:lang w:val="fr-CA"/>
              </w:rPr>
            </w:pPr>
            <w:r w:rsidRPr="001A2010">
              <w:rPr>
                <w:b/>
              </w:rPr>
              <w:tab/>
              <w:t xml:space="preserve">TABLE </w:t>
            </w:r>
            <w:r w:rsidR="00C244EC">
              <w:rPr>
                <w:b/>
              </w:rPr>
              <w:t>DES MATI</w:t>
            </w:r>
            <w:r w:rsidR="00C244EC">
              <w:rPr>
                <w:b/>
                <w:lang w:val="fr-CA"/>
              </w:rPr>
              <w:t>ÈRES</w:t>
            </w:r>
          </w:p>
        </w:tc>
      </w:tr>
      <w:tr w:rsidR="008D0A0E" w:rsidRPr="001A2010" w:rsidTr="008D0A0E">
        <w:tc>
          <w:tcPr>
            <w:tcW w:w="8460" w:type="dxa"/>
          </w:tcPr>
          <w:p w:rsidR="008D0A0E" w:rsidRPr="001A2010" w:rsidRDefault="008D0A0E" w:rsidP="008D0A0E">
            <w:pPr>
              <w:tabs>
                <w:tab w:val="right" w:pos="8460"/>
              </w:tabs>
            </w:pPr>
            <w:r w:rsidRPr="001A2010">
              <w:tab/>
            </w:r>
            <w:proofErr w:type="spellStart"/>
            <w:r w:rsidRPr="001A2010">
              <w:t>Paragraph</w:t>
            </w:r>
            <w:r w:rsidR="00C244EC">
              <w:t>e</w:t>
            </w:r>
            <w:proofErr w:type="spellEnd"/>
          </w:p>
        </w:tc>
      </w:tr>
      <w:tr w:rsidR="00F365DC" w:rsidRPr="008D0A0E" w:rsidTr="000D24D7">
        <w:tc>
          <w:tcPr>
            <w:tcW w:w="8460" w:type="dxa"/>
          </w:tcPr>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r>
              <w:fldChar w:fldCharType="begin"/>
            </w:r>
            <w:r w:rsidR="00F365DC" w:rsidRPr="008D0A0E">
              <w:rPr>
                <w:lang w:val="fr-CA"/>
              </w:rPr>
              <w:instrText xml:space="preserve"> TOC \</w:instrText>
            </w:r>
            <w:r w:rsidR="00F365DC">
              <w:rPr>
                <w:lang w:val="fr-CA"/>
              </w:rPr>
              <w:instrText>h \</w:instrText>
            </w:r>
            <w:r w:rsidR="00F365DC" w:rsidRPr="008D0A0E">
              <w:rPr>
                <w:lang w:val="fr-CA"/>
              </w:rPr>
              <w:instrText xml:space="preserve">t "Title / Titre - Alt T,1" </w:instrText>
            </w:r>
            <w:r w:rsidRPr="007937F3">
              <w:rPr>
                <w:sz w:val="24"/>
              </w:rPr>
              <w:fldChar w:fldCharType="separate"/>
            </w:r>
            <w:hyperlink w:anchor="_Toc314735105" w:history="1">
              <w:r w:rsidR="00F365DC" w:rsidRPr="0055165A">
                <w:rPr>
                  <w:rStyle w:val="Hyperlink"/>
                  <w:lang w:val="fr-CA"/>
                </w:rPr>
                <w:t>I.</w:t>
              </w:r>
              <w:r w:rsidR="00F365DC">
                <w:rPr>
                  <w:rFonts w:asciiTheme="minorHAnsi" w:eastAsiaTheme="minorEastAsia" w:hAnsiTheme="minorHAnsi" w:cstheme="minorBidi"/>
                  <w:sz w:val="22"/>
                  <w:szCs w:val="22"/>
                  <w:lang w:val="en-US" w:eastAsia="en-US"/>
                </w:rPr>
                <w:tab/>
              </w:r>
              <w:r w:rsidR="00F365DC" w:rsidRPr="0055165A">
                <w:rPr>
                  <w:rStyle w:val="Hyperlink"/>
                  <w:lang w:val="fr-CA"/>
                </w:rPr>
                <w:t>Introduction</w:t>
              </w:r>
              <w:r w:rsidR="00F365DC">
                <w:tab/>
              </w:r>
            </w:hyperlink>
            <w:r w:rsidR="00F365DC">
              <w:rPr>
                <w:rStyle w:val="Hyperlink"/>
              </w:rPr>
              <w:t>1</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06" w:history="1">
              <w:r w:rsidR="00F365DC" w:rsidRPr="0055165A">
                <w:rPr>
                  <w:rStyle w:val="Hyperlink"/>
                  <w:lang w:val="fr-CA"/>
                </w:rPr>
                <w:t>II.</w:t>
              </w:r>
              <w:r w:rsidR="00F365DC">
                <w:rPr>
                  <w:rFonts w:asciiTheme="minorHAnsi" w:eastAsiaTheme="minorEastAsia" w:hAnsiTheme="minorHAnsi" w:cstheme="minorBidi"/>
                  <w:sz w:val="22"/>
                  <w:szCs w:val="22"/>
                  <w:lang w:val="en-US" w:eastAsia="en-US"/>
                </w:rPr>
                <w:tab/>
              </w:r>
              <w:r w:rsidR="00F365DC" w:rsidRPr="0055165A">
                <w:rPr>
                  <w:rStyle w:val="Hyperlink"/>
                  <w:lang w:val="fr-CA"/>
                </w:rPr>
                <w:t>Demandes initiales et historique judiciaire</w:t>
              </w:r>
              <w:r w:rsidR="00F365DC">
                <w:tab/>
              </w:r>
            </w:hyperlink>
            <w:r w:rsidR="00F365DC">
              <w:rPr>
                <w:rStyle w:val="Hyperlink"/>
              </w:rPr>
              <w:t>6</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07" w:history="1">
              <w:r w:rsidR="00F365DC" w:rsidRPr="0055165A">
                <w:rPr>
                  <w:rStyle w:val="Hyperlink"/>
                  <w:lang w:val="fr-CA"/>
                </w:rPr>
                <w:t>A.</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L’Affaire Knight</w:t>
              </w:r>
              <w:r w:rsidR="00F365DC">
                <w:tab/>
              </w:r>
            </w:hyperlink>
            <w:r w:rsidR="00F365DC">
              <w:rPr>
                <w:rStyle w:val="Hyperlink"/>
              </w:rPr>
              <w:t>6</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08" w:history="1">
              <w:r w:rsidR="00F365DC" w:rsidRPr="0055165A">
                <w:rPr>
                  <w:rStyle w:val="Hyperlink"/>
                  <w:lang w:val="fr-CA"/>
                </w:rPr>
                <w:t>B.</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L’Affaire du recouvrement des coûts</w:t>
              </w:r>
              <w:r w:rsidR="00F365DC">
                <w:tab/>
              </w:r>
            </w:hyperlink>
            <w:r w:rsidR="00F365DC">
              <w:rPr>
                <w:rStyle w:val="Hyperlink"/>
              </w:rPr>
              <w:t>11</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09" w:history="1">
              <w:r w:rsidR="00F365DC" w:rsidRPr="0055165A">
                <w:rPr>
                  <w:rStyle w:val="Hyperlink"/>
                  <w:lang w:val="fr-CA"/>
                </w:rPr>
                <w:t>III.</w:t>
              </w:r>
              <w:r w:rsidR="00F365DC">
                <w:rPr>
                  <w:rFonts w:asciiTheme="minorHAnsi" w:eastAsiaTheme="minorEastAsia" w:hAnsiTheme="minorHAnsi" w:cstheme="minorBidi"/>
                  <w:sz w:val="22"/>
                  <w:szCs w:val="22"/>
                  <w:lang w:val="en-US" w:eastAsia="en-US"/>
                </w:rPr>
                <w:tab/>
              </w:r>
              <w:r w:rsidR="00F365DC" w:rsidRPr="0055165A">
                <w:rPr>
                  <w:rStyle w:val="Hyperlink"/>
                  <w:lang w:val="fr-CA"/>
                </w:rPr>
                <w:t>Questions en litige</w:t>
              </w:r>
              <w:r w:rsidR="00F365DC">
                <w:tab/>
              </w:r>
            </w:hyperlink>
            <w:r w:rsidR="00F365DC">
              <w:rPr>
                <w:rStyle w:val="Hyperlink"/>
              </w:rPr>
              <w:t>15</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0" w:history="1">
              <w:r w:rsidR="00F365DC" w:rsidRPr="0055165A">
                <w:rPr>
                  <w:rStyle w:val="Hyperlink"/>
                  <w:lang w:val="fr-CA"/>
                </w:rPr>
                <w:t>IV.</w:t>
              </w:r>
              <w:r w:rsidR="00F365DC">
                <w:rPr>
                  <w:rFonts w:asciiTheme="minorHAnsi" w:eastAsiaTheme="minorEastAsia" w:hAnsiTheme="minorHAnsi" w:cstheme="minorBidi"/>
                  <w:sz w:val="22"/>
                  <w:szCs w:val="22"/>
                  <w:lang w:val="en-US" w:eastAsia="en-US"/>
                </w:rPr>
                <w:tab/>
              </w:r>
              <w:r w:rsidR="00F365DC" w:rsidRPr="0055165A">
                <w:rPr>
                  <w:rStyle w:val="Hyperlink"/>
                  <w:lang w:val="fr-CA"/>
                </w:rPr>
                <w:t>Analyse</w:t>
              </w:r>
              <w:r w:rsidR="00F365DC">
                <w:tab/>
              </w:r>
            </w:hyperlink>
            <w:r w:rsidR="00F365DC">
              <w:rPr>
                <w:rStyle w:val="Hyperlink"/>
              </w:rPr>
              <w:t>17</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1" w:history="1">
              <w:r w:rsidR="00F365DC" w:rsidRPr="0055165A">
                <w:rPr>
                  <w:rStyle w:val="Hyperlink"/>
                  <w:lang w:val="fr-CA"/>
                </w:rPr>
                <w:t>A.</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Le critère applicable à la radiation d’une demande</w:t>
              </w:r>
              <w:r w:rsidR="00F365DC">
                <w:tab/>
              </w:r>
            </w:hyperlink>
            <w:r w:rsidR="00F365DC">
              <w:rPr>
                <w:rStyle w:val="Hyperlink"/>
              </w:rPr>
              <w:t>17</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2" w:history="1">
              <w:r w:rsidR="00F365DC" w:rsidRPr="0055165A">
                <w:rPr>
                  <w:rStyle w:val="Hyperlink"/>
                  <w:lang w:val="fr-CA"/>
                </w:rPr>
                <w:t>B.</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 xml:space="preserve">Les prétendues obligations de diligence du Canada envers les fumeurs dans l’Affaire </w:t>
              </w:r>
              <w:r w:rsidR="00F365DC">
                <w:rPr>
                  <w:rStyle w:val="Hyperlink"/>
                  <w:i/>
                  <w:lang w:val="fr-CA"/>
                </w:rPr>
                <w:br/>
              </w:r>
              <w:r w:rsidR="00F365DC" w:rsidRPr="0055165A">
                <w:rPr>
                  <w:rStyle w:val="Hyperlink"/>
                  <w:i/>
                  <w:lang w:val="fr-CA"/>
                </w:rPr>
                <w:t>du recouvrement des coûts</w:t>
              </w:r>
              <w:r w:rsidR="00F365DC">
                <w:tab/>
              </w:r>
            </w:hyperlink>
            <w:r w:rsidR="00F365DC">
              <w:rPr>
                <w:rStyle w:val="Hyperlink"/>
              </w:rPr>
              <w:t>27</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3" w:history="1">
              <w:r w:rsidR="00F365DC" w:rsidRPr="0055165A">
                <w:rPr>
                  <w:rStyle w:val="Hyperlink"/>
                  <w:lang w:val="fr-CA"/>
                </w:rPr>
                <w:t>C.</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Les demandes fondées sur des déclarations inexactes faites par négligence</w:t>
              </w:r>
              <w:r w:rsidR="00F365DC">
                <w:tab/>
              </w:r>
            </w:hyperlink>
            <w:r w:rsidR="00F365DC">
              <w:rPr>
                <w:rStyle w:val="Hyperlink"/>
              </w:rPr>
              <w:t>32</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4" w:history="1">
              <w:r w:rsidR="00F365DC" w:rsidRPr="0055165A">
                <w:rPr>
                  <w:rStyle w:val="Hyperlink"/>
                  <w:lang w:val="fr-CA"/>
                </w:rPr>
                <w:t>(1)</w:t>
              </w:r>
              <w:r w:rsidR="00F365DC">
                <w:rPr>
                  <w:rFonts w:asciiTheme="minorHAnsi" w:eastAsiaTheme="minorEastAsia" w:hAnsiTheme="minorHAnsi" w:cstheme="minorBidi"/>
                  <w:sz w:val="22"/>
                  <w:szCs w:val="22"/>
                  <w:lang w:val="en-US" w:eastAsia="en-US"/>
                </w:rPr>
                <w:tab/>
              </w:r>
              <w:r w:rsidR="00F365DC" w:rsidRPr="0055165A">
                <w:rPr>
                  <w:rStyle w:val="Hyperlink"/>
                  <w:lang w:val="fr-CA"/>
                </w:rPr>
                <w:t>Première étape de l’analyse : le lien de proximité et la prévisibilité</w:t>
              </w:r>
              <w:r w:rsidR="00F365DC">
                <w:tab/>
              </w:r>
            </w:hyperlink>
            <w:r w:rsidR="00F365DC">
              <w:rPr>
                <w:rStyle w:val="Hyperlink"/>
              </w:rPr>
              <w:t>40</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5" w:history="1">
              <w:r w:rsidR="00F365DC" w:rsidRPr="0055165A">
                <w:rPr>
                  <w:rStyle w:val="Hyperlink"/>
                  <w:lang w:val="fr-CA"/>
                </w:rPr>
                <w:t>(2)</w:t>
              </w:r>
              <w:r w:rsidR="00F365DC">
                <w:rPr>
                  <w:rFonts w:asciiTheme="minorHAnsi" w:eastAsiaTheme="minorEastAsia" w:hAnsiTheme="minorHAnsi" w:cstheme="minorBidi"/>
                  <w:sz w:val="22"/>
                  <w:szCs w:val="22"/>
                  <w:lang w:val="en-US" w:eastAsia="en-US"/>
                </w:rPr>
                <w:tab/>
              </w:r>
              <w:r w:rsidR="00F365DC" w:rsidRPr="0055165A">
                <w:rPr>
                  <w:rStyle w:val="Hyperlink"/>
                  <w:lang w:val="fr-CA"/>
                </w:rPr>
                <w:t>Deuxième étape de l’analyse : considérations de politique générale opposées</w:t>
              </w:r>
              <w:r w:rsidR="00F365DC">
                <w:tab/>
              </w:r>
            </w:hyperlink>
            <w:r w:rsidR="00F365DC">
              <w:rPr>
                <w:rStyle w:val="Hyperlink"/>
              </w:rPr>
              <w:t>61</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6" w:history="1">
              <w:r w:rsidR="00F365DC" w:rsidRPr="0055165A">
                <w:rPr>
                  <w:rStyle w:val="Hyperlink"/>
                  <w:lang w:val="fr-CA"/>
                </w:rPr>
                <w:t>a)</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Décisions de politique générale du gouvernement</w:t>
              </w:r>
              <w:r w:rsidR="00F365DC">
                <w:tab/>
              </w:r>
            </w:hyperlink>
            <w:r w:rsidR="00F365DC">
              <w:rPr>
                <w:rStyle w:val="Hyperlink"/>
              </w:rPr>
              <w:t>63</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7" w:history="1">
              <w:r w:rsidR="00F365DC" w:rsidRPr="0055165A">
                <w:rPr>
                  <w:rStyle w:val="Hyperlink"/>
                  <w:lang w:val="fr-CA"/>
                </w:rPr>
                <w:t>(i)</w:t>
              </w:r>
              <w:r w:rsidR="00F365DC">
                <w:rPr>
                  <w:rFonts w:asciiTheme="minorHAnsi" w:eastAsiaTheme="minorEastAsia" w:hAnsiTheme="minorHAnsi" w:cstheme="minorBidi"/>
                  <w:sz w:val="22"/>
                  <w:szCs w:val="22"/>
                  <w:lang w:val="en-US" w:eastAsia="en-US"/>
                </w:rPr>
                <w:tab/>
              </w:r>
              <w:r w:rsidR="00F365DC" w:rsidRPr="0055165A">
                <w:rPr>
                  <w:rStyle w:val="Hyperlink"/>
                  <w:lang w:val="fr-CA"/>
                </w:rPr>
                <w:t>La conduite en cause</w:t>
              </w:r>
              <w:r w:rsidR="00F365DC">
                <w:tab/>
              </w:r>
            </w:hyperlink>
            <w:r w:rsidR="00F365DC">
              <w:rPr>
                <w:rStyle w:val="Hyperlink"/>
              </w:rPr>
              <w:t>67</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8" w:history="1">
              <w:r w:rsidR="00F365DC" w:rsidRPr="0055165A">
                <w:rPr>
                  <w:rStyle w:val="Hyperlink"/>
                  <w:lang w:val="fr-CA"/>
                </w:rPr>
                <w:t>(ii)</w:t>
              </w:r>
              <w:r w:rsidR="00F365DC">
                <w:rPr>
                  <w:rFonts w:asciiTheme="minorHAnsi" w:eastAsiaTheme="minorEastAsia" w:hAnsiTheme="minorHAnsi" w:cstheme="minorBidi"/>
                  <w:sz w:val="22"/>
                  <w:szCs w:val="22"/>
                  <w:lang w:val="en-US" w:eastAsia="en-US"/>
                </w:rPr>
                <w:tab/>
              </w:r>
              <w:r w:rsidR="00F365DC" w:rsidRPr="0055165A">
                <w:rPr>
                  <w:rStyle w:val="Hyperlink"/>
                  <w:lang w:val="fr-CA"/>
                </w:rPr>
                <w:t>La pertinence de la preuve</w:t>
              </w:r>
              <w:r w:rsidR="00F365DC">
                <w:tab/>
              </w:r>
            </w:hyperlink>
            <w:r w:rsidR="00F365DC">
              <w:rPr>
                <w:rStyle w:val="Hyperlink"/>
              </w:rPr>
              <w:t>68</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19" w:history="1">
              <w:r w:rsidR="00F365DC" w:rsidRPr="0055165A">
                <w:rPr>
                  <w:rStyle w:val="Hyperlink"/>
                  <w:lang w:val="fr-CA"/>
                </w:rPr>
                <w:t>(iii)</w:t>
              </w:r>
              <w:r w:rsidR="00F365DC">
                <w:rPr>
                  <w:rFonts w:asciiTheme="minorHAnsi" w:eastAsiaTheme="minorEastAsia" w:hAnsiTheme="minorHAnsi" w:cstheme="minorBidi"/>
                  <w:sz w:val="22"/>
                  <w:szCs w:val="22"/>
                  <w:lang w:val="en-US" w:eastAsia="en-US"/>
                </w:rPr>
                <w:tab/>
              </w:r>
              <w:r w:rsidR="00F365DC" w:rsidRPr="0055165A">
                <w:rPr>
                  <w:rStyle w:val="Hyperlink"/>
                  <w:lang w:val="fr-CA"/>
                </w:rPr>
                <w:t>Les décisions de politique générale soustraites au contrôle judiciaire</w:t>
              </w:r>
              <w:r w:rsidR="00F365DC">
                <w:tab/>
              </w:r>
            </w:hyperlink>
            <w:r w:rsidR="00F365DC">
              <w:rPr>
                <w:rStyle w:val="Hyperlink"/>
              </w:rPr>
              <w:t>72</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0" w:history="1">
              <w:r w:rsidR="00F365DC" w:rsidRPr="0055165A">
                <w:rPr>
                  <w:rStyle w:val="Hyperlink"/>
                  <w:lang w:val="fr-CA"/>
                </w:rPr>
                <w:t>(iv)</w:t>
              </w:r>
              <w:r w:rsidR="00F365DC">
                <w:rPr>
                  <w:rFonts w:asciiTheme="minorHAnsi" w:eastAsiaTheme="minorEastAsia" w:hAnsiTheme="minorHAnsi" w:cstheme="minorBidi"/>
                  <w:sz w:val="22"/>
                  <w:szCs w:val="22"/>
                  <w:lang w:val="en-US" w:eastAsia="en-US"/>
                </w:rPr>
                <w:tab/>
              </w:r>
              <w:r w:rsidR="00F365DC" w:rsidRPr="0055165A">
                <w:rPr>
                  <w:rStyle w:val="Hyperlink"/>
                  <w:lang w:val="fr-CA"/>
                </w:rPr>
                <w:t>Conclusion sur l’argument relatif à la politique générale</w:t>
              </w:r>
              <w:r w:rsidR="00F365DC">
                <w:tab/>
              </w:r>
            </w:hyperlink>
            <w:r w:rsidR="00F365DC">
              <w:rPr>
                <w:rStyle w:val="Hyperlink"/>
              </w:rPr>
              <w:t>92</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1" w:history="1">
              <w:r w:rsidR="00F365DC" w:rsidRPr="0055165A">
                <w:rPr>
                  <w:rStyle w:val="Hyperlink"/>
                  <w:lang w:val="fr-CA"/>
                </w:rPr>
                <w:t>b)</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Responsabilité indéterminée</w:t>
              </w:r>
              <w:r w:rsidR="00F365DC">
                <w:tab/>
              </w:r>
            </w:hyperlink>
            <w:r w:rsidR="00F365DC">
              <w:rPr>
                <w:rStyle w:val="Hyperlink"/>
              </w:rPr>
              <w:t>97</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2" w:history="1">
              <w:r w:rsidR="00F365DC" w:rsidRPr="0055165A">
                <w:rPr>
                  <w:rStyle w:val="Hyperlink"/>
                  <w:lang w:val="fr-CA"/>
                </w:rPr>
                <w:t>c)</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Résumé quant aux arguments de politique générale soulevés à la deuxième étape de</w:t>
              </w:r>
              <w:r w:rsidR="00F365DC">
                <w:rPr>
                  <w:rStyle w:val="Hyperlink"/>
                  <w:i/>
                  <w:lang w:val="fr-CA"/>
                </w:rPr>
                <w:br/>
              </w:r>
              <w:r w:rsidR="00F365DC" w:rsidRPr="0055165A">
                <w:rPr>
                  <w:rStyle w:val="Hyperlink"/>
                  <w:i/>
                  <w:lang w:val="fr-CA"/>
                </w:rPr>
                <w:t xml:space="preserve"> l’analyse</w:t>
              </w:r>
              <w:r w:rsidR="00F365DC">
                <w:tab/>
              </w:r>
            </w:hyperlink>
            <w:r w:rsidR="00F365DC">
              <w:rPr>
                <w:rStyle w:val="Hyperlink"/>
              </w:rPr>
              <w:t>102</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3" w:history="1">
              <w:r w:rsidR="00F365DC" w:rsidRPr="0055165A">
                <w:rPr>
                  <w:rStyle w:val="Hyperlink"/>
                  <w:lang w:val="fr-CA"/>
                </w:rPr>
                <w:t>D.</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Le défaut de mise en garde</w:t>
              </w:r>
              <w:r w:rsidR="00F365DC">
                <w:tab/>
              </w:r>
            </w:hyperlink>
            <w:r w:rsidR="00F365DC">
              <w:rPr>
                <w:rStyle w:val="Hyperlink"/>
              </w:rPr>
              <w:t>103</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4" w:history="1">
              <w:r w:rsidR="00F365DC" w:rsidRPr="0055165A">
                <w:rPr>
                  <w:rStyle w:val="Hyperlink"/>
                  <w:lang w:val="fr-CA"/>
                </w:rPr>
                <w:t>(1)</w:t>
              </w:r>
              <w:r w:rsidR="00F365DC">
                <w:rPr>
                  <w:rFonts w:asciiTheme="minorHAnsi" w:eastAsiaTheme="minorEastAsia" w:hAnsiTheme="minorHAnsi" w:cstheme="minorBidi"/>
                  <w:sz w:val="22"/>
                  <w:szCs w:val="22"/>
                  <w:lang w:val="en-US" w:eastAsia="en-US"/>
                </w:rPr>
                <w:tab/>
              </w:r>
              <w:r w:rsidR="00F365DC" w:rsidRPr="0055165A">
                <w:rPr>
                  <w:rStyle w:val="Hyperlink"/>
                  <w:lang w:val="fr-CA"/>
                </w:rPr>
                <w:t>L’allégation relative à l’étiquetage</w:t>
              </w:r>
              <w:r w:rsidR="00F365DC">
                <w:tab/>
              </w:r>
            </w:hyperlink>
            <w:r w:rsidR="00F365DC">
              <w:rPr>
                <w:rStyle w:val="Hyperlink"/>
              </w:rPr>
              <w:t>104</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5" w:history="1">
              <w:r w:rsidR="00F365DC" w:rsidRPr="0055165A">
                <w:rPr>
                  <w:rStyle w:val="Hyperlink"/>
                  <w:lang w:val="fr-CA"/>
                </w:rPr>
                <w:t>(2)</w:t>
              </w:r>
              <w:r w:rsidR="00F365DC">
                <w:rPr>
                  <w:rFonts w:asciiTheme="minorHAnsi" w:eastAsiaTheme="minorEastAsia" w:hAnsiTheme="minorHAnsi" w:cstheme="minorBidi"/>
                  <w:sz w:val="22"/>
                  <w:szCs w:val="22"/>
                  <w:lang w:val="en-US" w:eastAsia="en-US"/>
                </w:rPr>
                <w:tab/>
              </w:r>
              <w:r w:rsidR="00F365DC" w:rsidRPr="0055165A">
                <w:rPr>
                  <w:rStyle w:val="Hyperlink"/>
                  <w:lang w:val="fr-CA"/>
                </w:rPr>
                <w:t>Le défaut de mettre Imperial en garde contre les dangers pour la santé</w:t>
              </w:r>
              <w:r w:rsidR="00F365DC">
                <w:tab/>
              </w:r>
            </w:hyperlink>
            <w:r w:rsidR="00F365DC">
              <w:rPr>
                <w:rStyle w:val="Hyperlink"/>
              </w:rPr>
              <w:t>106</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6" w:history="1">
              <w:r w:rsidR="00F365DC" w:rsidRPr="0055165A">
                <w:rPr>
                  <w:rStyle w:val="Hyperlink"/>
                  <w:lang w:val="fr-CA"/>
                </w:rPr>
                <w:t>E.</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La conception négligente</w:t>
              </w:r>
              <w:r w:rsidR="00F365DC">
                <w:tab/>
              </w:r>
            </w:hyperlink>
            <w:r w:rsidR="00F365DC">
              <w:rPr>
                <w:rStyle w:val="Hyperlink"/>
              </w:rPr>
              <w:t>110</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7" w:history="1">
              <w:r w:rsidR="00F365DC" w:rsidRPr="0055165A">
                <w:rPr>
                  <w:rStyle w:val="Hyperlink"/>
                  <w:lang w:val="fr-CA"/>
                </w:rPr>
                <w:t>(1)</w:t>
              </w:r>
              <w:r w:rsidR="00F365DC">
                <w:rPr>
                  <w:rFonts w:asciiTheme="minorHAnsi" w:eastAsiaTheme="minorEastAsia" w:hAnsiTheme="minorHAnsi" w:cstheme="minorBidi"/>
                  <w:sz w:val="22"/>
                  <w:szCs w:val="22"/>
                  <w:lang w:val="en-US" w:eastAsia="en-US"/>
                </w:rPr>
                <w:tab/>
              </w:r>
              <w:r w:rsidR="00F365DC" w:rsidRPr="0055165A">
                <w:rPr>
                  <w:rStyle w:val="Hyperlink"/>
                  <w:lang w:val="fr-CA"/>
                </w:rPr>
                <w:t>Obligation de diligence</w:t>
              </w:r>
              <w:r w:rsidR="00F365DC" w:rsidRPr="0055165A">
                <w:rPr>
                  <w:rStyle w:val="Hyperlink"/>
                  <w:i/>
                  <w:lang w:val="fr-CA"/>
                </w:rPr>
                <w:t xml:space="preserve"> prima facie</w:t>
              </w:r>
              <w:r w:rsidR="00F365DC">
                <w:tab/>
              </w:r>
            </w:hyperlink>
            <w:r w:rsidR="00F365DC">
              <w:rPr>
                <w:rStyle w:val="Hyperlink"/>
              </w:rPr>
              <w:t>112</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8" w:history="1">
              <w:r w:rsidR="00F365DC" w:rsidRPr="0055165A">
                <w:rPr>
                  <w:rStyle w:val="Hyperlink"/>
                  <w:lang w:val="fr-CA"/>
                </w:rPr>
                <w:t>(2)</w:t>
              </w:r>
              <w:r w:rsidR="00F365DC">
                <w:rPr>
                  <w:rFonts w:asciiTheme="minorHAnsi" w:eastAsiaTheme="minorEastAsia" w:hAnsiTheme="minorHAnsi" w:cstheme="minorBidi"/>
                  <w:sz w:val="22"/>
                  <w:szCs w:val="22"/>
                  <w:lang w:val="en-US" w:eastAsia="en-US"/>
                </w:rPr>
                <w:tab/>
              </w:r>
              <w:r w:rsidR="00F365DC" w:rsidRPr="0055165A">
                <w:rPr>
                  <w:rStyle w:val="Hyperlink"/>
                  <w:lang w:val="fr-CA"/>
                </w:rPr>
                <w:t>Considérations de politique générale soulevées à la deuxième étape de l’analyse</w:t>
              </w:r>
              <w:r w:rsidR="00F365DC">
                <w:tab/>
              </w:r>
            </w:hyperlink>
            <w:r w:rsidR="00F365DC">
              <w:rPr>
                <w:rStyle w:val="Hyperlink"/>
              </w:rPr>
              <w:t>116</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29" w:history="1">
              <w:r w:rsidR="00F365DC" w:rsidRPr="0055165A">
                <w:rPr>
                  <w:rStyle w:val="Hyperlink"/>
                  <w:lang w:val="fr-CA"/>
                </w:rPr>
                <w:t>F.</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Les allégations directes faites en vertu des lois sur le recouvrement des coûts</w:t>
              </w:r>
              <w:r w:rsidR="00F365DC">
                <w:tab/>
              </w:r>
            </w:hyperlink>
            <w:r w:rsidR="00F365DC">
              <w:rPr>
                <w:rStyle w:val="Hyperlink"/>
              </w:rPr>
              <w:t>117</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0" w:history="1">
              <w:r w:rsidR="00F365DC" w:rsidRPr="0055165A">
                <w:rPr>
                  <w:rStyle w:val="Hyperlink"/>
                  <w:lang w:val="fr-CA"/>
                </w:rPr>
                <w:t>(1)</w:t>
              </w:r>
              <w:r w:rsidR="00F365DC">
                <w:rPr>
                  <w:rFonts w:asciiTheme="minorHAnsi" w:eastAsiaTheme="minorEastAsia" w:hAnsiTheme="minorHAnsi" w:cstheme="minorBidi"/>
                  <w:sz w:val="22"/>
                  <w:szCs w:val="22"/>
                  <w:lang w:val="en-US" w:eastAsia="en-US"/>
                </w:rPr>
                <w:tab/>
              </w:r>
              <w:r w:rsidR="00F365DC" w:rsidRPr="0055165A">
                <w:rPr>
                  <w:rStyle w:val="Hyperlink"/>
                  <w:lang w:val="fr-CA"/>
                </w:rPr>
                <w:t>Le Canada peut</w:t>
              </w:r>
              <w:r w:rsidR="00F365DC" w:rsidRPr="0055165A">
                <w:rPr>
                  <w:rStyle w:val="Hyperlink"/>
                  <w:lang w:val="fr-CA"/>
                </w:rPr>
                <w:noBreakHyphen/>
                <w:t xml:space="preserve">il être un fabricant au sens de la </w:t>
              </w:r>
              <w:r w:rsidR="00F365DC" w:rsidRPr="0055165A">
                <w:rPr>
                  <w:rStyle w:val="Hyperlink"/>
                  <w:i/>
                  <w:lang w:val="fr-CA"/>
                </w:rPr>
                <w:t xml:space="preserve">Tobacco Damages and Health </w:t>
              </w:r>
              <w:r w:rsidR="00F365DC">
                <w:rPr>
                  <w:rStyle w:val="Hyperlink"/>
                  <w:i/>
                  <w:lang w:val="fr-CA"/>
                </w:rPr>
                <w:br/>
              </w:r>
              <w:r w:rsidR="00F365DC" w:rsidRPr="0055165A">
                <w:rPr>
                  <w:rStyle w:val="Hyperlink"/>
                  <w:i/>
                  <w:lang w:val="fr-CA"/>
                </w:rPr>
                <w:t>Care</w:t>
              </w:r>
              <w:r w:rsidR="00F365DC" w:rsidRPr="0055165A">
                <w:rPr>
                  <w:rStyle w:val="Hyperlink"/>
                  <w:lang w:val="fr-CA"/>
                </w:rPr>
                <w:t xml:space="preserve"> </w:t>
              </w:r>
              <w:r w:rsidR="00F365DC" w:rsidRPr="0055165A">
                <w:rPr>
                  <w:rStyle w:val="Hyperlink"/>
                  <w:i/>
                  <w:lang w:val="fr-CA"/>
                </w:rPr>
                <w:t>Costs Recovery Act</w:t>
              </w:r>
              <w:r w:rsidR="00F365DC" w:rsidRPr="0055165A">
                <w:rPr>
                  <w:rStyle w:val="Hyperlink"/>
                  <w:lang w:val="fr-CA"/>
                </w:rPr>
                <w:t>?</w:t>
              </w:r>
              <w:r w:rsidR="00F365DC">
                <w:tab/>
              </w:r>
            </w:hyperlink>
            <w:r w:rsidR="00F365DC">
              <w:rPr>
                <w:rStyle w:val="Hyperlink"/>
              </w:rPr>
              <w:t>121</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1" w:history="1">
              <w:r w:rsidR="00F365DC" w:rsidRPr="0055165A">
                <w:rPr>
                  <w:rStyle w:val="Hyperlink"/>
                  <w:lang w:val="fr-CA"/>
                </w:rPr>
                <w:t>a)</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Le texte de la loi</w:t>
              </w:r>
              <w:r w:rsidR="00F365DC">
                <w:tab/>
              </w:r>
            </w:hyperlink>
            <w:r w:rsidR="00F365DC">
              <w:rPr>
                <w:rStyle w:val="Hyperlink"/>
              </w:rPr>
              <w:t>122</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2" w:history="1">
              <w:r w:rsidR="00F365DC" w:rsidRPr="0055165A">
                <w:rPr>
                  <w:rStyle w:val="Hyperlink"/>
                  <w:lang w:val="fr-CA"/>
                </w:rPr>
                <w:t>b)</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L’intention du législateur</w:t>
              </w:r>
              <w:r w:rsidR="00F365DC">
                <w:tab/>
              </w:r>
            </w:hyperlink>
            <w:r w:rsidR="00F365DC">
              <w:rPr>
                <w:rStyle w:val="Hyperlink"/>
              </w:rPr>
              <w:t>127</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3" w:history="1">
              <w:r w:rsidR="00F365DC" w:rsidRPr="0055165A">
                <w:rPr>
                  <w:rStyle w:val="Hyperlink"/>
                  <w:lang w:val="fr-CA"/>
                </w:rPr>
                <w:t>c)</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Le contexte plus général</w:t>
              </w:r>
              <w:r w:rsidR="00F365DC">
                <w:tab/>
              </w:r>
            </w:hyperlink>
            <w:r w:rsidR="00F365DC">
              <w:rPr>
                <w:rStyle w:val="Hyperlink"/>
              </w:rPr>
              <w:t>129</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4" w:history="1">
              <w:r w:rsidR="00F365DC" w:rsidRPr="0055165A">
                <w:rPr>
                  <w:rStyle w:val="Hyperlink"/>
                  <w:lang w:val="fr-CA"/>
                </w:rPr>
                <w:t>d)</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Résumé</w:t>
              </w:r>
              <w:r w:rsidR="00F365DC">
                <w:tab/>
              </w:r>
            </w:hyperlink>
            <w:r w:rsidR="00F365DC">
              <w:rPr>
                <w:rStyle w:val="Hyperlink"/>
              </w:rPr>
              <w:t>132</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5" w:history="1">
              <w:r w:rsidR="00F365DC" w:rsidRPr="0055165A">
                <w:rPr>
                  <w:rStyle w:val="Hyperlink"/>
                  <w:lang w:val="fr-CA"/>
                </w:rPr>
                <w:t>(2)</w:t>
              </w:r>
              <w:r w:rsidR="00F365DC">
                <w:rPr>
                  <w:rFonts w:asciiTheme="minorHAnsi" w:eastAsiaTheme="minorEastAsia" w:hAnsiTheme="minorHAnsi" w:cstheme="minorBidi"/>
                  <w:sz w:val="22"/>
                  <w:szCs w:val="22"/>
                  <w:lang w:val="en-US" w:eastAsia="en-US"/>
                </w:rPr>
                <w:tab/>
              </w:r>
              <w:r w:rsidR="00F365DC" w:rsidRPr="0055165A">
                <w:rPr>
                  <w:rStyle w:val="Hyperlink"/>
                  <w:lang w:val="fr-CA"/>
                </w:rPr>
                <w:t>Le Canada peut</w:t>
              </w:r>
              <w:r w:rsidR="00F365DC" w:rsidRPr="0055165A">
                <w:rPr>
                  <w:rStyle w:val="Hyperlink"/>
                  <w:lang w:val="fr-CA"/>
                </w:rPr>
                <w:noBreakHyphen/>
                <w:t xml:space="preserve">il être tenu responsable en vertu de la </w:t>
              </w:r>
              <w:r w:rsidR="00F365DC" w:rsidRPr="0055165A">
                <w:rPr>
                  <w:rStyle w:val="Hyperlink"/>
                  <w:i/>
                  <w:lang w:val="fr-CA"/>
                </w:rPr>
                <w:t xml:space="preserve">Health Care Costs </w:t>
              </w:r>
              <w:r w:rsidR="00F365DC">
                <w:rPr>
                  <w:rStyle w:val="Hyperlink"/>
                  <w:i/>
                  <w:lang w:val="fr-CA"/>
                </w:rPr>
                <w:br/>
              </w:r>
              <w:r w:rsidR="00F365DC" w:rsidRPr="0055165A">
                <w:rPr>
                  <w:rStyle w:val="Hyperlink"/>
                  <w:i/>
                  <w:lang w:val="fr-CA"/>
                </w:rPr>
                <w:t>Recovery Act</w:t>
              </w:r>
              <w:r w:rsidR="00F365DC" w:rsidRPr="0055165A">
                <w:rPr>
                  <w:rStyle w:val="Hyperlink"/>
                  <w:lang w:val="fr-CA"/>
                </w:rPr>
                <w:t>?</w:t>
              </w:r>
              <w:r w:rsidR="00F365DC">
                <w:tab/>
              </w:r>
            </w:hyperlink>
            <w:r w:rsidR="00F365DC">
              <w:rPr>
                <w:rStyle w:val="Hyperlink"/>
              </w:rPr>
              <w:t>133</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6" w:history="1">
              <w:r w:rsidR="00F365DC" w:rsidRPr="0055165A">
                <w:rPr>
                  <w:rStyle w:val="Hyperlink"/>
                  <w:lang w:val="fr-CA"/>
                </w:rPr>
                <w:t>(3)</w:t>
              </w:r>
              <w:r w:rsidR="00F365DC">
                <w:rPr>
                  <w:rFonts w:asciiTheme="minorHAnsi" w:eastAsiaTheme="minorEastAsia" w:hAnsiTheme="minorHAnsi" w:cstheme="minorBidi"/>
                  <w:sz w:val="22"/>
                  <w:szCs w:val="22"/>
                  <w:lang w:val="en-US" w:eastAsia="en-US"/>
                </w:rPr>
                <w:tab/>
              </w:r>
              <w:r w:rsidR="00F365DC" w:rsidRPr="0055165A">
                <w:rPr>
                  <w:rStyle w:val="Hyperlink"/>
                  <w:lang w:val="fr-CA"/>
                </w:rPr>
                <w:t>Le Canada peut</w:t>
              </w:r>
              <w:r w:rsidR="00F365DC" w:rsidRPr="0055165A">
                <w:rPr>
                  <w:rStyle w:val="Hyperlink"/>
                  <w:lang w:val="fr-CA"/>
                </w:rPr>
                <w:noBreakHyphen/>
                <w:t xml:space="preserve">il être tenu à une contribution en application de la </w:t>
              </w:r>
              <w:r w:rsidR="00F365DC" w:rsidRPr="0055165A">
                <w:rPr>
                  <w:rStyle w:val="Hyperlink"/>
                  <w:i/>
                  <w:lang w:val="fr-CA"/>
                </w:rPr>
                <w:t>Negligence Act</w:t>
              </w:r>
              <w:r w:rsidR="00F365DC" w:rsidRPr="0055165A">
                <w:rPr>
                  <w:rStyle w:val="Hyperlink"/>
                  <w:lang w:val="fr-CA"/>
                </w:rPr>
                <w:t xml:space="preserve"> </w:t>
              </w:r>
              <w:r w:rsidR="00F365DC">
                <w:rPr>
                  <w:rStyle w:val="Hyperlink"/>
                  <w:lang w:val="fr-CA"/>
                </w:rPr>
                <w:br/>
              </w:r>
              <w:r w:rsidR="00F365DC" w:rsidRPr="0055165A">
                <w:rPr>
                  <w:rStyle w:val="Hyperlink"/>
                  <w:lang w:val="fr-CA"/>
                </w:rPr>
                <w:t>s’il n’est pas directement responsable envers la Colombie</w:t>
              </w:r>
              <w:r w:rsidR="00F365DC" w:rsidRPr="0055165A">
                <w:rPr>
                  <w:rStyle w:val="Hyperlink"/>
                  <w:lang w:val="fr-CA"/>
                </w:rPr>
                <w:noBreakHyphen/>
                <w:t>Britannique?</w:t>
              </w:r>
              <w:r w:rsidR="00F365DC">
                <w:tab/>
              </w:r>
            </w:hyperlink>
            <w:r w:rsidR="00F365DC">
              <w:rPr>
                <w:rStyle w:val="Hyperlink"/>
              </w:rPr>
              <w:t>135</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7" w:history="1">
              <w:r w:rsidR="00F365DC" w:rsidRPr="0055165A">
                <w:rPr>
                  <w:rStyle w:val="Hyperlink"/>
                  <w:lang w:val="fr-CA"/>
                </w:rPr>
                <w:t>(4)</w:t>
              </w:r>
              <w:r w:rsidR="00F365DC">
                <w:rPr>
                  <w:rFonts w:asciiTheme="minorHAnsi" w:eastAsiaTheme="minorEastAsia" w:hAnsiTheme="minorHAnsi" w:cstheme="minorBidi"/>
                  <w:sz w:val="22"/>
                  <w:szCs w:val="22"/>
                  <w:lang w:val="en-US" w:eastAsia="en-US"/>
                </w:rPr>
                <w:tab/>
              </w:r>
              <w:r w:rsidR="00F365DC" w:rsidRPr="0055165A">
                <w:rPr>
                  <w:rStyle w:val="Hyperlink"/>
                  <w:lang w:val="fr-CA"/>
                </w:rPr>
                <w:t>Le Canada peut</w:t>
              </w:r>
              <w:r w:rsidR="00F365DC" w:rsidRPr="0055165A">
                <w:rPr>
                  <w:rStyle w:val="Hyperlink"/>
                  <w:lang w:val="fr-CA"/>
                </w:rPr>
                <w:noBreakHyphen/>
                <w:t>il être tenu en common law de verser une contribution?</w:t>
              </w:r>
              <w:r w:rsidR="00F365DC">
                <w:tab/>
              </w:r>
            </w:hyperlink>
            <w:r w:rsidR="00F365DC">
              <w:rPr>
                <w:rStyle w:val="Hyperlink"/>
              </w:rPr>
              <w:t>138</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8" w:history="1">
              <w:r w:rsidR="00F365DC" w:rsidRPr="0055165A">
                <w:rPr>
                  <w:rStyle w:val="Hyperlink"/>
                  <w:lang w:val="fr-CA"/>
                </w:rPr>
                <w:t>G.</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Responsabilité en vertu de la Trade Practice Act et de la Business Practices and</w:t>
              </w:r>
              <w:r w:rsidR="00F365DC">
                <w:rPr>
                  <w:rStyle w:val="Hyperlink"/>
                  <w:i/>
                  <w:lang w:val="fr-CA"/>
                </w:rPr>
                <w:br/>
              </w:r>
              <w:r w:rsidR="00F365DC" w:rsidRPr="0055165A">
                <w:rPr>
                  <w:rStyle w:val="Hyperlink"/>
                  <w:i/>
                  <w:lang w:val="fr-CA"/>
                </w:rPr>
                <w:t xml:space="preserve"> Consumer Protection Act</w:t>
              </w:r>
              <w:r w:rsidR="00F365DC">
                <w:tab/>
              </w:r>
            </w:hyperlink>
            <w:r w:rsidR="00F365DC">
              <w:rPr>
                <w:rStyle w:val="Hyperlink"/>
              </w:rPr>
              <w:t>140</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39" w:history="1">
              <w:r w:rsidR="00F365DC" w:rsidRPr="0055165A">
                <w:rPr>
                  <w:rStyle w:val="Hyperlink"/>
                  <w:lang w:val="fr-CA"/>
                </w:rPr>
                <w:t>H.</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La demande d’indemnité fondée sur l’equity</w:t>
              </w:r>
              <w:r w:rsidR="00F365DC">
                <w:tab/>
              </w:r>
            </w:hyperlink>
            <w:r w:rsidR="00F365DC">
              <w:rPr>
                <w:rStyle w:val="Hyperlink"/>
              </w:rPr>
              <w:t>146</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40" w:history="1">
              <w:r w:rsidR="00F365DC" w:rsidRPr="0055165A">
                <w:rPr>
                  <w:rStyle w:val="Hyperlink"/>
                  <w:lang w:val="fr-CA"/>
                </w:rPr>
                <w:t>I.</w:t>
              </w:r>
              <w:r w:rsidR="00F365DC">
                <w:rPr>
                  <w:rFonts w:asciiTheme="minorHAnsi" w:eastAsiaTheme="minorEastAsia" w:hAnsiTheme="minorHAnsi" w:cstheme="minorBidi"/>
                  <w:sz w:val="22"/>
                  <w:szCs w:val="22"/>
                  <w:lang w:val="en-US" w:eastAsia="en-US"/>
                </w:rPr>
                <w:tab/>
              </w:r>
              <w:r w:rsidR="00F365DC" w:rsidRPr="0055165A">
                <w:rPr>
                  <w:rStyle w:val="Hyperlink"/>
                  <w:i/>
                  <w:lang w:val="fr-CA"/>
                </w:rPr>
                <w:t>Considérations d’ordre procédural</w:t>
              </w:r>
              <w:r w:rsidR="00F365DC">
                <w:tab/>
              </w:r>
            </w:hyperlink>
            <w:r w:rsidR="00F365DC">
              <w:rPr>
                <w:rStyle w:val="Hyperlink"/>
              </w:rPr>
              <w:t>149</w:t>
            </w:r>
          </w:p>
          <w:p w:rsidR="00F365DC" w:rsidRDefault="007937F3" w:rsidP="00F365DC">
            <w:pPr>
              <w:pStyle w:val="TOC1"/>
              <w:tabs>
                <w:tab w:val="clear" w:pos="7200"/>
                <w:tab w:val="right" w:leader="dot" w:pos="8100"/>
              </w:tabs>
              <w:rPr>
                <w:rFonts w:asciiTheme="minorHAnsi" w:eastAsiaTheme="minorEastAsia" w:hAnsiTheme="minorHAnsi" w:cstheme="minorBidi"/>
                <w:sz w:val="22"/>
                <w:szCs w:val="22"/>
                <w:lang w:val="en-US" w:eastAsia="en-US"/>
              </w:rPr>
            </w:pPr>
            <w:hyperlink w:anchor="_Toc314735141" w:history="1">
              <w:r w:rsidR="00F365DC" w:rsidRPr="0055165A">
                <w:rPr>
                  <w:rStyle w:val="Hyperlink"/>
                  <w:lang w:val="fr-CA"/>
                </w:rPr>
                <w:t>V.</w:t>
              </w:r>
              <w:r w:rsidR="00F365DC">
                <w:rPr>
                  <w:rFonts w:asciiTheme="minorHAnsi" w:eastAsiaTheme="minorEastAsia" w:hAnsiTheme="minorHAnsi" w:cstheme="minorBidi"/>
                  <w:sz w:val="22"/>
                  <w:szCs w:val="22"/>
                  <w:lang w:val="en-US" w:eastAsia="en-US"/>
                </w:rPr>
                <w:tab/>
              </w:r>
              <w:r w:rsidR="00F365DC" w:rsidRPr="0055165A">
                <w:rPr>
                  <w:rStyle w:val="Hyperlink"/>
                  <w:lang w:val="fr-CA"/>
                </w:rPr>
                <w:t>Conclusion</w:t>
              </w:r>
              <w:r w:rsidR="00F365DC">
                <w:tab/>
              </w:r>
            </w:hyperlink>
            <w:r w:rsidR="00F365DC">
              <w:rPr>
                <w:rStyle w:val="Hyperlink"/>
              </w:rPr>
              <w:t>151</w:t>
            </w:r>
          </w:p>
          <w:p w:rsidR="00F365DC" w:rsidRPr="008D0A0E" w:rsidRDefault="007937F3" w:rsidP="00F365DC">
            <w:pPr>
              <w:tabs>
                <w:tab w:val="right" w:leader="dot" w:pos="8100"/>
              </w:tabs>
              <w:spacing w:before="120" w:after="120"/>
              <w:rPr>
                <w:lang w:val="fr-CA"/>
              </w:rPr>
            </w:pPr>
            <w:r>
              <w:lastRenderedPageBreak/>
              <w:fldChar w:fldCharType="end"/>
            </w:r>
          </w:p>
        </w:tc>
      </w:tr>
    </w:tbl>
    <w:p w:rsidR="008D0A0E" w:rsidRPr="008D0A0E" w:rsidRDefault="008D0A0E" w:rsidP="008D0A0E">
      <w:pPr>
        <w:tabs>
          <w:tab w:val="center" w:pos="4410"/>
          <w:tab w:val="right" w:pos="8460"/>
        </w:tabs>
        <w:spacing w:after="240"/>
        <w:rPr>
          <w:szCs w:val="24"/>
          <w:lang w:val="fr-CA"/>
        </w:rPr>
      </w:pPr>
    </w:p>
    <w:p w:rsidR="0047179D" w:rsidRPr="00403220" w:rsidRDefault="007E6E84" w:rsidP="00427A77">
      <w:pPr>
        <w:pStyle w:val="TitleTitre-AltT"/>
        <w:keepNext/>
        <w:spacing w:after="720"/>
        <w:rPr>
          <w:rFonts w:cs="Times New Roman"/>
          <w:szCs w:val="24"/>
          <w:lang w:val="fr-CA"/>
        </w:rPr>
      </w:pPr>
      <w:bookmarkStart w:id="2" w:name="_Toc314735105"/>
      <w:r w:rsidRPr="00403220">
        <w:rPr>
          <w:rFonts w:cs="Times New Roman"/>
          <w:szCs w:val="24"/>
          <w:lang w:val="fr-CA"/>
        </w:rPr>
        <w:t>I</w:t>
      </w:r>
      <w:r w:rsidR="005A33F7" w:rsidRPr="00403220">
        <w:rPr>
          <w:rFonts w:cs="Times New Roman"/>
          <w:szCs w:val="24"/>
          <w:lang w:val="fr-CA"/>
        </w:rPr>
        <w:t>.</w:t>
      </w:r>
      <w:r w:rsidR="005A33F7" w:rsidRPr="00403220">
        <w:rPr>
          <w:rFonts w:cs="Times New Roman"/>
          <w:szCs w:val="24"/>
          <w:lang w:val="fr-CA"/>
        </w:rPr>
        <w:tab/>
      </w:r>
      <w:r w:rsidR="0047179D" w:rsidRPr="00403220">
        <w:rPr>
          <w:rFonts w:cs="Times New Roman"/>
          <w:szCs w:val="24"/>
          <w:u w:val="single"/>
          <w:lang w:val="fr-CA"/>
        </w:rPr>
        <w:t>Introduction</w:t>
      </w:r>
      <w:bookmarkEnd w:id="2"/>
    </w:p>
    <w:p w:rsidR="0047179D" w:rsidRPr="00403220" w:rsidRDefault="00847C22" w:rsidP="005A33F7">
      <w:pPr>
        <w:pStyle w:val="ParaNoNdepar-AltN"/>
        <w:rPr>
          <w:rFonts w:cs="Times New Roman"/>
          <w:szCs w:val="24"/>
          <w:lang w:val="fr-CA"/>
        </w:rPr>
      </w:pPr>
      <w:r w:rsidRPr="00403220">
        <w:rPr>
          <w:rFonts w:cs="Times New Roman"/>
          <w:szCs w:val="24"/>
          <w:lang w:val="fr-CA"/>
        </w:rPr>
        <w:t>Imperial Tobacco</w:t>
      </w:r>
      <w:r w:rsidR="0047179D" w:rsidRPr="00403220">
        <w:rPr>
          <w:rFonts w:cs="Times New Roman"/>
          <w:szCs w:val="24"/>
          <w:lang w:val="fr-CA"/>
        </w:rPr>
        <w:t xml:space="preserve"> </w:t>
      </w:r>
      <w:r w:rsidR="008A225C" w:rsidRPr="00403220">
        <w:rPr>
          <w:rFonts w:cs="Times New Roman"/>
          <w:szCs w:val="24"/>
          <w:lang w:val="fr-CA"/>
        </w:rPr>
        <w:t>Canada L</w:t>
      </w:r>
      <w:r w:rsidR="00893825" w:rsidRPr="00403220">
        <w:rPr>
          <w:rFonts w:cs="Times New Roman"/>
          <w:szCs w:val="24"/>
          <w:lang w:val="fr-CA"/>
        </w:rPr>
        <w:t>imit</w:t>
      </w:r>
      <w:r w:rsidR="008A225C" w:rsidRPr="00403220">
        <w:rPr>
          <w:rFonts w:cs="Times New Roman"/>
          <w:szCs w:val="24"/>
          <w:lang w:val="fr-CA"/>
        </w:rPr>
        <w:t>ée</w:t>
      </w:r>
      <w:r w:rsidR="00893825" w:rsidRPr="00403220">
        <w:rPr>
          <w:rFonts w:cs="Times New Roman"/>
          <w:szCs w:val="24"/>
          <w:lang w:val="fr-CA"/>
        </w:rPr>
        <w:t xml:space="preserve"> </w:t>
      </w:r>
      <w:r w:rsidR="008A225C" w:rsidRPr="00403220">
        <w:rPr>
          <w:rFonts w:cs="Times New Roman"/>
          <w:szCs w:val="24"/>
          <w:lang w:val="fr-CA"/>
        </w:rPr>
        <w:t>(« Imperial »</w:t>
      </w:r>
      <w:r w:rsidR="00893825" w:rsidRPr="00403220">
        <w:rPr>
          <w:rFonts w:cs="Times New Roman"/>
          <w:szCs w:val="24"/>
          <w:lang w:val="fr-CA"/>
        </w:rPr>
        <w:t>)</w:t>
      </w:r>
      <w:r w:rsidR="00893825" w:rsidRPr="00403220">
        <w:rPr>
          <w:rFonts w:cs="Times New Roman"/>
          <w:i/>
          <w:szCs w:val="24"/>
          <w:lang w:val="fr-CA"/>
        </w:rPr>
        <w:t xml:space="preserve"> </w:t>
      </w:r>
      <w:r w:rsidR="0047179D" w:rsidRPr="00403220">
        <w:rPr>
          <w:rFonts w:cs="Times New Roman"/>
          <w:szCs w:val="24"/>
          <w:lang w:val="fr-CA"/>
        </w:rPr>
        <w:t xml:space="preserve">est défenderesse dans deux actions intentées devant les tribunaux de la </w:t>
      </w:r>
      <w:proofErr w:type="spellStart"/>
      <w:r w:rsidR="0047179D" w:rsidRPr="00403220">
        <w:rPr>
          <w:rFonts w:cs="Times New Roman"/>
          <w:szCs w:val="24"/>
          <w:lang w:val="fr-CA"/>
        </w:rPr>
        <w:t>Colombie</w:t>
      </w:r>
      <w:r w:rsidR="00A54DAC" w:rsidRPr="00403220">
        <w:rPr>
          <w:rFonts w:cs="Times New Roman"/>
          <w:szCs w:val="24"/>
          <w:lang w:val="fr-CA"/>
        </w:rPr>
        <w:noBreakHyphen/>
      </w:r>
      <w:r w:rsidR="0047179D" w:rsidRPr="00403220">
        <w:rPr>
          <w:rFonts w:cs="Times New Roman"/>
          <w:szCs w:val="24"/>
          <w:lang w:val="fr-CA"/>
        </w:rPr>
        <w:t>Britannique</w:t>
      </w:r>
      <w:proofErr w:type="spellEnd"/>
      <w:r w:rsidR="0047179D" w:rsidRPr="00403220">
        <w:rPr>
          <w:rFonts w:cs="Times New Roman"/>
          <w:szCs w:val="24"/>
          <w:lang w:val="fr-CA"/>
        </w:rPr>
        <w:t>, soit</w:t>
      </w:r>
      <w:r w:rsidR="0047179D" w:rsidRPr="00403220">
        <w:rPr>
          <w:rFonts w:cs="Times New Roman"/>
          <w:i/>
          <w:szCs w:val="24"/>
          <w:lang w:val="fr-CA"/>
        </w:rPr>
        <w:t xml:space="preserve"> British Columbia c. </w:t>
      </w:r>
      <w:r w:rsidRPr="00403220">
        <w:rPr>
          <w:rFonts w:cs="Times New Roman"/>
          <w:i/>
          <w:szCs w:val="24"/>
          <w:lang w:val="fr-CA"/>
        </w:rPr>
        <w:t>Imperial Tobacco</w:t>
      </w:r>
      <w:r w:rsidR="0047179D" w:rsidRPr="00403220">
        <w:rPr>
          <w:rFonts w:cs="Times New Roman"/>
          <w:i/>
          <w:szCs w:val="24"/>
          <w:lang w:val="fr-CA"/>
        </w:rPr>
        <w:t xml:space="preserve"> Canada Ltd.</w:t>
      </w:r>
      <w:r w:rsidR="0047179D" w:rsidRPr="00403220">
        <w:rPr>
          <w:rFonts w:cs="Times New Roman"/>
          <w:szCs w:val="24"/>
          <w:lang w:val="fr-CA"/>
        </w:rPr>
        <w:t xml:space="preserve">, </w:t>
      </w:r>
      <w:r w:rsidR="009F78A9" w:rsidRPr="00403220">
        <w:rPr>
          <w:rFonts w:cs="Times New Roman"/>
          <w:szCs w:val="24"/>
          <w:lang w:val="fr-CA"/>
        </w:rPr>
        <w:t>dossier</w:t>
      </w:r>
      <w:r w:rsidR="00A54DAC" w:rsidRPr="00403220">
        <w:rPr>
          <w:rFonts w:cs="Times New Roman"/>
          <w:szCs w:val="24"/>
          <w:lang w:val="fr-CA"/>
        </w:rPr>
        <w:t> :</w:t>
      </w:r>
      <w:r w:rsidR="009F78A9" w:rsidRPr="00403220">
        <w:rPr>
          <w:rFonts w:cs="Times New Roman"/>
          <w:szCs w:val="24"/>
          <w:lang w:val="fr-CA"/>
        </w:rPr>
        <w:t xml:space="preserve"> S010421</w:t>
      </w:r>
      <w:r w:rsidR="007E6E84" w:rsidRPr="00403220">
        <w:rPr>
          <w:rFonts w:cs="Times New Roman"/>
          <w:szCs w:val="24"/>
          <w:lang w:val="fr-CA"/>
        </w:rPr>
        <w:t xml:space="preserve">, </w:t>
      </w:r>
      <w:r w:rsidR="0047179D" w:rsidRPr="00403220">
        <w:rPr>
          <w:rFonts w:cs="Times New Roman"/>
          <w:szCs w:val="24"/>
          <w:lang w:val="fr-CA"/>
        </w:rPr>
        <w:t xml:space="preserve">et </w:t>
      </w:r>
      <w:r w:rsidR="0047179D" w:rsidRPr="00403220">
        <w:rPr>
          <w:rFonts w:cs="Times New Roman"/>
          <w:i/>
          <w:szCs w:val="24"/>
          <w:lang w:val="fr-CA"/>
        </w:rPr>
        <w:t xml:space="preserve">Knight c. </w:t>
      </w:r>
      <w:r w:rsidRPr="00403220">
        <w:rPr>
          <w:rFonts w:cs="Times New Roman"/>
          <w:i/>
          <w:szCs w:val="24"/>
          <w:lang w:val="fr-CA"/>
        </w:rPr>
        <w:t>Imperial Tobacco</w:t>
      </w:r>
      <w:r w:rsidR="0047179D" w:rsidRPr="00403220">
        <w:rPr>
          <w:rFonts w:cs="Times New Roman"/>
          <w:i/>
          <w:szCs w:val="24"/>
          <w:lang w:val="fr-CA"/>
        </w:rPr>
        <w:t xml:space="preserve"> Canada Ltd.</w:t>
      </w:r>
      <w:r w:rsidR="0047179D" w:rsidRPr="00403220">
        <w:rPr>
          <w:rFonts w:cs="Times New Roman"/>
          <w:szCs w:val="24"/>
          <w:lang w:val="fr-CA"/>
        </w:rPr>
        <w:t xml:space="preserve">, </w:t>
      </w:r>
      <w:r w:rsidR="009F78A9" w:rsidRPr="00403220">
        <w:rPr>
          <w:rFonts w:cs="Times New Roman"/>
          <w:szCs w:val="24"/>
          <w:lang w:val="fr-CA"/>
        </w:rPr>
        <w:t>dossier</w:t>
      </w:r>
      <w:r w:rsidR="00A54DAC" w:rsidRPr="00403220">
        <w:rPr>
          <w:rFonts w:cs="Times New Roman"/>
          <w:szCs w:val="24"/>
          <w:lang w:val="fr-CA"/>
        </w:rPr>
        <w:t> :</w:t>
      </w:r>
      <w:r w:rsidR="009F78A9" w:rsidRPr="00403220">
        <w:rPr>
          <w:rFonts w:cs="Times New Roman"/>
          <w:szCs w:val="24"/>
          <w:lang w:val="fr-CA"/>
        </w:rPr>
        <w:t xml:space="preserve"> L031300</w:t>
      </w:r>
      <w:r w:rsidR="0047179D" w:rsidRPr="00403220">
        <w:rPr>
          <w:rFonts w:cs="Times New Roman"/>
          <w:szCs w:val="24"/>
          <w:lang w:val="fr-CA"/>
        </w:rPr>
        <w:t xml:space="preserve">.  Dans la première, le gouvernement </w:t>
      </w:r>
      <w:r w:rsidR="00CF657D" w:rsidRPr="00403220">
        <w:rPr>
          <w:rFonts w:cs="Times New Roman"/>
          <w:szCs w:val="24"/>
          <w:lang w:val="fr-CA"/>
        </w:rPr>
        <w:t xml:space="preserve">de la </w:t>
      </w:r>
      <w:proofErr w:type="spellStart"/>
      <w:r w:rsidR="00CF657D" w:rsidRPr="00403220">
        <w:rPr>
          <w:rFonts w:cs="Times New Roman"/>
          <w:szCs w:val="24"/>
          <w:lang w:val="fr-CA"/>
        </w:rPr>
        <w:t>Colombie</w:t>
      </w:r>
      <w:r w:rsidR="00A54DAC" w:rsidRPr="00403220">
        <w:rPr>
          <w:rFonts w:cs="Times New Roman"/>
          <w:szCs w:val="24"/>
          <w:lang w:val="fr-CA"/>
        </w:rPr>
        <w:noBreakHyphen/>
      </w:r>
      <w:r w:rsidR="00CF657D" w:rsidRPr="00403220">
        <w:rPr>
          <w:rFonts w:cs="Times New Roman"/>
          <w:szCs w:val="24"/>
          <w:lang w:val="fr-CA"/>
        </w:rPr>
        <w:t>Britannique</w:t>
      </w:r>
      <w:proofErr w:type="spellEnd"/>
      <w:r w:rsidR="00CF657D" w:rsidRPr="00403220">
        <w:rPr>
          <w:rFonts w:cs="Times New Roman"/>
          <w:szCs w:val="24"/>
          <w:lang w:val="fr-CA"/>
        </w:rPr>
        <w:t xml:space="preserve"> </w:t>
      </w:r>
      <w:r w:rsidR="0047179D" w:rsidRPr="00403220">
        <w:rPr>
          <w:rFonts w:cs="Times New Roman"/>
          <w:szCs w:val="24"/>
          <w:lang w:val="fr-CA"/>
        </w:rPr>
        <w:t>cherche à recouvrer d</w:t>
      </w:r>
      <w:r w:rsidR="008372AA" w:rsidRPr="00403220">
        <w:rPr>
          <w:rFonts w:cs="Times New Roman"/>
          <w:szCs w:val="24"/>
          <w:lang w:val="fr-CA"/>
        </w:rPr>
        <w:t>’</w:t>
      </w:r>
      <w:r w:rsidR="0047179D" w:rsidRPr="00403220">
        <w:rPr>
          <w:rFonts w:cs="Times New Roman"/>
          <w:szCs w:val="24"/>
          <w:lang w:val="fr-CA"/>
        </w:rPr>
        <w:t xml:space="preserve">un groupe de 14 compagnies de tabac, dont </w:t>
      </w:r>
      <w:r w:rsidRPr="00403220">
        <w:rPr>
          <w:rFonts w:cs="Times New Roman"/>
          <w:szCs w:val="24"/>
          <w:lang w:val="fr-CA"/>
        </w:rPr>
        <w:t>Imperial</w:t>
      </w:r>
      <w:r w:rsidR="0047179D" w:rsidRPr="00403220">
        <w:rPr>
          <w:rFonts w:cs="Times New Roman"/>
          <w:szCs w:val="24"/>
          <w:lang w:val="fr-CA"/>
        </w:rPr>
        <w:t>, les sommes consacrées au traitement médical de personnes souffrant de maladies liées au tabagisme (</w:t>
      </w:r>
      <w:r w:rsidR="00E114F5">
        <w:rPr>
          <w:rFonts w:cs="Times New Roman"/>
          <w:szCs w:val="24"/>
          <w:lang w:val="fr-CA"/>
        </w:rPr>
        <w:t>l’</w:t>
      </w:r>
      <w:r w:rsidR="007E6E84" w:rsidRPr="00403220">
        <w:rPr>
          <w:rFonts w:cs="Times New Roman"/>
          <w:szCs w:val="24"/>
          <w:lang w:val="fr-CA"/>
        </w:rPr>
        <w:t>« </w:t>
      </w:r>
      <w:r w:rsidR="00E64960" w:rsidRPr="00403220">
        <w:rPr>
          <w:rFonts w:cs="Times New Roman"/>
          <w:i/>
          <w:szCs w:val="24"/>
          <w:lang w:val="fr-CA"/>
        </w:rPr>
        <w:t>A</w:t>
      </w:r>
      <w:r w:rsidR="0047179D" w:rsidRPr="00403220">
        <w:rPr>
          <w:rFonts w:cs="Times New Roman"/>
          <w:i/>
          <w:szCs w:val="24"/>
          <w:lang w:val="fr-CA"/>
        </w:rPr>
        <w:t>ffaire d</w:t>
      </w:r>
      <w:r w:rsidR="00D0006E" w:rsidRPr="00403220">
        <w:rPr>
          <w:rFonts w:cs="Times New Roman"/>
          <w:i/>
          <w:szCs w:val="24"/>
          <w:lang w:val="fr-CA"/>
        </w:rPr>
        <w:t>u</w:t>
      </w:r>
      <w:r w:rsidR="0047179D" w:rsidRPr="00403220">
        <w:rPr>
          <w:rFonts w:cs="Times New Roman"/>
          <w:i/>
          <w:szCs w:val="24"/>
          <w:lang w:val="fr-CA"/>
        </w:rPr>
        <w:t xml:space="preserve"> recouvrement des coûts</w:t>
      </w:r>
      <w:r w:rsidR="007E6E84" w:rsidRPr="00403220">
        <w:rPr>
          <w:rFonts w:cs="Times New Roman"/>
          <w:szCs w:val="24"/>
          <w:lang w:val="fr-CA"/>
        </w:rPr>
        <w:t> »</w:t>
      </w:r>
      <w:r w:rsidR="00E37240" w:rsidRPr="00403220">
        <w:rPr>
          <w:rFonts w:cs="Times New Roman"/>
          <w:szCs w:val="24"/>
          <w:lang w:val="fr-CA"/>
        </w:rPr>
        <w:t>).  Dans l</w:t>
      </w:r>
      <w:r w:rsidR="0047179D" w:rsidRPr="00403220">
        <w:rPr>
          <w:rFonts w:cs="Times New Roman"/>
          <w:szCs w:val="24"/>
          <w:lang w:val="fr-CA"/>
        </w:rPr>
        <w:t>a deuxième</w:t>
      </w:r>
      <w:r w:rsidR="00E37240" w:rsidRPr="00403220">
        <w:rPr>
          <w:rFonts w:cs="Times New Roman"/>
          <w:szCs w:val="24"/>
          <w:lang w:val="fr-CA"/>
        </w:rPr>
        <w:t xml:space="preserve"> action</w:t>
      </w:r>
      <w:r w:rsidR="0047179D" w:rsidRPr="00403220">
        <w:rPr>
          <w:rFonts w:cs="Times New Roman"/>
          <w:szCs w:val="24"/>
          <w:lang w:val="fr-CA"/>
        </w:rPr>
        <w:t xml:space="preserve">, un recours collectif intenté contre </w:t>
      </w:r>
      <w:r w:rsidRPr="00403220">
        <w:rPr>
          <w:rFonts w:cs="Times New Roman"/>
          <w:szCs w:val="24"/>
          <w:lang w:val="fr-CA"/>
        </w:rPr>
        <w:t xml:space="preserve">Imperial </w:t>
      </w:r>
      <w:r w:rsidR="00E37240" w:rsidRPr="00403220">
        <w:rPr>
          <w:rFonts w:cs="Times New Roman"/>
          <w:szCs w:val="24"/>
          <w:lang w:val="fr-CA"/>
        </w:rPr>
        <w:t xml:space="preserve">uniquement, </w:t>
      </w:r>
      <w:r w:rsidR="0047179D" w:rsidRPr="00403220">
        <w:rPr>
          <w:rFonts w:cs="Times New Roman"/>
          <w:szCs w:val="24"/>
          <w:lang w:val="fr-CA"/>
        </w:rPr>
        <w:t>M. Knight</w:t>
      </w:r>
      <w:r w:rsidR="00E37240" w:rsidRPr="00403220">
        <w:rPr>
          <w:rFonts w:cs="Times New Roman"/>
          <w:szCs w:val="24"/>
          <w:lang w:val="fr-CA"/>
        </w:rPr>
        <w:t>,</w:t>
      </w:r>
      <w:r w:rsidR="0047179D" w:rsidRPr="00403220">
        <w:rPr>
          <w:rFonts w:cs="Times New Roman"/>
          <w:szCs w:val="24"/>
          <w:lang w:val="fr-CA"/>
        </w:rPr>
        <w:t xml:space="preserve"> au nom des autres membres </w:t>
      </w:r>
      <w:r w:rsidR="00E37240" w:rsidRPr="00403220">
        <w:rPr>
          <w:rFonts w:cs="Times New Roman"/>
          <w:szCs w:val="24"/>
          <w:lang w:val="fr-CA"/>
        </w:rPr>
        <w:t xml:space="preserve">qui ont </w:t>
      </w:r>
      <w:r w:rsidR="0047179D" w:rsidRPr="00403220">
        <w:rPr>
          <w:rFonts w:cs="Times New Roman"/>
          <w:szCs w:val="24"/>
          <w:lang w:val="fr-CA"/>
        </w:rPr>
        <w:t>achet</w:t>
      </w:r>
      <w:r w:rsidR="00E37240" w:rsidRPr="00403220">
        <w:rPr>
          <w:rFonts w:cs="Times New Roman"/>
          <w:szCs w:val="24"/>
          <w:lang w:val="fr-CA"/>
        </w:rPr>
        <w:t>é</w:t>
      </w:r>
      <w:r w:rsidR="0047179D" w:rsidRPr="00403220">
        <w:rPr>
          <w:rFonts w:cs="Times New Roman"/>
          <w:szCs w:val="24"/>
          <w:lang w:val="fr-CA"/>
        </w:rPr>
        <w:t xml:space="preserve"> de</w:t>
      </w:r>
      <w:r w:rsidR="00E37240" w:rsidRPr="00403220">
        <w:rPr>
          <w:rFonts w:cs="Times New Roman"/>
          <w:szCs w:val="24"/>
          <w:lang w:val="fr-CA"/>
        </w:rPr>
        <w:t>s</w:t>
      </w:r>
      <w:r w:rsidR="0047179D" w:rsidRPr="00403220">
        <w:rPr>
          <w:rFonts w:cs="Times New Roman"/>
          <w:szCs w:val="24"/>
          <w:lang w:val="fr-CA"/>
        </w:rPr>
        <w:t xml:space="preserve"> cigarettes dites « légères » ou « douces », </w:t>
      </w:r>
      <w:r w:rsidR="00E37240" w:rsidRPr="00403220">
        <w:rPr>
          <w:rFonts w:cs="Times New Roman"/>
          <w:szCs w:val="24"/>
          <w:lang w:val="fr-CA"/>
        </w:rPr>
        <w:t>demand</w:t>
      </w:r>
      <w:r w:rsidR="0047179D" w:rsidRPr="00403220">
        <w:rPr>
          <w:rFonts w:cs="Times New Roman"/>
          <w:szCs w:val="24"/>
          <w:lang w:val="fr-CA"/>
        </w:rPr>
        <w:t xml:space="preserve">e le remboursement du coût des cigarettes ainsi que le versement de </w:t>
      </w:r>
      <w:proofErr w:type="spellStart"/>
      <w:r w:rsidR="0047179D" w:rsidRPr="00403220">
        <w:rPr>
          <w:rFonts w:cs="Times New Roman"/>
          <w:szCs w:val="24"/>
          <w:lang w:val="fr-CA"/>
        </w:rPr>
        <w:t>dommages</w:t>
      </w:r>
      <w:r w:rsidR="00A54DAC" w:rsidRPr="00403220">
        <w:rPr>
          <w:rFonts w:cs="Times New Roman"/>
          <w:szCs w:val="24"/>
          <w:lang w:val="fr-CA"/>
        </w:rPr>
        <w:noBreakHyphen/>
      </w:r>
      <w:r w:rsidR="0047179D" w:rsidRPr="00403220">
        <w:rPr>
          <w:rFonts w:cs="Times New Roman"/>
          <w:szCs w:val="24"/>
          <w:lang w:val="fr-CA"/>
        </w:rPr>
        <w:t>intérêts</w:t>
      </w:r>
      <w:proofErr w:type="spellEnd"/>
      <w:r w:rsidR="0047179D" w:rsidRPr="00403220">
        <w:rPr>
          <w:rFonts w:cs="Times New Roman"/>
          <w:szCs w:val="24"/>
          <w:lang w:val="fr-CA"/>
        </w:rPr>
        <w:t xml:space="preserve"> punitifs (</w:t>
      </w:r>
      <w:r w:rsidR="00E114F5">
        <w:rPr>
          <w:rFonts w:cs="Times New Roman"/>
          <w:szCs w:val="24"/>
          <w:lang w:val="fr-CA"/>
        </w:rPr>
        <w:t>l’</w:t>
      </w:r>
      <w:r w:rsidR="007E6E84" w:rsidRPr="00403220">
        <w:rPr>
          <w:rFonts w:cs="Times New Roman"/>
          <w:szCs w:val="24"/>
          <w:lang w:val="fr-CA"/>
        </w:rPr>
        <w:t>« </w:t>
      </w:r>
      <w:r w:rsidR="00903A9E" w:rsidRPr="00403220">
        <w:rPr>
          <w:rFonts w:cs="Times New Roman"/>
          <w:i/>
          <w:szCs w:val="24"/>
          <w:lang w:val="fr-CA"/>
        </w:rPr>
        <w:t>A</w:t>
      </w:r>
      <w:r w:rsidR="0047179D" w:rsidRPr="00403220">
        <w:rPr>
          <w:rFonts w:cs="Times New Roman"/>
          <w:i/>
          <w:szCs w:val="24"/>
          <w:lang w:val="fr-CA"/>
        </w:rPr>
        <w:t>ffaire Knight</w:t>
      </w:r>
      <w:r w:rsidR="007E6E84" w:rsidRPr="00403220">
        <w:rPr>
          <w:rFonts w:cs="Times New Roman"/>
          <w:szCs w:val="24"/>
          <w:lang w:val="fr-CA"/>
        </w:rPr>
        <w:t> »</w:t>
      </w:r>
      <w:r w:rsidRPr="00403220">
        <w:rPr>
          <w:rFonts w:cs="Times New Roman"/>
          <w:szCs w:val="24"/>
          <w:lang w:val="fr-CA"/>
        </w:rPr>
        <w:t>).</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Dans les deux affaires, les compagnies de tabac ont mis en cause le gouvernement du Canada, prétendant que si elles </w:t>
      </w:r>
      <w:r w:rsidR="00FE618E" w:rsidRPr="00403220">
        <w:rPr>
          <w:rFonts w:cs="Times New Roman"/>
          <w:szCs w:val="24"/>
          <w:lang w:val="fr-CA"/>
        </w:rPr>
        <w:t>so</w:t>
      </w:r>
      <w:r w:rsidRPr="00403220">
        <w:rPr>
          <w:rFonts w:cs="Times New Roman"/>
          <w:szCs w:val="24"/>
          <w:lang w:val="fr-CA"/>
        </w:rPr>
        <w:t xml:space="preserve">nt tenues responsables envers les demandeurs, elles </w:t>
      </w:r>
      <w:r w:rsidR="00FE618E" w:rsidRPr="00403220">
        <w:rPr>
          <w:rFonts w:cs="Times New Roman"/>
          <w:szCs w:val="24"/>
          <w:lang w:val="fr-CA"/>
        </w:rPr>
        <w:t>o</w:t>
      </w:r>
      <w:r w:rsidRPr="00403220">
        <w:rPr>
          <w:rFonts w:cs="Times New Roman"/>
          <w:szCs w:val="24"/>
          <w:lang w:val="fr-CA"/>
        </w:rPr>
        <w:t>nt le droit d</w:t>
      </w:r>
      <w:r w:rsidR="008372AA" w:rsidRPr="00403220">
        <w:rPr>
          <w:rFonts w:cs="Times New Roman"/>
          <w:szCs w:val="24"/>
          <w:lang w:val="fr-CA"/>
        </w:rPr>
        <w:t>’</w:t>
      </w:r>
      <w:r w:rsidRPr="00403220">
        <w:rPr>
          <w:rFonts w:cs="Times New Roman"/>
          <w:szCs w:val="24"/>
          <w:lang w:val="fr-CA"/>
        </w:rPr>
        <w:t xml:space="preserve">être indemnisées par le Canada </w:t>
      </w:r>
      <w:r w:rsidR="005261B0">
        <w:rPr>
          <w:rFonts w:cs="Times New Roman"/>
          <w:szCs w:val="24"/>
          <w:lang w:val="fr-CA"/>
        </w:rPr>
        <w:t>pour</w:t>
      </w:r>
      <w:r w:rsidRPr="00403220">
        <w:rPr>
          <w:rFonts w:cs="Times New Roman"/>
          <w:szCs w:val="24"/>
          <w:lang w:val="fr-CA"/>
        </w:rPr>
        <w:t xml:space="preserve"> déclaration</w:t>
      </w:r>
      <w:r w:rsidR="004130E8" w:rsidRPr="00403220">
        <w:rPr>
          <w:rFonts w:cs="Times New Roman"/>
          <w:szCs w:val="24"/>
          <w:lang w:val="fr-CA"/>
        </w:rPr>
        <w:t>s</w:t>
      </w:r>
      <w:r w:rsidRPr="00403220">
        <w:rPr>
          <w:rFonts w:cs="Times New Roman"/>
          <w:szCs w:val="24"/>
          <w:lang w:val="fr-CA"/>
        </w:rPr>
        <w:t xml:space="preserve"> inexacte</w:t>
      </w:r>
      <w:r w:rsidR="004130E8" w:rsidRPr="00403220">
        <w:rPr>
          <w:rFonts w:cs="Times New Roman"/>
          <w:szCs w:val="24"/>
          <w:lang w:val="fr-CA"/>
        </w:rPr>
        <w:t>s</w:t>
      </w:r>
      <w:r w:rsidRPr="00403220">
        <w:rPr>
          <w:rFonts w:cs="Times New Roman"/>
          <w:szCs w:val="24"/>
          <w:lang w:val="fr-CA"/>
        </w:rPr>
        <w:t xml:space="preserve"> faite</w:t>
      </w:r>
      <w:r w:rsidR="004130E8" w:rsidRPr="00403220">
        <w:rPr>
          <w:rFonts w:cs="Times New Roman"/>
          <w:szCs w:val="24"/>
          <w:lang w:val="fr-CA"/>
        </w:rPr>
        <w:t>s</w:t>
      </w:r>
      <w:r w:rsidRPr="00403220">
        <w:rPr>
          <w:rFonts w:cs="Times New Roman"/>
          <w:szCs w:val="24"/>
          <w:lang w:val="fr-CA"/>
        </w:rPr>
        <w:t xml:space="preserve"> par négligence, </w:t>
      </w:r>
      <w:r w:rsidR="005261B0">
        <w:rPr>
          <w:rFonts w:cs="Times New Roman"/>
          <w:szCs w:val="24"/>
          <w:lang w:val="fr-CA"/>
        </w:rPr>
        <w:t xml:space="preserve">pour </w:t>
      </w:r>
      <w:r w:rsidRPr="00403220">
        <w:rPr>
          <w:rFonts w:cs="Times New Roman"/>
          <w:szCs w:val="24"/>
          <w:lang w:val="fr-CA"/>
        </w:rPr>
        <w:t xml:space="preserve">conception </w:t>
      </w:r>
      <w:r w:rsidR="00D63B65" w:rsidRPr="00403220">
        <w:rPr>
          <w:rFonts w:cs="Times New Roman"/>
          <w:szCs w:val="24"/>
          <w:lang w:val="fr-CA"/>
        </w:rPr>
        <w:t xml:space="preserve">négligente </w:t>
      </w:r>
      <w:r w:rsidRPr="00403220">
        <w:rPr>
          <w:rFonts w:cs="Times New Roman"/>
          <w:szCs w:val="24"/>
          <w:lang w:val="fr-CA"/>
        </w:rPr>
        <w:t xml:space="preserve">et </w:t>
      </w:r>
      <w:r w:rsidR="005261B0">
        <w:rPr>
          <w:rFonts w:cs="Times New Roman"/>
          <w:szCs w:val="24"/>
          <w:lang w:val="fr-CA"/>
        </w:rPr>
        <w:t>défaut de mise en garde</w:t>
      </w:r>
      <w:r w:rsidR="00FE618E" w:rsidRPr="00403220">
        <w:rPr>
          <w:rFonts w:cs="Times New Roman"/>
          <w:szCs w:val="24"/>
          <w:lang w:val="fr-CA"/>
        </w:rPr>
        <w:t>;</w:t>
      </w:r>
      <w:r w:rsidRPr="00403220">
        <w:rPr>
          <w:rFonts w:cs="Times New Roman"/>
          <w:szCs w:val="24"/>
          <w:lang w:val="fr-CA"/>
        </w:rPr>
        <w:t xml:space="preserve"> </w:t>
      </w:r>
      <w:r w:rsidR="00FE618E" w:rsidRPr="00403220">
        <w:rPr>
          <w:rFonts w:cs="Times New Roman"/>
          <w:szCs w:val="24"/>
          <w:lang w:val="fr-CA"/>
        </w:rPr>
        <w:t>elles fondent aussi leur demande sur l’</w:t>
      </w:r>
      <w:proofErr w:type="spellStart"/>
      <w:r w:rsidRPr="00403220">
        <w:rPr>
          <w:rFonts w:cs="Times New Roman"/>
          <w:szCs w:val="24"/>
          <w:lang w:val="fr-CA"/>
        </w:rPr>
        <w:t>equity</w:t>
      </w:r>
      <w:proofErr w:type="spellEnd"/>
      <w:r w:rsidRPr="00403220">
        <w:rPr>
          <w:rFonts w:cs="Times New Roman"/>
          <w:szCs w:val="24"/>
          <w:lang w:val="fr-CA"/>
        </w:rPr>
        <w:t xml:space="preserve">.  Elles font également valoir que </w:t>
      </w:r>
      <w:r w:rsidRPr="00403220">
        <w:rPr>
          <w:rFonts w:cs="Times New Roman"/>
          <w:szCs w:val="24"/>
          <w:lang w:val="fr-CA"/>
        </w:rPr>
        <w:lastRenderedPageBreak/>
        <w:t xml:space="preserve">le Canada </w:t>
      </w:r>
      <w:proofErr w:type="gramStart"/>
      <w:r w:rsidRPr="00403220">
        <w:rPr>
          <w:rFonts w:cs="Times New Roman"/>
          <w:szCs w:val="24"/>
          <w:lang w:val="fr-CA"/>
        </w:rPr>
        <w:t>aurait</w:t>
      </w:r>
      <w:proofErr w:type="gramEnd"/>
      <w:r w:rsidRPr="00403220">
        <w:rPr>
          <w:rFonts w:cs="Times New Roman"/>
          <w:szCs w:val="24"/>
          <w:lang w:val="fr-CA"/>
        </w:rPr>
        <w:t xml:space="preserve"> engagé sa propre responsabilité au titre des régimes législatifs invoqués dans ces deux affaires.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ffaire d</w:t>
      </w:r>
      <w:r w:rsidR="00D0006E" w:rsidRPr="00403220">
        <w:rPr>
          <w:rFonts w:cs="Times New Roman"/>
          <w:i/>
          <w:szCs w:val="24"/>
          <w:lang w:val="fr-CA"/>
        </w:rPr>
        <w:t>u</w:t>
      </w:r>
      <w:r w:rsidRPr="00403220">
        <w:rPr>
          <w:rFonts w:cs="Times New Roman"/>
          <w:i/>
          <w:szCs w:val="24"/>
          <w:lang w:val="fr-CA"/>
        </w:rPr>
        <w:t xml:space="preserve"> recouvrement des coûts</w:t>
      </w:r>
      <w:r w:rsidRPr="00403220">
        <w:rPr>
          <w:rFonts w:cs="Times New Roman"/>
          <w:szCs w:val="24"/>
          <w:lang w:val="fr-CA"/>
        </w:rPr>
        <w:t>, elles invoquent sa responsabilité, à titre de [</w:t>
      </w:r>
      <w:r w:rsidRPr="00403220">
        <w:rPr>
          <w:rFonts w:cs="Times New Roman"/>
          <w:smallCaps/>
          <w:szCs w:val="24"/>
          <w:lang w:val="fr-CA"/>
        </w:rPr>
        <w:t>traduction</w:t>
      </w:r>
      <w:r w:rsidRPr="00403220">
        <w:rPr>
          <w:rFonts w:cs="Times New Roman"/>
          <w:szCs w:val="24"/>
          <w:lang w:val="fr-CA"/>
        </w:rPr>
        <w:t xml:space="preserve">] « fabricant », aux termes de la </w:t>
      </w:r>
      <w:r w:rsidRPr="00403220">
        <w:rPr>
          <w:rFonts w:cs="Times New Roman"/>
          <w:i/>
          <w:szCs w:val="24"/>
          <w:lang w:val="fr-CA"/>
        </w:rPr>
        <w:t xml:space="preserve">Tobacco Damages and </w:t>
      </w:r>
      <w:proofErr w:type="spellStart"/>
      <w:r w:rsidRPr="00403220">
        <w:rPr>
          <w:rFonts w:cs="Times New Roman"/>
          <w:i/>
          <w:szCs w:val="24"/>
          <w:lang w:val="fr-CA"/>
        </w:rPr>
        <w:t>Health</w:t>
      </w:r>
      <w:proofErr w:type="spellEnd"/>
      <w:r w:rsidRPr="00403220">
        <w:rPr>
          <w:rFonts w:cs="Times New Roman"/>
          <w:i/>
          <w:szCs w:val="24"/>
          <w:lang w:val="fr-CA"/>
        </w:rPr>
        <w:t xml:space="preserve"> Care </w:t>
      </w:r>
      <w:proofErr w:type="spellStart"/>
      <w:r w:rsidR="009F78A9" w:rsidRPr="00403220">
        <w:rPr>
          <w:rFonts w:cs="Times New Roman"/>
          <w:i/>
          <w:szCs w:val="24"/>
          <w:lang w:val="fr-CA"/>
        </w:rPr>
        <w:t>Costs</w:t>
      </w:r>
      <w:proofErr w:type="spellEnd"/>
      <w:r w:rsidR="009F78A9" w:rsidRPr="00403220">
        <w:rPr>
          <w:rFonts w:cs="Times New Roman"/>
          <w:i/>
          <w:szCs w:val="24"/>
          <w:lang w:val="fr-CA"/>
        </w:rPr>
        <w:t xml:space="preserve"> </w:t>
      </w:r>
      <w:proofErr w:type="spellStart"/>
      <w:r w:rsidRPr="00403220">
        <w:rPr>
          <w:rFonts w:cs="Times New Roman"/>
          <w:i/>
          <w:szCs w:val="24"/>
          <w:lang w:val="fr-CA"/>
        </w:rPr>
        <w:t>Recovery</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szCs w:val="24"/>
          <w:lang w:val="fr-CA"/>
        </w:rPr>
        <w:t xml:space="preserve">, S.B.C. 2000, </w:t>
      </w:r>
      <w:r w:rsidR="00A54DAC" w:rsidRPr="00403220">
        <w:rPr>
          <w:rFonts w:cs="Times New Roman"/>
          <w:szCs w:val="24"/>
          <w:lang w:val="fr-CA"/>
        </w:rPr>
        <w:t>ch. </w:t>
      </w:r>
      <w:r w:rsidRPr="00403220">
        <w:rPr>
          <w:rFonts w:cs="Times New Roman"/>
          <w:szCs w:val="24"/>
          <w:lang w:val="fr-CA"/>
        </w:rPr>
        <w:t>30 (« </w:t>
      </w:r>
      <w:r w:rsidRPr="00403220">
        <w:rPr>
          <w:rFonts w:cs="Times New Roman"/>
          <w:i/>
          <w:szCs w:val="24"/>
          <w:lang w:val="fr-CA"/>
        </w:rPr>
        <w:t>CRA</w:t>
      </w:r>
      <w:r w:rsidRPr="00403220">
        <w:rPr>
          <w:rFonts w:cs="Times New Roman"/>
          <w:szCs w:val="24"/>
          <w:lang w:val="fr-CA"/>
        </w:rPr>
        <w:t> »).  Dans l</w:t>
      </w:r>
      <w:r w:rsidR="008372AA" w:rsidRPr="00403220">
        <w:rPr>
          <w:rFonts w:cs="Times New Roman"/>
          <w:szCs w:val="24"/>
          <w:lang w:val="fr-CA"/>
        </w:rPr>
        <w:t>’</w:t>
      </w:r>
      <w:r w:rsidR="00903A9E" w:rsidRPr="00403220">
        <w:rPr>
          <w:rFonts w:cs="Times New Roman"/>
          <w:i/>
          <w:szCs w:val="24"/>
          <w:lang w:val="fr-CA"/>
        </w:rPr>
        <w:t>A</w:t>
      </w:r>
      <w:r w:rsidRPr="00403220">
        <w:rPr>
          <w:rFonts w:cs="Times New Roman"/>
          <w:i/>
          <w:szCs w:val="24"/>
          <w:lang w:val="fr-CA"/>
        </w:rPr>
        <w:t>ffaire Knight</w:t>
      </w:r>
      <w:r w:rsidRPr="00403220">
        <w:rPr>
          <w:rFonts w:cs="Times New Roman"/>
          <w:szCs w:val="24"/>
          <w:lang w:val="fr-CA"/>
        </w:rPr>
        <w:t>, c</w:t>
      </w:r>
      <w:r w:rsidR="008372AA" w:rsidRPr="00403220">
        <w:rPr>
          <w:rFonts w:cs="Times New Roman"/>
          <w:szCs w:val="24"/>
          <w:lang w:val="fr-CA"/>
        </w:rPr>
        <w:t>’</w:t>
      </w:r>
      <w:r w:rsidRPr="00403220">
        <w:rPr>
          <w:rFonts w:cs="Times New Roman"/>
          <w:szCs w:val="24"/>
          <w:lang w:val="fr-CA"/>
        </w:rPr>
        <w:t>est à titre de [</w:t>
      </w:r>
      <w:r w:rsidRPr="00403220">
        <w:rPr>
          <w:rFonts w:cs="Times New Roman"/>
          <w:smallCaps/>
          <w:szCs w:val="24"/>
          <w:lang w:val="fr-CA"/>
        </w:rPr>
        <w:t>traduction</w:t>
      </w:r>
      <w:r w:rsidRPr="00403220">
        <w:rPr>
          <w:rFonts w:cs="Times New Roman"/>
          <w:szCs w:val="24"/>
          <w:lang w:val="fr-CA"/>
        </w:rPr>
        <w:t xml:space="preserve">] « fournisseur » que le Canada serait responsable, aux termes de la </w:t>
      </w:r>
      <w:r w:rsidRPr="00403220">
        <w:rPr>
          <w:rFonts w:cs="Times New Roman"/>
          <w:bCs/>
          <w:i/>
          <w:szCs w:val="24"/>
          <w:lang w:val="fr-CA"/>
        </w:rPr>
        <w:t xml:space="preserve">Business Practices and Consumer Protection </w:t>
      </w:r>
      <w:proofErr w:type="spellStart"/>
      <w:r w:rsidRPr="00403220">
        <w:rPr>
          <w:rFonts w:cs="Times New Roman"/>
          <w:bCs/>
          <w:i/>
          <w:szCs w:val="24"/>
          <w:lang w:val="fr-CA"/>
        </w:rPr>
        <w:t>Act</w:t>
      </w:r>
      <w:proofErr w:type="spellEnd"/>
      <w:r w:rsidRPr="00E114F5">
        <w:rPr>
          <w:rFonts w:cs="Times New Roman"/>
          <w:bCs/>
          <w:szCs w:val="24"/>
          <w:lang w:val="fr-CA"/>
        </w:rPr>
        <w:t>,</w:t>
      </w:r>
      <w:r w:rsidRPr="00403220">
        <w:rPr>
          <w:rFonts w:cs="Times New Roman"/>
          <w:b/>
          <w:bCs/>
          <w:i/>
          <w:szCs w:val="24"/>
          <w:lang w:val="fr-CA"/>
        </w:rPr>
        <w:t xml:space="preserve"> </w:t>
      </w:r>
      <w:r w:rsidRPr="00403220">
        <w:rPr>
          <w:rFonts w:cs="Times New Roman"/>
          <w:bCs/>
          <w:szCs w:val="24"/>
          <w:lang w:val="fr-CA"/>
        </w:rPr>
        <w:t xml:space="preserve">S.B.C. 2004, </w:t>
      </w:r>
      <w:r w:rsidR="00A54DAC" w:rsidRPr="00403220">
        <w:rPr>
          <w:rFonts w:cs="Times New Roman"/>
          <w:bCs/>
          <w:szCs w:val="24"/>
          <w:lang w:val="fr-CA"/>
        </w:rPr>
        <w:t>ch. </w:t>
      </w:r>
      <w:r w:rsidRPr="00403220">
        <w:rPr>
          <w:rFonts w:cs="Times New Roman"/>
          <w:bCs/>
          <w:szCs w:val="24"/>
          <w:lang w:val="fr-CA"/>
        </w:rPr>
        <w:t>2 (« </w:t>
      </w:r>
      <w:r w:rsidRPr="00403220">
        <w:rPr>
          <w:rFonts w:cs="Times New Roman"/>
          <w:bCs/>
          <w:i/>
          <w:szCs w:val="24"/>
          <w:lang w:val="fr-CA"/>
        </w:rPr>
        <w:t>BPCPA</w:t>
      </w:r>
      <w:r w:rsidRPr="00403220">
        <w:rPr>
          <w:rFonts w:cs="Times New Roman"/>
          <w:bCs/>
          <w:szCs w:val="24"/>
          <w:lang w:val="fr-CA"/>
        </w:rPr>
        <w:t> ») et de la loi qui l</w:t>
      </w:r>
      <w:r w:rsidR="008372AA" w:rsidRPr="00403220">
        <w:rPr>
          <w:rFonts w:cs="Times New Roman"/>
          <w:bCs/>
          <w:szCs w:val="24"/>
          <w:lang w:val="fr-CA"/>
        </w:rPr>
        <w:t>’</w:t>
      </w:r>
      <w:r w:rsidRPr="00403220">
        <w:rPr>
          <w:rFonts w:cs="Times New Roman"/>
          <w:bCs/>
          <w:szCs w:val="24"/>
          <w:lang w:val="fr-CA"/>
        </w:rPr>
        <w:t xml:space="preserve">a précédée, la </w:t>
      </w:r>
      <w:r w:rsidRPr="00403220">
        <w:rPr>
          <w:rFonts w:cs="Times New Roman"/>
          <w:i/>
          <w:szCs w:val="24"/>
          <w:lang w:val="fr-CA"/>
        </w:rPr>
        <w:t xml:space="preserve">Trade Practice </w:t>
      </w:r>
      <w:proofErr w:type="spellStart"/>
      <w:r w:rsidRPr="00403220">
        <w:rPr>
          <w:rFonts w:cs="Times New Roman"/>
          <w:i/>
          <w:szCs w:val="24"/>
          <w:lang w:val="fr-CA"/>
        </w:rPr>
        <w:t>Act</w:t>
      </w:r>
      <w:proofErr w:type="spellEnd"/>
      <w:r w:rsidR="007E6E84" w:rsidRPr="00403220">
        <w:rPr>
          <w:rFonts w:cs="Times New Roman"/>
          <w:szCs w:val="24"/>
          <w:lang w:val="fr-CA"/>
        </w:rPr>
        <w:t>,</w:t>
      </w:r>
      <w:r w:rsidRPr="00403220">
        <w:rPr>
          <w:rFonts w:cs="Times New Roman"/>
          <w:i/>
          <w:szCs w:val="24"/>
          <w:lang w:val="fr-CA"/>
        </w:rPr>
        <w:t xml:space="preserve"> </w:t>
      </w:r>
      <w:r w:rsidRPr="00403220">
        <w:rPr>
          <w:rFonts w:cs="Times New Roman"/>
          <w:szCs w:val="24"/>
          <w:lang w:val="fr-CA"/>
        </w:rPr>
        <w:t xml:space="preserve">R.S.B.C. 1996, </w:t>
      </w:r>
      <w:r w:rsidR="00A54DAC" w:rsidRPr="00403220">
        <w:rPr>
          <w:rFonts w:cs="Times New Roman"/>
          <w:szCs w:val="24"/>
          <w:lang w:val="fr-CA"/>
        </w:rPr>
        <w:t>ch. </w:t>
      </w:r>
      <w:r w:rsidRPr="00403220">
        <w:rPr>
          <w:rFonts w:cs="Times New Roman"/>
          <w:szCs w:val="24"/>
          <w:lang w:val="fr-CA"/>
        </w:rPr>
        <w:t>457 (« </w:t>
      </w:r>
      <w:r w:rsidRPr="00403220">
        <w:rPr>
          <w:rFonts w:cs="Times New Roman"/>
          <w:i/>
          <w:szCs w:val="24"/>
          <w:lang w:val="fr-CA"/>
        </w:rPr>
        <w:t>TPA</w:t>
      </w:r>
      <w:r w:rsidRPr="00403220">
        <w:rPr>
          <w:rFonts w:cs="Times New Roman"/>
          <w:szCs w:val="24"/>
          <w:lang w:val="fr-CA"/>
        </w:rPr>
        <w:t> »).</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Dans les deux affaires, le Canada a présenté </w:t>
      </w:r>
      <w:r w:rsidR="00B4690E" w:rsidRPr="00403220">
        <w:rPr>
          <w:rFonts w:cs="Times New Roman"/>
          <w:szCs w:val="24"/>
          <w:lang w:val="fr-CA"/>
        </w:rPr>
        <w:t>des</w:t>
      </w:r>
      <w:r w:rsidRPr="00403220">
        <w:rPr>
          <w:rFonts w:cs="Times New Roman"/>
          <w:szCs w:val="24"/>
          <w:lang w:val="fr-CA"/>
        </w:rPr>
        <w:t xml:space="preserve"> requête</w:t>
      </w:r>
      <w:r w:rsidR="00B4690E" w:rsidRPr="00403220">
        <w:rPr>
          <w:rFonts w:cs="Times New Roman"/>
          <w:szCs w:val="24"/>
          <w:lang w:val="fr-CA"/>
        </w:rPr>
        <w:t>s</w:t>
      </w:r>
      <w:r w:rsidRPr="00403220">
        <w:rPr>
          <w:rFonts w:cs="Times New Roman"/>
          <w:szCs w:val="24"/>
          <w:lang w:val="fr-CA"/>
        </w:rPr>
        <w:t xml:space="preserve"> en radiation des avis de mise en cause en vertu du </w:t>
      </w:r>
      <w:r w:rsidR="00A54DAC" w:rsidRPr="00403220">
        <w:rPr>
          <w:rFonts w:cs="Times New Roman"/>
          <w:szCs w:val="24"/>
          <w:lang w:val="fr-CA"/>
        </w:rPr>
        <w:t>par. </w:t>
      </w:r>
      <w:r w:rsidRPr="00403220">
        <w:rPr>
          <w:rFonts w:cs="Times New Roman"/>
          <w:szCs w:val="24"/>
          <w:lang w:val="fr-CA"/>
        </w:rPr>
        <w:t xml:space="preserve">19(24) des </w:t>
      </w:r>
      <w:proofErr w:type="spellStart"/>
      <w:r w:rsidR="007E6E84" w:rsidRPr="00403220">
        <w:rPr>
          <w:rFonts w:cs="Times New Roman"/>
          <w:i/>
          <w:szCs w:val="24"/>
          <w:lang w:val="fr-CA"/>
        </w:rPr>
        <w:t>Supreme</w:t>
      </w:r>
      <w:proofErr w:type="spellEnd"/>
      <w:r w:rsidR="007E6E84" w:rsidRPr="00403220">
        <w:rPr>
          <w:rFonts w:cs="Times New Roman"/>
          <w:i/>
          <w:szCs w:val="24"/>
          <w:lang w:val="fr-CA"/>
        </w:rPr>
        <w:t xml:space="preserve"> Court </w:t>
      </w:r>
      <w:proofErr w:type="spellStart"/>
      <w:r w:rsidR="00B4690E" w:rsidRPr="00403220">
        <w:rPr>
          <w:rFonts w:cs="Times New Roman"/>
          <w:i/>
          <w:szCs w:val="24"/>
          <w:lang w:val="fr-CA"/>
        </w:rPr>
        <w:t>Rules</w:t>
      </w:r>
      <w:proofErr w:type="spellEnd"/>
      <w:r w:rsidRPr="00403220">
        <w:rPr>
          <w:rFonts w:cs="Times New Roman"/>
          <w:szCs w:val="24"/>
          <w:lang w:val="fr-CA"/>
        </w:rPr>
        <w:t xml:space="preserve">, </w:t>
      </w:r>
      <w:r w:rsidR="007E6E84" w:rsidRPr="00403220">
        <w:rPr>
          <w:rFonts w:cs="Times New Roman"/>
          <w:szCs w:val="24"/>
          <w:lang w:val="fr-CA"/>
        </w:rPr>
        <w:t>B.C. Reg. 221/90</w:t>
      </w:r>
      <w:r w:rsidR="009F78A9" w:rsidRPr="00403220">
        <w:rPr>
          <w:rFonts w:cs="Times New Roman"/>
          <w:szCs w:val="24"/>
          <w:lang w:val="fr-CA"/>
        </w:rPr>
        <w:t xml:space="preserve"> (remplacé</w:t>
      </w:r>
      <w:r w:rsidR="00AA1D59" w:rsidRPr="00403220">
        <w:rPr>
          <w:rFonts w:cs="Times New Roman"/>
          <w:szCs w:val="24"/>
          <w:lang w:val="fr-CA"/>
        </w:rPr>
        <w:t xml:space="preserve"> par la règle 9</w:t>
      </w:r>
      <w:r w:rsidR="00E114F5">
        <w:rPr>
          <w:rFonts w:cs="Times New Roman"/>
          <w:szCs w:val="24"/>
          <w:lang w:val="fr-CA"/>
        </w:rPr>
        <w:t>-</w:t>
      </w:r>
      <w:r w:rsidR="00AA1D59" w:rsidRPr="00403220">
        <w:rPr>
          <w:rFonts w:cs="Times New Roman"/>
          <w:szCs w:val="24"/>
          <w:lang w:val="fr-CA"/>
        </w:rPr>
        <w:t>5 d</w:t>
      </w:r>
      <w:r w:rsidR="009F78A9" w:rsidRPr="00403220">
        <w:rPr>
          <w:rFonts w:cs="Times New Roman"/>
          <w:szCs w:val="24"/>
          <w:lang w:val="fr-CA"/>
        </w:rPr>
        <w:t xml:space="preserve">es </w:t>
      </w:r>
      <w:proofErr w:type="spellStart"/>
      <w:r w:rsidR="009F78A9" w:rsidRPr="00403220">
        <w:rPr>
          <w:rFonts w:cs="Times New Roman"/>
          <w:i/>
          <w:szCs w:val="24"/>
          <w:lang w:val="fr-CA"/>
        </w:rPr>
        <w:t>Supreme</w:t>
      </w:r>
      <w:proofErr w:type="spellEnd"/>
      <w:r w:rsidR="009F78A9" w:rsidRPr="00403220">
        <w:rPr>
          <w:rFonts w:cs="Times New Roman"/>
          <w:i/>
          <w:szCs w:val="24"/>
          <w:lang w:val="fr-CA"/>
        </w:rPr>
        <w:t xml:space="preserve"> Court Civil </w:t>
      </w:r>
      <w:proofErr w:type="spellStart"/>
      <w:r w:rsidR="009F78A9" w:rsidRPr="00403220">
        <w:rPr>
          <w:rFonts w:cs="Times New Roman"/>
          <w:i/>
          <w:szCs w:val="24"/>
          <w:lang w:val="fr-CA"/>
        </w:rPr>
        <w:t>Rules</w:t>
      </w:r>
      <w:proofErr w:type="spellEnd"/>
      <w:r w:rsidR="00E114F5">
        <w:rPr>
          <w:rFonts w:cs="Times New Roman"/>
          <w:szCs w:val="24"/>
          <w:lang w:val="fr-CA"/>
        </w:rPr>
        <w:t>, B.C. Reg. 168/2009</w:t>
      </w:r>
      <w:r w:rsidR="009F78A9" w:rsidRPr="00403220">
        <w:rPr>
          <w:rFonts w:cs="Times New Roman"/>
          <w:szCs w:val="24"/>
          <w:lang w:val="fr-CA"/>
        </w:rPr>
        <w:t>),</w:t>
      </w:r>
      <w:r w:rsidR="006F3D56" w:rsidRPr="00403220">
        <w:rPr>
          <w:rFonts w:cs="Times New Roman"/>
          <w:szCs w:val="24"/>
          <w:lang w:val="fr-CA"/>
        </w:rPr>
        <w:t xml:space="preserve"> </w:t>
      </w:r>
      <w:r w:rsidRPr="00403220">
        <w:rPr>
          <w:rFonts w:cs="Times New Roman"/>
          <w:szCs w:val="24"/>
          <w:lang w:val="fr-CA"/>
        </w:rPr>
        <w:t>faisant valoir qu</w:t>
      </w:r>
      <w:r w:rsidR="008372AA" w:rsidRPr="00403220">
        <w:rPr>
          <w:rFonts w:cs="Times New Roman"/>
          <w:szCs w:val="24"/>
          <w:lang w:val="fr-CA"/>
        </w:rPr>
        <w:t>’</w:t>
      </w:r>
      <w:r w:rsidRPr="00403220">
        <w:rPr>
          <w:rFonts w:cs="Times New Roman"/>
          <w:szCs w:val="24"/>
          <w:lang w:val="fr-CA"/>
        </w:rPr>
        <w:t>il était évident et manifeste qu</w:t>
      </w:r>
      <w:r w:rsidR="005922B2" w:rsidRPr="00403220">
        <w:rPr>
          <w:rFonts w:cs="Times New Roman"/>
          <w:szCs w:val="24"/>
          <w:lang w:val="fr-CA"/>
        </w:rPr>
        <w:t>e ce</w:t>
      </w:r>
      <w:r w:rsidRPr="00403220">
        <w:rPr>
          <w:rFonts w:cs="Times New Roman"/>
          <w:szCs w:val="24"/>
          <w:lang w:val="fr-CA"/>
        </w:rPr>
        <w:t>s</w:t>
      </w:r>
      <w:r w:rsidR="005922B2" w:rsidRPr="00403220">
        <w:rPr>
          <w:rFonts w:cs="Times New Roman"/>
          <w:szCs w:val="24"/>
          <w:lang w:val="fr-CA"/>
        </w:rPr>
        <w:t xml:space="preserve"> avis</w:t>
      </w:r>
      <w:r w:rsidRPr="00403220">
        <w:rPr>
          <w:rFonts w:cs="Times New Roman"/>
          <w:szCs w:val="24"/>
          <w:lang w:val="fr-CA"/>
        </w:rPr>
        <w:t xml:space="preserve"> ne révélaient aucune cause d</w:t>
      </w:r>
      <w:r w:rsidR="008372AA" w:rsidRPr="00403220">
        <w:rPr>
          <w:rFonts w:cs="Times New Roman"/>
          <w:szCs w:val="24"/>
          <w:lang w:val="fr-CA"/>
        </w:rPr>
        <w:t>’</w:t>
      </w:r>
      <w:r w:rsidRPr="00403220">
        <w:rPr>
          <w:rFonts w:cs="Times New Roman"/>
          <w:szCs w:val="24"/>
          <w:lang w:val="fr-CA"/>
        </w:rPr>
        <w:t>action raisonnable.  Les juges siégeant en cabinet, faisant droit aux requêtes du Canada dans les deux actions, ont ordonné la radiation</w:t>
      </w:r>
      <w:r w:rsidR="00B4690E" w:rsidRPr="00403220">
        <w:rPr>
          <w:rFonts w:cs="Times New Roman"/>
          <w:szCs w:val="24"/>
          <w:lang w:val="fr-CA"/>
        </w:rPr>
        <w:t xml:space="preserve"> de tous les avis de mise en cause</w:t>
      </w:r>
      <w:r w:rsidRPr="00403220">
        <w:rPr>
          <w:rFonts w:cs="Times New Roman"/>
          <w:szCs w:val="24"/>
          <w:lang w:val="fr-CA"/>
        </w:rPr>
        <w:t>.  La Cour d</w:t>
      </w:r>
      <w:r w:rsidR="008372AA" w:rsidRPr="00403220">
        <w:rPr>
          <w:rFonts w:cs="Times New Roman"/>
          <w:szCs w:val="24"/>
          <w:lang w:val="fr-CA"/>
        </w:rPr>
        <w:t>’</w:t>
      </w:r>
      <w:r w:rsidRPr="00403220">
        <w:rPr>
          <w:rFonts w:cs="Times New Roman"/>
          <w:szCs w:val="24"/>
          <w:lang w:val="fr-CA"/>
        </w:rPr>
        <w:t xml:space="preserve">appel de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xml:space="preserve"> a accueilli en partie les appels interjetés par les compagnies de tabac.  À trois voix contre deux, les juges majoritaires ont conclu à l</w:t>
      </w:r>
      <w:r w:rsidR="008372AA" w:rsidRPr="00403220">
        <w:rPr>
          <w:rFonts w:cs="Times New Roman"/>
          <w:szCs w:val="24"/>
          <w:lang w:val="fr-CA"/>
        </w:rPr>
        <w:t>’</w:t>
      </w:r>
      <w:r w:rsidRPr="00403220">
        <w:rPr>
          <w:rFonts w:cs="Times New Roman"/>
          <w:szCs w:val="24"/>
          <w:lang w:val="fr-CA"/>
        </w:rPr>
        <w:t>opportunité d</w:t>
      </w:r>
      <w:r w:rsidR="008372AA" w:rsidRPr="00403220">
        <w:rPr>
          <w:rFonts w:cs="Times New Roman"/>
          <w:szCs w:val="24"/>
          <w:lang w:val="fr-CA"/>
        </w:rPr>
        <w:t>’</w:t>
      </w:r>
      <w:r w:rsidRPr="00403220">
        <w:rPr>
          <w:rFonts w:cs="Times New Roman"/>
          <w:szCs w:val="24"/>
          <w:lang w:val="fr-CA"/>
        </w:rPr>
        <w:t>instruire,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ffaire d</w:t>
      </w:r>
      <w:r w:rsidR="00D0006E" w:rsidRPr="00403220">
        <w:rPr>
          <w:rFonts w:cs="Times New Roman"/>
          <w:i/>
          <w:szCs w:val="24"/>
          <w:lang w:val="fr-CA"/>
        </w:rPr>
        <w:t>u</w:t>
      </w:r>
      <w:r w:rsidRPr="00403220">
        <w:rPr>
          <w:rFonts w:cs="Times New Roman"/>
          <w:i/>
          <w:szCs w:val="24"/>
          <w:lang w:val="fr-CA"/>
        </w:rPr>
        <w:t xml:space="preserve"> recouvrement des coûts</w:t>
      </w:r>
      <w:r w:rsidRPr="00403220">
        <w:rPr>
          <w:rFonts w:cs="Times New Roman"/>
          <w:szCs w:val="24"/>
          <w:lang w:val="fr-CA"/>
        </w:rPr>
        <w:t xml:space="preserve"> et dans l</w:t>
      </w:r>
      <w:r w:rsidR="008372AA" w:rsidRPr="00403220">
        <w:rPr>
          <w:rFonts w:cs="Times New Roman"/>
          <w:szCs w:val="24"/>
          <w:lang w:val="fr-CA"/>
        </w:rPr>
        <w:t>’</w:t>
      </w:r>
      <w:r w:rsidR="00903A9E" w:rsidRPr="00403220">
        <w:rPr>
          <w:rFonts w:cs="Times New Roman"/>
          <w:i/>
          <w:szCs w:val="24"/>
          <w:lang w:val="fr-CA"/>
        </w:rPr>
        <w:t>Affaire</w:t>
      </w:r>
      <w:r w:rsidRPr="00403220">
        <w:rPr>
          <w:rFonts w:cs="Times New Roman"/>
          <w:szCs w:val="24"/>
          <w:lang w:val="fr-CA"/>
        </w:rPr>
        <w:t xml:space="preserve"> </w:t>
      </w:r>
      <w:r w:rsidRPr="00403220">
        <w:rPr>
          <w:rFonts w:cs="Times New Roman"/>
          <w:i/>
          <w:szCs w:val="24"/>
          <w:lang w:val="fr-CA"/>
        </w:rPr>
        <w:t>Knight</w:t>
      </w:r>
      <w:r w:rsidRPr="00403220">
        <w:rPr>
          <w:rFonts w:cs="Times New Roman"/>
          <w:szCs w:val="24"/>
          <w:lang w:val="fr-CA"/>
        </w:rPr>
        <w:t xml:space="preserve">, les demandes relatives </w:t>
      </w:r>
      <w:r w:rsidR="004130E8" w:rsidRPr="00403220">
        <w:rPr>
          <w:rFonts w:cs="Times New Roman"/>
          <w:szCs w:val="24"/>
          <w:lang w:val="fr-CA"/>
        </w:rPr>
        <w:t>aux</w:t>
      </w:r>
      <w:r w:rsidRPr="00403220">
        <w:rPr>
          <w:rFonts w:cs="Times New Roman"/>
          <w:szCs w:val="24"/>
          <w:lang w:val="fr-CA"/>
        </w:rPr>
        <w:t xml:space="preserve"> déclaration</w:t>
      </w:r>
      <w:r w:rsidR="004130E8" w:rsidRPr="00403220">
        <w:rPr>
          <w:rFonts w:cs="Times New Roman"/>
          <w:szCs w:val="24"/>
          <w:lang w:val="fr-CA"/>
        </w:rPr>
        <w:t>s</w:t>
      </w:r>
      <w:r w:rsidRPr="00403220">
        <w:rPr>
          <w:rFonts w:cs="Times New Roman"/>
          <w:szCs w:val="24"/>
          <w:lang w:val="fr-CA"/>
        </w:rPr>
        <w:t xml:space="preserve"> inexacte</w:t>
      </w:r>
      <w:r w:rsidR="004130E8" w:rsidRPr="00403220">
        <w:rPr>
          <w:rFonts w:cs="Times New Roman"/>
          <w:szCs w:val="24"/>
          <w:lang w:val="fr-CA"/>
        </w:rPr>
        <w:t>s</w:t>
      </w:r>
      <w:r w:rsidRPr="00403220">
        <w:rPr>
          <w:rFonts w:cs="Times New Roman"/>
          <w:szCs w:val="24"/>
          <w:lang w:val="fr-CA"/>
        </w:rPr>
        <w:t xml:space="preserve"> faite</w:t>
      </w:r>
      <w:r w:rsidR="004130E8" w:rsidRPr="00403220">
        <w:rPr>
          <w:rFonts w:cs="Times New Roman"/>
          <w:szCs w:val="24"/>
          <w:lang w:val="fr-CA"/>
        </w:rPr>
        <w:t>s</w:t>
      </w:r>
      <w:r w:rsidRPr="00403220">
        <w:rPr>
          <w:rFonts w:cs="Times New Roman"/>
          <w:szCs w:val="24"/>
          <w:lang w:val="fr-CA"/>
        </w:rPr>
        <w:t xml:space="preserve"> par négligence en violation d</w:t>
      </w:r>
      <w:r w:rsidR="005922B2" w:rsidRPr="00403220">
        <w:rPr>
          <w:rFonts w:cs="Times New Roman"/>
          <w:szCs w:val="24"/>
          <w:lang w:val="fr-CA"/>
        </w:rPr>
        <w:t>’un</w:t>
      </w:r>
      <w:r w:rsidRPr="00403220">
        <w:rPr>
          <w:rFonts w:cs="Times New Roman"/>
          <w:szCs w:val="24"/>
          <w:lang w:val="fr-CA"/>
        </w:rPr>
        <w:t xml:space="preserve">e </w:t>
      </w:r>
      <w:r w:rsidR="005922B2" w:rsidRPr="00403220">
        <w:rPr>
          <w:rFonts w:cs="Times New Roman"/>
          <w:szCs w:val="24"/>
          <w:lang w:val="fr-CA"/>
        </w:rPr>
        <w:t xml:space="preserve">prétendue </w:t>
      </w:r>
      <w:r w:rsidRPr="00403220">
        <w:rPr>
          <w:rFonts w:cs="Times New Roman"/>
          <w:szCs w:val="24"/>
          <w:lang w:val="fr-CA"/>
        </w:rPr>
        <w:t xml:space="preserve">obligation de diligence </w:t>
      </w:r>
      <w:r w:rsidR="005922B2" w:rsidRPr="00403220">
        <w:rPr>
          <w:rFonts w:cs="Times New Roman"/>
          <w:szCs w:val="24"/>
          <w:lang w:val="fr-CA"/>
        </w:rPr>
        <w:t>d</w:t>
      </w:r>
      <w:r w:rsidR="00DD7B5C" w:rsidRPr="00403220">
        <w:rPr>
          <w:rFonts w:cs="Times New Roman"/>
          <w:szCs w:val="24"/>
          <w:lang w:val="fr-CA"/>
        </w:rPr>
        <w:t>u</w:t>
      </w:r>
      <w:r w:rsidR="005922B2" w:rsidRPr="00403220">
        <w:rPr>
          <w:rFonts w:cs="Times New Roman"/>
          <w:szCs w:val="24"/>
          <w:lang w:val="fr-CA"/>
        </w:rPr>
        <w:t xml:space="preserve"> Canada </w:t>
      </w:r>
      <w:r w:rsidRPr="00403220">
        <w:rPr>
          <w:rFonts w:cs="Times New Roman"/>
          <w:szCs w:val="24"/>
          <w:lang w:val="fr-CA"/>
        </w:rPr>
        <w:t xml:space="preserve">envers les compagnies de tabac. </w:t>
      </w:r>
      <w:r w:rsidR="00B4690E" w:rsidRPr="00403220">
        <w:rPr>
          <w:rFonts w:cs="Times New Roman"/>
          <w:szCs w:val="24"/>
          <w:lang w:val="fr-CA"/>
        </w:rPr>
        <w:t xml:space="preserve">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B4690E" w:rsidRPr="00403220">
        <w:rPr>
          <w:rFonts w:cs="Times New Roman"/>
          <w:szCs w:val="24"/>
          <w:lang w:val="fr-CA"/>
        </w:rPr>
        <w:t xml:space="preserve">, les juges majoritaires ont conclu en </w:t>
      </w:r>
      <w:r w:rsidR="00B4690E" w:rsidRPr="00403220">
        <w:rPr>
          <w:rFonts w:cs="Times New Roman"/>
          <w:szCs w:val="24"/>
          <w:lang w:val="fr-CA"/>
        </w:rPr>
        <w:lastRenderedPageBreak/>
        <w:t>outre à l</w:t>
      </w:r>
      <w:r w:rsidR="008372AA" w:rsidRPr="00403220">
        <w:rPr>
          <w:rFonts w:cs="Times New Roman"/>
          <w:szCs w:val="24"/>
          <w:lang w:val="fr-CA"/>
        </w:rPr>
        <w:t>’</w:t>
      </w:r>
      <w:r w:rsidR="00B4690E" w:rsidRPr="00403220">
        <w:rPr>
          <w:rFonts w:cs="Times New Roman"/>
          <w:szCs w:val="24"/>
          <w:lang w:val="fr-CA"/>
        </w:rPr>
        <w:t>opportunité d</w:t>
      </w:r>
      <w:r w:rsidR="008372AA" w:rsidRPr="00403220">
        <w:rPr>
          <w:rFonts w:cs="Times New Roman"/>
          <w:szCs w:val="24"/>
          <w:lang w:val="fr-CA"/>
        </w:rPr>
        <w:t>’</w:t>
      </w:r>
      <w:r w:rsidR="00B4690E" w:rsidRPr="00403220">
        <w:rPr>
          <w:rFonts w:cs="Times New Roman"/>
          <w:szCs w:val="24"/>
          <w:lang w:val="fr-CA"/>
        </w:rPr>
        <w:t xml:space="preserve">instruire la demande relative </w:t>
      </w:r>
      <w:r w:rsidR="004130E8" w:rsidRPr="00403220">
        <w:rPr>
          <w:rFonts w:cs="Times New Roman"/>
          <w:szCs w:val="24"/>
          <w:lang w:val="fr-CA"/>
        </w:rPr>
        <w:t>aux</w:t>
      </w:r>
      <w:r w:rsidR="00B4690E" w:rsidRPr="00403220">
        <w:rPr>
          <w:rFonts w:cs="Times New Roman"/>
          <w:szCs w:val="24"/>
          <w:lang w:val="fr-CA"/>
        </w:rPr>
        <w:t xml:space="preserve"> déclaration</w:t>
      </w:r>
      <w:r w:rsidR="004130E8" w:rsidRPr="00403220">
        <w:rPr>
          <w:rFonts w:cs="Times New Roman"/>
          <w:szCs w:val="24"/>
          <w:lang w:val="fr-CA"/>
        </w:rPr>
        <w:t>s</w:t>
      </w:r>
      <w:r w:rsidR="00B4690E" w:rsidRPr="00403220">
        <w:rPr>
          <w:rFonts w:cs="Times New Roman"/>
          <w:szCs w:val="24"/>
          <w:lang w:val="fr-CA"/>
        </w:rPr>
        <w:t xml:space="preserve"> inexacte</w:t>
      </w:r>
      <w:r w:rsidR="004130E8" w:rsidRPr="00403220">
        <w:rPr>
          <w:rFonts w:cs="Times New Roman"/>
          <w:szCs w:val="24"/>
          <w:lang w:val="fr-CA"/>
        </w:rPr>
        <w:t>s</w:t>
      </w:r>
      <w:r w:rsidR="00B4690E" w:rsidRPr="00403220">
        <w:rPr>
          <w:rFonts w:cs="Times New Roman"/>
          <w:szCs w:val="24"/>
          <w:lang w:val="fr-CA"/>
        </w:rPr>
        <w:t xml:space="preserve"> faite</w:t>
      </w:r>
      <w:r w:rsidR="004130E8" w:rsidRPr="00403220">
        <w:rPr>
          <w:rFonts w:cs="Times New Roman"/>
          <w:szCs w:val="24"/>
          <w:lang w:val="fr-CA"/>
        </w:rPr>
        <w:t>s</w:t>
      </w:r>
      <w:r w:rsidR="00B4690E" w:rsidRPr="00403220">
        <w:rPr>
          <w:rFonts w:cs="Times New Roman"/>
          <w:szCs w:val="24"/>
          <w:lang w:val="fr-CA"/>
        </w:rPr>
        <w:t xml:space="preserve"> par négligence fondée sur </w:t>
      </w:r>
      <w:r w:rsidR="005922B2" w:rsidRPr="00403220">
        <w:rPr>
          <w:rFonts w:cs="Times New Roman"/>
          <w:szCs w:val="24"/>
          <w:lang w:val="fr-CA"/>
        </w:rPr>
        <w:t xml:space="preserve">une prétendue </w:t>
      </w:r>
      <w:r w:rsidR="00B4690E" w:rsidRPr="00403220">
        <w:rPr>
          <w:rFonts w:cs="Times New Roman"/>
          <w:szCs w:val="24"/>
          <w:lang w:val="fr-CA"/>
        </w:rPr>
        <w:t xml:space="preserve">obligation de diligence du Canada envers les consommateurs, ainsi </w:t>
      </w:r>
      <w:r w:rsidR="00EC6110" w:rsidRPr="00403220">
        <w:rPr>
          <w:rFonts w:cs="Times New Roman"/>
          <w:szCs w:val="24"/>
          <w:lang w:val="fr-CA"/>
        </w:rPr>
        <w:t>que la demande relative</w:t>
      </w:r>
      <w:r w:rsidR="00B4690E" w:rsidRPr="00403220">
        <w:rPr>
          <w:rFonts w:cs="Times New Roman"/>
          <w:szCs w:val="24"/>
          <w:lang w:val="fr-CA"/>
        </w:rPr>
        <w:t xml:space="preserve"> </w:t>
      </w:r>
      <w:r w:rsidR="00D63B65" w:rsidRPr="00403220">
        <w:rPr>
          <w:rFonts w:cs="Times New Roman"/>
          <w:szCs w:val="24"/>
          <w:lang w:val="fr-CA"/>
        </w:rPr>
        <w:t>à la</w:t>
      </w:r>
      <w:r w:rsidR="00EC6110" w:rsidRPr="00403220">
        <w:rPr>
          <w:rFonts w:cs="Times New Roman"/>
          <w:szCs w:val="24"/>
          <w:lang w:val="fr-CA"/>
        </w:rPr>
        <w:t xml:space="preserve"> conception </w:t>
      </w:r>
      <w:r w:rsidR="00D63B65" w:rsidRPr="00403220">
        <w:rPr>
          <w:rFonts w:cs="Times New Roman"/>
          <w:szCs w:val="24"/>
          <w:lang w:val="fr-CA"/>
        </w:rPr>
        <w:t xml:space="preserve">négligente </w:t>
      </w:r>
      <w:r w:rsidR="00EC6110" w:rsidRPr="00403220">
        <w:rPr>
          <w:rFonts w:cs="Times New Roman"/>
          <w:szCs w:val="24"/>
          <w:lang w:val="fr-CA"/>
        </w:rPr>
        <w:t xml:space="preserve">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B4690E" w:rsidRPr="00403220">
        <w:rPr>
          <w:rFonts w:cs="Times New Roman"/>
          <w:szCs w:val="24"/>
          <w:lang w:val="fr-CA"/>
        </w:rPr>
        <w:t xml:space="preserve">. </w:t>
      </w:r>
      <w:r w:rsidR="006F3D56" w:rsidRPr="00403220">
        <w:rPr>
          <w:rFonts w:cs="Times New Roman"/>
          <w:szCs w:val="24"/>
          <w:lang w:val="fr-CA"/>
        </w:rPr>
        <w:t xml:space="preserve"> La c</w:t>
      </w:r>
      <w:r w:rsidRPr="00403220">
        <w:rPr>
          <w:rFonts w:cs="Times New Roman"/>
          <w:szCs w:val="24"/>
          <w:lang w:val="fr-CA"/>
        </w:rPr>
        <w:t>our a radié à l</w:t>
      </w:r>
      <w:r w:rsidR="008372AA" w:rsidRPr="00403220">
        <w:rPr>
          <w:rFonts w:cs="Times New Roman"/>
          <w:szCs w:val="24"/>
          <w:lang w:val="fr-CA"/>
        </w:rPr>
        <w:t>’</w:t>
      </w:r>
      <w:r w:rsidRPr="00403220">
        <w:rPr>
          <w:rFonts w:cs="Times New Roman"/>
          <w:szCs w:val="24"/>
          <w:lang w:val="fr-CA"/>
        </w:rPr>
        <w:t>unanimité les autres demandes présentées par les compagnies de tabac.</w:t>
      </w:r>
    </w:p>
    <w:p w:rsidR="0047179D" w:rsidRPr="00403220" w:rsidRDefault="0047179D" w:rsidP="005A33F7">
      <w:pPr>
        <w:pStyle w:val="ParaNoNdepar-AltN"/>
        <w:rPr>
          <w:rFonts w:cs="Times New Roman"/>
          <w:szCs w:val="24"/>
          <w:lang w:val="fr-CA"/>
        </w:rPr>
      </w:pPr>
      <w:r w:rsidRPr="00403220">
        <w:rPr>
          <w:rFonts w:cs="Times New Roman"/>
          <w:szCs w:val="24"/>
          <w:lang w:val="fr-CA"/>
        </w:rPr>
        <w:t>Le gouvernement du Canada en appelle de la décision de permettre l</w:t>
      </w:r>
      <w:r w:rsidR="008372AA" w:rsidRPr="00403220">
        <w:rPr>
          <w:rFonts w:cs="Times New Roman"/>
          <w:szCs w:val="24"/>
          <w:lang w:val="fr-CA"/>
        </w:rPr>
        <w:t>’</w:t>
      </w:r>
      <w:r w:rsidRPr="00403220">
        <w:rPr>
          <w:rFonts w:cs="Times New Roman"/>
          <w:szCs w:val="24"/>
          <w:lang w:val="fr-CA"/>
        </w:rPr>
        <w:t>instruction des demandes pour déclaration</w:t>
      </w:r>
      <w:r w:rsidR="004130E8" w:rsidRPr="00403220">
        <w:rPr>
          <w:rFonts w:cs="Times New Roman"/>
          <w:szCs w:val="24"/>
          <w:lang w:val="fr-CA"/>
        </w:rPr>
        <w:t>s</w:t>
      </w:r>
      <w:r w:rsidRPr="00403220">
        <w:rPr>
          <w:rFonts w:cs="Times New Roman"/>
          <w:szCs w:val="24"/>
          <w:lang w:val="fr-CA"/>
        </w:rPr>
        <w:t xml:space="preserve"> inexacte</w:t>
      </w:r>
      <w:r w:rsidR="004130E8" w:rsidRPr="00403220">
        <w:rPr>
          <w:rFonts w:cs="Times New Roman"/>
          <w:szCs w:val="24"/>
          <w:lang w:val="fr-CA"/>
        </w:rPr>
        <w:t>s</w:t>
      </w:r>
      <w:r w:rsidRPr="00403220">
        <w:rPr>
          <w:rFonts w:cs="Times New Roman"/>
          <w:szCs w:val="24"/>
          <w:lang w:val="fr-CA"/>
        </w:rPr>
        <w:t xml:space="preserve"> faite</w:t>
      </w:r>
      <w:r w:rsidR="004130E8" w:rsidRPr="00403220">
        <w:rPr>
          <w:rFonts w:cs="Times New Roman"/>
          <w:szCs w:val="24"/>
          <w:lang w:val="fr-CA"/>
        </w:rPr>
        <w:t>s</w:t>
      </w:r>
      <w:r w:rsidRPr="00403220">
        <w:rPr>
          <w:rFonts w:cs="Times New Roman"/>
          <w:szCs w:val="24"/>
          <w:lang w:val="fr-CA"/>
        </w:rPr>
        <w:t xml:space="preserve"> par négligence et pour conception</w:t>
      </w:r>
      <w:r w:rsidR="00D63B65" w:rsidRPr="00403220">
        <w:rPr>
          <w:rFonts w:cs="Times New Roman"/>
          <w:szCs w:val="24"/>
          <w:lang w:val="fr-CA"/>
        </w:rPr>
        <w:t xml:space="preserve"> négligente</w:t>
      </w:r>
      <w:r w:rsidRPr="00403220">
        <w:rPr>
          <w:rFonts w:cs="Times New Roman"/>
          <w:szCs w:val="24"/>
          <w:lang w:val="fr-CA"/>
        </w:rPr>
        <w:t>.  Les compagnies de tabac forment un appel incident à l</w:t>
      </w:r>
      <w:r w:rsidR="008372AA" w:rsidRPr="00403220">
        <w:rPr>
          <w:rFonts w:cs="Times New Roman"/>
          <w:szCs w:val="24"/>
          <w:lang w:val="fr-CA"/>
        </w:rPr>
        <w:t>’</w:t>
      </w:r>
      <w:r w:rsidRPr="00403220">
        <w:rPr>
          <w:rFonts w:cs="Times New Roman"/>
          <w:szCs w:val="24"/>
          <w:lang w:val="fr-CA"/>
        </w:rPr>
        <w:t>égard de la radiation des autres demandes.</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Pour les motifs qui suivent, je conclus que </w:t>
      </w:r>
      <w:r w:rsidR="00C522D7" w:rsidRPr="00403220">
        <w:rPr>
          <w:rFonts w:cs="Times New Roman"/>
          <w:szCs w:val="24"/>
          <w:lang w:val="fr-CA"/>
        </w:rPr>
        <w:t>toutes les</w:t>
      </w:r>
      <w:r w:rsidRPr="00403220">
        <w:rPr>
          <w:rFonts w:cs="Times New Roman"/>
          <w:szCs w:val="24"/>
          <w:lang w:val="fr-CA"/>
        </w:rPr>
        <w:t xml:space="preserve"> demandes </w:t>
      </w:r>
      <w:r w:rsidR="00C522D7" w:rsidRPr="00403220">
        <w:rPr>
          <w:rFonts w:cs="Times New Roman"/>
          <w:szCs w:val="24"/>
          <w:lang w:val="fr-CA"/>
        </w:rPr>
        <w:t>introduites</w:t>
      </w:r>
      <w:r w:rsidRPr="00403220">
        <w:rPr>
          <w:rFonts w:cs="Times New Roman"/>
          <w:szCs w:val="24"/>
          <w:lang w:val="fr-CA"/>
        </w:rPr>
        <w:t xml:space="preserve"> par </w:t>
      </w:r>
      <w:r w:rsidR="00847C22" w:rsidRPr="00403220">
        <w:rPr>
          <w:rFonts w:cs="Times New Roman"/>
          <w:szCs w:val="24"/>
          <w:lang w:val="fr-CA"/>
        </w:rPr>
        <w:t xml:space="preserve">Imperial </w:t>
      </w:r>
      <w:r w:rsidRPr="00403220">
        <w:rPr>
          <w:rFonts w:cs="Times New Roman"/>
          <w:szCs w:val="24"/>
          <w:lang w:val="fr-CA"/>
        </w:rPr>
        <w:t>et les autres compagnies de tabac à l</w:t>
      </w:r>
      <w:r w:rsidR="008372AA" w:rsidRPr="00403220">
        <w:rPr>
          <w:rFonts w:cs="Times New Roman"/>
          <w:szCs w:val="24"/>
          <w:lang w:val="fr-CA"/>
        </w:rPr>
        <w:t>’</w:t>
      </w:r>
      <w:r w:rsidRPr="00403220">
        <w:rPr>
          <w:rFonts w:cs="Times New Roman"/>
          <w:szCs w:val="24"/>
          <w:lang w:val="fr-CA"/>
        </w:rPr>
        <w:t>encontre du gouvernement du Canada sont vouées à l</w:t>
      </w:r>
      <w:r w:rsidR="008372AA" w:rsidRPr="00403220">
        <w:rPr>
          <w:rFonts w:cs="Times New Roman"/>
          <w:szCs w:val="24"/>
          <w:lang w:val="fr-CA"/>
        </w:rPr>
        <w:t>’</w:t>
      </w:r>
      <w:r w:rsidRPr="00403220">
        <w:rPr>
          <w:rFonts w:cs="Times New Roman"/>
          <w:szCs w:val="24"/>
          <w:lang w:val="fr-CA"/>
        </w:rPr>
        <w:t>échec et d</w:t>
      </w:r>
      <w:r w:rsidR="00C522D7" w:rsidRPr="00403220">
        <w:rPr>
          <w:rFonts w:cs="Times New Roman"/>
          <w:szCs w:val="24"/>
          <w:lang w:val="fr-CA"/>
        </w:rPr>
        <w:t>oiv</w:t>
      </w:r>
      <w:r w:rsidRPr="00403220">
        <w:rPr>
          <w:rFonts w:cs="Times New Roman"/>
          <w:szCs w:val="24"/>
          <w:lang w:val="fr-CA"/>
        </w:rPr>
        <w:t>ent être radiées.  Je suis d</w:t>
      </w:r>
      <w:r w:rsidR="008372AA" w:rsidRPr="00403220">
        <w:rPr>
          <w:rFonts w:cs="Times New Roman"/>
          <w:szCs w:val="24"/>
          <w:lang w:val="fr-CA"/>
        </w:rPr>
        <w:t>’</w:t>
      </w:r>
      <w:r w:rsidRPr="00403220">
        <w:rPr>
          <w:rFonts w:cs="Times New Roman"/>
          <w:szCs w:val="24"/>
          <w:lang w:val="fr-CA"/>
        </w:rPr>
        <w:t>avis d</w:t>
      </w:r>
      <w:r w:rsidR="008372AA" w:rsidRPr="00403220">
        <w:rPr>
          <w:rFonts w:cs="Times New Roman"/>
          <w:szCs w:val="24"/>
          <w:lang w:val="fr-CA"/>
        </w:rPr>
        <w:t>’</w:t>
      </w:r>
      <w:r w:rsidRPr="00403220">
        <w:rPr>
          <w:rFonts w:cs="Times New Roman"/>
          <w:szCs w:val="24"/>
          <w:lang w:val="fr-CA"/>
        </w:rPr>
        <w:t xml:space="preserve">accueillir les appels du gouvernement du Canada dans les deux affaires et de rejeter les appels incidents. </w:t>
      </w:r>
    </w:p>
    <w:p w:rsidR="0047179D" w:rsidRPr="00403220" w:rsidRDefault="006F3D56" w:rsidP="00DF6983">
      <w:pPr>
        <w:pStyle w:val="TitleTitre-AltT"/>
        <w:keepNext/>
        <w:tabs>
          <w:tab w:val="clear" w:pos="360"/>
          <w:tab w:val="left" w:pos="540"/>
        </w:tabs>
        <w:spacing w:after="720"/>
        <w:ind w:left="540" w:hanging="540"/>
        <w:rPr>
          <w:rFonts w:cs="Times New Roman"/>
          <w:szCs w:val="24"/>
          <w:lang w:val="fr-CA"/>
        </w:rPr>
      </w:pPr>
      <w:bookmarkStart w:id="3" w:name="_Toc314735106"/>
      <w:r w:rsidRPr="00403220">
        <w:rPr>
          <w:rFonts w:cs="Times New Roman"/>
          <w:szCs w:val="24"/>
          <w:lang w:val="fr-CA"/>
        </w:rPr>
        <w:lastRenderedPageBreak/>
        <w:t>II</w:t>
      </w:r>
      <w:r w:rsidR="0047179D" w:rsidRPr="00403220">
        <w:rPr>
          <w:rFonts w:cs="Times New Roman"/>
          <w:szCs w:val="24"/>
          <w:lang w:val="fr-CA"/>
        </w:rPr>
        <w:t>.</w:t>
      </w:r>
      <w:r w:rsidR="00427A77" w:rsidRPr="00403220">
        <w:rPr>
          <w:rFonts w:cs="Times New Roman"/>
          <w:szCs w:val="24"/>
          <w:lang w:val="fr-CA"/>
        </w:rPr>
        <w:tab/>
      </w:r>
      <w:r w:rsidR="0047179D" w:rsidRPr="00403220">
        <w:rPr>
          <w:rFonts w:cs="Times New Roman"/>
          <w:szCs w:val="24"/>
          <w:u w:val="single"/>
          <w:lang w:val="fr-CA"/>
        </w:rPr>
        <w:t>Demandes initiales et historique judiciaire</w:t>
      </w:r>
      <w:bookmarkEnd w:id="3"/>
    </w:p>
    <w:p w:rsidR="0047179D" w:rsidRPr="00403220" w:rsidRDefault="006F3D56" w:rsidP="00DF6983">
      <w:pPr>
        <w:pStyle w:val="TitleTitre-AltT"/>
        <w:keepNext/>
        <w:tabs>
          <w:tab w:val="clear" w:pos="360"/>
          <w:tab w:val="left" w:pos="540"/>
          <w:tab w:val="left" w:pos="1530"/>
        </w:tabs>
        <w:spacing w:after="720"/>
        <w:ind w:left="540" w:hanging="540"/>
        <w:rPr>
          <w:rFonts w:cs="Times New Roman"/>
          <w:i/>
          <w:szCs w:val="24"/>
          <w:lang w:val="fr-CA"/>
        </w:rPr>
      </w:pPr>
      <w:bookmarkStart w:id="4" w:name="_Toc314735107"/>
      <w:r w:rsidRPr="00403220">
        <w:rPr>
          <w:rFonts w:cs="Times New Roman"/>
          <w:szCs w:val="24"/>
          <w:lang w:val="fr-CA"/>
        </w:rPr>
        <w:t>A</w:t>
      </w:r>
      <w:r w:rsidR="009E55B2" w:rsidRPr="00403220">
        <w:rPr>
          <w:rFonts w:cs="Times New Roman"/>
          <w:szCs w:val="24"/>
          <w:lang w:val="fr-CA"/>
        </w:rPr>
        <w:t>.</w:t>
      </w:r>
      <w:r w:rsidR="009E55B2" w:rsidRPr="00403220">
        <w:rPr>
          <w:rFonts w:cs="Times New Roman"/>
          <w:szCs w:val="24"/>
          <w:lang w:val="fr-CA"/>
        </w:rPr>
        <w:tab/>
      </w:r>
      <w:r w:rsidR="0047179D" w:rsidRPr="00403220">
        <w:rPr>
          <w:rFonts w:cs="Times New Roman"/>
          <w:i/>
          <w:szCs w:val="24"/>
          <w:lang w:val="fr-CA"/>
        </w:rPr>
        <w:t>L</w:t>
      </w:r>
      <w:r w:rsidR="008372AA" w:rsidRPr="00403220">
        <w:rPr>
          <w:rFonts w:cs="Times New Roman"/>
          <w:i/>
          <w:szCs w:val="24"/>
          <w:lang w:val="fr-CA"/>
        </w:rPr>
        <w:t>’</w:t>
      </w:r>
      <w:r w:rsidR="00903A9E" w:rsidRPr="00403220">
        <w:rPr>
          <w:rFonts w:cs="Times New Roman"/>
          <w:i/>
          <w:szCs w:val="24"/>
          <w:lang w:val="fr-CA"/>
        </w:rPr>
        <w:t>A</w:t>
      </w:r>
      <w:r w:rsidR="0047179D" w:rsidRPr="00403220">
        <w:rPr>
          <w:rFonts w:cs="Times New Roman"/>
          <w:i/>
          <w:szCs w:val="24"/>
          <w:lang w:val="fr-CA"/>
        </w:rPr>
        <w:t>ffaire Knight</w:t>
      </w:r>
      <w:bookmarkEnd w:id="4"/>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xml:space="preserve">, un groupe </w:t>
      </w:r>
      <w:r w:rsidR="00C522D7" w:rsidRPr="00403220">
        <w:rPr>
          <w:rFonts w:cs="Times New Roman"/>
          <w:szCs w:val="24"/>
          <w:lang w:val="fr-CA"/>
        </w:rPr>
        <w:t>de consommateurs de la Colombie</w:t>
      </w:r>
      <w:r w:rsidR="00E114F5">
        <w:rPr>
          <w:rFonts w:cs="Times New Roman"/>
          <w:szCs w:val="24"/>
          <w:lang w:val="fr-CA"/>
        </w:rPr>
        <w:t>-</w:t>
      </w:r>
      <w:r w:rsidR="00C522D7" w:rsidRPr="00403220">
        <w:rPr>
          <w:rFonts w:cs="Times New Roman"/>
          <w:szCs w:val="24"/>
          <w:lang w:val="fr-CA"/>
        </w:rPr>
        <w:t>Britannique</w:t>
      </w:r>
      <w:r w:rsidR="005922B2" w:rsidRPr="00403220">
        <w:rPr>
          <w:rFonts w:cs="Times New Roman"/>
          <w:szCs w:val="24"/>
          <w:lang w:val="fr-CA"/>
        </w:rPr>
        <w:t>,</w:t>
      </w:r>
      <w:r w:rsidR="00C522D7" w:rsidRPr="00403220">
        <w:rPr>
          <w:rFonts w:cs="Times New Roman"/>
          <w:szCs w:val="24"/>
          <w:lang w:val="fr-CA"/>
        </w:rPr>
        <w:t xml:space="preserve"> </w:t>
      </w:r>
      <w:r w:rsidRPr="00403220">
        <w:rPr>
          <w:rFonts w:cs="Times New Roman"/>
          <w:szCs w:val="24"/>
          <w:lang w:val="fr-CA"/>
        </w:rPr>
        <w:t>composé de fumeurs de cigarettes légères ou douces</w:t>
      </w:r>
      <w:r w:rsidR="005922B2" w:rsidRPr="00403220">
        <w:rPr>
          <w:rFonts w:cs="Times New Roman"/>
          <w:szCs w:val="24"/>
          <w:lang w:val="fr-CA"/>
        </w:rPr>
        <w:t>,</w:t>
      </w:r>
      <w:r w:rsidR="00E114F5">
        <w:rPr>
          <w:rFonts w:cs="Times New Roman"/>
          <w:szCs w:val="24"/>
          <w:lang w:val="fr-CA"/>
        </w:rPr>
        <w:t xml:space="preserve"> a</w:t>
      </w:r>
      <w:r w:rsidRPr="00403220">
        <w:rPr>
          <w:rFonts w:cs="Times New Roman"/>
          <w:szCs w:val="24"/>
          <w:lang w:val="fr-CA"/>
        </w:rPr>
        <w:t xml:space="preserve"> intenté un recours collectif contre </w:t>
      </w:r>
      <w:r w:rsidR="00847C22" w:rsidRPr="00403220">
        <w:rPr>
          <w:rFonts w:cs="Times New Roman"/>
          <w:szCs w:val="24"/>
          <w:lang w:val="fr-CA"/>
        </w:rPr>
        <w:t xml:space="preserve">Imperial </w:t>
      </w:r>
      <w:r w:rsidRPr="00403220">
        <w:rPr>
          <w:rFonts w:cs="Times New Roman"/>
          <w:szCs w:val="24"/>
          <w:lang w:val="fr-CA"/>
        </w:rPr>
        <w:t xml:space="preserve">en vertu de la </w:t>
      </w:r>
      <w:r w:rsidRPr="00403220">
        <w:rPr>
          <w:rFonts w:cs="Times New Roman"/>
          <w:i/>
          <w:szCs w:val="24"/>
          <w:lang w:val="fr-CA"/>
        </w:rPr>
        <w:t>BPCPA</w:t>
      </w:r>
      <w:r w:rsidRPr="00403220">
        <w:rPr>
          <w:rFonts w:cs="Times New Roman"/>
          <w:szCs w:val="24"/>
          <w:lang w:val="fr-CA"/>
        </w:rPr>
        <w:t xml:space="preserve"> et de la loi qui l</w:t>
      </w:r>
      <w:r w:rsidR="008372AA" w:rsidRPr="00403220">
        <w:rPr>
          <w:rFonts w:cs="Times New Roman"/>
          <w:szCs w:val="24"/>
          <w:lang w:val="fr-CA"/>
        </w:rPr>
        <w:t>’</w:t>
      </w:r>
      <w:r w:rsidRPr="00403220">
        <w:rPr>
          <w:rFonts w:cs="Times New Roman"/>
          <w:szCs w:val="24"/>
          <w:lang w:val="fr-CA"/>
        </w:rPr>
        <w:t xml:space="preserve">a précédée, la </w:t>
      </w:r>
      <w:r w:rsidRPr="00403220">
        <w:rPr>
          <w:rFonts w:cs="Times New Roman"/>
          <w:i/>
          <w:szCs w:val="24"/>
          <w:lang w:val="fr-CA"/>
        </w:rPr>
        <w:t>TPA</w:t>
      </w:r>
      <w:r w:rsidRPr="00403220">
        <w:rPr>
          <w:rFonts w:cs="Times New Roman"/>
          <w:szCs w:val="24"/>
          <w:lang w:val="fr-CA"/>
        </w:rPr>
        <w:t xml:space="preserve">.  </w:t>
      </w:r>
      <w:r w:rsidR="00E114F5">
        <w:rPr>
          <w:rFonts w:cs="Times New Roman"/>
          <w:szCs w:val="24"/>
          <w:lang w:val="fr-CA"/>
        </w:rPr>
        <w:t>Ce</w:t>
      </w:r>
      <w:r w:rsidRPr="00403220">
        <w:rPr>
          <w:rFonts w:cs="Times New Roman"/>
          <w:szCs w:val="24"/>
          <w:lang w:val="fr-CA"/>
        </w:rPr>
        <w:t xml:space="preserve">s </w:t>
      </w:r>
      <w:r w:rsidR="00E114F5">
        <w:rPr>
          <w:rFonts w:cs="Times New Roman"/>
          <w:szCs w:val="24"/>
          <w:lang w:val="fr-CA"/>
        </w:rPr>
        <w:t xml:space="preserve">consommateurs </w:t>
      </w:r>
      <w:r w:rsidRPr="00403220">
        <w:rPr>
          <w:rFonts w:cs="Times New Roman"/>
          <w:szCs w:val="24"/>
          <w:lang w:val="fr-CA"/>
        </w:rPr>
        <w:t>prétendent qu</w:t>
      </w:r>
      <w:r w:rsidR="008372AA" w:rsidRPr="00403220">
        <w:rPr>
          <w:rFonts w:cs="Times New Roman"/>
          <w:szCs w:val="24"/>
          <w:lang w:val="fr-CA"/>
        </w:rPr>
        <w:t>’</w:t>
      </w:r>
      <w:r w:rsidR="00847C22" w:rsidRPr="00403220">
        <w:rPr>
          <w:rFonts w:cs="Times New Roman"/>
          <w:szCs w:val="24"/>
          <w:lang w:val="fr-CA"/>
        </w:rPr>
        <w:t xml:space="preserve">Imperial </w:t>
      </w:r>
      <w:r w:rsidR="00C522D7" w:rsidRPr="00403220">
        <w:rPr>
          <w:rFonts w:cs="Times New Roman"/>
          <w:szCs w:val="24"/>
          <w:lang w:val="fr-CA"/>
        </w:rPr>
        <w:t>s</w:t>
      </w:r>
      <w:r w:rsidR="008372AA" w:rsidRPr="00403220">
        <w:rPr>
          <w:rFonts w:cs="Times New Roman"/>
          <w:szCs w:val="24"/>
          <w:lang w:val="fr-CA"/>
        </w:rPr>
        <w:t>’</w:t>
      </w:r>
      <w:r w:rsidR="00C522D7" w:rsidRPr="00403220">
        <w:rPr>
          <w:rFonts w:cs="Times New Roman"/>
          <w:szCs w:val="24"/>
          <w:lang w:val="fr-CA"/>
        </w:rPr>
        <w:t>est livrée à des pratiques trompeuses</w:t>
      </w:r>
      <w:r w:rsidRPr="00403220">
        <w:rPr>
          <w:rFonts w:cs="Times New Roman"/>
          <w:szCs w:val="24"/>
          <w:lang w:val="fr-CA"/>
        </w:rPr>
        <w:t xml:space="preserve"> en présentant les cigarettes à teneur réduite en goudron comme un choix moins nuisible à la santé des consomma</w:t>
      </w:r>
      <w:r w:rsidR="00C522D7" w:rsidRPr="00403220">
        <w:rPr>
          <w:rFonts w:cs="Times New Roman"/>
          <w:szCs w:val="24"/>
          <w:lang w:val="fr-CA"/>
        </w:rPr>
        <w:t>teurs que les autres cigarettes</w:t>
      </w:r>
      <w:r w:rsidRPr="00403220">
        <w:rPr>
          <w:rFonts w:cs="Times New Roman"/>
          <w:szCs w:val="24"/>
          <w:lang w:val="fr-CA"/>
        </w:rPr>
        <w:t xml:space="preserve">.  Selon eux, </w:t>
      </w:r>
      <w:r w:rsidR="00C522D7" w:rsidRPr="00403220">
        <w:rPr>
          <w:rFonts w:cs="Times New Roman"/>
          <w:szCs w:val="24"/>
          <w:lang w:val="fr-CA"/>
        </w:rPr>
        <w:t>la teneur en</w:t>
      </w:r>
      <w:r w:rsidRPr="00403220">
        <w:rPr>
          <w:rFonts w:cs="Times New Roman"/>
          <w:szCs w:val="24"/>
          <w:lang w:val="fr-CA"/>
        </w:rPr>
        <w:t xml:space="preserve"> goudron et </w:t>
      </w:r>
      <w:r w:rsidR="00C522D7" w:rsidRPr="00403220">
        <w:rPr>
          <w:rFonts w:cs="Times New Roman"/>
          <w:szCs w:val="24"/>
          <w:lang w:val="fr-CA"/>
        </w:rPr>
        <w:t>en</w:t>
      </w:r>
      <w:r w:rsidRPr="00403220">
        <w:rPr>
          <w:rFonts w:cs="Times New Roman"/>
          <w:szCs w:val="24"/>
          <w:lang w:val="fr-CA"/>
        </w:rPr>
        <w:t xml:space="preserve"> nicotine indiqué</w:t>
      </w:r>
      <w:r w:rsidR="00C522D7" w:rsidRPr="00403220">
        <w:rPr>
          <w:rFonts w:cs="Times New Roman"/>
          <w:szCs w:val="24"/>
          <w:lang w:val="fr-CA"/>
        </w:rPr>
        <w:t>e</w:t>
      </w:r>
      <w:r w:rsidRPr="00403220">
        <w:rPr>
          <w:rFonts w:cs="Times New Roman"/>
          <w:szCs w:val="24"/>
          <w:lang w:val="fr-CA"/>
        </w:rPr>
        <w:t xml:space="preserve"> sur les paquets de cigarettes légères et douces fabriquées par </w:t>
      </w:r>
      <w:r w:rsidR="00847C22" w:rsidRPr="00403220">
        <w:rPr>
          <w:rFonts w:cs="Times New Roman"/>
          <w:szCs w:val="24"/>
          <w:lang w:val="fr-CA"/>
        </w:rPr>
        <w:t xml:space="preserve">Imperial </w:t>
      </w:r>
      <w:r w:rsidRPr="00403220">
        <w:rPr>
          <w:rFonts w:cs="Times New Roman"/>
          <w:szCs w:val="24"/>
          <w:lang w:val="fr-CA"/>
        </w:rPr>
        <w:t>ne correspondait pas aux</w:t>
      </w:r>
      <w:r w:rsidR="00C522D7" w:rsidRPr="00403220">
        <w:rPr>
          <w:rFonts w:cs="Times New Roman"/>
          <w:szCs w:val="24"/>
          <w:lang w:val="fr-CA"/>
        </w:rPr>
        <w:t xml:space="preserve"> émissions</w:t>
      </w:r>
      <w:r w:rsidRPr="00403220">
        <w:rPr>
          <w:rFonts w:cs="Times New Roman"/>
          <w:szCs w:val="24"/>
          <w:lang w:val="fr-CA"/>
        </w:rPr>
        <w:t xml:space="preserve"> toxiques </w:t>
      </w:r>
      <w:r w:rsidR="00C522D7" w:rsidRPr="00403220">
        <w:rPr>
          <w:rFonts w:cs="Times New Roman"/>
          <w:szCs w:val="24"/>
          <w:lang w:val="fr-CA"/>
        </w:rPr>
        <w:t>réelles</w:t>
      </w:r>
      <w:r w:rsidR="00EC6110" w:rsidRPr="00403220">
        <w:rPr>
          <w:rFonts w:cs="Times New Roman"/>
          <w:szCs w:val="24"/>
          <w:lang w:val="fr-CA"/>
        </w:rPr>
        <w:t xml:space="preserve"> pour les fumeurs</w:t>
      </w:r>
      <w:r w:rsidRPr="00403220">
        <w:rPr>
          <w:rFonts w:cs="Times New Roman"/>
          <w:szCs w:val="24"/>
          <w:lang w:val="fr-CA"/>
        </w:rPr>
        <w:t xml:space="preserve">.  Ils font valoir que la fumée dégagée par les cigarettes légères était tout aussi néfaste que celle </w:t>
      </w:r>
      <w:r w:rsidR="00EC6110" w:rsidRPr="00403220">
        <w:rPr>
          <w:rFonts w:cs="Times New Roman"/>
          <w:szCs w:val="24"/>
          <w:lang w:val="fr-CA"/>
        </w:rPr>
        <w:t>dégagée par l</w:t>
      </w:r>
      <w:r w:rsidRPr="00403220">
        <w:rPr>
          <w:rFonts w:cs="Times New Roman"/>
          <w:szCs w:val="24"/>
          <w:lang w:val="fr-CA"/>
        </w:rPr>
        <w:t>es cigarettes régulières.  Ils réclament le remboursement du coût d</w:t>
      </w:r>
      <w:r w:rsidR="008372AA" w:rsidRPr="00403220">
        <w:rPr>
          <w:rFonts w:cs="Times New Roman"/>
          <w:szCs w:val="24"/>
          <w:lang w:val="fr-CA"/>
        </w:rPr>
        <w:t>’</w:t>
      </w:r>
      <w:r w:rsidRPr="00403220">
        <w:rPr>
          <w:rFonts w:cs="Times New Roman"/>
          <w:szCs w:val="24"/>
          <w:lang w:val="fr-CA"/>
        </w:rPr>
        <w:t xml:space="preserve">achat des cigarettes ainsi que des </w:t>
      </w:r>
      <w:proofErr w:type="spellStart"/>
      <w:r w:rsidRPr="00403220">
        <w:rPr>
          <w:rFonts w:cs="Times New Roman"/>
          <w:szCs w:val="24"/>
          <w:lang w:val="fr-CA"/>
        </w:rPr>
        <w:t>dommages</w:t>
      </w:r>
      <w:r w:rsidR="00A54DAC" w:rsidRPr="00403220">
        <w:rPr>
          <w:rFonts w:cs="Times New Roman"/>
          <w:szCs w:val="24"/>
          <w:lang w:val="fr-CA"/>
        </w:rPr>
        <w:noBreakHyphen/>
      </w:r>
      <w:r w:rsidRPr="00403220">
        <w:rPr>
          <w:rFonts w:cs="Times New Roman"/>
          <w:szCs w:val="24"/>
          <w:lang w:val="fr-CA"/>
        </w:rPr>
        <w:t>intérêts</w:t>
      </w:r>
      <w:proofErr w:type="spellEnd"/>
      <w:r w:rsidRPr="00403220">
        <w:rPr>
          <w:rFonts w:cs="Times New Roman"/>
          <w:szCs w:val="24"/>
          <w:lang w:val="fr-CA"/>
        </w:rPr>
        <w:t xml:space="preserve"> punitifs.</w:t>
      </w:r>
    </w:p>
    <w:p w:rsidR="0047179D" w:rsidRPr="00403220" w:rsidRDefault="00C522D7" w:rsidP="005A33F7">
      <w:pPr>
        <w:pStyle w:val="ParaNoNdepar-AltN"/>
        <w:rPr>
          <w:rFonts w:cs="Times New Roman"/>
          <w:szCs w:val="24"/>
          <w:lang w:val="fr-CA"/>
        </w:rPr>
      </w:pPr>
      <w:r w:rsidRPr="00403220">
        <w:rPr>
          <w:rFonts w:cs="Times New Roman"/>
          <w:szCs w:val="24"/>
          <w:lang w:val="fr-CA"/>
        </w:rPr>
        <w:t xml:space="preserve">Par </w:t>
      </w:r>
      <w:r w:rsidR="00EC6110" w:rsidRPr="00403220">
        <w:rPr>
          <w:rFonts w:cs="Times New Roman"/>
          <w:szCs w:val="24"/>
          <w:lang w:val="fr-CA"/>
        </w:rPr>
        <w:t>voie d’</w:t>
      </w:r>
      <w:r w:rsidRPr="00403220">
        <w:rPr>
          <w:rFonts w:cs="Times New Roman"/>
          <w:szCs w:val="24"/>
          <w:lang w:val="fr-CA"/>
        </w:rPr>
        <w:t xml:space="preserve">avis, </w:t>
      </w:r>
      <w:r w:rsidR="00847C22" w:rsidRPr="00403220">
        <w:rPr>
          <w:rFonts w:cs="Times New Roman"/>
          <w:szCs w:val="24"/>
          <w:lang w:val="fr-CA"/>
        </w:rPr>
        <w:t xml:space="preserve">Imperial </w:t>
      </w:r>
      <w:r w:rsidRPr="00403220">
        <w:rPr>
          <w:rFonts w:cs="Times New Roman"/>
          <w:szCs w:val="24"/>
          <w:lang w:val="fr-CA"/>
        </w:rPr>
        <w:t>a mis</w:t>
      </w:r>
      <w:r w:rsidR="0047179D" w:rsidRPr="00403220">
        <w:rPr>
          <w:rFonts w:cs="Times New Roman"/>
          <w:szCs w:val="24"/>
          <w:lang w:val="fr-CA"/>
        </w:rPr>
        <w:t xml:space="preserve"> en cause </w:t>
      </w:r>
      <w:r w:rsidRPr="00403220">
        <w:rPr>
          <w:rFonts w:cs="Times New Roman"/>
          <w:szCs w:val="24"/>
          <w:lang w:val="fr-CA"/>
        </w:rPr>
        <w:t>le gouvernement</w:t>
      </w:r>
      <w:r w:rsidR="0047179D" w:rsidRPr="00403220">
        <w:rPr>
          <w:rFonts w:cs="Times New Roman"/>
          <w:szCs w:val="24"/>
          <w:lang w:val="fr-CA"/>
        </w:rPr>
        <w:t xml:space="preserve"> du Canada.  Selon elle, Santé Canada aurait informé les compagnies de tabac et le public que les cigarettes à teneur réduite en goudron étaient moins nuisibles que les cigarettes régulières.  </w:t>
      </w:r>
      <w:r w:rsidR="00847C22" w:rsidRPr="00403220">
        <w:rPr>
          <w:rFonts w:cs="Times New Roman"/>
          <w:szCs w:val="24"/>
          <w:lang w:val="fr-CA"/>
        </w:rPr>
        <w:t xml:space="preserve">Imperial </w:t>
      </w:r>
      <w:r w:rsidR="0047179D" w:rsidRPr="00403220">
        <w:rPr>
          <w:rFonts w:cs="Times New Roman"/>
          <w:szCs w:val="24"/>
          <w:lang w:val="fr-CA"/>
        </w:rPr>
        <w:t>fait valoir que Santé Canada s</w:t>
      </w:r>
      <w:r w:rsidR="008372AA" w:rsidRPr="00403220">
        <w:rPr>
          <w:rFonts w:cs="Times New Roman"/>
          <w:szCs w:val="24"/>
          <w:lang w:val="fr-CA"/>
        </w:rPr>
        <w:t>’</w:t>
      </w:r>
      <w:r w:rsidR="0047179D" w:rsidRPr="00403220">
        <w:rPr>
          <w:rFonts w:cs="Times New Roman"/>
          <w:szCs w:val="24"/>
          <w:lang w:val="fr-CA"/>
        </w:rPr>
        <w:t>était d</w:t>
      </w:r>
      <w:r w:rsidR="008372AA" w:rsidRPr="00403220">
        <w:rPr>
          <w:rFonts w:cs="Times New Roman"/>
          <w:szCs w:val="24"/>
          <w:lang w:val="fr-CA"/>
        </w:rPr>
        <w:t>’</w:t>
      </w:r>
      <w:r w:rsidR="0047179D" w:rsidRPr="00403220">
        <w:rPr>
          <w:rFonts w:cs="Times New Roman"/>
          <w:szCs w:val="24"/>
          <w:lang w:val="fr-CA"/>
        </w:rPr>
        <w:t xml:space="preserve">abord opposé à </w:t>
      </w:r>
      <w:r w:rsidR="0047179D" w:rsidRPr="00403220">
        <w:rPr>
          <w:rFonts w:cs="Times New Roman"/>
          <w:szCs w:val="24"/>
          <w:lang w:val="fr-CA"/>
        </w:rPr>
        <w:lastRenderedPageBreak/>
        <w:t>l</w:t>
      </w:r>
      <w:r w:rsidR="008372AA" w:rsidRPr="00403220">
        <w:rPr>
          <w:rFonts w:cs="Times New Roman"/>
          <w:szCs w:val="24"/>
          <w:lang w:val="fr-CA"/>
        </w:rPr>
        <w:t>’</w:t>
      </w:r>
      <w:r w:rsidR="0047179D" w:rsidRPr="00403220">
        <w:rPr>
          <w:rFonts w:cs="Times New Roman"/>
          <w:szCs w:val="24"/>
          <w:lang w:val="fr-CA"/>
        </w:rPr>
        <w:t xml:space="preserve">impression de mises en garde relatives à la santé sur les paquets de cigarettes avant de changer sa politique en 1967.  Le </w:t>
      </w:r>
      <w:r w:rsidR="001559FD" w:rsidRPr="00403220">
        <w:rPr>
          <w:rFonts w:cs="Times New Roman"/>
          <w:szCs w:val="24"/>
          <w:lang w:val="fr-CA"/>
        </w:rPr>
        <w:t>m</w:t>
      </w:r>
      <w:r w:rsidR="0047179D" w:rsidRPr="00403220">
        <w:rPr>
          <w:rFonts w:cs="Times New Roman"/>
          <w:szCs w:val="24"/>
          <w:lang w:val="fr-CA"/>
        </w:rPr>
        <w:t xml:space="preserve">inistère invitait les fumeurs ne souhaitant pas cesser </w:t>
      </w:r>
      <w:r w:rsidR="005922B2" w:rsidRPr="00403220">
        <w:rPr>
          <w:rFonts w:cs="Times New Roman"/>
          <w:szCs w:val="24"/>
          <w:lang w:val="fr-CA"/>
        </w:rPr>
        <w:t>de fumer</w:t>
      </w:r>
      <w:r w:rsidR="0047179D" w:rsidRPr="00403220">
        <w:rPr>
          <w:rFonts w:cs="Times New Roman"/>
          <w:szCs w:val="24"/>
          <w:lang w:val="fr-CA"/>
        </w:rPr>
        <w:t xml:space="preserve"> à consommer des cigarettes à teneur réduite en goudron et a demandé aux compagnies de tabac de révéler volontairement les quantités de goudron et de nicotine dans leurs publicités </w:t>
      </w:r>
      <w:r w:rsidRPr="00403220">
        <w:rPr>
          <w:rFonts w:cs="Times New Roman"/>
          <w:szCs w:val="24"/>
          <w:lang w:val="fr-CA"/>
        </w:rPr>
        <w:t>afin d</w:t>
      </w:r>
      <w:r w:rsidR="008372AA" w:rsidRPr="00403220">
        <w:rPr>
          <w:rFonts w:cs="Times New Roman"/>
          <w:szCs w:val="24"/>
          <w:lang w:val="fr-CA"/>
        </w:rPr>
        <w:t>’</w:t>
      </w:r>
      <w:r w:rsidR="0047179D" w:rsidRPr="00403220">
        <w:rPr>
          <w:rFonts w:cs="Times New Roman"/>
          <w:szCs w:val="24"/>
          <w:lang w:val="fr-CA"/>
        </w:rPr>
        <w:t xml:space="preserve">encourager les consommateurs à acheter des marques à </w:t>
      </w:r>
      <w:r w:rsidRPr="00403220">
        <w:rPr>
          <w:rFonts w:cs="Times New Roman"/>
          <w:szCs w:val="24"/>
          <w:lang w:val="fr-CA"/>
        </w:rPr>
        <w:t xml:space="preserve">faible </w:t>
      </w:r>
      <w:r w:rsidR="0047179D" w:rsidRPr="00403220">
        <w:rPr>
          <w:rFonts w:cs="Times New Roman"/>
          <w:szCs w:val="24"/>
          <w:lang w:val="fr-CA"/>
        </w:rPr>
        <w:t xml:space="preserve">teneur en goudron.  Contre toute attente, il appert maintenant que ces cigarettes seraient </w:t>
      </w:r>
      <w:proofErr w:type="spellStart"/>
      <w:r w:rsidR="0047179D" w:rsidRPr="00403220">
        <w:rPr>
          <w:rFonts w:cs="Times New Roman"/>
          <w:szCs w:val="24"/>
          <w:lang w:val="fr-CA"/>
        </w:rPr>
        <w:t>peut</w:t>
      </w:r>
      <w:r w:rsidR="00A54DAC" w:rsidRPr="00403220">
        <w:rPr>
          <w:rFonts w:cs="Times New Roman"/>
          <w:szCs w:val="24"/>
          <w:lang w:val="fr-CA"/>
        </w:rPr>
        <w:noBreakHyphen/>
      </w:r>
      <w:r w:rsidR="0047179D" w:rsidRPr="00403220">
        <w:rPr>
          <w:rFonts w:cs="Times New Roman"/>
          <w:szCs w:val="24"/>
          <w:lang w:val="fr-CA"/>
        </w:rPr>
        <w:t>être</w:t>
      </w:r>
      <w:proofErr w:type="spellEnd"/>
      <w:r w:rsidR="0047179D" w:rsidRPr="00403220">
        <w:rPr>
          <w:rFonts w:cs="Times New Roman"/>
          <w:szCs w:val="24"/>
          <w:lang w:val="fr-CA"/>
        </w:rPr>
        <w:t xml:space="preserve"> plus nuisibles à la santé des fumeurs que les autres.  </w:t>
      </w:r>
    </w:p>
    <w:p w:rsidR="0047179D" w:rsidRPr="00403220" w:rsidRDefault="00847C22" w:rsidP="005A33F7">
      <w:pPr>
        <w:pStyle w:val="ParaNoNdepar-AltN"/>
        <w:rPr>
          <w:rFonts w:cs="Times New Roman"/>
          <w:szCs w:val="24"/>
          <w:lang w:val="fr-CA"/>
        </w:rPr>
      </w:pPr>
      <w:r w:rsidRPr="00403220">
        <w:rPr>
          <w:rFonts w:cs="Times New Roman"/>
          <w:szCs w:val="24"/>
          <w:lang w:val="fr-CA"/>
        </w:rPr>
        <w:t xml:space="preserve">Imperial </w:t>
      </w:r>
      <w:r w:rsidR="0047179D" w:rsidRPr="00403220">
        <w:rPr>
          <w:rFonts w:cs="Times New Roman"/>
          <w:szCs w:val="24"/>
          <w:lang w:val="fr-CA"/>
        </w:rPr>
        <w:t>prétend également qu</w:t>
      </w:r>
      <w:r w:rsidR="001559FD" w:rsidRPr="00403220">
        <w:rPr>
          <w:rFonts w:cs="Times New Roman"/>
          <w:szCs w:val="24"/>
          <w:lang w:val="fr-CA"/>
        </w:rPr>
        <w:t>’</w:t>
      </w:r>
      <w:r w:rsidR="0047179D" w:rsidRPr="00403220">
        <w:rPr>
          <w:rFonts w:cs="Times New Roman"/>
          <w:szCs w:val="24"/>
          <w:lang w:val="fr-CA"/>
        </w:rPr>
        <w:t>Agriculture Canada a protégé par licence</w:t>
      </w:r>
      <w:r w:rsidR="00DD0E66" w:rsidRPr="00403220">
        <w:rPr>
          <w:rFonts w:cs="Times New Roman"/>
          <w:szCs w:val="24"/>
          <w:lang w:val="fr-CA"/>
        </w:rPr>
        <w:t>s</w:t>
      </w:r>
      <w:r w:rsidR="0047179D" w:rsidRPr="00403220">
        <w:rPr>
          <w:rFonts w:cs="Times New Roman"/>
          <w:szCs w:val="24"/>
          <w:lang w:val="fr-CA"/>
        </w:rPr>
        <w:t xml:space="preserve"> plusieurs souches de tabac à teneur réduite en goudron — cultivées par lui après des travaux de recherche et de développement</w:t>
      </w:r>
      <w:r w:rsidR="00C522D7" w:rsidRPr="00403220">
        <w:rPr>
          <w:rFonts w:cs="Times New Roman"/>
          <w:szCs w:val="24"/>
          <w:lang w:val="fr-CA"/>
        </w:rPr>
        <w:t xml:space="preserve"> </w:t>
      </w:r>
      <w:r w:rsidR="0047179D" w:rsidRPr="00403220">
        <w:rPr>
          <w:rFonts w:cs="Times New Roman"/>
          <w:szCs w:val="24"/>
          <w:lang w:val="fr-CA"/>
        </w:rPr>
        <w:t>— e</w:t>
      </w:r>
      <w:r w:rsidR="00DD0E66" w:rsidRPr="00403220">
        <w:rPr>
          <w:rFonts w:cs="Times New Roman"/>
          <w:szCs w:val="24"/>
          <w:lang w:val="fr-CA"/>
        </w:rPr>
        <w:t>t</w:t>
      </w:r>
      <w:r w:rsidR="0047179D" w:rsidRPr="00403220">
        <w:rPr>
          <w:rFonts w:cs="Times New Roman"/>
          <w:szCs w:val="24"/>
          <w:lang w:val="fr-CA"/>
        </w:rPr>
        <w:t xml:space="preserve"> </w:t>
      </w:r>
      <w:r w:rsidR="00DD0E66" w:rsidRPr="00403220">
        <w:rPr>
          <w:rFonts w:cs="Times New Roman"/>
          <w:szCs w:val="24"/>
          <w:lang w:val="fr-CA"/>
        </w:rPr>
        <w:t xml:space="preserve">a perçu </w:t>
      </w:r>
      <w:r w:rsidR="0047179D" w:rsidRPr="00403220">
        <w:rPr>
          <w:rFonts w:cs="Times New Roman"/>
          <w:szCs w:val="24"/>
          <w:lang w:val="fr-CA"/>
        </w:rPr>
        <w:t xml:space="preserve">des redevances </w:t>
      </w:r>
      <w:r w:rsidR="00DD0E66" w:rsidRPr="00403220">
        <w:rPr>
          <w:rFonts w:cs="Times New Roman"/>
          <w:szCs w:val="24"/>
          <w:lang w:val="fr-CA"/>
        </w:rPr>
        <w:t>des</w:t>
      </w:r>
      <w:r w:rsidR="0047179D" w:rsidRPr="00403220">
        <w:rPr>
          <w:rFonts w:cs="Times New Roman"/>
          <w:szCs w:val="24"/>
          <w:lang w:val="fr-CA"/>
        </w:rPr>
        <w:t xml:space="preserve"> compagnies, dont </w:t>
      </w:r>
      <w:r w:rsidRPr="00403220">
        <w:rPr>
          <w:rFonts w:cs="Times New Roman"/>
          <w:szCs w:val="24"/>
          <w:lang w:val="fr-CA"/>
        </w:rPr>
        <w:t>Imperial</w:t>
      </w:r>
      <w:r w:rsidR="0047179D" w:rsidRPr="00403220">
        <w:rPr>
          <w:rFonts w:cs="Times New Roman"/>
          <w:szCs w:val="24"/>
          <w:lang w:val="fr-CA"/>
        </w:rPr>
        <w:t xml:space="preserve">, qui utilisaient ses souches.  </w:t>
      </w:r>
      <w:r w:rsidR="00C522D7" w:rsidRPr="00403220">
        <w:rPr>
          <w:rFonts w:cs="Times New Roman"/>
          <w:szCs w:val="24"/>
          <w:lang w:val="fr-CA"/>
        </w:rPr>
        <w:t>Selon</w:t>
      </w:r>
      <w:r w:rsidR="0047179D" w:rsidRPr="00403220">
        <w:rPr>
          <w:rFonts w:cs="Times New Roman"/>
          <w:szCs w:val="24"/>
          <w:lang w:val="fr-CA"/>
        </w:rPr>
        <w:t xml:space="preserve"> </w:t>
      </w:r>
      <w:r w:rsidRPr="00403220">
        <w:rPr>
          <w:rFonts w:cs="Times New Roman"/>
          <w:szCs w:val="24"/>
          <w:lang w:val="fr-CA"/>
        </w:rPr>
        <w:t>Imperial</w:t>
      </w:r>
      <w:r w:rsidR="0047179D" w:rsidRPr="00403220">
        <w:rPr>
          <w:rFonts w:cs="Times New Roman"/>
          <w:szCs w:val="24"/>
          <w:lang w:val="fr-CA"/>
        </w:rPr>
        <w:t xml:space="preserve">, </w:t>
      </w:r>
      <w:r w:rsidR="00C522D7" w:rsidRPr="00403220">
        <w:rPr>
          <w:rFonts w:cs="Times New Roman"/>
          <w:szCs w:val="24"/>
          <w:lang w:val="fr-CA"/>
        </w:rPr>
        <w:t>en 1982, les souches</w:t>
      </w:r>
      <w:r w:rsidR="0047179D" w:rsidRPr="00403220">
        <w:rPr>
          <w:rFonts w:cs="Times New Roman"/>
          <w:szCs w:val="24"/>
          <w:lang w:val="fr-CA"/>
        </w:rPr>
        <w:t xml:space="preserve"> d</w:t>
      </w:r>
      <w:r w:rsidR="008372AA" w:rsidRPr="00403220">
        <w:rPr>
          <w:rFonts w:cs="Times New Roman"/>
          <w:szCs w:val="24"/>
          <w:lang w:val="fr-CA"/>
        </w:rPr>
        <w:t>’</w:t>
      </w:r>
      <w:r w:rsidR="0047179D" w:rsidRPr="00403220">
        <w:rPr>
          <w:rFonts w:cs="Times New Roman"/>
          <w:szCs w:val="24"/>
          <w:lang w:val="fr-CA"/>
        </w:rPr>
        <w:t>Agriculture Canada représentaient [</w:t>
      </w:r>
      <w:r w:rsidR="0047179D" w:rsidRPr="00403220">
        <w:rPr>
          <w:rFonts w:cs="Times New Roman"/>
          <w:smallCaps/>
          <w:szCs w:val="24"/>
          <w:lang w:val="fr-CA"/>
        </w:rPr>
        <w:t>traduction</w:t>
      </w:r>
      <w:r w:rsidR="0047179D" w:rsidRPr="00403220">
        <w:rPr>
          <w:rFonts w:cs="Times New Roman"/>
          <w:szCs w:val="24"/>
          <w:lang w:val="fr-CA"/>
        </w:rPr>
        <w:t xml:space="preserve">] « presque les seules variétés dont disposaient les fabricants </w:t>
      </w:r>
      <w:r w:rsidR="00C522D7" w:rsidRPr="00403220">
        <w:rPr>
          <w:rFonts w:cs="Times New Roman"/>
          <w:szCs w:val="24"/>
          <w:lang w:val="fr-CA"/>
        </w:rPr>
        <w:t>canadiens de</w:t>
      </w:r>
      <w:r w:rsidR="0047179D" w:rsidRPr="00403220">
        <w:rPr>
          <w:rFonts w:cs="Times New Roman"/>
          <w:szCs w:val="24"/>
          <w:lang w:val="fr-CA"/>
        </w:rPr>
        <w:t xml:space="preserve"> produits du </w:t>
      </w:r>
      <w:r w:rsidR="006603C4" w:rsidRPr="00403220">
        <w:rPr>
          <w:rFonts w:cs="Times New Roman"/>
          <w:szCs w:val="24"/>
          <w:lang w:val="fr-CA"/>
        </w:rPr>
        <w:t>tabac </w:t>
      </w:r>
      <w:r w:rsidR="0047179D" w:rsidRPr="00403220">
        <w:rPr>
          <w:rFonts w:cs="Times New Roman"/>
          <w:szCs w:val="24"/>
          <w:lang w:val="fr-CA"/>
        </w:rPr>
        <w:t>»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47179D" w:rsidRPr="00403220">
        <w:rPr>
          <w:rFonts w:cs="Times New Roman"/>
          <w:szCs w:val="24"/>
          <w:lang w:val="fr-CA"/>
        </w:rPr>
        <w:t>, avis de mise en cause</w:t>
      </w:r>
      <w:r w:rsidR="00DC7636" w:rsidRPr="00403220">
        <w:rPr>
          <w:rFonts w:cs="Times New Roman"/>
          <w:szCs w:val="24"/>
          <w:lang w:val="fr-CA"/>
        </w:rPr>
        <w:t xml:space="preserve"> modifié d</w:t>
      </w:r>
      <w:r w:rsidR="00893825" w:rsidRPr="00403220">
        <w:rPr>
          <w:rFonts w:cs="Times New Roman"/>
          <w:szCs w:val="24"/>
          <w:lang w:val="fr-CA"/>
        </w:rPr>
        <w:t>’</w:t>
      </w:r>
      <w:r w:rsidR="00DC7636" w:rsidRPr="00403220">
        <w:rPr>
          <w:rFonts w:cs="Times New Roman"/>
          <w:szCs w:val="24"/>
          <w:lang w:val="fr-CA"/>
        </w:rPr>
        <w:t>Imperial</w:t>
      </w:r>
      <w:r w:rsidR="0047179D" w:rsidRPr="00403220">
        <w:rPr>
          <w:rFonts w:cs="Times New Roman"/>
          <w:szCs w:val="24"/>
          <w:lang w:val="fr-CA"/>
        </w:rPr>
        <w:t xml:space="preserve">, </w:t>
      </w:r>
      <w:r w:rsidR="00A54DAC" w:rsidRPr="00403220">
        <w:rPr>
          <w:rFonts w:cs="Times New Roman"/>
          <w:szCs w:val="24"/>
          <w:lang w:val="fr-CA"/>
        </w:rPr>
        <w:t>par. </w:t>
      </w:r>
      <w:r w:rsidR="0047179D" w:rsidRPr="00403220">
        <w:rPr>
          <w:rFonts w:cs="Times New Roman"/>
          <w:szCs w:val="24"/>
          <w:lang w:val="fr-CA"/>
        </w:rPr>
        <w:t>97).</w:t>
      </w:r>
    </w:p>
    <w:p w:rsidR="0047179D" w:rsidRPr="00403220" w:rsidRDefault="00847C22" w:rsidP="005A33F7">
      <w:pPr>
        <w:pStyle w:val="ParaNoNdepar-AltN"/>
        <w:rPr>
          <w:rFonts w:cs="Times New Roman"/>
          <w:szCs w:val="24"/>
          <w:lang w:val="fr-CA"/>
        </w:rPr>
      </w:pPr>
      <w:r w:rsidRPr="00403220">
        <w:rPr>
          <w:rFonts w:cs="Times New Roman"/>
          <w:szCs w:val="24"/>
          <w:lang w:val="fr-CA"/>
        </w:rPr>
        <w:t xml:space="preserve">Imperial </w:t>
      </w:r>
      <w:r w:rsidR="00DD0E66" w:rsidRPr="00403220">
        <w:rPr>
          <w:rFonts w:cs="Times New Roman"/>
          <w:szCs w:val="24"/>
          <w:lang w:val="fr-CA"/>
        </w:rPr>
        <w:t xml:space="preserve">formule </w:t>
      </w:r>
      <w:r w:rsidR="0047179D" w:rsidRPr="00403220">
        <w:rPr>
          <w:rFonts w:cs="Times New Roman"/>
          <w:szCs w:val="24"/>
          <w:lang w:val="fr-CA"/>
        </w:rPr>
        <w:t>contre le Canada</w:t>
      </w:r>
      <w:r w:rsidR="00DD0E66" w:rsidRPr="00403220">
        <w:rPr>
          <w:rFonts w:cs="Times New Roman"/>
          <w:szCs w:val="24"/>
          <w:lang w:val="fr-CA"/>
        </w:rPr>
        <w:t xml:space="preserve"> les cinq allégations suivantes</w:t>
      </w:r>
      <w:r w:rsidR="00742490">
        <w:rPr>
          <w:rFonts w:cs="Times New Roman"/>
          <w:szCs w:val="24"/>
          <w:lang w:val="fr-CA"/>
        </w:rPr>
        <w:t> :</w:t>
      </w:r>
    </w:p>
    <w:p w:rsidR="0047179D" w:rsidRPr="00403220" w:rsidRDefault="00E114F5" w:rsidP="00E114F5">
      <w:pPr>
        <w:pStyle w:val="Citation-AltC"/>
        <w:spacing w:after="240" w:line="480" w:lineRule="auto"/>
        <w:ind w:left="1170" w:hanging="1170"/>
        <w:contextualSpacing w:val="0"/>
        <w:rPr>
          <w:szCs w:val="24"/>
          <w:lang w:val="fr-CA"/>
        </w:rPr>
      </w:pPr>
      <w:r>
        <w:rPr>
          <w:szCs w:val="24"/>
          <w:lang w:val="fr-CA"/>
        </w:rPr>
        <w:t>(</w:t>
      </w:r>
      <w:r w:rsidR="00DD0E66" w:rsidRPr="00403220">
        <w:rPr>
          <w:szCs w:val="24"/>
          <w:lang w:val="fr-CA"/>
        </w:rPr>
        <w:t>1)</w:t>
      </w:r>
      <w:r w:rsidR="00DD0E66" w:rsidRPr="00403220">
        <w:rPr>
          <w:szCs w:val="24"/>
          <w:lang w:val="fr-CA"/>
        </w:rPr>
        <w:tab/>
        <w:t>L</w:t>
      </w:r>
      <w:r w:rsidR="0047179D" w:rsidRPr="00403220">
        <w:rPr>
          <w:szCs w:val="24"/>
          <w:lang w:val="fr-CA"/>
        </w:rPr>
        <w:t xml:space="preserve">a responsabilité du Canada </w:t>
      </w:r>
      <w:proofErr w:type="spellStart"/>
      <w:r w:rsidR="0047179D" w:rsidRPr="00403220">
        <w:rPr>
          <w:szCs w:val="24"/>
          <w:lang w:val="fr-CA"/>
        </w:rPr>
        <w:t>lui</w:t>
      </w:r>
      <w:r w:rsidR="00A54DAC" w:rsidRPr="00403220">
        <w:rPr>
          <w:szCs w:val="24"/>
          <w:lang w:val="fr-CA"/>
        </w:rPr>
        <w:noBreakHyphen/>
      </w:r>
      <w:r w:rsidR="0047179D" w:rsidRPr="00403220">
        <w:rPr>
          <w:szCs w:val="24"/>
          <w:lang w:val="fr-CA"/>
        </w:rPr>
        <w:t>même</w:t>
      </w:r>
      <w:proofErr w:type="spellEnd"/>
      <w:r w:rsidR="0047179D" w:rsidRPr="00403220">
        <w:rPr>
          <w:szCs w:val="24"/>
          <w:lang w:val="fr-CA"/>
        </w:rPr>
        <w:t xml:space="preserve"> est engagée aux termes de la </w:t>
      </w:r>
      <w:r w:rsidR="0047179D" w:rsidRPr="00403220">
        <w:rPr>
          <w:i/>
          <w:szCs w:val="24"/>
          <w:lang w:val="fr-CA"/>
        </w:rPr>
        <w:t>BPCPA</w:t>
      </w:r>
      <w:r w:rsidR="0047179D" w:rsidRPr="00403220">
        <w:rPr>
          <w:szCs w:val="24"/>
          <w:lang w:val="fr-CA"/>
        </w:rPr>
        <w:t xml:space="preserve"> et de la </w:t>
      </w:r>
      <w:r w:rsidR="0047179D" w:rsidRPr="00403220">
        <w:rPr>
          <w:i/>
          <w:szCs w:val="24"/>
          <w:lang w:val="fr-CA"/>
        </w:rPr>
        <w:t>TPA</w:t>
      </w:r>
      <w:r w:rsidR="0047179D" w:rsidRPr="00403220">
        <w:rPr>
          <w:szCs w:val="24"/>
          <w:lang w:val="fr-CA"/>
        </w:rPr>
        <w:t xml:space="preserve"> à titre de [</w:t>
      </w:r>
      <w:r w:rsidR="0047179D" w:rsidRPr="00403220">
        <w:rPr>
          <w:smallCaps/>
          <w:szCs w:val="24"/>
          <w:lang w:val="fr-CA"/>
        </w:rPr>
        <w:t>traduction</w:t>
      </w:r>
      <w:r w:rsidR="0047179D" w:rsidRPr="00403220">
        <w:rPr>
          <w:szCs w:val="24"/>
          <w:lang w:val="fr-CA"/>
        </w:rPr>
        <w:t xml:space="preserve">] « fournisseur » de produits du tabac </w:t>
      </w:r>
      <w:r w:rsidR="00DD0E66" w:rsidRPr="00403220">
        <w:rPr>
          <w:szCs w:val="24"/>
          <w:lang w:val="fr-CA"/>
        </w:rPr>
        <w:t xml:space="preserve">puisqu’il s’est </w:t>
      </w:r>
      <w:r w:rsidR="0047179D" w:rsidRPr="00403220">
        <w:rPr>
          <w:szCs w:val="24"/>
          <w:lang w:val="fr-CA"/>
        </w:rPr>
        <w:t xml:space="preserve">livré à des pratiques trompeuses, et </w:t>
      </w:r>
      <w:r w:rsidR="00847C22" w:rsidRPr="00403220">
        <w:rPr>
          <w:szCs w:val="24"/>
          <w:lang w:val="fr-CA"/>
        </w:rPr>
        <w:t xml:space="preserve">Imperial </w:t>
      </w:r>
      <w:r w:rsidR="0047179D" w:rsidRPr="00403220">
        <w:rPr>
          <w:szCs w:val="24"/>
          <w:lang w:val="fr-CA"/>
        </w:rPr>
        <w:t>a</w:t>
      </w:r>
      <w:r w:rsidR="00D178E5" w:rsidRPr="00403220">
        <w:rPr>
          <w:szCs w:val="24"/>
          <w:lang w:val="fr-CA"/>
        </w:rPr>
        <w:t xml:space="preserve"> le</w:t>
      </w:r>
      <w:r w:rsidR="0047179D" w:rsidRPr="00403220">
        <w:rPr>
          <w:szCs w:val="24"/>
          <w:lang w:val="fr-CA"/>
        </w:rPr>
        <w:t xml:space="preserve"> </w:t>
      </w:r>
      <w:r w:rsidR="0047179D" w:rsidRPr="00403220">
        <w:rPr>
          <w:szCs w:val="24"/>
          <w:lang w:val="fr-CA"/>
        </w:rPr>
        <w:lastRenderedPageBreak/>
        <w:t xml:space="preserve">droit, </w:t>
      </w:r>
      <w:r w:rsidR="005239D4" w:rsidRPr="00403220">
        <w:rPr>
          <w:szCs w:val="24"/>
          <w:lang w:val="fr-CA"/>
        </w:rPr>
        <w:t>aux termes</w:t>
      </w:r>
      <w:r w:rsidR="0047179D" w:rsidRPr="00403220">
        <w:rPr>
          <w:szCs w:val="24"/>
          <w:lang w:val="fr-CA"/>
        </w:rPr>
        <w:t xml:space="preserve"> de la </w:t>
      </w:r>
      <w:proofErr w:type="spellStart"/>
      <w:r w:rsidR="0047179D" w:rsidRPr="00403220">
        <w:rPr>
          <w:i/>
          <w:szCs w:val="24"/>
          <w:lang w:val="fr-CA"/>
        </w:rPr>
        <w:t>Negligence</w:t>
      </w:r>
      <w:proofErr w:type="spellEnd"/>
      <w:r w:rsidR="0047179D" w:rsidRPr="00403220">
        <w:rPr>
          <w:i/>
          <w:szCs w:val="24"/>
          <w:lang w:val="fr-CA"/>
        </w:rPr>
        <w:t xml:space="preserve"> </w:t>
      </w:r>
      <w:proofErr w:type="spellStart"/>
      <w:r w:rsidR="0047179D" w:rsidRPr="00403220">
        <w:rPr>
          <w:i/>
          <w:szCs w:val="24"/>
          <w:lang w:val="fr-CA"/>
        </w:rPr>
        <w:t>Act</w:t>
      </w:r>
      <w:proofErr w:type="spellEnd"/>
      <w:r w:rsidR="0047179D" w:rsidRPr="00403220">
        <w:rPr>
          <w:szCs w:val="24"/>
          <w:lang w:val="fr-CA"/>
        </w:rPr>
        <w:t xml:space="preserve">, </w:t>
      </w:r>
      <w:r w:rsidR="00DC7636" w:rsidRPr="00403220">
        <w:rPr>
          <w:szCs w:val="24"/>
          <w:lang w:val="fr-CA"/>
        </w:rPr>
        <w:t xml:space="preserve">R.S.B.C. 1996, </w:t>
      </w:r>
      <w:r w:rsidR="00A54DAC" w:rsidRPr="00403220">
        <w:rPr>
          <w:szCs w:val="24"/>
          <w:lang w:val="fr-CA"/>
        </w:rPr>
        <w:t>ch. </w:t>
      </w:r>
      <w:r w:rsidR="00DC7636" w:rsidRPr="00403220">
        <w:rPr>
          <w:szCs w:val="24"/>
          <w:lang w:val="fr-CA"/>
        </w:rPr>
        <w:t xml:space="preserve">333, </w:t>
      </w:r>
      <w:r w:rsidR="0047179D" w:rsidRPr="00403220">
        <w:rPr>
          <w:szCs w:val="24"/>
          <w:lang w:val="fr-CA"/>
        </w:rPr>
        <w:t xml:space="preserve">de réclamer au Canada </w:t>
      </w:r>
      <w:r w:rsidR="00DD0E66" w:rsidRPr="00403220">
        <w:rPr>
          <w:szCs w:val="24"/>
          <w:lang w:val="fr-CA"/>
        </w:rPr>
        <w:t xml:space="preserve">une </w:t>
      </w:r>
      <w:r w:rsidR="0047179D" w:rsidRPr="00403220">
        <w:rPr>
          <w:szCs w:val="24"/>
          <w:lang w:val="fr-CA"/>
        </w:rPr>
        <w:t xml:space="preserve">contribution et </w:t>
      </w:r>
      <w:r w:rsidR="00DD0E66" w:rsidRPr="00403220">
        <w:rPr>
          <w:szCs w:val="24"/>
          <w:lang w:val="fr-CA"/>
        </w:rPr>
        <w:t xml:space="preserve">une </w:t>
      </w:r>
      <w:r w:rsidR="0047179D" w:rsidRPr="00403220">
        <w:rPr>
          <w:szCs w:val="24"/>
          <w:lang w:val="fr-CA"/>
        </w:rPr>
        <w:t>indemnisation.</w:t>
      </w:r>
    </w:p>
    <w:p w:rsidR="0047179D" w:rsidRPr="00403220" w:rsidRDefault="00E114F5" w:rsidP="00E114F5">
      <w:pPr>
        <w:pStyle w:val="Citation-AltC"/>
        <w:spacing w:after="240" w:line="480" w:lineRule="auto"/>
        <w:ind w:left="1170" w:hanging="1170"/>
        <w:contextualSpacing w:val="0"/>
        <w:rPr>
          <w:szCs w:val="24"/>
          <w:lang w:val="fr-CA"/>
        </w:rPr>
      </w:pPr>
      <w:r>
        <w:rPr>
          <w:szCs w:val="24"/>
          <w:lang w:val="fr-CA"/>
        </w:rPr>
        <w:t>(</w:t>
      </w:r>
      <w:r w:rsidR="0047179D" w:rsidRPr="00403220">
        <w:rPr>
          <w:szCs w:val="24"/>
          <w:lang w:val="fr-CA"/>
        </w:rPr>
        <w:t>2)</w:t>
      </w:r>
      <w:r w:rsidR="0047179D" w:rsidRPr="00403220">
        <w:rPr>
          <w:szCs w:val="24"/>
          <w:lang w:val="fr-CA"/>
        </w:rPr>
        <w:tab/>
        <w:t>Le Canada a manqué à ses obligations de droit privé envers les consommateurs en faisant par négligence des déclarations inexactes au sujet de l</w:t>
      </w:r>
      <w:r w:rsidR="008372AA" w:rsidRPr="00403220">
        <w:rPr>
          <w:szCs w:val="24"/>
          <w:lang w:val="fr-CA"/>
        </w:rPr>
        <w:t>’</w:t>
      </w:r>
      <w:r w:rsidR="0047179D" w:rsidRPr="00403220">
        <w:rPr>
          <w:szCs w:val="24"/>
          <w:lang w:val="fr-CA"/>
        </w:rPr>
        <w:t>effet</w:t>
      </w:r>
      <w:r w:rsidR="00C676C8" w:rsidRPr="00403220">
        <w:rPr>
          <w:szCs w:val="24"/>
          <w:lang w:val="fr-CA"/>
        </w:rPr>
        <w:t>,</w:t>
      </w:r>
      <w:r w:rsidR="0047179D" w:rsidRPr="00403220">
        <w:rPr>
          <w:szCs w:val="24"/>
          <w:lang w:val="fr-CA"/>
        </w:rPr>
        <w:t xml:space="preserve"> </w:t>
      </w:r>
      <w:r w:rsidR="00C676C8" w:rsidRPr="00403220">
        <w:rPr>
          <w:szCs w:val="24"/>
          <w:lang w:val="fr-CA"/>
        </w:rPr>
        <w:t xml:space="preserve">sur la santé, </w:t>
      </w:r>
      <w:r w:rsidR="0047179D" w:rsidRPr="00403220">
        <w:rPr>
          <w:szCs w:val="24"/>
          <w:lang w:val="fr-CA"/>
        </w:rPr>
        <w:t xml:space="preserve">des cigarettes à teneur réduite en goudron, en </w:t>
      </w:r>
      <w:r w:rsidR="0004516B">
        <w:rPr>
          <w:szCs w:val="24"/>
          <w:lang w:val="fr-CA"/>
        </w:rPr>
        <w:t xml:space="preserve">faisant défaut de les mettre en garde contre les risques </w:t>
      </w:r>
      <w:r w:rsidR="0047179D" w:rsidRPr="00403220">
        <w:rPr>
          <w:szCs w:val="24"/>
          <w:lang w:val="fr-CA"/>
        </w:rPr>
        <w:t>associés à ces produits et en ne faisant pas preuve d</w:t>
      </w:r>
      <w:r w:rsidR="00452E2C">
        <w:rPr>
          <w:szCs w:val="24"/>
          <w:lang w:val="fr-CA"/>
        </w:rPr>
        <w:t xml:space="preserve">e </w:t>
      </w:r>
      <w:r w:rsidR="0047179D" w:rsidRPr="00403220">
        <w:rPr>
          <w:szCs w:val="24"/>
          <w:lang w:val="fr-CA"/>
        </w:rPr>
        <w:t xml:space="preserve">diligence raisonnable dans la conception de sa souche de tabac.  Par conséquent, </w:t>
      </w:r>
      <w:r w:rsidR="00847C22" w:rsidRPr="00403220">
        <w:rPr>
          <w:szCs w:val="24"/>
          <w:lang w:val="fr-CA"/>
        </w:rPr>
        <w:t xml:space="preserve">Imperial </w:t>
      </w:r>
      <w:r w:rsidR="0047179D" w:rsidRPr="00403220">
        <w:rPr>
          <w:szCs w:val="24"/>
          <w:lang w:val="fr-CA"/>
        </w:rPr>
        <w:t>se dit en droit d</w:t>
      </w:r>
      <w:r w:rsidR="008372AA" w:rsidRPr="00403220">
        <w:rPr>
          <w:szCs w:val="24"/>
          <w:lang w:val="fr-CA"/>
        </w:rPr>
        <w:t>’</w:t>
      </w:r>
      <w:r w:rsidR="0047179D" w:rsidRPr="00403220">
        <w:rPr>
          <w:szCs w:val="24"/>
          <w:lang w:val="fr-CA"/>
        </w:rPr>
        <w:t xml:space="preserve">obtenir du Canada </w:t>
      </w:r>
      <w:r w:rsidR="000D2C86" w:rsidRPr="00403220">
        <w:rPr>
          <w:szCs w:val="24"/>
          <w:lang w:val="fr-CA"/>
        </w:rPr>
        <w:t xml:space="preserve">une </w:t>
      </w:r>
      <w:r w:rsidR="0047179D" w:rsidRPr="00403220">
        <w:rPr>
          <w:szCs w:val="24"/>
          <w:lang w:val="fr-CA"/>
        </w:rPr>
        <w:t xml:space="preserve">contribution et </w:t>
      </w:r>
      <w:r w:rsidR="000D2C86" w:rsidRPr="00403220">
        <w:rPr>
          <w:szCs w:val="24"/>
          <w:lang w:val="fr-CA"/>
        </w:rPr>
        <w:t xml:space="preserve">une </w:t>
      </w:r>
      <w:r w:rsidR="0047179D" w:rsidRPr="00403220">
        <w:rPr>
          <w:szCs w:val="24"/>
          <w:lang w:val="fr-CA"/>
        </w:rPr>
        <w:t>indemnisation</w:t>
      </w:r>
      <w:r w:rsidR="00EC6110" w:rsidRPr="00403220">
        <w:rPr>
          <w:szCs w:val="24"/>
          <w:lang w:val="fr-CA"/>
        </w:rPr>
        <w:t xml:space="preserve"> en vertu de la </w:t>
      </w:r>
      <w:proofErr w:type="spellStart"/>
      <w:r w:rsidR="00EC6110" w:rsidRPr="00403220">
        <w:rPr>
          <w:i/>
          <w:szCs w:val="24"/>
          <w:lang w:val="fr-CA"/>
        </w:rPr>
        <w:t>Negligence</w:t>
      </w:r>
      <w:proofErr w:type="spellEnd"/>
      <w:r w:rsidR="00EC6110" w:rsidRPr="00403220">
        <w:rPr>
          <w:i/>
          <w:szCs w:val="24"/>
          <w:lang w:val="fr-CA"/>
        </w:rPr>
        <w:t xml:space="preserve"> </w:t>
      </w:r>
      <w:proofErr w:type="spellStart"/>
      <w:r w:rsidR="00EC6110" w:rsidRPr="00403220">
        <w:rPr>
          <w:i/>
          <w:szCs w:val="24"/>
          <w:lang w:val="fr-CA"/>
        </w:rPr>
        <w:t>Act</w:t>
      </w:r>
      <w:proofErr w:type="spellEnd"/>
      <w:r w:rsidR="0047179D" w:rsidRPr="00403220">
        <w:rPr>
          <w:szCs w:val="24"/>
          <w:lang w:val="fr-CA"/>
        </w:rPr>
        <w:t>.</w:t>
      </w:r>
    </w:p>
    <w:p w:rsidR="0047179D" w:rsidRPr="00403220" w:rsidRDefault="00E114F5" w:rsidP="00E114F5">
      <w:pPr>
        <w:pStyle w:val="Citation-AltC"/>
        <w:spacing w:after="240" w:line="480" w:lineRule="auto"/>
        <w:ind w:left="1170" w:hanging="1170"/>
        <w:contextualSpacing w:val="0"/>
        <w:rPr>
          <w:szCs w:val="24"/>
          <w:lang w:val="fr-CA"/>
        </w:rPr>
      </w:pPr>
      <w:r>
        <w:rPr>
          <w:szCs w:val="24"/>
          <w:lang w:val="fr-CA"/>
        </w:rPr>
        <w:t>(</w:t>
      </w:r>
      <w:r w:rsidR="0047179D" w:rsidRPr="00403220">
        <w:rPr>
          <w:szCs w:val="24"/>
          <w:lang w:val="fr-CA"/>
        </w:rPr>
        <w:t>3)</w:t>
      </w:r>
      <w:r w:rsidR="0047179D" w:rsidRPr="00403220">
        <w:rPr>
          <w:szCs w:val="24"/>
          <w:lang w:val="fr-CA"/>
        </w:rPr>
        <w:tab/>
        <w:t xml:space="preserve">Le Canada a manqué à ses obligations de droit privé envers </w:t>
      </w:r>
      <w:r w:rsidR="00847C22" w:rsidRPr="00403220">
        <w:rPr>
          <w:szCs w:val="24"/>
          <w:lang w:val="fr-CA"/>
        </w:rPr>
        <w:t xml:space="preserve">Imperial </w:t>
      </w:r>
      <w:r w:rsidR="0047179D" w:rsidRPr="00403220">
        <w:rPr>
          <w:szCs w:val="24"/>
          <w:lang w:val="fr-CA"/>
        </w:rPr>
        <w:t>en faisant par négligence des déclarations inexactes au sujet de l</w:t>
      </w:r>
      <w:r w:rsidR="008372AA" w:rsidRPr="00403220">
        <w:rPr>
          <w:szCs w:val="24"/>
          <w:lang w:val="fr-CA"/>
        </w:rPr>
        <w:t>’</w:t>
      </w:r>
      <w:r w:rsidR="0047179D" w:rsidRPr="00403220">
        <w:rPr>
          <w:szCs w:val="24"/>
          <w:lang w:val="fr-CA"/>
        </w:rPr>
        <w:t>effet</w:t>
      </w:r>
      <w:r w:rsidR="00C676C8" w:rsidRPr="00403220">
        <w:rPr>
          <w:szCs w:val="24"/>
          <w:lang w:val="fr-CA"/>
        </w:rPr>
        <w:t>,</w:t>
      </w:r>
      <w:r w:rsidR="0047179D" w:rsidRPr="00403220">
        <w:rPr>
          <w:szCs w:val="24"/>
          <w:lang w:val="fr-CA"/>
        </w:rPr>
        <w:t xml:space="preserve"> </w:t>
      </w:r>
      <w:r w:rsidR="00C676C8" w:rsidRPr="00403220">
        <w:rPr>
          <w:szCs w:val="24"/>
          <w:lang w:val="fr-CA"/>
        </w:rPr>
        <w:t xml:space="preserve">sur la santé, </w:t>
      </w:r>
      <w:r w:rsidR="0047179D" w:rsidRPr="00403220">
        <w:rPr>
          <w:szCs w:val="24"/>
          <w:lang w:val="fr-CA"/>
        </w:rPr>
        <w:t>des cigarettes à teneur réduite en goudron</w:t>
      </w:r>
      <w:r w:rsidR="00C676C8" w:rsidRPr="00403220">
        <w:rPr>
          <w:szCs w:val="24"/>
          <w:lang w:val="fr-CA"/>
        </w:rPr>
        <w:t>,</w:t>
      </w:r>
      <w:r w:rsidR="0047179D" w:rsidRPr="00403220">
        <w:rPr>
          <w:szCs w:val="24"/>
          <w:lang w:val="fr-CA"/>
        </w:rPr>
        <w:t xml:space="preserve"> en </w:t>
      </w:r>
      <w:r w:rsidR="004D7925">
        <w:rPr>
          <w:szCs w:val="24"/>
          <w:lang w:val="fr-CA"/>
        </w:rPr>
        <w:t xml:space="preserve">faisant défaut de mettre en garde </w:t>
      </w:r>
      <w:r w:rsidR="00847C22" w:rsidRPr="00403220">
        <w:rPr>
          <w:szCs w:val="24"/>
          <w:lang w:val="fr-CA"/>
        </w:rPr>
        <w:t xml:space="preserve">Imperial </w:t>
      </w:r>
      <w:r w:rsidR="004D7925">
        <w:rPr>
          <w:szCs w:val="24"/>
          <w:lang w:val="fr-CA"/>
        </w:rPr>
        <w:t xml:space="preserve">contre </w:t>
      </w:r>
      <w:r w:rsidR="0047179D" w:rsidRPr="00403220">
        <w:rPr>
          <w:szCs w:val="24"/>
          <w:lang w:val="fr-CA"/>
        </w:rPr>
        <w:t>les risques associés à ces produits et en ne faisant pas preuve d</w:t>
      </w:r>
      <w:r w:rsidR="004D7925">
        <w:rPr>
          <w:szCs w:val="24"/>
          <w:lang w:val="fr-CA"/>
        </w:rPr>
        <w:t xml:space="preserve">e </w:t>
      </w:r>
      <w:r w:rsidR="0047179D" w:rsidRPr="00403220">
        <w:rPr>
          <w:szCs w:val="24"/>
          <w:lang w:val="fr-CA"/>
        </w:rPr>
        <w:t xml:space="preserve">diligence raisonnable dans la conception de sa souche de tabac.  </w:t>
      </w:r>
      <w:r w:rsidR="00847C22" w:rsidRPr="00403220">
        <w:rPr>
          <w:szCs w:val="24"/>
          <w:lang w:val="fr-CA"/>
        </w:rPr>
        <w:t xml:space="preserve">Imperial </w:t>
      </w:r>
      <w:r w:rsidR="0047179D" w:rsidRPr="00403220">
        <w:rPr>
          <w:szCs w:val="24"/>
          <w:lang w:val="fr-CA"/>
        </w:rPr>
        <w:t xml:space="preserve">se dit en droit de réclamer au Canada des </w:t>
      </w:r>
      <w:proofErr w:type="spellStart"/>
      <w:r w:rsidR="0047179D" w:rsidRPr="00403220">
        <w:rPr>
          <w:szCs w:val="24"/>
          <w:lang w:val="fr-CA"/>
        </w:rPr>
        <w:t>dommages</w:t>
      </w:r>
      <w:r w:rsidR="00A54DAC" w:rsidRPr="00403220">
        <w:rPr>
          <w:szCs w:val="24"/>
          <w:lang w:val="fr-CA"/>
        </w:rPr>
        <w:noBreakHyphen/>
      </w:r>
      <w:r w:rsidR="0047179D" w:rsidRPr="00403220">
        <w:rPr>
          <w:szCs w:val="24"/>
          <w:lang w:val="fr-CA"/>
        </w:rPr>
        <w:t>intérêts</w:t>
      </w:r>
      <w:proofErr w:type="spellEnd"/>
      <w:r w:rsidR="0047179D" w:rsidRPr="00403220">
        <w:rPr>
          <w:szCs w:val="24"/>
          <w:lang w:val="fr-CA"/>
        </w:rPr>
        <w:t xml:space="preserve"> </w:t>
      </w:r>
      <w:r w:rsidR="002E1E0D" w:rsidRPr="00403220">
        <w:rPr>
          <w:szCs w:val="24"/>
          <w:lang w:val="fr-CA"/>
        </w:rPr>
        <w:t xml:space="preserve">dans la mesure de leur </w:t>
      </w:r>
      <w:r w:rsidR="006603C4" w:rsidRPr="00403220">
        <w:rPr>
          <w:szCs w:val="24"/>
          <w:lang w:val="fr-CA"/>
        </w:rPr>
        <w:t>responsabilité</w:t>
      </w:r>
      <w:r w:rsidR="002E1E0D" w:rsidRPr="00403220">
        <w:rPr>
          <w:szCs w:val="24"/>
          <w:lang w:val="fr-CA"/>
        </w:rPr>
        <w:t xml:space="preserve"> envers les </w:t>
      </w:r>
      <w:r w:rsidR="0047179D" w:rsidRPr="00403220">
        <w:rPr>
          <w:szCs w:val="24"/>
          <w:lang w:val="fr-CA"/>
        </w:rPr>
        <w:t xml:space="preserve">membres du groupe.  </w:t>
      </w:r>
    </w:p>
    <w:p w:rsidR="0047179D" w:rsidRPr="00403220" w:rsidRDefault="00E114F5" w:rsidP="00E114F5">
      <w:pPr>
        <w:pStyle w:val="Citation-AltC"/>
        <w:spacing w:after="240" w:line="480" w:lineRule="auto"/>
        <w:ind w:left="1170" w:hanging="1170"/>
        <w:contextualSpacing w:val="0"/>
        <w:rPr>
          <w:szCs w:val="24"/>
          <w:lang w:val="fr-CA"/>
        </w:rPr>
      </w:pPr>
      <w:r>
        <w:rPr>
          <w:szCs w:val="24"/>
          <w:lang w:val="fr-CA"/>
        </w:rPr>
        <w:t>(</w:t>
      </w:r>
      <w:r w:rsidR="0047179D" w:rsidRPr="00403220">
        <w:rPr>
          <w:szCs w:val="24"/>
          <w:lang w:val="fr-CA"/>
        </w:rPr>
        <w:t>4)</w:t>
      </w:r>
      <w:r w:rsidR="0047179D" w:rsidRPr="00403220">
        <w:rPr>
          <w:szCs w:val="24"/>
          <w:lang w:val="fr-CA"/>
        </w:rPr>
        <w:tab/>
        <w:t xml:space="preserve">Subsidiairement, le Canada est tenu </w:t>
      </w:r>
      <w:r w:rsidR="00C676C8" w:rsidRPr="00403220">
        <w:rPr>
          <w:szCs w:val="24"/>
          <w:lang w:val="fr-CA"/>
        </w:rPr>
        <w:t xml:space="preserve">en </w:t>
      </w:r>
      <w:proofErr w:type="spellStart"/>
      <w:r w:rsidR="00C676C8" w:rsidRPr="00403220">
        <w:rPr>
          <w:szCs w:val="24"/>
          <w:lang w:val="fr-CA"/>
        </w:rPr>
        <w:t>equity</w:t>
      </w:r>
      <w:proofErr w:type="spellEnd"/>
      <w:r w:rsidR="00C676C8" w:rsidRPr="00403220">
        <w:rPr>
          <w:szCs w:val="24"/>
          <w:lang w:val="fr-CA"/>
        </w:rPr>
        <w:t xml:space="preserve"> d</w:t>
      </w:r>
      <w:r w:rsidR="008372AA" w:rsidRPr="00403220">
        <w:rPr>
          <w:szCs w:val="24"/>
          <w:lang w:val="fr-CA"/>
        </w:rPr>
        <w:t>’</w:t>
      </w:r>
      <w:r w:rsidR="0047179D" w:rsidRPr="00403220">
        <w:rPr>
          <w:szCs w:val="24"/>
          <w:lang w:val="fr-CA"/>
        </w:rPr>
        <w:t>indemnis</w:t>
      </w:r>
      <w:r w:rsidR="00C676C8" w:rsidRPr="00403220">
        <w:rPr>
          <w:szCs w:val="24"/>
          <w:lang w:val="fr-CA"/>
        </w:rPr>
        <w:t>er</w:t>
      </w:r>
      <w:r w:rsidR="0047179D" w:rsidRPr="00403220">
        <w:rPr>
          <w:szCs w:val="24"/>
          <w:lang w:val="fr-CA"/>
        </w:rPr>
        <w:t xml:space="preserve"> </w:t>
      </w:r>
      <w:r w:rsidR="00847C22" w:rsidRPr="00403220">
        <w:rPr>
          <w:szCs w:val="24"/>
          <w:lang w:val="fr-CA"/>
        </w:rPr>
        <w:t>Imperial</w:t>
      </w:r>
      <w:r w:rsidR="0047179D" w:rsidRPr="00403220">
        <w:rPr>
          <w:szCs w:val="24"/>
          <w:lang w:val="fr-CA"/>
        </w:rPr>
        <w:t>.</w:t>
      </w:r>
    </w:p>
    <w:p w:rsidR="0047179D" w:rsidRPr="00403220" w:rsidRDefault="00E114F5" w:rsidP="00E114F5">
      <w:pPr>
        <w:pStyle w:val="Citation-AltC"/>
        <w:spacing w:after="240" w:line="480" w:lineRule="auto"/>
        <w:ind w:left="1170" w:hanging="1170"/>
        <w:contextualSpacing w:val="0"/>
        <w:rPr>
          <w:szCs w:val="24"/>
          <w:lang w:val="fr-CA"/>
        </w:rPr>
      </w:pPr>
      <w:r>
        <w:rPr>
          <w:szCs w:val="24"/>
          <w:lang w:val="fr-CA"/>
        </w:rPr>
        <w:lastRenderedPageBreak/>
        <w:t>(</w:t>
      </w:r>
      <w:r w:rsidR="001F6D7B" w:rsidRPr="00403220">
        <w:rPr>
          <w:szCs w:val="24"/>
          <w:lang w:val="fr-CA"/>
        </w:rPr>
        <w:t>5)</w:t>
      </w:r>
      <w:r w:rsidR="0047179D" w:rsidRPr="00403220">
        <w:rPr>
          <w:szCs w:val="24"/>
          <w:lang w:val="fr-CA"/>
        </w:rPr>
        <w:tab/>
        <w:t xml:space="preserve">Si la responsabilité du Canada envers </w:t>
      </w:r>
      <w:r w:rsidR="00847C22" w:rsidRPr="00403220">
        <w:rPr>
          <w:szCs w:val="24"/>
          <w:lang w:val="fr-CA"/>
        </w:rPr>
        <w:t xml:space="preserve">Imperial </w:t>
      </w:r>
      <w:r w:rsidR="0047179D" w:rsidRPr="00403220">
        <w:rPr>
          <w:szCs w:val="24"/>
          <w:lang w:val="fr-CA"/>
        </w:rPr>
        <w:t>n</w:t>
      </w:r>
      <w:r w:rsidR="008372AA" w:rsidRPr="00403220">
        <w:rPr>
          <w:szCs w:val="24"/>
          <w:lang w:val="fr-CA"/>
        </w:rPr>
        <w:t>’</w:t>
      </w:r>
      <w:r w:rsidR="0047179D" w:rsidRPr="00403220">
        <w:rPr>
          <w:szCs w:val="24"/>
          <w:lang w:val="fr-CA"/>
        </w:rPr>
        <w:t>est reconnue à l</w:t>
      </w:r>
      <w:r w:rsidR="008372AA" w:rsidRPr="00403220">
        <w:rPr>
          <w:szCs w:val="24"/>
          <w:lang w:val="fr-CA"/>
        </w:rPr>
        <w:t>’</w:t>
      </w:r>
      <w:r w:rsidR="0047179D" w:rsidRPr="00403220">
        <w:rPr>
          <w:szCs w:val="24"/>
          <w:lang w:val="fr-CA"/>
        </w:rPr>
        <w:t>égard d</w:t>
      </w:r>
      <w:r w:rsidR="008372AA" w:rsidRPr="00403220">
        <w:rPr>
          <w:szCs w:val="24"/>
          <w:lang w:val="fr-CA"/>
        </w:rPr>
        <w:t>’</w:t>
      </w:r>
      <w:r w:rsidR="0047179D" w:rsidRPr="00403220">
        <w:rPr>
          <w:szCs w:val="24"/>
          <w:lang w:val="fr-CA"/>
        </w:rPr>
        <w:t xml:space="preserve">aucune des </w:t>
      </w:r>
      <w:r w:rsidR="00733AC7" w:rsidRPr="00403220">
        <w:rPr>
          <w:szCs w:val="24"/>
          <w:lang w:val="fr-CA"/>
        </w:rPr>
        <w:t>allégations</w:t>
      </w:r>
      <w:r w:rsidR="0047179D" w:rsidRPr="00403220">
        <w:rPr>
          <w:szCs w:val="24"/>
          <w:lang w:val="fr-CA"/>
        </w:rPr>
        <w:t xml:space="preserve"> précédentes, </w:t>
      </w:r>
      <w:r w:rsidR="00847C22" w:rsidRPr="00403220">
        <w:rPr>
          <w:szCs w:val="24"/>
          <w:lang w:val="fr-CA"/>
        </w:rPr>
        <w:t xml:space="preserve">Imperial </w:t>
      </w:r>
      <w:r w:rsidR="00733AC7" w:rsidRPr="00403220">
        <w:rPr>
          <w:szCs w:val="24"/>
          <w:lang w:val="fr-CA"/>
        </w:rPr>
        <w:t xml:space="preserve">peut obtenir </w:t>
      </w:r>
      <w:r w:rsidR="0047179D" w:rsidRPr="00403220">
        <w:rPr>
          <w:szCs w:val="24"/>
          <w:lang w:val="fr-CA"/>
        </w:rPr>
        <w:t>un jugement déclarant</w:t>
      </w:r>
      <w:r w:rsidR="00733AC7" w:rsidRPr="00403220">
        <w:rPr>
          <w:szCs w:val="24"/>
          <w:lang w:val="fr-CA"/>
        </w:rPr>
        <w:t xml:space="preserve"> que le Canada reste</w:t>
      </w:r>
      <w:r w:rsidR="0047179D" w:rsidRPr="00403220">
        <w:rPr>
          <w:szCs w:val="24"/>
          <w:lang w:val="fr-CA"/>
        </w:rPr>
        <w:t xml:space="preserve"> partie au litige, ce qui le soumettra aux obligations de communication préalable </w:t>
      </w:r>
      <w:r w:rsidR="00C676C8" w:rsidRPr="00403220">
        <w:rPr>
          <w:szCs w:val="24"/>
          <w:lang w:val="fr-CA"/>
        </w:rPr>
        <w:t xml:space="preserve">de la preuve </w:t>
      </w:r>
      <w:r w:rsidR="0047179D" w:rsidRPr="00403220">
        <w:rPr>
          <w:szCs w:val="24"/>
          <w:lang w:val="fr-CA"/>
        </w:rPr>
        <w:t xml:space="preserve">prévues aux </w:t>
      </w:r>
      <w:proofErr w:type="spellStart"/>
      <w:r w:rsidR="00DC7636" w:rsidRPr="00403220">
        <w:rPr>
          <w:i/>
          <w:szCs w:val="24"/>
          <w:lang w:val="fr-CA"/>
        </w:rPr>
        <w:t>Supreme</w:t>
      </w:r>
      <w:proofErr w:type="spellEnd"/>
      <w:r w:rsidR="00DC7636" w:rsidRPr="00403220">
        <w:rPr>
          <w:i/>
          <w:szCs w:val="24"/>
          <w:lang w:val="fr-CA"/>
        </w:rPr>
        <w:t xml:space="preserve"> Court </w:t>
      </w:r>
      <w:proofErr w:type="spellStart"/>
      <w:r w:rsidR="00733AC7" w:rsidRPr="00403220">
        <w:rPr>
          <w:i/>
          <w:szCs w:val="24"/>
          <w:lang w:val="fr-CA"/>
        </w:rPr>
        <w:t>Rules</w:t>
      </w:r>
      <w:proofErr w:type="spellEnd"/>
      <w:r w:rsidR="0047179D" w:rsidRPr="00403220">
        <w:rPr>
          <w:szCs w:val="24"/>
          <w:lang w:val="fr-CA"/>
        </w:rPr>
        <w:t>.</w:t>
      </w:r>
    </w:p>
    <w:p w:rsidR="0047179D" w:rsidRPr="00403220" w:rsidRDefault="00382868" w:rsidP="005A33F7">
      <w:pPr>
        <w:pStyle w:val="ParaNoNdepar-AltN"/>
        <w:rPr>
          <w:rFonts w:cs="Times New Roman"/>
          <w:szCs w:val="24"/>
          <w:lang w:val="fr-CA"/>
        </w:rPr>
      </w:pPr>
      <w:r w:rsidRPr="00403220">
        <w:rPr>
          <w:rFonts w:cs="Times New Roman"/>
          <w:szCs w:val="24"/>
          <w:lang w:val="fr-CA"/>
        </w:rPr>
        <w:t>Par requête, l</w:t>
      </w:r>
      <w:r w:rsidR="0047179D" w:rsidRPr="00403220">
        <w:rPr>
          <w:rFonts w:cs="Times New Roman"/>
          <w:szCs w:val="24"/>
          <w:lang w:val="fr-CA"/>
        </w:rPr>
        <w:t xml:space="preserve">e Canada a </w:t>
      </w:r>
      <w:r w:rsidRPr="00403220">
        <w:rPr>
          <w:rFonts w:cs="Times New Roman"/>
          <w:szCs w:val="24"/>
          <w:lang w:val="fr-CA"/>
        </w:rPr>
        <w:t xml:space="preserve">demandé et obtenu de </w:t>
      </w:r>
      <w:r w:rsidR="0047179D" w:rsidRPr="00403220">
        <w:rPr>
          <w:rFonts w:cs="Times New Roman"/>
          <w:szCs w:val="24"/>
          <w:lang w:val="fr-CA"/>
        </w:rPr>
        <w:t xml:space="preserve">la juge </w:t>
      </w:r>
      <w:proofErr w:type="spellStart"/>
      <w:r w:rsidR="0047179D" w:rsidRPr="00403220">
        <w:rPr>
          <w:rFonts w:cs="Times New Roman"/>
          <w:szCs w:val="24"/>
          <w:lang w:val="fr-CA"/>
        </w:rPr>
        <w:t>Satanove</w:t>
      </w:r>
      <w:proofErr w:type="spellEnd"/>
      <w:r w:rsidR="0047179D" w:rsidRPr="00403220">
        <w:rPr>
          <w:rFonts w:cs="Times New Roman"/>
          <w:szCs w:val="24"/>
          <w:lang w:val="fr-CA"/>
        </w:rPr>
        <w:t xml:space="preserve"> de la Cour suprême de la </w:t>
      </w:r>
      <w:proofErr w:type="spellStart"/>
      <w:r w:rsidR="0047179D" w:rsidRPr="00403220">
        <w:rPr>
          <w:rFonts w:cs="Times New Roman"/>
          <w:szCs w:val="24"/>
          <w:lang w:val="fr-CA"/>
        </w:rPr>
        <w:t>Colombie</w:t>
      </w:r>
      <w:r w:rsidR="00A54DAC" w:rsidRPr="00403220">
        <w:rPr>
          <w:rFonts w:cs="Times New Roman"/>
          <w:szCs w:val="24"/>
          <w:lang w:val="fr-CA"/>
        </w:rPr>
        <w:noBreakHyphen/>
      </w:r>
      <w:r w:rsidR="0047179D" w:rsidRPr="00403220">
        <w:rPr>
          <w:rFonts w:cs="Times New Roman"/>
          <w:szCs w:val="24"/>
          <w:lang w:val="fr-CA"/>
        </w:rPr>
        <w:t>Britannique</w:t>
      </w:r>
      <w:proofErr w:type="spellEnd"/>
      <w:r w:rsidR="0047179D" w:rsidRPr="00403220">
        <w:rPr>
          <w:rFonts w:cs="Times New Roman"/>
          <w:szCs w:val="24"/>
          <w:lang w:val="fr-CA"/>
        </w:rPr>
        <w:t xml:space="preserve"> </w:t>
      </w:r>
      <w:r w:rsidRPr="00403220">
        <w:rPr>
          <w:rFonts w:cs="Times New Roman"/>
          <w:szCs w:val="24"/>
          <w:lang w:val="fr-CA"/>
        </w:rPr>
        <w:t>la radiation des avis de mise en cause</w:t>
      </w:r>
      <w:r w:rsidR="00CB66C4" w:rsidRPr="00403220">
        <w:rPr>
          <w:rFonts w:cs="Times New Roman"/>
          <w:szCs w:val="24"/>
          <w:lang w:val="fr-CA"/>
        </w:rPr>
        <w:t xml:space="preserve"> (2007 BCSC 964, 76 B.C.L.R. (4th) 100)</w:t>
      </w:r>
      <w:r w:rsidR="0047179D" w:rsidRPr="00403220">
        <w:rPr>
          <w:rFonts w:cs="Times New Roman"/>
          <w:szCs w:val="24"/>
          <w:lang w:val="fr-CA"/>
        </w:rPr>
        <w:t xml:space="preserve">.  La juge siégeant en cabinet a radié </w:t>
      </w:r>
      <w:r w:rsidRPr="00403220">
        <w:rPr>
          <w:rFonts w:cs="Times New Roman"/>
          <w:szCs w:val="24"/>
          <w:lang w:val="fr-CA"/>
        </w:rPr>
        <w:t>toutes les</w:t>
      </w:r>
      <w:r w:rsidR="0047179D" w:rsidRPr="00403220">
        <w:rPr>
          <w:rFonts w:cs="Times New Roman"/>
          <w:szCs w:val="24"/>
          <w:lang w:val="fr-CA"/>
        </w:rPr>
        <w:t xml:space="preserve"> demandes formées contre le Canada.  </w:t>
      </w:r>
      <w:r w:rsidR="00847C22" w:rsidRPr="00403220">
        <w:rPr>
          <w:rFonts w:cs="Times New Roman"/>
          <w:szCs w:val="24"/>
          <w:lang w:val="fr-CA"/>
        </w:rPr>
        <w:t xml:space="preserve">Imperial </w:t>
      </w:r>
      <w:r w:rsidR="0047179D" w:rsidRPr="00403220">
        <w:rPr>
          <w:rFonts w:cs="Times New Roman"/>
          <w:szCs w:val="24"/>
          <w:lang w:val="fr-CA"/>
        </w:rPr>
        <w:t>a eu partiellement gain d</w:t>
      </w:r>
      <w:r w:rsidRPr="00403220">
        <w:rPr>
          <w:rFonts w:cs="Times New Roman"/>
          <w:szCs w:val="24"/>
          <w:lang w:val="fr-CA"/>
        </w:rPr>
        <w:t>e cause devant la Cour d</w:t>
      </w:r>
      <w:r w:rsidR="008372AA" w:rsidRPr="00403220">
        <w:rPr>
          <w:rFonts w:cs="Times New Roman"/>
          <w:szCs w:val="24"/>
          <w:lang w:val="fr-CA"/>
        </w:rPr>
        <w:t>’</w:t>
      </w:r>
      <w:r w:rsidRPr="00403220">
        <w:rPr>
          <w:rFonts w:cs="Times New Roman"/>
          <w:szCs w:val="24"/>
          <w:lang w:val="fr-CA"/>
        </w:rPr>
        <w:t>appel</w:t>
      </w:r>
      <w:r w:rsidR="00EF10DC" w:rsidRPr="00403220">
        <w:rPr>
          <w:rFonts w:cs="Times New Roman"/>
          <w:szCs w:val="24"/>
          <w:lang w:val="fr-CA"/>
        </w:rPr>
        <w:t xml:space="preserve"> (2009 BCCA 541, 99 B.C.L.R. (4th) 93)</w:t>
      </w:r>
      <w:r w:rsidRPr="00403220">
        <w:rPr>
          <w:rFonts w:cs="Times New Roman"/>
          <w:szCs w:val="24"/>
          <w:lang w:val="fr-CA"/>
        </w:rPr>
        <w:t xml:space="preserve">.  Les juges de cette cour ont radié </w:t>
      </w:r>
      <w:r w:rsidR="0047179D" w:rsidRPr="00403220">
        <w:rPr>
          <w:rFonts w:cs="Times New Roman"/>
          <w:szCs w:val="24"/>
          <w:lang w:val="fr-CA"/>
        </w:rPr>
        <w:t>à l</w:t>
      </w:r>
      <w:r w:rsidR="008372AA" w:rsidRPr="00403220">
        <w:rPr>
          <w:rFonts w:cs="Times New Roman"/>
          <w:szCs w:val="24"/>
          <w:lang w:val="fr-CA"/>
        </w:rPr>
        <w:t>’</w:t>
      </w:r>
      <w:r w:rsidR="0047179D" w:rsidRPr="00403220">
        <w:rPr>
          <w:rFonts w:cs="Times New Roman"/>
          <w:szCs w:val="24"/>
          <w:lang w:val="fr-CA"/>
        </w:rPr>
        <w:t>unanimité l</w:t>
      </w:r>
      <w:r w:rsidR="00CB66C4" w:rsidRPr="00403220">
        <w:rPr>
          <w:rFonts w:cs="Times New Roman"/>
          <w:szCs w:val="24"/>
          <w:lang w:val="fr-CA"/>
        </w:rPr>
        <w:t>a</w:t>
      </w:r>
      <w:r w:rsidR="0047179D" w:rsidRPr="00403220">
        <w:rPr>
          <w:rFonts w:cs="Times New Roman"/>
          <w:szCs w:val="24"/>
          <w:lang w:val="fr-CA"/>
        </w:rPr>
        <w:t xml:space="preserve"> demande</w:t>
      </w:r>
      <w:r w:rsidR="00545657" w:rsidRPr="00403220">
        <w:rPr>
          <w:rFonts w:cs="Times New Roman"/>
          <w:szCs w:val="24"/>
          <w:lang w:val="fr-CA"/>
        </w:rPr>
        <w:t xml:space="preserve"> relative</w:t>
      </w:r>
      <w:r w:rsidR="0047179D" w:rsidRPr="00403220">
        <w:rPr>
          <w:rFonts w:cs="Times New Roman"/>
          <w:szCs w:val="24"/>
          <w:lang w:val="fr-CA"/>
        </w:rPr>
        <w:t xml:space="preserve"> aux manquements aux obligations lé</w:t>
      </w:r>
      <w:r w:rsidRPr="00403220">
        <w:rPr>
          <w:rFonts w:cs="Times New Roman"/>
          <w:szCs w:val="24"/>
          <w:lang w:val="fr-CA"/>
        </w:rPr>
        <w:t xml:space="preserve">gales, </w:t>
      </w:r>
      <w:r w:rsidR="00545657" w:rsidRPr="00403220">
        <w:rPr>
          <w:rFonts w:cs="Times New Roman"/>
          <w:szCs w:val="24"/>
          <w:lang w:val="fr-CA"/>
        </w:rPr>
        <w:t xml:space="preserve">la demande relative </w:t>
      </w:r>
      <w:r w:rsidR="00D63B65" w:rsidRPr="00403220">
        <w:rPr>
          <w:rFonts w:cs="Times New Roman"/>
          <w:szCs w:val="24"/>
          <w:lang w:val="fr-CA"/>
        </w:rPr>
        <w:t xml:space="preserve">à la </w:t>
      </w:r>
      <w:r w:rsidRPr="00403220">
        <w:rPr>
          <w:rFonts w:cs="Times New Roman"/>
          <w:szCs w:val="24"/>
          <w:lang w:val="fr-CA"/>
        </w:rPr>
        <w:t xml:space="preserve">conception </w:t>
      </w:r>
      <w:r w:rsidR="00D63B65" w:rsidRPr="00403220">
        <w:rPr>
          <w:rFonts w:cs="Times New Roman"/>
          <w:szCs w:val="24"/>
          <w:lang w:val="fr-CA"/>
        </w:rPr>
        <w:t xml:space="preserve">négligente </w:t>
      </w:r>
      <w:r w:rsidRPr="00403220">
        <w:rPr>
          <w:rFonts w:cs="Times New Roman"/>
          <w:szCs w:val="24"/>
          <w:lang w:val="fr-CA"/>
        </w:rPr>
        <w:t xml:space="preserve">qui </w:t>
      </w:r>
      <w:r w:rsidR="0047179D" w:rsidRPr="00403220">
        <w:rPr>
          <w:rFonts w:cs="Times New Roman"/>
          <w:szCs w:val="24"/>
          <w:lang w:val="fr-CA"/>
        </w:rPr>
        <w:t xml:space="preserve">oppose </w:t>
      </w:r>
      <w:r w:rsidR="00847C22" w:rsidRPr="00403220">
        <w:rPr>
          <w:rFonts w:cs="Times New Roman"/>
          <w:szCs w:val="24"/>
          <w:lang w:val="fr-CA"/>
        </w:rPr>
        <w:t xml:space="preserve">Imperial </w:t>
      </w:r>
      <w:r w:rsidR="0047179D" w:rsidRPr="00403220">
        <w:rPr>
          <w:rFonts w:cs="Times New Roman"/>
          <w:szCs w:val="24"/>
          <w:lang w:val="fr-CA"/>
        </w:rPr>
        <w:t>au Canada</w:t>
      </w:r>
      <w:r w:rsidR="00545657" w:rsidRPr="00403220">
        <w:rPr>
          <w:rFonts w:cs="Times New Roman"/>
          <w:szCs w:val="24"/>
          <w:lang w:val="fr-CA"/>
        </w:rPr>
        <w:t>,</w:t>
      </w:r>
      <w:r w:rsidR="0047179D" w:rsidRPr="00403220">
        <w:rPr>
          <w:rFonts w:cs="Times New Roman"/>
          <w:szCs w:val="24"/>
          <w:lang w:val="fr-CA"/>
        </w:rPr>
        <w:t xml:space="preserve"> </w:t>
      </w:r>
      <w:r w:rsidR="00545657" w:rsidRPr="00403220">
        <w:rPr>
          <w:rFonts w:cs="Times New Roman"/>
          <w:szCs w:val="24"/>
          <w:lang w:val="fr-CA"/>
        </w:rPr>
        <w:t>ainsi que la demande d</w:t>
      </w:r>
      <w:r w:rsidR="008372AA" w:rsidRPr="00403220">
        <w:rPr>
          <w:rFonts w:cs="Times New Roman"/>
          <w:szCs w:val="24"/>
          <w:lang w:val="fr-CA"/>
        </w:rPr>
        <w:t>’</w:t>
      </w:r>
      <w:r w:rsidR="0047179D" w:rsidRPr="00403220">
        <w:rPr>
          <w:rFonts w:cs="Times New Roman"/>
          <w:szCs w:val="24"/>
          <w:lang w:val="fr-CA"/>
        </w:rPr>
        <w:t xml:space="preserve">indemnisation en </w:t>
      </w:r>
      <w:proofErr w:type="spellStart"/>
      <w:r w:rsidR="0047179D" w:rsidRPr="00403220">
        <w:rPr>
          <w:rFonts w:cs="Times New Roman"/>
          <w:szCs w:val="24"/>
          <w:lang w:val="fr-CA"/>
        </w:rPr>
        <w:t>equity</w:t>
      </w:r>
      <w:proofErr w:type="spellEnd"/>
      <w:r w:rsidRPr="00403220">
        <w:rPr>
          <w:rFonts w:cs="Times New Roman"/>
          <w:szCs w:val="24"/>
          <w:lang w:val="fr-CA"/>
        </w:rPr>
        <w:t xml:space="preserve">.  Au nom des juges majoritaires, le juge </w:t>
      </w:r>
      <w:proofErr w:type="spellStart"/>
      <w:r w:rsidRPr="00403220">
        <w:rPr>
          <w:rFonts w:cs="Times New Roman"/>
          <w:szCs w:val="24"/>
          <w:lang w:val="fr-CA"/>
        </w:rPr>
        <w:t>Tysoe</w:t>
      </w:r>
      <w:proofErr w:type="spellEnd"/>
      <w:r w:rsidRPr="00403220">
        <w:rPr>
          <w:rFonts w:cs="Times New Roman"/>
          <w:szCs w:val="24"/>
          <w:lang w:val="fr-CA"/>
        </w:rPr>
        <w:t xml:space="preserve"> a permis</w:t>
      </w:r>
      <w:r w:rsidR="0047179D" w:rsidRPr="00403220">
        <w:rPr>
          <w:rFonts w:cs="Times New Roman"/>
          <w:szCs w:val="24"/>
          <w:lang w:val="fr-CA"/>
        </w:rPr>
        <w:t xml:space="preserve"> l</w:t>
      </w:r>
      <w:r w:rsidR="008372AA" w:rsidRPr="00403220">
        <w:rPr>
          <w:rFonts w:cs="Times New Roman"/>
          <w:szCs w:val="24"/>
          <w:lang w:val="fr-CA"/>
        </w:rPr>
        <w:t>’</w:t>
      </w:r>
      <w:r w:rsidR="0047179D" w:rsidRPr="00403220">
        <w:rPr>
          <w:rFonts w:cs="Times New Roman"/>
          <w:szCs w:val="24"/>
          <w:lang w:val="fr-CA"/>
        </w:rPr>
        <w:t xml:space="preserve">instruction des deux demandes concernant </w:t>
      </w:r>
      <w:r w:rsidR="004130E8" w:rsidRPr="00403220">
        <w:rPr>
          <w:rFonts w:cs="Times New Roman"/>
          <w:szCs w:val="24"/>
          <w:lang w:val="fr-CA"/>
        </w:rPr>
        <w:t>les</w:t>
      </w:r>
      <w:r w:rsidR="0047179D" w:rsidRPr="00403220">
        <w:rPr>
          <w:rFonts w:cs="Times New Roman"/>
          <w:szCs w:val="24"/>
          <w:lang w:val="fr-CA"/>
        </w:rPr>
        <w:t xml:space="preserve"> déclaration</w:t>
      </w:r>
      <w:r w:rsidR="004130E8" w:rsidRPr="00403220">
        <w:rPr>
          <w:rFonts w:cs="Times New Roman"/>
          <w:szCs w:val="24"/>
          <w:lang w:val="fr-CA"/>
        </w:rPr>
        <w:t>s</w:t>
      </w:r>
      <w:r w:rsidR="0047179D" w:rsidRPr="00403220">
        <w:rPr>
          <w:rFonts w:cs="Times New Roman"/>
          <w:szCs w:val="24"/>
          <w:lang w:val="fr-CA"/>
        </w:rPr>
        <w:t xml:space="preserve"> inexacte</w:t>
      </w:r>
      <w:r w:rsidR="004130E8" w:rsidRPr="00403220">
        <w:rPr>
          <w:rFonts w:cs="Times New Roman"/>
          <w:szCs w:val="24"/>
          <w:lang w:val="fr-CA"/>
        </w:rPr>
        <w:t>s</w:t>
      </w:r>
      <w:r w:rsidR="0047179D" w:rsidRPr="00403220">
        <w:rPr>
          <w:rFonts w:cs="Times New Roman"/>
          <w:szCs w:val="24"/>
          <w:lang w:val="fr-CA"/>
        </w:rPr>
        <w:t xml:space="preserve"> faite</w:t>
      </w:r>
      <w:r w:rsidR="004130E8" w:rsidRPr="00403220">
        <w:rPr>
          <w:rFonts w:cs="Times New Roman"/>
          <w:szCs w:val="24"/>
          <w:lang w:val="fr-CA"/>
        </w:rPr>
        <w:t>s</w:t>
      </w:r>
      <w:r w:rsidR="0047179D" w:rsidRPr="00403220">
        <w:rPr>
          <w:rFonts w:cs="Times New Roman"/>
          <w:szCs w:val="24"/>
          <w:lang w:val="fr-CA"/>
        </w:rPr>
        <w:t xml:space="preserve"> par négligence et de celle portant sur </w:t>
      </w:r>
      <w:r w:rsidR="00D63B65" w:rsidRPr="00403220">
        <w:rPr>
          <w:rFonts w:cs="Times New Roman"/>
          <w:szCs w:val="24"/>
          <w:lang w:val="fr-CA"/>
        </w:rPr>
        <w:t>la</w:t>
      </w:r>
      <w:r w:rsidR="0047179D" w:rsidRPr="00403220">
        <w:rPr>
          <w:rFonts w:cs="Times New Roman"/>
          <w:szCs w:val="24"/>
          <w:lang w:val="fr-CA"/>
        </w:rPr>
        <w:t xml:space="preserve"> conception </w:t>
      </w:r>
      <w:r w:rsidR="00D63B65" w:rsidRPr="00403220">
        <w:rPr>
          <w:rFonts w:cs="Times New Roman"/>
          <w:szCs w:val="24"/>
          <w:lang w:val="fr-CA"/>
        </w:rPr>
        <w:t xml:space="preserve">négligente </w:t>
      </w:r>
      <w:r w:rsidRPr="00403220">
        <w:rPr>
          <w:rFonts w:cs="Times New Roman"/>
          <w:szCs w:val="24"/>
          <w:lang w:val="fr-CA"/>
        </w:rPr>
        <w:t>opposant</w:t>
      </w:r>
      <w:r w:rsidR="0047179D" w:rsidRPr="00403220">
        <w:rPr>
          <w:rFonts w:cs="Times New Roman"/>
          <w:szCs w:val="24"/>
          <w:lang w:val="fr-CA"/>
        </w:rPr>
        <w:t xml:space="preserve"> le Canada </w:t>
      </w:r>
      <w:r w:rsidRPr="00403220">
        <w:rPr>
          <w:rFonts w:cs="Times New Roman"/>
          <w:szCs w:val="24"/>
          <w:lang w:val="fr-CA"/>
        </w:rPr>
        <w:t xml:space="preserve">et les </w:t>
      </w:r>
      <w:r w:rsidR="0047179D" w:rsidRPr="00403220">
        <w:rPr>
          <w:rFonts w:cs="Times New Roman"/>
          <w:szCs w:val="24"/>
          <w:lang w:val="fr-CA"/>
        </w:rPr>
        <w:t xml:space="preserve">consommateurs.  Les juges majoritaires </w:t>
      </w:r>
      <w:r w:rsidRPr="00403220">
        <w:rPr>
          <w:rFonts w:cs="Times New Roman"/>
          <w:szCs w:val="24"/>
          <w:lang w:val="fr-CA"/>
        </w:rPr>
        <w:t>n</w:t>
      </w:r>
      <w:r w:rsidR="008372AA" w:rsidRPr="00403220">
        <w:rPr>
          <w:rFonts w:cs="Times New Roman"/>
          <w:szCs w:val="24"/>
          <w:lang w:val="fr-CA"/>
        </w:rPr>
        <w:t>’</w:t>
      </w:r>
      <w:r w:rsidRPr="00403220">
        <w:rPr>
          <w:rFonts w:cs="Times New Roman"/>
          <w:szCs w:val="24"/>
          <w:lang w:val="fr-CA"/>
        </w:rPr>
        <w:t>ont pas traité de</w:t>
      </w:r>
      <w:r w:rsidR="0047179D" w:rsidRPr="00403220">
        <w:rPr>
          <w:rFonts w:cs="Times New Roman"/>
          <w:szCs w:val="24"/>
          <w:lang w:val="fr-CA"/>
        </w:rPr>
        <w:t xml:space="preserve"> la demande relative </w:t>
      </w:r>
      <w:r w:rsidR="00E05D89">
        <w:rPr>
          <w:rFonts w:cs="Times New Roman"/>
          <w:szCs w:val="24"/>
          <w:lang w:val="fr-CA"/>
        </w:rPr>
        <w:t>au défaut de mise en garde</w:t>
      </w:r>
      <w:r w:rsidR="0047179D" w:rsidRPr="00403220">
        <w:rPr>
          <w:rFonts w:cs="Times New Roman"/>
          <w:szCs w:val="24"/>
          <w:lang w:val="fr-CA"/>
        </w:rPr>
        <w:t xml:space="preserve">.  Le juge Hall, dissident, aurait radié </w:t>
      </w:r>
      <w:r w:rsidRPr="00403220">
        <w:rPr>
          <w:rFonts w:cs="Times New Roman"/>
          <w:szCs w:val="24"/>
          <w:lang w:val="fr-CA"/>
        </w:rPr>
        <w:t>toutes les demandes de</w:t>
      </w:r>
      <w:r w:rsidR="0047179D" w:rsidRPr="00403220">
        <w:rPr>
          <w:rFonts w:cs="Times New Roman"/>
          <w:szCs w:val="24"/>
          <w:lang w:val="fr-CA"/>
        </w:rPr>
        <w:t xml:space="preserve"> mise en cause.</w:t>
      </w:r>
    </w:p>
    <w:p w:rsidR="0047179D" w:rsidRPr="00403220" w:rsidRDefault="00DC7636" w:rsidP="00DF6983">
      <w:pPr>
        <w:pStyle w:val="TitleTitre-AltT"/>
        <w:keepNext/>
        <w:tabs>
          <w:tab w:val="clear" w:pos="360"/>
          <w:tab w:val="left" w:pos="540"/>
          <w:tab w:val="left" w:pos="1530"/>
        </w:tabs>
        <w:spacing w:after="720"/>
        <w:ind w:left="540" w:hanging="540"/>
        <w:rPr>
          <w:rFonts w:cs="Times New Roman"/>
          <w:i/>
          <w:szCs w:val="24"/>
          <w:lang w:val="fr-CA"/>
        </w:rPr>
      </w:pPr>
      <w:bookmarkStart w:id="5" w:name="_Toc314735108"/>
      <w:r w:rsidRPr="00403220">
        <w:rPr>
          <w:rFonts w:cs="Times New Roman"/>
          <w:szCs w:val="24"/>
          <w:lang w:val="fr-CA"/>
        </w:rPr>
        <w:lastRenderedPageBreak/>
        <w:t>B</w:t>
      </w:r>
      <w:r w:rsidR="0047179D" w:rsidRPr="00403220">
        <w:rPr>
          <w:rFonts w:cs="Times New Roman"/>
          <w:szCs w:val="24"/>
          <w:lang w:val="fr-CA"/>
        </w:rPr>
        <w:t>.</w:t>
      </w:r>
      <w:r w:rsidR="008A0C1C" w:rsidRPr="00403220">
        <w:rPr>
          <w:rFonts w:cs="Times New Roman"/>
          <w:szCs w:val="24"/>
          <w:lang w:val="fr-CA"/>
        </w:rPr>
        <w:tab/>
      </w:r>
      <w:r w:rsidR="00E64960" w:rsidRPr="00403220">
        <w:rPr>
          <w:rFonts w:cs="Times New Roman"/>
          <w:i/>
          <w:szCs w:val="24"/>
          <w:lang w:val="fr-CA"/>
        </w:rPr>
        <w:t>L’A</w:t>
      </w:r>
      <w:r w:rsidR="0047179D" w:rsidRPr="00403220">
        <w:rPr>
          <w:rFonts w:cs="Times New Roman"/>
          <w:i/>
          <w:szCs w:val="24"/>
          <w:lang w:val="fr-CA"/>
        </w:rPr>
        <w:t>ffaire d</w:t>
      </w:r>
      <w:r w:rsidR="00D0006E" w:rsidRPr="00403220">
        <w:rPr>
          <w:rFonts w:cs="Times New Roman"/>
          <w:i/>
          <w:szCs w:val="24"/>
          <w:lang w:val="fr-CA"/>
        </w:rPr>
        <w:t>u</w:t>
      </w:r>
      <w:r w:rsidR="0047179D" w:rsidRPr="00403220">
        <w:rPr>
          <w:rFonts w:cs="Times New Roman"/>
          <w:i/>
          <w:szCs w:val="24"/>
          <w:lang w:val="fr-CA"/>
        </w:rPr>
        <w:t xml:space="preserve"> recouvrement des coûts</w:t>
      </w:r>
      <w:bookmarkEnd w:id="5"/>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Le gouvernement de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xml:space="preserve"> a </w:t>
      </w:r>
      <w:r w:rsidR="00412DE8" w:rsidRPr="00403220">
        <w:rPr>
          <w:rFonts w:cs="Times New Roman"/>
          <w:szCs w:val="24"/>
          <w:lang w:val="fr-CA"/>
        </w:rPr>
        <w:t>demandé aux termes</w:t>
      </w:r>
      <w:r w:rsidRPr="00403220">
        <w:rPr>
          <w:rFonts w:cs="Times New Roman"/>
          <w:szCs w:val="24"/>
          <w:lang w:val="fr-CA"/>
        </w:rPr>
        <w:t xml:space="preserve"> de la </w:t>
      </w:r>
      <w:r w:rsidRPr="00403220">
        <w:rPr>
          <w:rFonts w:cs="Times New Roman"/>
          <w:i/>
          <w:szCs w:val="24"/>
          <w:lang w:val="fr-CA"/>
        </w:rPr>
        <w:t>CRA</w:t>
      </w:r>
      <w:r w:rsidRPr="00403220">
        <w:rPr>
          <w:rFonts w:cs="Times New Roman"/>
          <w:szCs w:val="24"/>
          <w:lang w:val="fr-CA"/>
        </w:rPr>
        <w:t xml:space="preserve"> </w:t>
      </w:r>
      <w:r w:rsidR="00412DE8" w:rsidRPr="00403220">
        <w:rPr>
          <w:rFonts w:cs="Times New Roman"/>
          <w:szCs w:val="24"/>
          <w:lang w:val="fr-CA"/>
        </w:rPr>
        <w:t>de</w:t>
      </w:r>
      <w:r w:rsidRPr="00403220">
        <w:rPr>
          <w:rFonts w:cs="Times New Roman"/>
          <w:szCs w:val="24"/>
          <w:lang w:val="fr-CA"/>
        </w:rPr>
        <w:t xml:space="preserve"> recouvrer les sommes consacrées au traitement des maladies liées au tabagisme découlant d</w:t>
      </w:r>
      <w:r w:rsidR="008372AA" w:rsidRPr="00403220">
        <w:rPr>
          <w:rFonts w:cs="Times New Roman"/>
          <w:szCs w:val="24"/>
          <w:lang w:val="fr-CA"/>
        </w:rPr>
        <w:t>’</w:t>
      </w:r>
      <w:r w:rsidRPr="00403220">
        <w:rPr>
          <w:rFonts w:cs="Times New Roman"/>
          <w:szCs w:val="24"/>
          <w:lang w:val="fr-CA"/>
        </w:rPr>
        <w:t>une [</w:t>
      </w:r>
      <w:r w:rsidRPr="00403220">
        <w:rPr>
          <w:rFonts w:cs="Times New Roman"/>
          <w:smallCaps/>
          <w:szCs w:val="24"/>
          <w:lang w:val="fr-CA"/>
        </w:rPr>
        <w:t>traduction</w:t>
      </w:r>
      <w:r w:rsidRPr="00403220">
        <w:rPr>
          <w:rFonts w:cs="Times New Roman"/>
          <w:szCs w:val="24"/>
          <w:lang w:val="fr-CA"/>
        </w:rPr>
        <w:t>] « faute d</w:t>
      </w:r>
      <w:r w:rsidR="008372AA" w:rsidRPr="00403220">
        <w:rPr>
          <w:rFonts w:cs="Times New Roman"/>
          <w:szCs w:val="24"/>
          <w:lang w:val="fr-CA"/>
        </w:rPr>
        <w:t>’</w:t>
      </w:r>
      <w:r w:rsidRPr="00403220">
        <w:rPr>
          <w:rFonts w:cs="Times New Roman"/>
          <w:szCs w:val="24"/>
          <w:lang w:val="fr-CA"/>
        </w:rPr>
        <w:t xml:space="preserve">un fabricant ».  Cette loi prévoit </w:t>
      </w:r>
      <w:r w:rsidR="00412DE8" w:rsidRPr="00403220">
        <w:rPr>
          <w:rFonts w:cs="Times New Roman"/>
          <w:szCs w:val="24"/>
          <w:lang w:val="fr-CA"/>
        </w:rPr>
        <w:t>que l</w:t>
      </w:r>
      <w:r w:rsidRPr="00403220">
        <w:rPr>
          <w:rFonts w:cs="Times New Roman"/>
          <w:szCs w:val="24"/>
          <w:lang w:val="fr-CA"/>
        </w:rPr>
        <w:t xml:space="preserve">es fabricants de produits du tabac </w:t>
      </w:r>
      <w:r w:rsidR="00412DE8" w:rsidRPr="00403220">
        <w:rPr>
          <w:rFonts w:cs="Times New Roman"/>
          <w:szCs w:val="24"/>
          <w:lang w:val="fr-CA"/>
        </w:rPr>
        <w:t>sont tenus de verser ces sommes directement à</w:t>
      </w:r>
      <w:r w:rsidRPr="00403220">
        <w:rPr>
          <w:rFonts w:cs="Times New Roman"/>
          <w:szCs w:val="24"/>
          <w:lang w:val="fr-CA"/>
        </w:rPr>
        <w:t xml:space="preserve"> la province.  La demande visait 14 compagnies de tabac.  Selon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xml:space="preserve">, dès 1950, ces compagnies de tabac savaient ou auraient dû savoir que les cigarettes étaient néfastes pour la santé et ont </w:t>
      </w:r>
      <w:r w:rsidR="005A7564">
        <w:rPr>
          <w:rFonts w:cs="Times New Roman"/>
          <w:szCs w:val="24"/>
          <w:lang w:val="fr-CA"/>
        </w:rPr>
        <w:t xml:space="preserve">fait défaut de mettre le public en garde </w:t>
      </w:r>
      <w:r w:rsidRPr="00403220">
        <w:rPr>
          <w:rFonts w:cs="Times New Roman"/>
          <w:szCs w:val="24"/>
          <w:lang w:val="fr-CA"/>
        </w:rPr>
        <w:t xml:space="preserve">adéquatement </w:t>
      </w:r>
      <w:r w:rsidR="005A7564">
        <w:rPr>
          <w:rFonts w:cs="Times New Roman"/>
          <w:szCs w:val="24"/>
          <w:lang w:val="fr-CA"/>
        </w:rPr>
        <w:t xml:space="preserve">contre les </w:t>
      </w:r>
      <w:r w:rsidRPr="00403220">
        <w:rPr>
          <w:rFonts w:cs="Times New Roman"/>
          <w:szCs w:val="24"/>
          <w:lang w:val="fr-CA"/>
        </w:rPr>
        <w:t>risques associés à l</w:t>
      </w:r>
      <w:r w:rsidR="008372AA" w:rsidRPr="00403220">
        <w:rPr>
          <w:rFonts w:cs="Times New Roman"/>
          <w:szCs w:val="24"/>
          <w:lang w:val="fr-CA"/>
        </w:rPr>
        <w:t>’</w:t>
      </w:r>
      <w:r w:rsidRPr="00403220">
        <w:rPr>
          <w:rFonts w:cs="Times New Roman"/>
          <w:szCs w:val="24"/>
          <w:lang w:val="fr-CA"/>
        </w:rPr>
        <w:t>usage de leur produit.</w:t>
      </w:r>
    </w:p>
    <w:p w:rsidR="0047179D" w:rsidRPr="00403220" w:rsidRDefault="0047179D" w:rsidP="005A33F7">
      <w:pPr>
        <w:pStyle w:val="ParaNoNdepar-AltN"/>
        <w:rPr>
          <w:rFonts w:cs="Times New Roman"/>
          <w:szCs w:val="24"/>
          <w:lang w:val="fr-CA"/>
        </w:rPr>
      </w:pPr>
      <w:r w:rsidRPr="00403220">
        <w:rPr>
          <w:rFonts w:cs="Times New Roman"/>
          <w:szCs w:val="24"/>
          <w:lang w:val="fr-CA"/>
        </w:rPr>
        <w:t>D</w:t>
      </w:r>
      <w:r w:rsidR="00832390" w:rsidRPr="00403220">
        <w:rPr>
          <w:rFonts w:cs="Times New Roman"/>
          <w:szCs w:val="24"/>
          <w:lang w:val="fr-CA"/>
        </w:rPr>
        <w:t>i</w:t>
      </w:r>
      <w:r w:rsidR="00EF10DC" w:rsidRPr="00403220">
        <w:rPr>
          <w:rFonts w:cs="Times New Roman"/>
          <w:szCs w:val="24"/>
          <w:lang w:val="fr-CA"/>
        </w:rPr>
        <w:t xml:space="preserve">vers </w:t>
      </w:r>
      <w:r w:rsidRPr="00403220">
        <w:rPr>
          <w:rFonts w:cs="Times New Roman"/>
          <w:szCs w:val="24"/>
          <w:lang w:val="fr-CA"/>
        </w:rPr>
        <w:t>défendeurs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ffa</w:t>
      </w:r>
      <w:r w:rsidR="00832390" w:rsidRPr="00403220">
        <w:rPr>
          <w:rFonts w:cs="Times New Roman"/>
          <w:i/>
          <w:szCs w:val="24"/>
          <w:lang w:val="fr-CA"/>
        </w:rPr>
        <w:t>ire d</w:t>
      </w:r>
      <w:r w:rsidR="00D0006E" w:rsidRPr="00403220">
        <w:rPr>
          <w:rFonts w:cs="Times New Roman"/>
          <w:i/>
          <w:szCs w:val="24"/>
          <w:lang w:val="fr-CA"/>
        </w:rPr>
        <w:t>u</w:t>
      </w:r>
      <w:r w:rsidR="00832390" w:rsidRPr="00403220">
        <w:rPr>
          <w:rFonts w:cs="Times New Roman"/>
          <w:i/>
          <w:szCs w:val="24"/>
          <w:lang w:val="fr-CA"/>
        </w:rPr>
        <w:t xml:space="preserve"> recouvrement des coûts</w:t>
      </w:r>
      <w:r w:rsidR="00EF10DC" w:rsidRPr="00403220">
        <w:rPr>
          <w:rFonts w:cs="Times New Roman"/>
          <w:szCs w:val="24"/>
          <w:lang w:val="fr-CA"/>
        </w:rPr>
        <w:t>, dont Imperial,</w:t>
      </w:r>
      <w:r w:rsidR="00832390" w:rsidRPr="00403220">
        <w:rPr>
          <w:rFonts w:cs="Times New Roman"/>
          <w:szCs w:val="24"/>
          <w:lang w:val="fr-CA"/>
        </w:rPr>
        <w:t xml:space="preserve"> </w:t>
      </w:r>
      <w:r w:rsidRPr="00403220">
        <w:rPr>
          <w:rFonts w:cs="Times New Roman"/>
          <w:szCs w:val="24"/>
          <w:lang w:val="fr-CA"/>
        </w:rPr>
        <w:t xml:space="preserve">ont mis en cause le Canada pour </w:t>
      </w:r>
      <w:r w:rsidR="00832390" w:rsidRPr="00403220">
        <w:rPr>
          <w:rFonts w:cs="Times New Roman"/>
          <w:szCs w:val="24"/>
          <w:lang w:val="fr-CA"/>
        </w:rPr>
        <w:t>le</w:t>
      </w:r>
      <w:r w:rsidRPr="00403220">
        <w:rPr>
          <w:rFonts w:cs="Times New Roman"/>
          <w:szCs w:val="24"/>
          <w:lang w:val="fr-CA"/>
        </w:rPr>
        <w:t xml:space="preserve"> rôle </w:t>
      </w:r>
      <w:r w:rsidR="00832390" w:rsidRPr="00403220">
        <w:rPr>
          <w:rFonts w:cs="Times New Roman"/>
          <w:szCs w:val="24"/>
          <w:lang w:val="fr-CA"/>
        </w:rPr>
        <w:t>qu</w:t>
      </w:r>
      <w:r w:rsidR="008372AA" w:rsidRPr="00403220">
        <w:rPr>
          <w:rFonts w:cs="Times New Roman"/>
          <w:szCs w:val="24"/>
          <w:lang w:val="fr-CA"/>
        </w:rPr>
        <w:t>’</w:t>
      </w:r>
      <w:r w:rsidR="00832390" w:rsidRPr="00403220">
        <w:rPr>
          <w:rFonts w:cs="Times New Roman"/>
          <w:szCs w:val="24"/>
          <w:lang w:val="fr-CA"/>
        </w:rPr>
        <w:t xml:space="preserve">il aurait joué </w:t>
      </w:r>
      <w:r w:rsidRPr="00403220">
        <w:rPr>
          <w:rFonts w:cs="Times New Roman"/>
          <w:szCs w:val="24"/>
          <w:lang w:val="fr-CA"/>
        </w:rPr>
        <w:t>dans l</w:t>
      </w:r>
      <w:r w:rsidR="008372AA" w:rsidRPr="00403220">
        <w:rPr>
          <w:rFonts w:cs="Times New Roman"/>
          <w:szCs w:val="24"/>
          <w:lang w:val="fr-CA"/>
        </w:rPr>
        <w:t>’</w:t>
      </w:r>
      <w:r w:rsidRPr="00403220">
        <w:rPr>
          <w:rFonts w:cs="Times New Roman"/>
          <w:szCs w:val="24"/>
          <w:lang w:val="fr-CA"/>
        </w:rPr>
        <w:t>industrie</w:t>
      </w:r>
      <w:r w:rsidR="00B86A5A" w:rsidRPr="00403220">
        <w:rPr>
          <w:rFonts w:cs="Times New Roman"/>
          <w:szCs w:val="24"/>
          <w:lang w:val="fr-CA"/>
        </w:rPr>
        <w:t xml:space="preserve"> du tabac</w:t>
      </w:r>
      <w:r w:rsidR="00000263" w:rsidRPr="00403220">
        <w:rPr>
          <w:rFonts w:cs="Times New Roman"/>
          <w:szCs w:val="24"/>
          <w:lang w:val="fr-CA"/>
        </w:rPr>
        <w:t xml:space="preserve">. </w:t>
      </w:r>
      <w:r w:rsidRPr="00403220">
        <w:rPr>
          <w:rFonts w:cs="Times New Roman"/>
          <w:szCs w:val="24"/>
          <w:lang w:val="fr-CA"/>
        </w:rPr>
        <w:t xml:space="preserve"> </w:t>
      </w:r>
      <w:r w:rsidR="00EF10DC" w:rsidRPr="00403220">
        <w:rPr>
          <w:rFonts w:cs="Times New Roman"/>
          <w:szCs w:val="24"/>
          <w:lang w:val="fr-CA"/>
        </w:rPr>
        <w:t>Je les désigne collectivement comme</w:t>
      </w:r>
      <w:r w:rsidRPr="00403220">
        <w:rPr>
          <w:rFonts w:cs="Times New Roman"/>
          <w:szCs w:val="24"/>
          <w:lang w:val="fr-CA"/>
        </w:rPr>
        <w:t xml:space="preserve"> les « comp</w:t>
      </w:r>
      <w:r w:rsidR="00EF10DC" w:rsidRPr="00403220">
        <w:rPr>
          <w:rFonts w:cs="Times New Roman"/>
          <w:szCs w:val="24"/>
          <w:lang w:val="fr-CA"/>
        </w:rPr>
        <w:t>agnies de tabac »</w:t>
      </w:r>
      <w:r w:rsidRPr="00403220">
        <w:rPr>
          <w:rFonts w:cs="Times New Roman"/>
          <w:szCs w:val="24"/>
          <w:lang w:val="fr-CA"/>
        </w:rPr>
        <w:t>.  Les allégations contenues dans l</w:t>
      </w:r>
      <w:r w:rsidR="008372AA" w:rsidRPr="00403220">
        <w:rPr>
          <w:rFonts w:cs="Times New Roman"/>
          <w:szCs w:val="24"/>
          <w:lang w:val="fr-CA"/>
        </w:rPr>
        <w:t>’</w:t>
      </w:r>
      <w:r w:rsidRPr="00403220">
        <w:rPr>
          <w:rFonts w:cs="Times New Roman"/>
          <w:szCs w:val="24"/>
          <w:lang w:val="fr-CA"/>
        </w:rPr>
        <w:t xml:space="preserve">avis présentent une similitude frappante avec celles formulées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Les compagnies de tabac font valoir que Santé Canada les aurait informées, ainsi que le public, de l</w:t>
      </w:r>
      <w:r w:rsidR="008372AA" w:rsidRPr="00403220">
        <w:rPr>
          <w:rFonts w:cs="Times New Roman"/>
          <w:szCs w:val="24"/>
          <w:lang w:val="fr-CA"/>
        </w:rPr>
        <w:t>’</w:t>
      </w:r>
      <w:r w:rsidRPr="00403220">
        <w:rPr>
          <w:rFonts w:cs="Times New Roman"/>
          <w:szCs w:val="24"/>
          <w:lang w:val="fr-CA"/>
        </w:rPr>
        <w:t>effet moins nuisible des cigarettes à teneur réduite en goudron par rapport aux cigarettes régulières et aurait conseillé aux fumeurs d</w:t>
      </w:r>
      <w:r w:rsidR="008372AA" w:rsidRPr="00403220">
        <w:rPr>
          <w:rFonts w:cs="Times New Roman"/>
          <w:szCs w:val="24"/>
          <w:lang w:val="fr-CA"/>
        </w:rPr>
        <w:t>’</w:t>
      </w:r>
      <w:r w:rsidRPr="00403220">
        <w:rPr>
          <w:rFonts w:cs="Times New Roman"/>
          <w:szCs w:val="24"/>
          <w:lang w:val="fr-CA"/>
        </w:rPr>
        <w:t xml:space="preserve">abandonner </w:t>
      </w:r>
      <w:r w:rsidR="00832390" w:rsidRPr="00403220">
        <w:rPr>
          <w:rFonts w:cs="Times New Roman"/>
          <w:szCs w:val="24"/>
          <w:lang w:val="fr-CA"/>
        </w:rPr>
        <w:t>le tabagisme</w:t>
      </w:r>
      <w:r w:rsidRPr="00403220">
        <w:rPr>
          <w:rFonts w:cs="Times New Roman"/>
          <w:szCs w:val="24"/>
          <w:lang w:val="fr-CA"/>
        </w:rPr>
        <w:t xml:space="preserve"> ou d</w:t>
      </w:r>
      <w:r w:rsidR="008372AA" w:rsidRPr="00403220">
        <w:rPr>
          <w:rFonts w:cs="Times New Roman"/>
          <w:szCs w:val="24"/>
          <w:lang w:val="fr-CA"/>
        </w:rPr>
        <w:t>’</w:t>
      </w:r>
      <w:r w:rsidRPr="00403220">
        <w:rPr>
          <w:rFonts w:cs="Times New Roman"/>
          <w:szCs w:val="24"/>
          <w:lang w:val="fr-CA"/>
        </w:rPr>
        <w:t>acheter des cigarettes à teneur réduite en goudron.  Les compagnies de tabac prétendent que, bien qu</w:t>
      </w:r>
      <w:r w:rsidR="008372AA" w:rsidRPr="00403220">
        <w:rPr>
          <w:rFonts w:cs="Times New Roman"/>
          <w:szCs w:val="24"/>
          <w:lang w:val="fr-CA"/>
        </w:rPr>
        <w:t>’</w:t>
      </w:r>
      <w:r w:rsidRPr="00403220">
        <w:rPr>
          <w:rFonts w:cs="Times New Roman"/>
          <w:szCs w:val="24"/>
          <w:lang w:val="fr-CA"/>
        </w:rPr>
        <w:t>initialement opposé à l</w:t>
      </w:r>
      <w:r w:rsidR="008372AA" w:rsidRPr="00403220">
        <w:rPr>
          <w:rFonts w:cs="Times New Roman"/>
          <w:szCs w:val="24"/>
          <w:lang w:val="fr-CA"/>
        </w:rPr>
        <w:t>’</w:t>
      </w:r>
      <w:r w:rsidRPr="00403220">
        <w:rPr>
          <w:rFonts w:cs="Times New Roman"/>
          <w:szCs w:val="24"/>
          <w:lang w:val="fr-CA"/>
        </w:rPr>
        <w:t xml:space="preserve">impression de mises en garde sur les paquets de cigarettes, le Canada a fini </w:t>
      </w:r>
      <w:r w:rsidRPr="00403220">
        <w:rPr>
          <w:rFonts w:cs="Times New Roman"/>
          <w:szCs w:val="24"/>
          <w:lang w:val="fr-CA"/>
        </w:rPr>
        <w:lastRenderedPageBreak/>
        <w:t>par l</w:t>
      </w:r>
      <w:r w:rsidR="00B86A5A" w:rsidRPr="00403220">
        <w:rPr>
          <w:rFonts w:cs="Times New Roman"/>
          <w:szCs w:val="24"/>
          <w:lang w:val="fr-CA"/>
        </w:rPr>
        <w:t>’</w:t>
      </w:r>
      <w:r w:rsidRPr="00403220">
        <w:rPr>
          <w:rFonts w:cs="Times New Roman"/>
          <w:szCs w:val="24"/>
          <w:lang w:val="fr-CA"/>
        </w:rPr>
        <w:t xml:space="preserve">exiger et </w:t>
      </w:r>
      <w:r w:rsidR="00B86A5A" w:rsidRPr="00403220">
        <w:rPr>
          <w:rFonts w:cs="Times New Roman"/>
          <w:szCs w:val="24"/>
          <w:lang w:val="fr-CA"/>
        </w:rPr>
        <w:t xml:space="preserve">a </w:t>
      </w:r>
      <w:r w:rsidRPr="00403220">
        <w:rPr>
          <w:rFonts w:cs="Times New Roman"/>
          <w:szCs w:val="24"/>
          <w:lang w:val="fr-CA"/>
        </w:rPr>
        <w:t>détermin</w:t>
      </w:r>
      <w:r w:rsidR="00B86A5A" w:rsidRPr="00403220">
        <w:rPr>
          <w:rFonts w:cs="Times New Roman"/>
          <w:szCs w:val="24"/>
          <w:lang w:val="fr-CA"/>
        </w:rPr>
        <w:t>é</w:t>
      </w:r>
      <w:r w:rsidRPr="00403220">
        <w:rPr>
          <w:rFonts w:cs="Times New Roman"/>
          <w:szCs w:val="24"/>
          <w:lang w:val="fr-CA"/>
        </w:rPr>
        <w:t xml:space="preserve"> les renseignements qui devaient y figurer.  </w:t>
      </w:r>
      <w:r w:rsidR="00832390" w:rsidRPr="00403220">
        <w:rPr>
          <w:rFonts w:cs="Times New Roman"/>
          <w:szCs w:val="24"/>
          <w:lang w:val="fr-CA"/>
        </w:rPr>
        <w:t>Les compagnies de tabac plaident également qu</w:t>
      </w:r>
      <w:r w:rsidR="00EF10DC" w:rsidRPr="00403220">
        <w:rPr>
          <w:rFonts w:cs="Times New Roman"/>
          <w:szCs w:val="24"/>
          <w:lang w:val="fr-CA"/>
        </w:rPr>
        <w:t>’</w:t>
      </w:r>
      <w:r w:rsidRPr="00403220">
        <w:rPr>
          <w:rFonts w:cs="Times New Roman"/>
          <w:szCs w:val="24"/>
          <w:lang w:val="fr-CA"/>
        </w:rPr>
        <w:t>Agriculture Canada</w:t>
      </w:r>
      <w:r w:rsidR="00832390" w:rsidRPr="00403220">
        <w:rPr>
          <w:rFonts w:cs="Times New Roman"/>
          <w:szCs w:val="24"/>
          <w:lang w:val="fr-CA"/>
        </w:rPr>
        <w:t xml:space="preserve"> </w:t>
      </w:r>
      <w:r w:rsidRPr="00403220">
        <w:rPr>
          <w:rFonts w:cs="Times New Roman"/>
          <w:szCs w:val="24"/>
          <w:lang w:val="fr-CA"/>
        </w:rPr>
        <w:t>avait protégé par licence</w:t>
      </w:r>
      <w:r w:rsidR="00B86A5A" w:rsidRPr="00403220">
        <w:rPr>
          <w:rFonts w:cs="Times New Roman"/>
          <w:szCs w:val="24"/>
          <w:lang w:val="fr-CA"/>
        </w:rPr>
        <w:t>s</w:t>
      </w:r>
      <w:r w:rsidRPr="00403220">
        <w:rPr>
          <w:rFonts w:cs="Times New Roman"/>
          <w:szCs w:val="24"/>
          <w:lang w:val="fr-CA"/>
        </w:rPr>
        <w:t xml:space="preserve"> </w:t>
      </w:r>
      <w:r w:rsidR="00EF10DC" w:rsidRPr="00403220">
        <w:rPr>
          <w:rFonts w:cs="Times New Roman"/>
          <w:szCs w:val="24"/>
          <w:lang w:val="fr-CA"/>
        </w:rPr>
        <w:t>l</w:t>
      </w:r>
      <w:r w:rsidRPr="00403220">
        <w:rPr>
          <w:rFonts w:cs="Times New Roman"/>
          <w:szCs w:val="24"/>
          <w:lang w:val="fr-CA"/>
        </w:rPr>
        <w:t xml:space="preserve">es souches de tabac à teneur réduite en goudron </w:t>
      </w:r>
      <w:r w:rsidR="002D13ED" w:rsidRPr="00403220">
        <w:rPr>
          <w:rFonts w:cs="Times New Roman"/>
          <w:szCs w:val="24"/>
          <w:lang w:val="fr-CA"/>
        </w:rPr>
        <w:t xml:space="preserve">— cultivées par lui après des travaux de recherche et de développement — </w:t>
      </w:r>
      <w:r w:rsidRPr="00403220">
        <w:rPr>
          <w:rFonts w:cs="Times New Roman"/>
          <w:szCs w:val="24"/>
          <w:lang w:val="fr-CA"/>
        </w:rPr>
        <w:t>que les compagnies utilisaient dans la fabrication des cigarettes en échange du paiement</w:t>
      </w:r>
      <w:r w:rsidR="004511B8" w:rsidRPr="00403220">
        <w:rPr>
          <w:rFonts w:cs="Times New Roman"/>
          <w:szCs w:val="24"/>
          <w:lang w:val="fr-CA"/>
        </w:rPr>
        <w:t xml:space="preserve"> de redevances.</w:t>
      </w:r>
    </w:p>
    <w:p w:rsidR="0047179D" w:rsidRPr="00403220" w:rsidRDefault="007F581B" w:rsidP="005A33F7">
      <w:pPr>
        <w:pStyle w:val="ParaNoNdepar-AltN"/>
        <w:rPr>
          <w:rFonts w:cs="Times New Roman"/>
          <w:szCs w:val="24"/>
          <w:lang w:val="fr-CA"/>
        </w:rPr>
      </w:pPr>
      <w:r w:rsidRPr="00403220">
        <w:rPr>
          <w:rFonts w:cs="Times New Roman"/>
          <w:szCs w:val="24"/>
          <w:lang w:val="fr-CA"/>
        </w:rPr>
        <w:t>L</w:t>
      </w:r>
      <w:r w:rsidR="0047179D" w:rsidRPr="00403220">
        <w:rPr>
          <w:rFonts w:cs="Times New Roman"/>
          <w:szCs w:val="24"/>
          <w:lang w:val="fr-CA"/>
        </w:rPr>
        <w:t xml:space="preserve">es compagnies de tabac </w:t>
      </w:r>
      <w:r w:rsidRPr="00403220">
        <w:rPr>
          <w:rFonts w:cs="Times New Roman"/>
          <w:szCs w:val="24"/>
          <w:lang w:val="fr-CA"/>
        </w:rPr>
        <w:t xml:space="preserve">ont formulé </w:t>
      </w:r>
      <w:r w:rsidR="0047179D" w:rsidRPr="00403220">
        <w:rPr>
          <w:rFonts w:cs="Times New Roman"/>
          <w:szCs w:val="24"/>
          <w:lang w:val="fr-CA"/>
        </w:rPr>
        <w:t>contre le Canada</w:t>
      </w:r>
      <w:r w:rsidRPr="00403220">
        <w:rPr>
          <w:rFonts w:cs="Times New Roman"/>
          <w:szCs w:val="24"/>
          <w:lang w:val="fr-CA"/>
        </w:rPr>
        <w:t xml:space="preserve"> les allégations suivantes</w:t>
      </w:r>
      <w:r w:rsidR="002C77E1">
        <w:rPr>
          <w:rFonts w:cs="Times New Roman"/>
          <w:szCs w:val="24"/>
          <w:lang w:val="fr-CA"/>
        </w:rPr>
        <w:t> :</w:t>
      </w:r>
    </w:p>
    <w:p w:rsidR="0047179D" w:rsidRPr="00403220" w:rsidRDefault="00E114F5" w:rsidP="00E114F5">
      <w:pPr>
        <w:pStyle w:val="Citation-AltC"/>
        <w:spacing w:line="480" w:lineRule="auto"/>
        <w:ind w:left="1170" w:hanging="1170"/>
        <w:contextualSpacing w:val="0"/>
        <w:rPr>
          <w:szCs w:val="24"/>
          <w:lang w:val="fr-CA"/>
        </w:rPr>
      </w:pPr>
      <w:r>
        <w:rPr>
          <w:szCs w:val="24"/>
          <w:lang w:val="fr-CA"/>
        </w:rPr>
        <w:t>(</w:t>
      </w:r>
      <w:r w:rsidR="0047179D" w:rsidRPr="00403220">
        <w:rPr>
          <w:szCs w:val="24"/>
          <w:lang w:val="fr-CA"/>
        </w:rPr>
        <w:t>1)</w:t>
      </w:r>
      <w:r w:rsidR="0047179D" w:rsidRPr="00403220">
        <w:rPr>
          <w:szCs w:val="24"/>
          <w:lang w:val="fr-CA"/>
        </w:rPr>
        <w:tab/>
        <w:t xml:space="preserve">La responsabilité du Canada </w:t>
      </w:r>
      <w:proofErr w:type="spellStart"/>
      <w:r w:rsidR="0047179D" w:rsidRPr="00403220">
        <w:rPr>
          <w:szCs w:val="24"/>
          <w:lang w:val="fr-CA"/>
        </w:rPr>
        <w:t>lui</w:t>
      </w:r>
      <w:r w:rsidR="00A54DAC" w:rsidRPr="00403220">
        <w:rPr>
          <w:szCs w:val="24"/>
          <w:lang w:val="fr-CA"/>
        </w:rPr>
        <w:noBreakHyphen/>
      </w:r>
      <w:r w:rsidR="0047179D" w:rsidRPr="00403220">
        <w:rPr>
          <w:szCs w:val="24"/>
          <w:lang w:val="fr-CA"/>
        </w:rPr>
        <w:t>même</w:t>
      </w:r>
      <w:proofErr w:type="spellEnd"/>
      <w:r w:rsidR="0047179D" w:rsidRPr="00403220">
        <w:rPr>
          <w:szCs w:val="24"/>
          <w:lang w:val="fr-CA"/>
        </w:rPr>
        <w:t xml:space="preserve"> est engagée aux termes de la </w:t>
      </w:r>
      <w:r w:rsidR="007F581B" w:rsidRPr="00403220">
        <w:rPr>
          <w:i/>
          <w:szCs w:val="24"/>
          <w:lang w:val="fr-CA"/>
        </w:rPr>
        <w:t>C</w:t>
      </w:r>
      <w:r w:rsidR="0047179D" w:rsidRPr="00403220">
        <w:rPr>
          <w:i/>
          <w:szCs w:val="24"/>
          <w:lang w:val="fr-CA"/>
        </w:rPr>
        <w:t>RA</w:t>
      </w:r>
      <w:r w:rsidR="0047179D" w:rsidRPr="00403220">
        <w:rPr>
          <w:szCs w:val="24"/>
          <w:lang w:val="fr-CA"/>
        </w:rPr>
        <w:t xml:space="preserve"> à titre de [</w:t>
      </w:r>
      <w:r w:rsidR="0047179D" w:rsidRPr="00403220">
        <w:rPr>
          <w:smallCaps/>
          <w:szCs w:val="24"/>
          <w:lang w:val="fr-CA"/>
        </w:rPr>
        <w:t>traduction</w:t>
      </w:r>
      <w:r w:rsidR="0047179D" w:rsidRPr="00403220">
        <w:rPr>
          <w:szCs w:val="24"/>
          <w:lang w:val="fr-CA"/>
        </w:rPr>
        <w:t xml:space="preserve">] « fabricant » de produits du tabac, et les compagnies de tabac ont </w:t>
      </w:r>
      <w:r w:rsidR="00000263" w:rsidRPr="00403220">
        <w:rPr>
          <w:szCs w:val="24"/>
          <w:lang w:val="fr-CA"/>
        </w:rPr>
        <w:t xml:space="preserve">le </w:t>
      </w:r>
      <w:r w:rsidR="0047179D" w:rsidRPr="00403220">
        <w:rPr>
          <w:szCs w:val="24"/>
          <w:lang w:val="fr-CA"/>
        </w:rPr>
        <w:t xml:space="preserve">droit, en vertu de la </w:t>
      </w:r>
      <w:proofErr w:type="spellStart"/>
      <w:r w:rsidR="0047179D" w:rsidRPr="00403220">
        <w:rPr>
          <w:i/>
          <w:szCs w:val="24"/>
          <w:lang w:val="fr-CA"/>
        </w:rPr>
        <w:t>Negligence</w:t>
      </w:r>
      <w:proofErr w:type="spellEnd"/>
      <w:r w:rsidR="0047179D" w:rsidRPr="00403220">
        <w:rPr>
          <w:i/>
          <w:szCs w:val="24"/>
          <w:lang w:val="fr-CA"/>
        </w:rPr>
        <w:t xml:space="preserve"> </w:t>
      </w:r>
      <w:proofErr w:type="spellStart"/>
      <w:r w:rsidR="0047179D" w:rsidRPr="00403220">
        <w:rPr>
          <w:i/>
          <w:szCs w:val="24"/>
          <w:lang w:val="fr-CA"/>
        </w:rPr>
        <w:t>Act</w:t>
      </w:r>
      <w:proofErr w:type="spellEnd"/>
      <w:r w:rsidR="0047179D" w:rsidRPr="00403220">
        <w:rPr>
          <w:szCs w:val="24"/>
          <w:lang w:val="fr-CA"/>
        </w:rPr>
        <w:t xml:space="preserve">, de réclamer au Canada </w:t>
      </w:r>
      <w:r w:rsidR="00DB41A6" w:rsidRPr="00403220">
        <w:rPr>
          <w:szCs w:val="24"/>
          <w:lang w:val="fr-CA"/>
        </w:rPr>
        <w:t xml:space="preserve">une </w:t>
      </w:r>
      <w:r w:rsidR="0047179D" w:rsidRPr="00403220">
        <w:rPr>
          <w:szCs w:val="24"/>
          <w:lang w:val="fr-CA"/>
        </w:rPr>
        <w:t xml:space="preserve">contribution et </w:t>
      </w:r>
      <w:r w:rsidR="00DB41A6" w:rsidRPr="00403220">
        <w:rPr>
          <w:szCs w:val="24"/>
          <w:lang w:val="fr-CA"/>
        </w:rPr>
        <w:t xml:space="preserve">une </w:t>
      </w:r>
      <w:r w:rsidR="0047179D" w:rsidRPr="00403220">
        <w:rPr>
          <w:szCs w:val="24"/>
          <w:lang w:val="fr-CA"/>
        </w:rPr>
        <w:t>indemnisation.</w:t>
      </w:r>
    </w:p>
    <w:p w:rsidR="0047179D" w:rsidRPr="00403220" w:rsidRDefault="00E114F5" w:rsidP="00E114F5">
      <w:pPr>
        <w:pStyle w:val="Citation-AltC"/>
        <w:spacing w:line="480" w:lineRule="auto"/>
        <w:ind w:left="1170" w:hanging="1170"/>
        <w:contextualSpacing w:val="0"/>
        <w:rPr>
          <w:szCs w:val="24"/>
          <w:lang w:val="fr-CA"/>
        </w:rPr>
      </w:pPr>
      <w:r>
        <w:rPr>
          <w:szCs w:val="24"/>
          <w:lang w:val="fr-CA"/>
        </w:rPr>
        <w:t>(</w:t>
      </w:r>
      <w:r w:rsidR="0047179D" w:rsidRPr="00403220">
        <w:rPr>
          <w:szCs w:val="24"/>
          <w:lang w:val="fr-CA"/>
        </w:rPr>
        <w:t>2)</w:t>
      </w:r>
      <w:r w:rsidR="0047179D" w:rsidRPr="00403220">
        <w:rPr>
          <w:szCs w:val="24"/>
          <w:lang w:val="fr-CA"/>
        </w:rPr>
        <w:tab/>
        <w:t xml:space="preserve">Le Canada a manqué à ses obligations de droit privé envers les consommateurs </w:t>
      </w:r>
      <w:r w:rsidR="000156D3" w:rsidRPr="00403220">
        <w:rPr>
          <w:szCs w:val="24"/>
          <w:lang w:val="fr-CA"/>
        </w:rPr>
        <w:t>en raison</w:t>
      </w:r>
      <w:r w:rsidR="007F581B" w:rsidRPr="00403220">
        <w:rPr>
          <w:szCs w:val="24"/>
          <w:lang w:val="fr-CA"/>
        </w:rPr>
        <w:t xml:space="preserve"> </w:t>
      </w:r>
      <w:r w:rsidR="004D1C55">
        <w:rPr>
          <w:szCs w:val="24"/>
          <w:lang w:val="fr-CA"/>
        </w:rPr>
        <w:t>du défaut de mise en garde</w:t>
      </w:r>
      <w:r w:rsidR="0047179D" w:rsidRPr="00403220">
        <w:rPr>
          <w:szCs w:val="24"/>
          <w:lang w:val="fr-CA"/>
        </w:rPr>
        <w:t xml:space="preserve">, de </w:t>
      </w:r>
      <w:r w:rsidR="00D63B65" w:rsidRPr="00403220">
        <w:rPr>
          <w:szCs w:val="24"/>
          <w:lang w:val="fr-CA"/>
        </w:rPr>
        <w:t xml:space="preserve">la </w:t>
      </w:r>
      <w:r w:rsidR="0047179D" w:rsidRPr="00403220">
        <w:rPr>
          <w:szCs w:val="24"/>
          <w:lang w:val="fr-CA"/>
        </w:rPr>
        <w:t xml:space="preserve">conception </w:t>
      </w:r>
      <w:r w:rsidR="00D63B65" w:rsidRPr="00403220">
        <w:rPr>
          <w:szCs w:val="24"/>
          <w:lang w:val="fr-CA"/>
        </w:rPr>
        <w:t xml:space="preserve">négligente </w:t>
      </w:r>
      <w:r w:rsidR="0047179D" w:rsidRPr="00403220">
        <w:rPr>
          <w:szCs w:val="24"/>
          <w:lang w:val="fr-CA"/>
        </w:rPr>
        <w:t xml:space="preserve">et </w:t>
      </w:r>
      <w:r w:rsidR="007F581B" w:rsidRPr="00403220">
        <w:rPr>
          <w:szCs w:val="24"/>
          <w:lang w:val="fr-CA"/>
        </w:rPr>
        <w:t xml:space="preserve">de </w:t>
      </w:r>
      <w:r w:rsidR="0047179D" w:rsidRPr="00403220">
        <w:rPr>
          <w:szCs w:val="24"/>
          <w:lang w:val="fr-CA"/>
        </w:rPr>
        <w:t>déclaration</w:t>
      </w:r>
      <w:r w:rsidR="004130E8" w:rsidRPr="00403220">
        <w:rPr>
          <w:szCs w:val="24"/>
          <w:lang w:val="fr-CA"/>
        </w:rPr>
        <w:t>s</w:t>
      </w:r>
      <w:r w:rsidR="0047179D" w:rsidRPr="00403220">
        <w:rPr>
          <w:szCs w:val="24"/>
          <w:lang w:val="fr-CA"/>
        </w:rPr>
        <w:t xml:space="preserve"> inexacte</w:t>
      </w:r>
      <w:r w:rsidR="004130E8" w:rsidRPr="00403220">
        <w:rPr>
          <w:szCs w:val="24"/>
          <w:lang w:val="fr-CA"/>
        </w:rPr>
        <w:t>s</w:t>
      </w:r>
      <w:r w:rsidR="0047179D" w:rsidRPr="00403220">
        <w:rPr>
          <w:szCs w:val="24"/>
          <w:lang w:val="fr-CA"/>
        </w:rPr>
        <w:t xml:space="preserve"> faite</w:t>
      </w:r>
      <w:r w:rsidR="004130E8" w:rsidRPr="00403220">
        <w:rPr>
          <w:szCs w:val="24"/>
          <w:lang w:val="fr-CA"/>
        </w:rPr>
        <w:t>s</w:t>
      </w:r>
      <w:r w:rsidR="0047179D" w:rsidRPr="00403220">
        <w:rPr>
          <w:szCs w:val="24"/>
          <w:lang w:val="fr-CA"/>
        </w:rPr>
        <w:t xml:space="preserve"> par négligence.  </w:t>
      </w:r>
      <w:r w:rsidR="001C4C63" w:rsidRPr="00403220">
        <w:rPr>
          <w:szCs w:val="24"/>
          <w:lang w:val="fr-CA"/>
        </w:rPr>
        <w:t>De plus</w:t>
      </w:r>
      <w:r w:rsidR="007F581B" w:rsidRPr="00403220">
        <w:rPr>
          <w:szCs w:val="24"/>
          <w:lang w:val="fr-CA"/>
        </w:rPr>
        <w:t xml:space="preserve">, les </w:t>
      </w:r>
      <w:r w:rsidR="0047179D" w:rsidRPr="00403220">
        <w:rPr>
          <w:szCs w:val="24"/>
          <w:lang w:val="fr-CA"/>
        </w:rPr>
        <w:t>compagnies de t</w:t>
      </w:r>
      <w:r w:rsidR="001C4C63" w:rsidRPr="00403220">
        <w:rPr>
          <w:szCs w:val="24"/>
          <w:lang w:val="fr-CA"/>
        </w:rPr>
        <w:t>abac sont en droit de réclamer d</w:t>
      </w:r>
      <w:r w:rsidR="0047179D" w:rsidRPr="00403220">
        <w:rPr>
          <w:szCs w:val="24"/>
          <w:lang w:val="fr-CA"/>
        </w:rPr>
        <w:t>u Canada contribution et indemnisation</w:t>
      </w:r>
      <w:r w:rsidR="001C4C63" w:rsidRPr="00403220">
        <w:rPr>
          <w:szCs w:val="24"/>
          <w:lang w:val="fr-CA"/>
        </w:rPr>
        <w:t xml:space="preserve"> dans la mesure de leur </w:t>
      </w:r>
      <w:r w:rsidR="006603C4" w:rsidRPr="00403220">
        <w:rPr>
          <w:szCs w:val="24"/>
          <w:lang w:val="fr-CA"/>
        </w:rPr>
        <w:t>responsabilité</w:t>
      </w:r>
      <w:r w:rsidR="001C4C63" w:rsidRPr="00403220">
        <w:rPr>
          <w:szCs w:val="24"/>
          <w:lang w:val="fr-CA"/>
        </w:rPr>
        <w:t xml:space="preserve"> envers la </w:t>
      </w:r>
      <w:proofErr w:type="spellStart"/>
      <w:r w:rsidR="001C4C63" w:rsidRPr="00403220">
        <w:rPr>
          <w:szCs w:val="24"/>
          <w:lang w:val="fr-CA"/>
        </w:rPr>
        <w:t>Colombie</w:t>
      </w:r>
      <w:r w:rsidR="00A54DAC" w:rsidRPr="00403220">
        <w:rPr>
          <w:szCs w:val="24"/>
          <w:lang w:val="fr-CA"/>
        </w:rPr>
        <w:noBreakHyphen/>
      </w:r>
      <w:r w:rsidR="001C4C63" w:rsidRPr="00403220">
        <w:rPr>
          <w:szCs w:val="24"/>
          <w:lang w:val="fr-CA"/>
        </w:rPr>
        <w:t>Britannique</w:t>
      </w:r>
      <w:proofErr w:type="spellEnd"/>
      <w:r w:rsidR="001C4C63" w:rsidRPr="00403220">
        <w:rPr>
          <w:szCs w:val="24"/>
          <w:lang w:val="fr-CA"/>
        </w:rPr>
        <w:t xml:space="preserve"> suivant la </w:t>
      </w:r>
      <w:r w:rsidR="001C4C63" w:rsidRPr="00403220">
        <w:rPr>
          <w:i/>
          <w:szCs w:val="24"/>
          <w:lang w:val="fr-CA"/>
        </w:rPr>
        <w:t>CRA</w:t>
      </w:r>
      <w:r w:rsidR="0047179D" w:rsidRPr="00403220">
        <w:rPr>
          <w:szCs w:val="24"/>
          <w:lang w:val="fr-CA"/>
        </w:rPr>
        <w:t>.</w:t>
      </w:r>
    </w:p>
    <w:p w:rsidR="0047179D" w:rsidRPr="00403220" w:rsidRDefault="00E114F5" w:rsidP="00E114F5">
      <w:pPr>
        <w:pStyle w:val="Citation-AltC"/>
        <w:spacing w:line="480" w:lineRule="auto"/>
        <w:ind w:left="1170" w:hanging="1170"/>
        <w:contextualSpacing w:val="0"/>
        <w:rPr>
          <w:szCs w:val="24"/>
          <w:lang w:val="fr-CA"/>
        </w:rPr>
      </w:pPr>
      <w:r>
        <w:rPr>
          <w:szCs w:val="24"/>
          <w:lang w:val="fr-CA"/>
        </w:rPr>
        <w:lastRenderedPageBreak/>
        <w:t>(</w:t>
      </w:r>
      <w:r w:rsidR="0047179D" w:rsidRPr="00403220">
        <w:rPr>
          <w:szCs w:val="24"/>
          <w:lang w:val="fr-CA"/>
        </w:rPr>
        <w:t>3)</w:t>
      </w:r>
      <w:r w:rsidR="0047179D" w:rsidRPr="00403220">
        <w:rPr>
          <w:szCs w:val="24"/>
          <w:lang w:val="fr-CA"/>
        </w:rPr>
        <w:tab/>
        <w:t xml:space="preserve">Le Canada a manqué à ses obligations de droit privé envers les compagnies de tabac </w:t>
      </w:r>
      <w:r w:rsidR="00D30477" w:rsidRPr="00403220">
        <w:rPr>
          <w:szCs w:val="24"/>
          <w:lang w:val="fr-CA"/>
        </w:rPr>
        <w:t xml:space="preserve">en raison </w:t>
      </w:r>
      <w:r w:rsidR="00D30477">
        <w:rPr>
          <w:szCs w:val="24"/>
          <w:lang w:val="fr-CA"/>
        </w:rPr>
        <w:t>du défaut de mise en garde</w:t>
      </w:r>
      <w:r w:rsidR="0047179D" w:rsidRPr="00403220">
        <w:rPr>
          <w:szCs w:val="24"/>
          <w:lang w:val="fr-CA"/>
        </w:rPr>
        <w:t xml:space="preserve">, </w:t>
      </w:r>
      <w:r w:rsidR="00D63B65" w:rsidRPr="00403220">
        <w:rPr>
          <w:szCs w:val="24"/>
          <w:lang w:val="fr-CA"/>
        </w:rPr>
        <w:t xml:space="preserve">de la </w:t>
      </w:r>
      <w:r w:rsidR="0047179D" w:rsidRPr="00403220">
        <w:rPr>
          <w:szCs w:val="24"/>
          <w:lang w:val="fr-CA"/>
        </w:rPr>
        <w:t xml:space="preserve">conception </w:t>
      </w:r>
      <w:r w:rsidR="00D63B65" w:rsidRPr="00403220">
        <w:rPr>
          <w:szCs w:val="24"/>
          <w:lang w:val="fr-CA"/>
        </w:rPr>
        <w:t xml:space="preserve">négligente </w:t>
      </w:r>
      <w:r w:rsidR="0047179D" w:rsidRPr="00403220">
        <w:rPr>
          <w:szCs w:val="24"/>
          <w:lang w:val="fr-CA"/>
        </w:rPr>
        <w:t xml:space="preserve">et </w:t>
      </w:r>
      <w:r w:rsidR="00530020" w:rsidRPr="00403220">
        <w:rPr>
          <w:szCs w:val="24"/>
          <w:lang w:val="fr-CA"/>
        </w:rPr>
        <w:t xml:space="preserve">de </w:t>
      </w:r>
      <w:r w:rsidR="0047179D" w:rsidRPr="00403220">
        <w:rPr>
          <w:szCs w:val="24"/>
          <w:lang w:val="fr-CA"/>
        </w:rPr>
        <w:t>déclaration</w:t>
      </w:r>
      <w:r w:rsidR="004130E8" w:rsidRPr="00403220">
        <w:rPr>
          <w:szCs w:val="24"/>
          <w:lang w:val="fr-CA"/>
        </w:rPr>
        <w:t>s</w:t>
      </w:r>
      <w:r w:rsidR="0047179D" w:rsidRPr="00403220">
        <w:rPr>
          <w:szCs w:val="24"/>
          <w:lang w:val="fr-CA"/>
        </w:rPr>
        <w:t xml:space="preserve"> inexacte</w:t>
      </w:r>
      <w:r w:rsidR="004130E8" w:rsidRPr="00403220">
        <w:rPr>
          <w:szCs w:val="24"/>
          <w:lang w:val="fr-CA"/>
        </w:rPr>
        <w:t>s</w:t>
      </w:r>
      <w:r w:rsidR="0047179D" w:rsidRPr="00403220">
        <w:rPr>
          <w:szCs w:val="24"/>
          <w:lang w:val="fr-CA"/>
        </w:rPr>
        <w:t xml:space="preserve"> faite</w:t>
      </w:r>
      <w:r w:rsidR="004130E8" w:rsidRPr="00403220">
        <w:rPr>
          <w:szCs w:val="24"/>
          <w:lang w:val="fr-CA"/>
        </w:rPr>
        <w:t>s</w:t>
      </w:r>
      <w:r w:rsidR="0047179D" w:rsidRPr="00403220">
        <w:rPr>
          <w:szCs w:val="24"/>
          <w:lang w:val="fr-CA"/>
        </w:rPr>
        <w:t xml:space="preserve"> par négligence au sujet de l</w:t>
      </w:r>
      <w:r w:rsidR="008372AA" w:rsidRPr="00403220">
        <w:rPr>
          <w:szCs w:val="24"/>
          <w:lang w:val="fr-CA"/>
        </w:rPr>
        <w:t>’</w:t>
      </w:r>
      <w:r w:rsidR="0047179D" w:rsidRPr="00403220">
        <w:rPr>
          <w:szCs w:val="24"/>
          <w:lang w:val="fr-CA"/>
        </w:rPr>
        <w:t>effet</w:t>
      </w:r>
      <w:r w:rsidR="00530020" w:rsidRPr="00403220">
        <w:rPr>
          <w:szCs w:val="24"/>
          <w:lang w:val="fr-CA"/>
        </w:rPr>
        <w:t>, sur la santé,</w:t>
      </w:r>
      <w:r w:rsidR="0047179D" w:rsidRPr="00403220">
        <w:rPr>
          <w:szCs w:val="24"/>
          <w:lang w:val="fr-CA"/>
        </w:rPr>
        <w:t xml:space="preserve"> des cigarettes à faible teneur en goudron.  Les compagnies de tabac se disent en droit de réclamer au Canada des </w:t>
      </w:r>
      <w:proofErr w:type="spellStart"/>
      <w:r w:rsidR="0047179D" w:rsidRPr="00403220">
        <w:rPr>
          <w:szCs w:val="24"/>
          <w:lang w:val="fr-CA"/>
        </w:rPr>
        <w:t>dommages</w:t>
      </w:r>
      <w:r w:rsidR="00A54DAC" w:rsidRPr="00403220">
        <w:rPr>
          <w:szCs w:val="24"/>
          <w:lang w:val="fr-CA"/>
        </w:rPr>
        <w:noBreakHyphen/>
      </w:r>
      <w:r w:rsidR="0047179D" w:rsidRPr="00403220">
        <w:rPr>
          <w:szCs w:val="24"/>
          <w:lang w:val="fr-CA"/>
        </w:rPr>
        <w:t>intérêts</w:t>
      </w:r>
      <w:proofErr w:type="spellEnd"/>
      <w:r w:rsidR="0047179D" w:rsidRPr="00403220">
        <w:rPr>
          <w:szCs w:val="24"/>
          <w:lang w:val="fr-CA"/>
        </w:rPr>
        <w:t xml:space="preserve"> </w:t>
      </w:r>
      <w:r w:rsidR="002E1E0D" w:rsidRPr="00403220">
        <w:rPr>
          <w:szCs w:val="24"/>
          <w:lang w:val="fr-CA"/>
        </w:rPr>
        <w:t xml:space="preserve">dans la mesure de leur </w:t>
      </w:r>
      <w:r w:rsidR="006603C4" w:rsidRPr="00403220">
        <w:rPr>
          <w:szCs w:val="24"/>
          <w:lang w:val="fr-CA"/>
        </w:rPr>
        <w:t>responsabilité</w:t>
      </w:r>
      <w:r w:rsidR="002E1E0D" w:rsidRPr="00403220">
        <w:rPr>
          <w:szCs w:val="24"/>
          <w:lang w:val="fr-CA"/>
        </w:rPr>
        <w:t xml:space="preserve"> envers la </w:t>
      </w:r>
      <w:proofErr w:type="spellStart"/>
      <w:r w:rsidR="0047179D" w:rsidRPr="00403220">
        <w:rPr>
          <w:szCs w:val="24"/>
          <w:lang w:val="fr-CA"/>
        </w:rPr>
        <w:t>Colombie</w:t>
      </w:r>
      <w:r w:rsidR="00A54DAC" w:rsidRPr="00403220">
        <w:rPr>
          <w:szCs w:val="24"/>
          <w:lang w:val="fr-CA"/>
        </w:rPr>
        <w:noBreakHyphen/>
      </w:r>
      <w:r w:rsidR="0047179D" w:rsidRPr="00403220">
        <w:rPr>
          <w:szCs w:val="24"/>
          <w:lang w:val="fr-CA"/>
        </w:rPr>
        <w:t>Britannique</w:t>
      </w:r>
      <w:proofErr w:type="spellEnd"/>
      <w:r w:rsidR="0047179D" w:rsidRPr="00403220">
        <w:rPr>
          <w:szCs w:val="24"/>
          <w:lang w:val="fr-CA"/>
        </w:rPr>
        <w:t xml:space="preserve"> au titre de la </w:t>
      </w:r>
      <w:r w:rsidR="0047179D" w:rsidRPr="00403220">
        <w:rPr>
          <w:i/>
          <w:szCs w:val="24"/>
          <w:lang w:val="fr-CA"/>
        </w:rPr>
        <w:t>CRA</w:t>
      </w:r>
      <w:r w:rsidR="0047179D" w:rsidRPr="00403220">
        <w:rPr>
          <w:szCs w:val="24"/>
          <w:lang w:val="fr-CA"/>
        </w:rPr>
        <w:t>.</w:t>
      </w:r>
    </w:p>
    <w:p w:rsidR="0047179D" w:rsidRPr="00403220" w:rsidRDefault="00E114F5" w:rsidP="00E114F5">
      <w:pPr>
        <w:pStyle w:val="Citation-AltC"/>
        <w:spacing w:line="480" w:lineRule="auto"/>
        <w:ind w:left="1170" w:hanging="1170"/>
        <w:contextualSpacing w:val="0"/>
        <w:rPr>
          <w:szCs w:val="24"/>
          <w:lang w:val="fr-CA"/>
        </w:rPr>
      </w:pPr>
      <w:r>
        <w:rPr>
          <w:szCs w:val="24"/>
          <w:lang w:val="fr-CA"/>
        </w:rPr>
        <w:t>(</w:t>
      </w:r>
      <w:r w:rsidR="0047179D" w:rsidRPr="00403220">
        <w:rPr>
          <w:szCs w:val="24"/>
          <w:lang w:val="fr-CA"/>
        </w:rPr>
        <w:t>4)</w:t>
      </w:r>
      <w:r w:rsidR="0047179D" w:rsidRPr="00403220">
        <w:rPr>
          <w:szCs w:val="24"/>
          <w:lang w:val="fr-CA"/>
        </w:rPr>
        <w:tab/>
        <w:t xml:space="preserve">Subsidiairement, le Canada est tenu </w:t>
      </w:r>
      <w:r w:rsidR="00DB41A6" w:rsidRPr="00403220">
        <w:rPr>
          <w:szCs w:val="24"/>
          <w:lang w:val="fr-CA"/>
        </w:rPr>
        <w:t>d</w:t>
      </w:r>
      <w:r w:rsidR="008372AA" w:rsidRPr="00403220">
        <w:rPr>
          <w:szCs w:val="24"/>
          <w:lang w:val="fr-CA"/>
        </w:rPr>
        <w:t>’</w:t>
      </w:r>
      <w:r w:rsidR="0047179D" w:rsidRPr="00403220">
        <w:rPr>
          <w:szCs w:val="24"/>
          <w:lang w:val="fr-CA"/>
        </w:rPr>
        <w:t>indemnis</w:t>
      </w:r>
      <w:r w:rsidR="00DB41A6" w:rsidRPr="00403220">
        <w:rPr>
          <w:szCs w:val="24"/>
          <w:lang w:val="fr-CA"/>
        </w:rPr>
        <w:t>er</w:t>
      </w:r>
      <w:r w:rsidR="0047179D" w:rsidRPr="00403220">
        <w:rPr>
          <w:szCs w:val="24"/>
          <w:lang w:val="fr-CA"/>
        </w:rPr>
        <w:t xml:space="preserve"> en </w:t>
      </w:r>
      <w:proofErr w:type="spellStart"/>
      <w:r w:rsidR="0047179D" w:rsidRPr="00403220">
        <w:rPr>
          <w:szCs w:val="24"/>
          <w:lang w:val="fr-CA"/>
        </w:rPr>
        <w:t>equity</w:t>
      </w:r>
      <w:proofErr w:type="spellEnd"/>
      <w:r w:rsidR="0047179D" w:rsidRPr="00403220">
        <w:rPr>
          <w:szCs w:val="24"/>
          <w:lang w:val="fr-CA"/>
        </w:rPr>
        <w:t xml:space="preserve"> </w:t>
      </w:r>
      <w:r w:rsidR="00DB41A6" w:rsidRPr="00403220">
        <w:rPr>
          <w:szCs w:val="24"/>
          <w:lang w:val="fr-CA"/>
        </w:rPr>
        <w:t>l</w:t>
      </w:r>
      <w:r w:rsidR="0047179D" w:rsidRPr="00403220">
        <w:rPr>
          <w:szCs w:val="24"/>
          <w:lang w:val="fr-CA"/>
        </w:rPr>
        <w:t>es compagnies de tabac.</w:t>
      </w:r>
    </w:p>
    <w:p w:rsidR="0047179D" w:rsidRPr="00403220" w:rsidRDefault="00E114F5" w:rsidP="00E114F5">
      <w:pPr>
        <w:pStyle w:val="Citation-AltC"/>
        <w:spacing w:line="480" w:lineRule="auto"/>
        <w:ind w:left="1170" w:hanging="1170"/>
        <w:contextualSpacing w:val="0"/>
        <w:rPr>
          <w:szCs w:val="24"/>
          <w:lang w:val="fr-CA"/>
        </w:rPr>
      </w:pPr>
      <w:r>
        <w:rPr>
          <w:szCs w:val="24"/>
          <w:lang w:val="fr-CA"/>
        </w:rPr>
        <w:t>(</w:t>
      </w:r>
      <w:r w:rsidR="0047179D" w:rsidRPr="00403220">
        <w:rPr>
          <w:szCs w:val="24"/>
          <w:lang w:val="fr-CA"/>
        </w:rPr>
        <w:t>5</w:t>
      </w:r>
      <w:r w:rsidR="008A0C1C" w:rsidRPr="00403220">
        <w:rPr>
          <w:szCs w:val="24"/>
          <w:lang w:val="fr-CA"/>
        </w:rPr>
        <w:t>)</w:t>
      </w:r>
      <w:r w:rsidR="0047179D" w:rsidRPr="00403220">
        <w:rPr>
          <w:szCs w:val="24"/>
          <w:lang w:val="fr-CA"/>
        </w:rPr>
        <w:tab/>
        <w:t>Si la responsabilité du Canada envers l</w:t>
      </w:r>
      <w:r w:rsidR="0099483A" w:rsidRPr="00403220">
        <w:rPr>
          <w:szCs w:val="24"/>
          <w:lang w:val="fr-CA"/>
        </w:rPr>
        <w:t>es compagnies de tabac n</w:t>
      </w:r>
      <w:r w:rsidR="008372AA" w:rsidRPr="00403220">
        <w:rPr>
          <w:szCs w:val="24"/>
          <w:lang w:val="fr-CA"/>
        </w:rPr>
        <w:t>’</w:t>
      </w:r>
      <w:r w:rsidR="0099483A" w:rsidRPr="00403220">
        <w:rPr>
          <w:szCs w:val="24"/>
          <w:lang w:val="fr-CA"/>
        </w:rPr>
        <w:t>est rete</w:t>
      </w:r>
      <w:r w:rsidR="0047179D" w:rsidRPr="00403220">
        <w:rPr>
          <w:szCs w:val="24"/>
          <w:lang w:val="fr-CA"/>
        </w:rPr>
        <w:t>nue à l</w:t>
      </w:r>
      <w:r w:rsidR="008372AA" w:rsidRPr="00403220">
        <w:rPr>
          <w:szCs w:val="24"/>
          <w:lang w:val="fr-CA"/>
        </w:rPr>
        <w:t>’</w:t>
      </w:r>
      <w:r w:rsidR="0047179D" w:rsidRPr="00403220">
        <w:rPr>
          <w:szCs w:val="24"/>
          <w:lang w:val="fr-CA"/>
        </w:rPr>
        <w:t>égard d</w:t>
      </w:r>
      <w:r w:rsidR="008372AA" w:rsidRPr="00403220">
        <w:rPr>
          <w:szCs w:val="24"/>
          <w:lang w:val="fr-CA"/>
        </w:rPr>
        <w:t>’</w:t>
      </w:r>
      <w:r w:rsidR="0047179D" w:rsidRPr="00403220">
        <w:rPr>
          <w:szCs w:val="24"/>
          <w:lang w:val="fr-CA"/>
        </w:rPr>
        <w:t xml:space="preserve">aucune des </w:t>
      </w:r>
      <w:r w:rsidR="0099483A" w:rsidRPr="00403220">
        <w:rPr>
          <w:szCs w:val="24"/>
          <w:lang w:val="fr-CA"/>
        </w:rPr>
        <w:t>allégations</w:t>
      </w:r>
      <w:r w:rsidR="0047179D" w:rsidRPr="00403220">
        <w:rPr>
          <w:szCs w:val="24"/>
          <w:lang w:val="fr-CA"/>
        </w:rPr>
        <w:t xml:space="preserve"> précédentes, les compagnies de tabac ont droit à </w:t>
      </w:r>
      <w:r w:rsidR="0099483A" w:rsidRPr="00403220">
        <w:rPr>
          <w:szCs w:val="24"/>
          <w:lang w:val="fr-CA"/>
        </w:rPr>
        <w:t>une réparation de nature</w:t>
      </w:r>
      <w:r w:rsidR="0047179D" w:rsidRPr="00403220">
        <w:rPr>
          <w:szCs w:val="24"/>
          <w:lang w:val="fr-CA"/>
        </w:rPr>
        <w:t xml:space="preserve"> déclaratoire. </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La juge </w:t>
      </w:r>
      <w:proofErr w:type="spellStart"/>
      <w:r w:rsidRPr="00403220">
        <w:rPr>
          <w:rFonts w:cs="Times New Roman"/>
          <w:szCs w:val="24"/>
          <w:lang w:val="fr-CA"/>
        </w:rPr>
        <w:t>Wedge</w:t>
      </w:r>
      <w:proofErr w:type="spellEnd"/>
      <w:r w:rsidRPr="00403220">
        <w:rPr>
          <w:rFonts w:cs="Times New Roman"/>
          <w:szCs w:val="24"/>
          <w:lang w:val="fr-CA"/>
        </w:rPr>
        <w:t xml:space="preserve">, siégeant en cabinet, a fait droit à toutes les requêtes </w:t>
      </w:r>
      <w:r w:rsidR="0099483A" w:rsidRPr="00403220">
        <w:rPr>
          <w:rFonts w:cs="Times New Roman"/>
          <w:szCs w:val="24"/>
          <w:lang w:val="fr-CA"/>
        </w:rPr>
        <w:t>en radiation présentées par le</w:t>
      </w:r>
      <w:r w:rsidRPr="00403220">
        <w:rPr>
          <w:rFonts w:cs="Times New Roman"/>
          <w:szCs w:val="24"/>
          <w:lang w:val="fr-CA"/>
        </w:rPr>
        <w:t xml:space="preserve"> Canada</w:t>
      </w:r>
      <w:r w:rsidR="00D15CEE" w:rsidRPr="00403220">
        <w:rPr>
          <w:rFonts w:cs="Times New Roman"/>
          <w:szCs w:val="24"/>
          <w:lang w:val="fr-CA"/>
        </w:rPr>
        <w:t xml:space="preserve"> (2008 BCSC 419, 82 B.C.L.R. (4th) 362)</w:t>
      </w:r>
      <w:r w:rsidRPr="00403220">
        <w:rPr>
          <w:rFonts w:cs="Times New Roman"/>
          <w:szCs w:val="24"/>
          <w:lang w:val="fr-CA"/>
        </w:rPr>
        <w:t>.  Les juges majoritaires de la Cour d</w:t>
      </w:r>
      <w:r w:rsidR="008372AA" w:rsidRPr="00403220">
        <w:rPr>
          <w:rFonts w:cs="Times New Roman"/>
          <w:szCs w:val="24"/>
          <w:lang w:val="fr-CA"/>
        </w:rPr>
        <w:t>’</w:t>
      </w:r>
      <w:r w:rsidRPr="00403220">
        <w:rPr>
          <w:rFonts w:cs="Times New Roman"/>
          <w:szCs w:val="24"/>
          <w:lang w:val="fr-CA"/>
        </w:rPr>
        <w:t xml:space="preserve">appel, sous la plume du juge </w:t>
      </w:r>
      <w:proofErr w:type="spellStart"/>
      <w:r w:rsidRPr="00403220">
        <w:rPr>
          <w:rFonts w:cs="Times New Roman"/>
          <w:szCs w:val="24"/>
          <w:lang w:val="fr-CA"/>
        </w:rPr>
        <w:t>Tysoe</w:t>
      </w:r>
      <w:proofErr w:type="spellEnd"/>
      <w:r w:rsidRPr="00403220">
        <w:rPr>
          <w:rFonts w:cs="Times New Roman"/>
          <w:szCs w:val="24"/>
          <w:lang w:val="fr-CA"/>
        </w:rPr>
        <w:t xml:space="preserve">, ont </w:t>
      </w:r>
      <w:r w:rsidR="0099483A" w:rsidRPr="00403220">
        <w:rPr>
          <w:rFonts w:cs="Times New Roman"/>
          <w:szCs w:val="24"/>
          <w:lang w:val="fr-CA"/>
        </w:rPr>
        <w:t>permis l</w:t>
      </w:r>
      <w:r w:rsidR="008372AA" w:rsidRPr="00403220">
        <w:rPr>
          <w:rFonts w:cs="Times New Roman"/>
          <w:szCs w:val="24"/>
          <w:lang w:val="fr-CA"/>
        </w:rPr>
        <w:t>’</w:t>
      </w:r>
      <w:r w:rsidR="0099483A" w:rsidRPr="00403220">
        <w:rPr>
          <w:rFonts w:cs="Times New Roman"/>
          <w:szCs w:val="24"/>
          <w:lang w:val="fr-CA"/>
        </w:rPr>
        <w:t>instruction de</w:t>
      </w:r>
      <w:r w:rsidRPr="00403220">
        <w:rPr>
          <w:rFonts w:cs="Times New Roman"/>
          <w:szCs w:val="24"/>
          <w:lang w:val="fr-CA"/>
        </w:rPr>
        <w:t xml:space="preserve"> la demande relative </w:t>
      </w:r>
      <w:r w:rsidR="004130E8" w:rsidRPr="00403220">
        <w:rPr>
          <w:rFonts w:cs="Times New Roman"/>
          <w:szCs w:val="24"/>
          <w:lang w:val="fr-CA"/>
        </w:rPr>
        <w:t>aux</w:t>
      </w:r>
      <w:r w:rsidRPr="00403220">
        <w:rPr>
          <w:rFonts w:cs="Times New Roman"/>
          <w:szCs w:val="24"/>
          <w:lang w:val="fr-CA"/>
        </w:rPr>
        <w:t xml:space="preserve"> déclaration</w:t>
      </w:r>
      <w:r w:rsidR="004130E8" w:rsidRPr="00403220">
        <w:rPr>
          <w:rFonts w:cs="Times New Roman"/>
          <w:szCs w:val="24"/>
          <w:lang w:val="fr-CA"/>
        </w:rPr>
        <w:t>s</w:t>
      </w:r>
      <w:r w:rsidRPr="00403220">
        <w:rPr>
          <w:rFonts w:cs="Times New Roman"/>
          <w:szCs w:val="24"/>
          <w:lang w:val="fr-CA"/>
        </w:rPr>
        <w:t xml:space="preserve"> inexacte</w:t>
      </w:r>
      <w:r w:rsidR="004130E8" w:rsidRPr="00403220">
        <w:rPr>
          <w:rFonts w:cs="Times New Roman"/>
          <w:szCs w:val="24"/>
          <w:lang w:val="fr-CA"/>
        </w:rPr>
        <w:t>s</w:t>
      </w:r>
      <w:r w:rsidRPr="00403220">
        <w:rPr>
          <w:rFonts w:cs="Times New Roman"/>
          <w:szCs w:val="24"/>
          <w:lang w:val="fr-CA"/>
        </w:rPr>
        <w:t xml:space="preserve"> faite</w:t>
      </w:r>
      <w:r w:rsidR="004130E8" w:rsidRPr="00403220">
        <w:rPr>
          <w:rFonts w:cs="Times New Roman"/>
          <w:szCs w:val="24"/>
          <w:lang w:val="fr-CA"/>
        </w:rPr>
        <w:t>s</w:t>
      </w:r>
      <w:r w:rsidRPr="00403220">
        <w:rPr>
          <w:rFonts w:cs="Times New Roman"/>
          <w:szCs w:val="24"/>
          <w:lang w:val="fr-CA"/>
        </w:rPr>
        <w:t xml:space="preserve"> par négligence </w:t>
      </w:r>
      <w:r w:rsidRPr="00403220">
        <w:rPr>
          <w:rFonts w:cs="Times New Roman"/>
          <w:szCs w:val="24"/>
          <w:lang w:val="fr-CA"/>
        </w:rPr>
        <w:lastRenderedPageBreak/>
        <w:t xml:space="preserve">opposant les compagnies de tabac au </w:t>
      </w:r>
      <w:r w:rsidR="001C4C63" w:rsidRPr="00403220">
        <w:rPr>
          <w:rFonts w:cs="Times New Roman"/>
          <w:szCs w:val="24"/>
          <w:lang w:val="fr-CA"/>
        </w:rPr>
        <w:t>Canada (2009 BCCA 540, 98 B.C.L.R. (4th) 201)</w:t>
      </w:r>
      <w:r w:rsidRPr="00403220">
        <w:rPr>
          <w:rFonts w:cs="Times New Roman"/>
          <w:szCs w:val="24"/>
          <w:lang w:val="fr-CA"/>
        </w:rPr>
        <w:t xml:space="preserve">.  Le juge Hall, dissident, aurait radié </w:t>
      </w:r>
      <w:r w:rsidR="0099483A" w:rsidRPr="00403220">
        <w:rPr>
          <w:rFonts w:cs="Times New Roman"/>
          <w:szCs w:val="24"/>
          <w:lang w:val="fr-CA"/>
        </w:rPr>
        <w:t>toutes les</w:t>
      </w:r>
      <w:r w:rsidRPr="00403220">
        <w:rPr>
          <w:rFonts w:cs="Times New Roman"/>
          <w:szCs w:val="24"/>
          <w:lang w:val="fr-CA"/>
        </w:rPr>
        <w:t xml:space="preserve"> demandes de mise en cause.</w:t>
      </w:r>
    </w:p>
    <w:p w:rsidR="0047179D" w:rsidRPr="00403220" w:rsidRDefault="00D15CEE" w:rsidP="00B22699">
      <w:pPr>
        <w:pStyle w:val="TitleTitre-AltT"/>
        <w:keepNext/>
        <w:tabs>
          <w:tab w:val="clear" w:pos="360"/>
          <w:tab w:val="left" w:pos="540"/>
        </w:tabs>
        <w:spacing w:after="720"/>
        <w:ind w:left="540" w:hanging="540"/>
        <w:rPr>
          <w:rFonts w:cs="Times New Roman"/>
          <w:szCs w:val="24"/>
          <w:u w:val="single"/>
          <w:lang w:val="fr-CA"/>
        </w:rPr>
      </w:pPr>
      <w:bookmarkStart w:id="6" w:name="_Toc314735109"/>
      <w:r w:rsidRPr="00403220">
        <w:rPr>
          <w:rFonts w:cs="Times New Roman"/>
          <w:szCs w:val="24"/>
          <w:lang w:val="fr-CA"/>
        </w:rPr>
        <w:t>III</w:t>
      </w:r>
      <w:r w:rsidR="00427A77" w:rsidRPr="00403220">
        <w:rPr>
          <w:rFonts w:cs="Times New Roman"/>
          <w:szCs w:val="24"/>
          <w:lang w:val="fr-CA"/>
        </w:rPr>
        <w:t>.</w:t>
      </w:r>
      <w:r w:rsidR="00427A77" w:rsidRPr="00403220">
        <w:rPr>
          <w:rFonts w:cs="Times New Roman"/>
          <w:szCs w:val="24"/>
          <w:lang w:val="fr-CA"/>
        </w:rPr>
        <w:tab/>
      </w:r>
      <w:r w:rsidR="0047179D" w:rsidRPr="00403220">
        <w:rPr>
          <w:rFonts w:cs="Times New Roman"/>
          <w:szCs w:val="24"/>
          <w:u w:val="single"/>
          <w:lang w:val="fr-CA"/>
        </w:rPr>
        <w:t>Questions en litige</w:t>
      </w:r>
      <w:bookmarkEnd w:id="6"/>
    </w:p>
    <w:p w:rsidR="0047179D" w:rsidRPr="00403220" w:rsidRDefault="0047179D" w:rsidP="005A33F7">
      <w:pPr>
        <w:pStyle w:val="ParaNoNdepar-AltN"/>
        <w:rPr>
          <w:rFonts w:cs="Times New Roman"/>
          <w:szCs w:val="24"/>
          <w:u w:val="single"/>
          <w:lang w:val="fr-CA"/>
        </w:rPr>
      </w:pPr>
      <w:r w:rsidRPr="00403220">
        <w:rPr>
          <w:rFonts w:cs="Times New Roman"/>
          <w:szCs w:val="24"/>
          <w:lang w:val="fr-CA"/>
        </w:rPr>
        <w:t>Les questions à trancher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ffaire d</w:t>
      </w:r>
      <w:r w:rsidR="00D0006E" w:rsidRPr="00403220">
        <w:rPr>
          <w:rFonts w:cs="Times New Roman"/>
          <w:i/>
          <w:szCs w:val="24"/>
          <w:lang w:val="fr-CA"/>
        </w:rPr>
        <w:t>u</w:t>
      </w:r>
      <w:r w:rsidRPr="00403220">
        <w:rPr>
          <w:rFonts w:cs="Times New Roman"/>
          <w:i/>
          <w:szCs w:val="24"/>
          <w:lang w:val="fr-CA"/>
        </w:rPr>
        <w:t xml:space="preserve"> recouvrement des coûts</w:t>
      </w:r>
      <w:r w:rsidRPr="00403220">
        <w:rPr>
          <w:rFonts w:cs="Times New Roman"/>
          <w:szCs w:val="24"/>
          <w:lang w:val="fr-CA"/>
        </w:rPr>
        <w:t xml:space="preserve"> et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xml:space="preserve"> se chevauchent considérablement, tout particulièrement quant aux demandes fondées sur la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Dans les deux cas, il s</w:t>
      </w:r>
      <w:r w:rsidR="008372AA" w:rsidRPr="00403220">
        <w:rPr>
          <w:rFonts w:cs="Times New Roman"/>
          <w:szCs w:val="24"/>
          <w:lang w:val="fr-CA"/>
        </w:rPr>
        <w:t>’</w:t>
      </w:r>
      <w:r w:rsidRPr="00403220">
        <w:rPr>
          <w:rFonts w:cs="Times New Roman"/>
          <w:szCs w:val="24"/>
          <w:lang w:val="fr-CA"/>
        </w:rPr>
        <w:t>agit de savoir si le Canada pourrait être tenu responsable</w:t>
      </w:r>
      <w:r w:rsidR="00193275" w:rsidRPr="00403220">
        <w:rPr>
          <w:rFonts w:cs="Times New Roman"/>
          <w:szCs w:val="24"/>
          <w:lang w:val="fr-CA"/>
        </w:rPr>
        <w:t>,</w:t>
      </w:r>
      <w:r w:rsidRPr="00403220">
        <w:rPr>
          <w:rFonts w:cs="Times New Roman"/>
          <w:szCs w:val="24"/>
          <w:lang w:val="fr-CA"/>
        </w:rPr>
        <w:t xml:space="preserve"> d</w:t>
      </w:r>
      <w:r w:rsidR="008372AA" w:rsidRPr="00403220">
        <w:rPr>
          <w:rFonts w:cs="Times New Roman"/>
          <w:szCs w:val="24"/>
          <w:lang w:val="fr-CA"/>
        </w:rPr>
        <w:t>’</w:t>
      </w:r>
      <w:r w:rsidRPr="00403220">
        <w:rPr>
          <w:rFonts w:cs="Times New Roman"/>
          <w:szCs w:val="24"/>
          <w:lang w:val="fr-CA"/>
        </w:rPr>
        <w:t xml:space="preserve">une part en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pour déclaration</w:t>
      </w:r>
      <w:r w:rsidR="004130E8" w:rsidRPr="00403220">
        <w:rPr>
          <w:rFonts w:cs="Times New Roman"/>
          <w:szCs w:val="24"/>
          <w:lang w:val="fr-CA"/>
        </w:rPr>
        <w:t>s</w:t>
      </w:r>
      <w:r w:rsidRPr="00403220">
        <w:rPr>
          <w:rFonts w:cs="Times New Roman"/>
          <w:szCs w:val="24"/>
          <w:lang w:val="fr-CA"/>
        </w:rPr>
        <w:t xml:space="preserve"> inexacte</w:t>
      </w:r>
      <w:r w:rsidR="004130E8" w:rsidRPr="00403220">
        <w:rPr>
          <w:rFonts w:cs="Times New Roman"/>
          <w:szCs w:val="24"/>
          <w:lang w:val="fr-CA"/>
        </w:rPr>
        <w:t>s</w:t>
      </w:r>
      <w:r w:rsidRPr="00403220">
        <w:rPr>
          <w:rFonts w:cs="Times New Roman"/>
          <w:szCs w:val="24"/>
          <w:lang w:val="fr-CA"/>
        </w:rPr>
        <w:t xml:space="preserve"> faite</w:t>
      </w:r>
      <w:r w:rsidR="004130E8" w:rsidRPr="00403220">
        <w:rPr>
          <w:rFonts w:cs="Times New Roman"/>
          <w:szCs w:val="24"/>
          <w:lang w:val="fr-CA"/>
        </w:rPr>
        <w:t>s</w:t>
      </w:r>
      <w:r w:rsidRPr="00403220">
        <w:rPr>
          <w:rFonts w:cs="Times New Roman"/>
          <w:szCs w:val="24"/>
          <w:lang w:val="fr-CA"/>
        </w:rPr>
        <w:t xml:space="preserve"> par négligence, conception </w:t>
      </w:r>
      <w:r w:rsidR="00D63B65" w:rsidRPr="00403220">
        <w:rPr>
          <w:rFonts w:cs="Times New Roman"/>
          <w:szCs w:val="24"/>
          <w:lang w:val="fr-CA"/>
        </w:rPr>
        <w:t xml:space="preserve">négligente </w:t>
      </w:r>
      <w:r w:rsidRPr="00403220">
        <w:rPr>
          <w:rFonts w:cs="Times New Roman"/>
          <w:szCs w:val="24"/>
          <w:lang w:val="fr-CA"/>
        </w:rPr>
        <w:t xml:space="preserve">et </w:t>
      </w:r>
      <w:r w:rsidR="00916727">
        <w:rPr>
          <w:szCs w:val="24"/>
          <w:lang w:val="fr-CA"/>
        </w:rPr>
        <w:t>défaut de mise en garde</w:t>
      </w:r>
      <w:r w:rsidR="00916727" w:rsidRPr="00403220">
        <w:rPr>
          <w:rFonts w:cs="Times New Roman"/>
          <w:szCs w:val="24"/>
          <w:lang w:val="fr-CA"/>
        </w:rPr>
        <w:t xml:space="preserve"> </w:t>
      </w:r>
      <w:r w:rsidRPr="00403220">
        <w:rPr>
          <w:rFonts w:cs="Times New Roman"/>
          <w:szCs w:val="24"/>
          <w:lang w:val="fr-CA"/>
        </w:rPr>
        <w:t>et</w:t>
      </w:r>
      <w:r w:rsidR="00EE5DA3" w:rsidRPr="00403220">
        <w:rPr>
          <w:rFonts w:cs="Times New Roman"/>
          <w:szCs w:val="24"/>
          <w:lang w:val="fr-CA"/>
        </w:rPr>
        <w:t>,</w:t>
      </w:r>
      <w:r w:rsidRPr="00403220">
        <w:rPr>
          <w:rFonts w:cs="Times New Roman"/>
          <w:szCs w:val="24"/>
          <w:lang w:val="fr-CA"/>
        </w:rPr>
        <w:t xml:space="preserve"> d</w:t>
      </w:r>
      <w:r w:rsidR="008372AA" w:rsidRPr="00403220">
        <w:rPr>
          <w:rFonts w:cs="Times New Roman"/>
          <w:szCs w:val="24"/>
          <w:lang w:val="fr-CA"/>
        </w:rPr>
        <w:t>’</w:t>
      </w:r>
      <w:r w:rsidRPr="00403220">
        <w:rPr>
          <w:rFonts w:cs="Times New Roman"/>
          <w:szCs w:val="24"/>
          <w:lang w:val="fr-CA"/>
        </w:rPr>
        <w:t>autre part, suivant la doctrine de l</w:t>
      </w:r>
      <w:r w:rsidR="008372AA" w:rsidRPr="00403220">
        <w:rPr>
          <w:rFonts w:cs="Times New Roman"/>
          <w:szCs w:val="24"/>
          <w:lang w:val="fr-CA"/>
        </w:rPr>
        <w:t>’</w:t>
      </w:r>
      <w:r w:rsidRPr="00403220">
        <w:rPr>
          <w:rFonts w:cs="Times New Roman"/>
          <w:szCs w:val="24"/>
          <w:lang w:val="fr-CA"/>
        </w:rPr>
        <w:t xml:space="preserve">indemnisation en </w:t>
      </w:r>
      <w:proofErr w:type="spellStart"/>
      <w:r w:rsidRPr="00403220">
        <w:rPr>
          <w:rFonts w:cs="Times New Roman"/>
          <w:szCs w:val="24"/>
          <w:lang w:val="fr-CA"/>
        </w:rPr>
        <w:t>equity</w:t>
      </w:r>
      <w:proofErr w:type="spellEnd"/>
      <w:r w:rsidRPr="00403220">
        <w:rPr>
          <w:rFonts w:cs="Times New Roman"/>
          <w:szCs w:val="24"/>
          <w:lang w:val="fr-CA"/>
        </w:rPr>
        <w:t>.  Par souci d</w:t>
      </w:r>
      <w:r w:rsidR="008372AA" w:rsidRPr="00403220">
        <w:rPr>
          <w:rFonts w:cs="Times New Roman"/>
          <w:szCs w:val="24"/>
          <w:lang w:val="fr-CA"/>
        </w:rPr>
        <w:t>’</w:t>
      </w:r>
      <w:r w:rsidRPr="00403220">
        <w:rPr>
          <w:rFonts w:cs="Times New Roman"/>
          <w:szCs w:val="24"/>
          <w:lang w:val="fr-CA"/>
        </w:rPr>
        <w:t>éviter les répétitions, j</w:t>
      </w:r>
      <w:r w:rsidR="008372AA" w:rsidRPr="00403220">
        <w:rPr>
          <w:rFonts w:cs="Times New Roman"/>
          <w:szCs w:val="24"/>
          <w:lang w:val="fr-CA"/>
        </w:rPr>
        <w:t>’</w:t>
      </w:r>
      <w:r w:rsidRPr="00403220">
        <w:rPr>
          <w:rFonts w:cs="Times New Roman"/>
          <w:szCs w:val="24"/>
          <w:lang w:val="fr-CA"/>
        </w:rPr>
        <w:t xml:space="preserve">examinerai ensemble les questions communes. </w:t>
      </w:r>
    </w:p>
    <w:p w:rsidR="0047179D" w:rsidRPr="00403220" w:rsidRDefault="0047179D" w:rsidP="005A33F7">
      <w:pPr>
        <w:pStyle w:val="ParaNoNdepar-AltN"/>
        <w:rPr>
          <w:rFonts w:cs="Times New Roman"/>
          <w:szCs w:val="24"/>
          <w:u w:val="single"/>
          <w:lang w:val="fr-CA"/>
        </w:rPr>
      </w:pPr>
      <w:r w:rsidRPr="00403220">
        <w:rPr>
          <w:rFonts w:cs="Times New Roman"/>
          <w:szCs w:val="24"/>
          <w:lang w:val="fr-CA"/>
        </w:rPr>
        <w:t>Par ailleurs, les deux affaires présentent également des questions et des arguments distincts.  Ainsi,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 xml:space="preserve">ffaire </w:t>
      </w:r>
      <w:r w:rsidR="00D0006E" w:rsidRPr="00403220">
        <w:rPr>
          <w:rFonts w:cs="Times New Roman"/>
          <w:i/>
          <w:szCs w:val="24"/>
          <w:lang w:val="fr-CA"/>
        </w:rPr>
        <w:t xml:space="preserve">du </w:t>
      </w:r>
      <w:r w:rsidRPr="00403220">
        <w:rPr>
          <w:rFonts w:cs="Times New Roman"/>
          <w:i/>
          <w:szCs w:val="24"/>
          <w:lang w:val="fr-CA"/>
        </w:rPr>
        <w:t>recouvrement des coûts</w:t>
      </w:r>
      <w:r w:rsidRPr="00403220">
        <w:rPr>
          <w:rFonts w:cs="Times New Roman"/>
          <w:szCs w:val="24"/>
          <w:lang w:val="fr-CA"/>
        </w:rPr>
        <w:t xml:space="preserve">, le Canada fait valoir que les </w:t>
      </w:r>
      <w:r w:rsidR="00FB7AB7" w:rsidRPr="00403220">
        <w:rPr>
          <w:rFonts w:cs="Times New Roman"/>
          <w:szCs w:val="24"/>
          <w:lang w:val="fr-CA"/>
        </w:rPr>
        <w:t>demandes de</w:t>
      </w:r>
      <w:r w:rsidRPr="00403220">
        <w:rPr>
          <w:rFonts w:cs="Times New Roman"/>
          <w:szCs w:val="24"/>
          <w:lang w:val="fr-CA"/>
        </w:rPr>
        <w:t xml:space="preserve"> contribution fondées sur </w:t>
      </w:r>
      <w:r w:rsidR="001C4C63" w:rsidRPr="00403220">
        <w:rPr>
          <w:rFonts w:cs="Times New Roman"/>
          <w:szCs w:val="24"/>
          <w:lang w:val="fr-CA"/>
        </w:rPr>
        <w:t xml:space="preserve">la </w:t>
      </w:r>
      <w:proofErr w:type="spellStart"/>
      <w:r w:rsidR="001C4C63" w:rsidRPr="00403220">
        <w:rPr>
          <w:rFonts w:cs="Times New Roman"/>
          <w:i/>
          <w:szCs w:val="24"/>
          <w:lang w:val="fr-CA"/>
        </w:rPr>
        <w:t>Negligence</w:t>
      </w:r>
      <w:proofErr w:type="spellEnd"/>
      <w:r w:rsidR="001C4C63" w:rsidRPr="00403220">
        <w:rPr>
          <w:rFonts w:cs="Times New Roman"/>
          <w:i/>
          <w:szCs w:val="24"/>
          <w:lang w:val="fr-CA"/>
        </w:rPr>
        <w:t xml:space="preserve"> </w:t>
      </w:r>
      <w:proofErr w:type="spellStart"/>
      <w:r w:rsidR="001C4C63" w:rsidRPr="00403220">
        <w:rPr>
          <w:rFonts w:cs="Times New Roman"/>
          <w:i/>
          <w:szCs w:val="24"/>
          <w:lang w:val="fr-CA"/>
        </w:rPr>
        <w:t>Act</w:t>
      </w:r>
      <w:proofErr w:type="spellEnd"/>
      <w:r w:rsidR="001C4C63" w:rsidRPr="00403220">
        <w:rPr>
          <w:rFonts w:cs="Times New Roman"/>
          <w:szCs w:val="24"/>
          <w:lang w:val="fr-CA"/>
        </w:rPr>
        <w:t xml:space="preserve"> et sur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obligation de diligence qu</w:t>
      </w:r>
      <w:r w:rsidR="008372AA" w:rsidRPr="00403220">
        <w:rPr>
          <w:rFonts w:cs="Times New Roman"/>
          <w:szCs w:val="24"/>
          <w:lang w:val="fr-CA"/>
        </w:rPr>
        <w:t>’</w:t>
      </w:r>
      <w:r w:rsidRPr="00403220">
        <w:rPr>
          <w:rFonts w:cs="Times New Roman"/>
          <w:szCs w:val="24"/>
          <w:lang w:val="fr-CA"/>
        </w:rPr>
        <w:t>on lui impute à l</w:t>
      </w:r>
      <w:r w:rsidR="008372AA" w:rsidRPr="00403220">
        <w:rPr>
          <w:rFonts w:cs="Times New Roman"/>
          <w:szCs w:val="24"/>
          <w:lang w:val="fr-CA"/>
        </w:rPr>
        <w:t>’</w:t>
      </w:r>
      <w:r w:rsidRPr="00403220">
        <w:rPr>
          <w:rFonts w:cs="Times New Roman"/>
          <w:szCs w:val="24"/>
          <w:lang w:val="fr-CA"/>
        </w:rPr>
        <w:t xml:space="preserve">égard des fumeurs devraient être </w:t>
      </w:r>
      <w:r w:rsidR="006603C4" w:rsidRPr="00403220">
        <w:rPr>
          <w:rFonts w:cs="Times New Roman"/>
          <w:szCs w:val="24"/>
          <w:lang w:val="fr-CA"/>
        </w:rPr>
        <w:t>radiées,</w:t>
      </w:r>
      <w:r w:rsidRPr="00403220">
        <w:rPr>
          <w:rFonts w:cs="Times New Roman"/>
          <w:szCs w:val="24"/>
          <w:lang w:val="fr-CA"/>
        </w:rPr>
        <w:t xml:space="preserve"> car, même s</w:t>
      </w:r>
      <w:r w:rsidR="008372AA" w:rsidRPr="00403220">
        <w:rPr>
          <w:rFonts w:cs="Times New Roman"/>
          <w:szCs w:val="24"/>
          <w:lang w:val="fr-CA"/>
        </w:rPr>
        <w:t>’</w:t>
      </w:r>
      <w:r w:rsidRPr="00403220">
        <w:rPr>
          <w:rFonts w:cs="Times New Roman"/>
          <w:szCs w:val="24"/>
          <w:lang w:val="fr-CA"/>
        </w:rPr>
        <w:t>il avait manqué à une telle obligation, il ne pourrait être tenu res</w:t>
      </w:r>
      <w:r w:rsidR="00FB7AB7" w:rsidRPr="00403220">
        <w:rPr>
          <w:rFonts w:cs="Times New Roman"/>
          <w:szCs w:val="24"/>
          <w:lang w:val="fr-CA"/>
        </w:rPr>
        <w:t>ponsable envers l</w:t>
      </w:r>
      <w:r w:rsidR="000156D3" w:rsidRPr="00403220">
        <w:rPr>
          <w:rFonts w:cs="Times New Roman"/>
          <w:szCs w:val="24"/>
          <w:lang w:val="fr-CA"/>
        </w:rPr>
        <w:t>a</w:t>
      </w:r>
      <w:r w:rsidR="00FB7AB7" w:rsidRPr="00403220">
        <w:rPr>
          <w:rFonts w:cs="Times New Roman"/>
          <w:szCs w:val="24"/>
          <w:lang w:val="fr-CA"/>
        </w:rPr>
        <w:t xml:space="preserve"> demander</w:t>
      </w:r>
      <w:r w:rsidR="000156D3" w:rsidRPr="00403220">
        <w:rPr>
          <w:rFonts w:cs="Times New Roman"/>
          <w:szCs w:val="24"/>
          <w:lang w:val="fr-CA"/>
        </w:rPr>
        <w:t>esse</w:t>
      </w:r>
      <w:r w:rsidR="00FB7AB7" w:rsidRPr="00403220">
        <w:rPr>
          <w:rFonts w:cs="Times New Roman"/>
          <w:szCs w:val="24"/>
          <w:lang w:val="fr-CA"/>
        </w:rPr>
        <w:t xml:space="preserve">, </w:t>
      </w:r>
      <w:r w:rsidRPr="00403220">
        <w:rPr>
          <w:rFonts w:cs="Times New Roman"/>
          <w:szCs w:val="24"/>
          <w:lang w:val="fr-CA"/>
        </w:rPr>
        <w:t xml:space="preserve">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Les demandes fondées sur les lois sont</w:t>
      </w:r>
      <w:r w:rsidR="00FB7AB7" w:rsidRPr="00403220">
        <w:rPr>
          <w:rFonts w:cs="Times New Roman"/>
          <w:szCs w:val="24"/>
          <w:lang w:val="fr-CA"/>
        </w:rPr>
        <w:t xml:space="preserve"> elles</w:t>
      </w:r>
      <w:r w:rsidRPr="00403220">
        <w:rPr>
          <w:rFonts w:cs="Times New Roman"/>
          <w:szCs w:val="24"/>
          <w:lang w:val="fr-CA"/>
        </w:rPr>
        <w:t xml:space="preserve"> aussi distinctes.  Par conséquent, les questions en litige</w:t>
      </w:r>
      <w:r w:rsidR="00FB7AB7" w:rsidRPr="00403220">
        <w:rPr>
          <w:rFonts w:cs="Times New Roman"/>
          <w:szCs w:val="24"/>
          <w:lang w:val="fr-CA"/>
        </w:rPr>
        <w:t xml:space="preserve"> peuvent être formulées comme suit</w:t>
      </w:r>
      <w:r w:rsidR="00A54DAC" w:rsidRPr="00403220">
        <w:rPr>
          <w:rFonts w:cs="Times New Roman"/>
          <w:szCs w:val="24"/>
          <w:lang w:val="fr-CA"/>
        </w:rPr>
        <w:t> :</w:t>
      </w:r>
    </w:p>
    <w:p w:rsidR="0047179D" w:rsidRPr="00403220" w:rsidRDefault="0047179D" w:rsidP="00B22699">
      <w:pPr>
        <w:pStyle w:val="Citation-AltC"/>
        <w:tabs>
          <w:tab w:val="left" w:pos="1170"/>
        </w:tabs>
        <w:spacing w:after="240" w:line="480" w:lineRule="auto"/>
        <w:ind w:left="1170" w:hanging="1170"/>
        <w:contextualSpacing w:val="0"/>
        <w:rPr>
          <w:szCs w:val="24"/>
          <w:lang w:val="fr-CA"/>
        </w:rPr>
      </w:pPr>
      <w:r w:rsidRPr="00403220">
        <w:rPr>
          <w:szCs w:val="24"/>
          <w:lang w:val="fr-CA"/>
        </w:rPr>
        <w:lastRenderedPageBreak/>
        <w:t>1.</w:t>
      </w:r>
      <w:r w:rsidRPr="00403220">
        <w:rPr>
          <w:szCs w:val="24"/>
          <w:lang w:val="fr-CA"/>
        </w:rPr>
        <w:tab/>
        <w:t>Quel est le critère applicable à la radiation d</w:t>
      </w:r>
      <w:r w:rsidR="008372AA" w:rsidRPr="00403220">
        <w:rPr>
          <w:szCs w:val="24"/>
          <w:lang w:val="fr-CA"/>
        </w:rPr>
        <w:t>’</w:t>
      </w:r>
      <w:r w:rsidRPr="00403220">
        <w:rPr>
          <w:szCs w:val="24"/>
          <w:lang w:val="fr-CA"/>
        </w:rPr>
        <w:t>une demande pour absence de cause d</w:t>
      </w:r>
      <w:r w:rsidR="008372AA" w:rsidRPr="00403220">
        <w:rPr>
          <w:szCs w:val="24"/>
          <w:lang w:val="fr-CA"/>
        </w:rPr>
        <w:t>’</w:t>
      </w:r>
      <w:r w:rsidRPr="00403220">
        <w:rPr>
          <w:szCs w:val="24"/>
          <w:lang w:val="fr-CA"/>
        </w:rPr>
        <w:t xml:space="preserve">action </w:t>
      </w:r>
      <w:r w:rsidR="00AF187E" w:rsidRPr="00403220">
        <w:rPr>
          <w:szCs w:val="24"/>
          <w:lang w:val="fr-CA"/>
        </w:rPr>
        <w:t>raisonnabl</w:t>
      </w:r>
      <w:r w:rsidRPr="00403220">
        <w:rPr>
          <w:szCs w:val="24"/>
          <w:lang w:val="fr-CA"/>
        </w:rPr>
        <w:t>e?</w:t>
      </w:r>
    </w:p>
    <w:p w:rsidR="0047179D" w:rsidRPr="00403220" w:rsidRDefault="0047179D" w:rsidP="00B22699">
      <w:pPr>
        <w:pStyle w:val="Citation-AltC"/>
        <w:tabs>
          <w:tab w:val="left" w:pos="1170"/>
        </w:tabs>
        <w:spacing w:after="240" w:line="480" w:lineRule="auto"/>
        <w:ind w:left="1170" w:hanging="1170"/>
        <w:contextualSpacing w:val="0"/>
        <w:rPr>
          <w:szCs w:val="24"/>
          <w:lang w:val="fr-CA"/>
        </w:rPr>
      </w:pPr>
      <w:r w:rsidRPr="00403220">
        <w:rPr>
          <w:szCs w:val="24"/>
          <w:lang w:val="fr-CA"/>
        </w:rPr>
        <w:t>2.</w:t>
      </w:r>
      <w:r w:rsidRPr="00403220">
        <w:rPr>
          <w:szCs w:val="24"/>
          <w:lang w:val="fr-CA"/>
        </w:rPr>
        <w:tab/>
        <w:t xml:space="preserve">Les </w:t>
      </w:r>
      <w:r w:rsidR="009408D9" w:rsidRPr="00403220">
        <w:rPr>
          <w:szCs w:val="24"/>
          <w:lang w:val="fr-CA"/>
        </w:rPr>
        <w:t>demandes de</w:t>
      </w:r>
      <w:r w:rsidRPr="00403220">
        <w:rPr>
          <w:szCs w:val="24"/>
          <w:lang w:val="fr-CA"/>
        </w:rPr>
        <w:t xml:space="preserve"> contribution et </w:t>
      </w:r>
      <w:r w:rsidR="009408D9" w:rsidRPr="00403220">
        <w:rPr>
          <w:szCs w:val="24"/>
          <w:lang w:val="fr-CA"/>
        </w:rPr>
        <w:t>d</w:t>
      </w:r>
      <w:r w:rsidR="008372AA" w:rsidRPr="00403220">
        <w:rPr>
          <w:szCs w:val="24"/>
          <w:lang w:val="fr-CA"/>
        </w:rPr>
        <w:t>’</w:t>
      </w:r>
      <w:r w:rsidRPr="00403220">
        <w:rPr>
          <w:szCs w:val="24"/>
          <w:lang w:val="fr-CA"/>
        </w:rPr>
        <w:t xml:space="preserve">indemnisation fondées sur </w:t>
      </w:r>
      <w:r w:rsidR="001C4C63" w:rsidRPr="00403220">
        <w:rPr>
          <w:szCs w:val="24"/>
          <w:lang w:val="fr-CA"/>
        </w:rPr>
        <w:t xml:space="preserve">la </w:t>
      </w:r>
      <w:proofErr w:type="spellStart"/>
      <w:r w:rsidR="001C4C63" w:rsidRPr="00403220">
        <w:rPr>
          <w:i/>
          <w:szCs w:val="24"/>
          <w:lang w:val="fr-CA"/>
        </w:rPr>
        <w:t>Negligence</w:t>
      </w:r>
      <w:proofErr w:type="spellEnd"/>
      <w:r w:rsidR="001C4C63" w:rsidRPr="00403220">
        <w:rPr>
          <w:i/>
          <w:szCs w:val="24"/>
          <w:lang w:val="fr-CA"/>
        </w:rPr>
        <w:t xml:space="preserve"> </w:t>
      </w:r>
      <w:proofErr w:type="spellStart"/>
      <w:r w:rsidR="001C4C63" w:rsidRPr="00403220">
        <w:rPr>
          <w:i/>
          <w:szCs w:val="24"/>
          <w:lang w:val="fr-CA"/>
        </w:rPr>
        <w:t>Act</w:t>
      </w:r>
      <w:proofErr w:type="spellEnd"/>
      <w:r w:rsidR="001C4C63" w:rsidRPr="00403220">
        <w:rPr>
          <w:szCs w:val="24"/>
          <w:lang w:val="fr-CA"/>
        </w:rPr>
        <w:t xml:space="preserve"> et sur </w:t>
      </w:r>
      <w:r w:rsidRPr="00403220">
        <w:rPr>
          <w:szCs w:val="24"/>
          <w:lang w:val="fr-CA"/>
        </w:rPr>
        <w:t>les manquements allégués à l</w:t>
      </w:r>
      <w:r w:rsidR="008372AA" w:rsidRPr="00403220">
        <w:rPr>
          <w:szCs w:val="24"/>
          <w:lang w:val="fr-CA"/>
        </w:rPr>
        <w:t>’</w:t>
      </w:r>
      <w:r w:rsidRPr="00403220">
        <w:rPr>
          <w:szCs w:val="24"/>
          <w:lang w:val="fr-CA"/>
        </w:rPr>
        <w:t xml:space="preserve">obligation de diligence envers les </w:t>
      </w:r>
      <w:r w:rsidR="001C4C63" w:rsidRPr="00403220">
        <w:rPr>
          <w:szCs w:val="24"/>
          <w:lang w:val="fr-CA"/>
        </w:rPr>
        <w:t>fumeurs</w:t>
      </w:r>
      <w:r w:rsidRPr="00403220">
        <w:rPr>
          <w:szCs w:val="24"/>
          <w:lang w:val="fr-CA"/>
        </w:rPr>
        <w:t xml:space="preserve"> doivent</w:t>
      </w:r>
      <w:r w:rsidR="00B22699">
        <w:rPr>
          <w:szCs w:val="24"/>
          <w:lang w:val="fr-CA"/>
        </w:rPr>
        <w:t>-</w:t>
      </w:r>
      <w:r w:rsidRPr="00403220">
        <w:rPr>
          <w:szCs w:val="24"/>
          <w:lang w:val="fr-CA"/>
        </w:rPr>
        <w:t>elles être radiées dans l</w:t>
      </w:r>
      <w:r w:rsidR="008372AA" w:rsidRPr="00403220">
        <w:rPr>
          <w:szCs w:val="24"/>
          <w:lang w:val="fr-CA"/>
        </w:rPr>
        <w:t>’</w:t>
      </w:r>
      <w:r w:rsidR="00E64960" w:rsidRPr="00403220">
        <w:rPr>
          <w:i/>
          <w:szCs w:val="24"/>
          <w:lang w:val="fr-CA"/>
        </w:rPr>
        <w:t>A</w:t>
      </w:r>
      <w:r w:rsidRPr="00403220">
        <w:rPr>
          <w:i/>
          <w:szCs w:val="24"/>
          <w:lang w:val="fr-CA"/>
        </w:rPr>
        <w:t xml:space="preserve">ffaire </w:t>
      </w:r>
      <w:r w:rsidR="00D0006E" w:rsidRPr="00403220">
        <w:rPr>
          <w:i/>
          <w:szCs w:val="24"/>
          <w:lang w:val="fr-CA"/>
        </w:rPr>
        <w:t xml:space="preserve">du </w:t>
      </w:r>
      <w:r w:rsidRPr="00403220">
        <w:rPr>
          <w:i/>
          <w:szCs w:val="24"/>
          <w:lang w:val="fr-CA"/>
        </w:rPr>
        <w:t>recouvrement des coûts</w:t>
      </w:r>
      <w:r w:rsidRPr="00403220">
        <w:rPr>
          <w:szCs w:val="24"/>
          <w:lang w:val="fr-CA"/>
        </w:rPr>
        <w:t>?</w:t>
      </w:r>
    </w:p>
    <w:p w:rsidR="0047179D" w:rsidRPr="00403220" w:rsidRDefault="0047179D" w:rsidP="00B22699">
      <w:pPr>
        <w:pStyle w:val="Citation-AltC"/>
        <w:tabs>
          <w:tab w:val="left" w:pos="1170"/>
        </w:tabs>
        <w:spacing w:after="240" w:line="480" w:lineRule="auto"/>
        <w:ind w:left="1170" w:hanging="1170"/>
        <w:contextualSpacing w:val="0"/>
        <w:rPr>
          <w:szCs w:val="24"/>
          <w:lang w:val="fr-CA"/>
        </w:rPr>
      </w:pPr>
      <w:r w:rsidRPr="00403220">
        <w:rPr>
          <w:szCs w:val="24"/>
          <w:lang w:val="fr-CA"/>
        </w:rPr>
        <w:t>3.</w:t>
      </w:r>
      <w:r w:rsidRPr="00403220">
        <w:rPr>
          <w:szCs w:val="24"/>
          <w:lang w:val="fr-CA"/>
        </w:rPr>
        <w:tab/>
        <w:t xml:space="preserve">Les demandes des compagnies de tabac relatives </w:t>
      </w:r>
      <w:r w:rsidR="004130E8" w:rsidRPr="00403220">
        <w:rPr>
          <w:szCs w:val="24"/>
          <w:lang w:val="fr-CA"/>
        </w:rPr>
        <w:t>aux</w:t>
      </w:r>
      <w:r w:rsidRPr="00403220">
        <w:rPr>
          <w:szCs w:val="24"/>
          <w:lang w:val="fr-CA"/>
        </w:rPr>
        <w:t xml:space="preserve"> déclaration</w:t>
      </w:r>
      <w:r w:rsidR="004130E8" w:rsidRPr="00403220">
        <w:rPr>
          <w:szCs w:val="24"/>
          <w:lang w:val="fr-CA"/>
        </w:rPr>
        <w:t>s</w:t>
      </w:r>
      <w:r w:rsidRPr="00403220">
        <w:rPr>
          <w:szCs w:val="24"/>
          <w:lang w:val="fr-CA"/>
        </w:rPr>
        <w:t xml:space="preserve"> inexacte</w:t>
      </w:r>
      <w:r w:rsidR="004130E8" w:rsidRPr="00403220">
        <w:rPr>
          <w:szCs w:val="24"/>
          <w:lang w:val="fr-CA"/>
        </w:rPr>
        <w:t>s</w:t>
      </w:r>
      <w:r w:rsidRPr="00403220">
        <w:rPr>
          <w:szCs w:val="24"/>
          <w:lang w:val="fr-CA"/>
        </w:rPr>
        <w:t xml:space="preserve"> faite</w:t>
      </w:r>
      <w:r w:rsidR="004130E8" w:rsidRPr="00403220">
        <w:rPr>
          <w:szCs w:val="24"/>
          <w:lang w:val="fr-CA"/>
        </w:rPr>
        <w:t>s</w:t>
      </w:r>
      <w:r w:rsidRPr="00403220">
        <w:rPr>
          <w:szCs w:val="24"/>
          <w:lang w:val="fr-CA"/>
        </w:rPr>
        <w:t xml:space="preserve"> par négligence doivent</w:t>
      </w:r>
      <w:r w:rsidR="00B22699">
        <w:rPr>
          <w:szCs w:val="24"/>
          <w:lang w:val="fr-CA"/>
        </w:rPr>
        <w:t>-</w:t>
      </w:r>
      <w:r w:rsidRPr="00403220">
        <w:rPr>
          <w:szCs w:val="24"/>
          <w:lang w:val="fr-CA"/>
        </w:rPr>
        <w:t>elles être radiées?</w:t>
      </w:r>
    </w:p>
    <w:p w:rsidR="0047179D" w:rsidRPr="00403220" w:rsidRDefault="0047179D" w:rsidP="00B22699">
      <w:pPr>
        <w:pStyle w:val="Citation-AltC"/>
        <w:tabs>
          <w:tab w:val="left" w:pos="1170"/>
        </w:tabs>
        <w:spacing w:after="240" w:line="480" w:lineRule="auto"/>
        <w:ind w:left="1170" w:hanging="1170"/>
        <w:contextualSpacing w:val="0"/>
        <w:rPr>
          <w:szCs w:val="24"/>
          <w:lang w:val="fr-CA"/>
        </w:rPr>
      </w:pPr>
      <w:r w:rsidRPr="00403220">
        <w:rPr>
          <w:szCs w:val="24"/>
          <w:lang w:val="fr-CA"/>
        </w:rPr>
        <w:t>4.</w:t>
      </w:r>
      <w:r w:rsidRPr="00403220">
        <w:rPr>
          <w:szCs w:val="24"/>
          <w:lang w:val="fr-CA"/>
        </w:rPr>
        <w:tab/>
        <w:t xml:space="preserve">Les demandes des compagnies de tabac relatives </w:t>
      </w:r>
      <w:r w:rsidR="004F4A8D">
        <w:rPr>
          <w:szCs w:val="24"/>
          <w:lang w:val="fr-CA"/>
        </w:rPr>
        <w:t xml:space="preserve">au défaut de mise en garde </w:t>
      </w:r>
      <w:r w:rsidRPr="00403220">
        <w:rPr>
          <w:szCs w:val="24"/>
          <w:lang w:val="fr-CA"/>
        </w:rPr>
        <w:t>doivent</w:t>
      </w:r>
      <w:r w:rsidR="00B22699">
        <w:rPr>
          <w:szCs w:val="24"/>
          <w:lang w:val="fr-CA"/>
        </w:rPr>
        <w:t>-</w:t>
      </w:r>
      <w:r w:rsidRPr="00403220">
        <w:rPr>
          <w:szCs w:val="24"/>
          <w:lang w:val="fr-CA"/>
        </w:rPr>
        <w:t>elles être radiées?</w:t>
      </w:r>
    </w:p>
    <w:p w:rsidR="0047179D" w:rsidRPr="00403220" w:rsidRDefault="0047179D" w:rsidP="00B22699">
      <w:pPr>
        <w:pStyle w:val="Citation-AltC"/>
        <w:tabs>
          <w:tab w:val="left" w:pos="1170"/>
        </w:tabs>
        <w:spacing w:after="240" w:line="480" w:lineRule="auto"/>
        <w:ind w:left="1170" w:hanging="1170"/>
        <w:contextualSpacing w:val="0"/>
        <w:rPr>
          <w:szCs w:val="24"/>
          <w:lang w:val="fr-CA"/>
        </w:rPr>
      </w:pPr>
      <w:r w:rsidRPr="00403220">
        <w:rPr>
          <w:szCs w:val="24"/>
          <w:lang w:val="fr-CA"/>
        </w:rPr>
        <w:t>5</w:t>
      </w:r>
      <w:r w:rsidR="008A0C1C" w:rsidRPr="00403220">
        <w:rPr>
          <w:szCs w:val="24"/>
          <w:lang w:val="fr-CA"/>
        </w:rPr>
        <w:t>.</w:t>
      </w:r>
      <w:r w:rsidRPr="00403220">
        <w:rPr>
          <w:szCs w:val="24"/>
          <w:lang w:val="fr-CA"/>
        </w:rPr>
        <w:tab/>
        <w:t xml:space="preserve">Les demandes des compagnies de tabac relatives </w:t>
      </w:r>
      <w:r w:rsidR="00D63B65" w:rsidRPr="00403220">
        <w:rPr>
          <w:szCs w:val="24"/>
          <w:lang w:val="fr-CA"/>
        </w:rPr>
        <w:t>à la</w:t>
      </w:r>
      <w:r w:rsidRPr="00403220">
        <w:rPr>
          <w:szCs w:val="24"/>
          <w:lang w:val="fr-CA"/>
        </w:rPr>
        <w:t xml:space="preserve"> conception</w:t>
      </w:r>
      <w:r w:rsidR="00D63B65" w:rsidRPr="00403220">
        <w:rPr>
          <w:szCs w:val="24"/>
          <w:lang w:val="fr-CA"/>
        </w:rPr>
        <w:t xml:space="preserve"> négligente</w:t>
      </w:r>
      <w:r w:rsidRPr="00403220">
        <w:rPr>
          <w:szCs w:val="24"/>
          <w:lang w:val="fr-CA"/>
        </w:rPr>
        <w:t xml:space="preserve"> doivent</w:t>
      </w:r>
      <w:r w:rsidR="00B22699">
        <w:rPr>
          <w:szCs w:val="24"/>
          <w:lang w:val="fr-CA"/>
        </w:rPr>
        <w:t>-</w:t>
      </w:r>
      <w:r w:rsidRPr="00403220">
        <w:rPr>
          <w:szCs w:val="24"/>
          <w:lang w:val="fr-CA"/>
        </w:rPr>
        <w:t>elles être radiées?</w:t>
      </w:r>
    </w:p>
    <w:p w:rsidR="0047179D" w:rsidRPr="00403220" w:rsidRDefault="001C4C63" w:rsidP="00B22699">
      <w:pPr>
        <w:pStyle w:val="Citation-AltC"/>
        <w:tabs>
          <w:tab w:val="left" w:pos="1170"/>
        </w:tabs>
        <w:spacing w:after="240" w:line="480" w:lineRule="auto"/>
        <w:ind w:left="1170" w:hanging="1170"/>
        <w:contextualSpacing w:val="0"/>
        <w:rPr>
          <w:szCs w:val="24"/>
          <w:lang w:val="fr-CA"/>
        </w:rPr>
      </w:pPr>
      <w:r w:rsidRPr="00403220">
        <w:rPr>
          <w:szCs w:val="24"/>
          <w:lang w:val="fr-CA"/>
        </w:rPr>
        <w:t>6</w:t>
      </w:r>
      <w:r w:rsidR="0047179D" w:rsidRPr="00403220">
        <w:rPr>
          <w:szCs w:val="24"/>
          <w:lang w:val="fr-CA"/>
        </w:rPr>
        <w:t>.</w:t>
      </w:r>
      <w:r w:rsidR="0047179D" w:rsidRPr="00403220">
        <w:rPr>
          <w:szCs w:val="24"/>
          <w:lang w:val="fr-CA"/>
        </w:rPr>
        <w:tab/>
        <w:t>Dans l</w:t>
      </w:r>
      <w:r w:rsidR="008372AA" w:rsidRPr="00403220">
        <w:rPr>
          <w:szCs w:val="24"/>
          <w:lang w:val="fr-CA"/>
        </w:rPr>
        <w:t>’</w:t>
      </w:r>
      <w:r w:rsidR="00E64960" w:rsidRPr="00403220">
        <w:rPr>
          <w:i/>
          <w:szCs w:val="24"/>
          <w:lang w:val="fr-CA"/>
        </w:rPr>
        <w:t>A</w:t>
      </w:r>
      <w:r w:rsidR="0047179D" w:rsidRPr="00403220">
        <w:rPr>
          <w:i/>
          <w:szCs w:val="24"/>
          <w:lang w:val="fr-CA"/>
        </w:rPr>
        <w:t xml:space="preserve">ffaire </w:t>
      </w:r>
      <w:r w:rsidR="00D0006E" w:rsidRPr="00403220">
        <w:rPr>
          <w:i/>
          <w:szCs w:val="24"/>
          <w:lang w:val="fr-CA"/>
        </w:rPr>
        <w:t xml:space="preserve">du </w:t>
      </w:r>
      <w:r w:rsidR="0047179D" w:rsidRPr="00403220">
        <w:rPr>
          <w:i/>
          <w:szCs w:val="24"/>
          <w:lang w:val="fr-CA"/>
        </w:rPr>
        <w:t>recouvrement des coûts</w:t>
      </w:r>
      <w:r w:rsidR="0047179D" w:rsidRPr="00403220">
        <w:rPr>
          <w:szCs w:val="24"/>
          <w:lang w:val="fr-CA"/>
        </w:rPr>
        <w:t xml:space="preserve">, la demande des compagnies de tabac </w:t>
      </w:r>
      <w:r w:rsidR="009408D9" w:rsidRPr="00403220">
        <w:rPr>
          <w:szCs w:val="24"/>
          <w:lang w:val="fr-CA"/>
        </w:rPr>
        <w:t>de reconnaître au</w:t>
      </w:r>
      <w:r w:rsidR="0047179D" w:rsidRPr="00403220">
        <w:rPr>
          <w:szCs w:val="24"/>
          <w:lang w:val="fr-CA"/>
        </w:rPr>
        <w:t xml:space="preserve"> Canada </w:t>
      </w:r>
      <w:r w:rsidR="009408D9" w:rsidRPr="00403220">
        <w:rPr>
          <w:szCs w:val="24"/>
          <w:lang w:val="fr-CA"/>
        </w:rPr>
        <w:t>la qualité</w:t>
      </w:r>
      <w:r w:rsidR="0047179D" w:rsidRPr="00403220">
        <w:rPr>
          <w:szCs w:val="24"/>
          <w:lang w:val="fr-CA"/>
        </w:rPr>
        <w:t xml:space="preserve"> de [</w:t>
      </w:r>
      <w:r w:rsidR="0047179D" w:rsidRPr="00403220">
        <w:rPr>
          <w:smallCaps/>
          <w:szCs w:val="24"/>
          <w:lang w:val="fr-CA"/>
        </w:rPr>
        <w:t>traduction</w:t>
      </w:r>
      <w:r w:rsidR="0047179D" w:rsidRPr="00403220">
        <w:rPr>
          <w:szCs w:val="24"/>
          <w:lang w:val="fr-CA"/>
        </w:rPr>
        <w:t xml:space="preserve">] « fabricant » au sens de la </w:t>
      </w:r>
      <w:r w:rsidR="0047179D" w:rsidRPr="00403220">
        <w:rPr>
          <w:i/>
          <w:szCs w:val="24"/>
          <w:lang w:val="fr-CA"/>
        </w:rPr>
        <w:t>CRA</w:t>
      </w:r>
      <w:r w:rsidR="00B22699">
        <w:rPr>
          <w:szCs w:val="24"/>
          <w:lang w:val="fr-CA"/>
        </w:rPr>
        <w:t xml:space="preserve"> doi</w:t>
      </w:r>
      <w:r w:rsidR="0047179D" w:rsidRPr="00403220">
        <w:rPr>
          <w:szCs w:val="24"/>
          <w:lang w:val="fr-CA"/>
        </w:rPr>
        <w:t>t</w:t>
      </w:r>
      <w:r w:rsidR="00B22699">
        <w:rPr>
          <w:szCs w:val="24"/>
          <w:lang w:val="fr-CA"/>
        </w:rPr>
        <w:t>-</w:t>
      </w:r>
      <w:r w:rsidR="0047179D" w:rsidRPr="00403220">
        <w:rPr>
          <w:szCs w:val="24"/>
          <w:lang w:val="fr-CA"/>
        </w:rPr>
        <w:t>elle être radiée?</w:t>
      </w:r>
    </w:p>
    <w:p w:rsidR="0047179D" w:rsidRPr="00403220" w:rsidRDefault="001C4C63" w:rsidP="00B22699">
      <w:pPr>
        <w:pStyle w:val="Citation-AltC"/>
        <w:tabs>
          <w:tab w:val="left" w:pos="1170"/>
        </w:tabs>
        <w:spacing w:after="240" w:line="480" w:lineRule="auto"/>
        <w:ind w:left="1170" w:hanging="1170"/>
        <w:contextualSpacing w:val="0"/>
        <w:rPr>
          <w:szCs w:val="24"/>
          <w:lang w:val="fr-CA"/>
        </w:rPr>
      </w:pPr>
      <w:r w:rsidRPr="00403220">
        <w:rPr>
          <w:szCs w:val="24"/>
          <w:lang w:val="fr-CA"/>
        </w:rPr>
        <w:t>7</w:t>
      </w:r>
      <w:r w:rsidR="0047179D" w:rsidRPr="00403220">
        <w:rPr>
          <w:szCs w:val="24"/>
          <w:lang w:val="fr-CA"/>
        </w:rPr>
        <w:t>.</w:t>
      </w:r>
      <w:r w:rsidR="0047179D" w:rsidRPr="00403220">
        <w:rPr>
          <w:szCs w:val="24"/>
          <w:lang w:val="fr-CA"/>
        </w:rPr>
        <w:tab/>
        <w:t xml:space="preserve">Dans </w:t>
      </w:r>
      <w:r w:rsidR="00903A9E" w:rsidRPr="00403220">
        <w:rPr>
          <w:szCs w:val="24"/>
          <w:lang w:val="fr-CA"/>
        </w:rPr>
        <w:t>l’</w:t>
      </w:r>
      <w:r w:rsidR="00903A9E" w:rsidRPr="00403220">
        <w:rPr>
          <w:i/>
          <w:szCs w:val="24"/>
          <w:lang w:val="fr-CA"/>
        </w:rPr>
        <w:t>Affaire</w:t>
      </w:r>
      <w:r w:rsidR="00903A9E" w:rsidRPr="00403220">
        <w:rPr>
          <w:szCs w:val="24"/>
          <w:lang w:val="fr-CA"/>
        </w:rPr>
        <w:t xml:space="preserve"> </w:t>
      </w:r>
      <w:r w:rsidR="00903A9E" w:rsidRPr="00403220">
        <w:rPr>
          <w:i/>
          <w:szCs w:val="24"/>
          <w:lang w:val="fr-CA"/>
        </w:rPr>
        <w:t>Knight</w:t>
      </w:r>
      <w:r w:rsidR="0047179D" w:rsidRPr="00403220">
        <w:rPr>
          <w:szCs w:val="24"/>
          <w:lang w:val="fr-CA"/>
        </w:rPr>
        <w:t>, la demande d</w:t>
      </w:r>
      <w:r w:rsidR="008372AA" w:rsidRPr="00403220">
        <w:rPr>
          <w:szCs w:val="24"/>
          <w:lang w:val="fr-CA"/>
        </w:rPr>
        <w:t>’</w:t>
      </w:r>
      <w:r w:rsidR="00847C22" w:rsidRPr="00403220">
        <w:rPr>
          <w:szCs w:val="24"/>
          <w:lang w:val="fr-CA"/>
        </w:rPr>
        <w:t xml:space="preserve">Imperial </w:t>
      </w:r>
      <w:r w:rsidR="009408D9" w:rsidRPr="00403220">
        <w:rPr>
          <w:szCs w:val="24"/>
          <w:lang w:val="fr-CA"/>
        </w:rPr>
        <w:t xml:space="preserve">de reconnaître au </w:t>
      </w:r>
      <w:r w:rsidR="0047179D" w:rsidRPr="00403220">
        <w:rPr>
          <w:szCs w:val="24"/>
          <w:lang w:val="fr-CA"/>
        </w:rPr>
        <w:t>Canada</w:t>
      </w:r>
      <w:r w:rsidR="009408D9" w:rsidRPr="00403220">
        <w:rPr>
          <w:szCs w:val="24"/>
          <w:lang w:val="fr-CA"/>
        </w:rPr>
        <w:t xml:space="preserve"> la qualité </w:t>
      </w:r>
      <w:r w:rsidR="0047179D" w:rsidRPr="00403220">
        <w:rPr>
          <w:szCs w:val="24"/>
          <w:lang w:val="fr-CA"/>
        </w:rPr>
        <w:t>de [</w:t>
      </w:r>
      <w:r w:rsidR="0047179D" w:rsidRPr="00403220">
        <w:rPr>
          <w:smallCaps/>
          <w:szCs w:val="24"/>
          <w:lang w:val="fr-CA"/>
        </w:rPr>
        <w:t>traduction</w:t>
      </w:r>
      <w:r w:rsidR="0047179D" w:rsidRPr="00403220">
        <w:rPr>
          <w:szCs w:val="24"/>
          <w:lang w:val="fr-CA"/>
        </w:rPr>
        <w:t xml:space="preserve">] « fournisseur » au sens de la </w:t>
      </w:r>
      <w:r w:rsidR="0047179D" w:rsidRPr="00403220">
        <w:rPr>
          <w:i/>
          <w:szCs w:val="24"/>
          <w:lang w:val="fr-CA"/>
        </w:rPr>
        <w:t>TPA</w:t>
      </w:r>
      <w:r w:rsidR="0047179D" w:rsidRPr="00403220">
        <w:rPr>
          <w:szCs w:val="24"/>
          <w:lang w:val="fr-CA"/>
        </w:rPr>
        <w:t xml:space="preserve"> et de la </w:t>
      </w:r>
      <w:r w:rsidR="0047179D" w:rsidRPr="00403220">
        <w:rPr>
          <w:i/>
          <w:szCs w:val="24"/>
          <w:lang w:val="fr-CA"/>
        </w:rPr>
        <w:t>BPCPA</w:t>
      </w:r>
      <w:r w:rsidR="00B22699">
        <w:rPr>
          <w:szCs w:val="24"/>
          <w:lang w:val="fr-CA"/>
        </w:rPr>
        <w:t xml:space="preserve"> doi</w:t>
      </w:r>
      <w:r w:rsidR="0047179D" w:rsidRPr="00403220">
        <w:rPr>
          <w:szCs w:val="24"/>
          <w:lang w:val="fr-CA"/>
        </w:rPr>
        <w:t>t</w:t>
      </w:r>
      <w:r w:rsidR="00B22699">
        <w:rPr>
          <w:szCs w:val="24"/>
          <w:lang w:val="fr-CA"/>
        </w:rPr>
        <w:t>-</w:t>
      </w:r>
      <w:r w:rsidR="0047179D" w:rsidRPr="00403220">
        <w:rPr>
          <w:szCs w:val="24"/>
          <w:lang w:val="fr-CA"/>
        </w:rPr>
        <w:t xml:space="preserve">elle être radiée? </w:t>
      </w:r>
    </w:p>
    <w:p w:rsidR="001C4C63" w:rsidRPr="00403220" w:rsidRDefault="001C4C63" w:rsidP="00B22699">
      <w:pPr>
        <w:pStyle w:val="Citation-AltC"/>
        <w:tabs>
          <w:tab w:val="left" w:pos="1170"/>
        </w:tabs>
        <w:spacing w:after="240" w:line="480" w:lineRule="auto"/>
        <w:ind w:left="1170" w:hanging="1170"/>
        <w:contextualSpacing w:val="0"/>
        <w:rPr>
          <w:szCs w:val="24"/>
          <w:lang w:val="fr-CA"/>
        </w:rPr>
      </w:pPr>
      <w:r w:rsidRPr="00403220">
        <w:rPr>
          <w:szCs w:val="24"/>
          <w:lang w:val="fr-CA"/>
        </w:rPr>
        <w:lastRenderedPageBreak/>
        <w:t>8.</w:t>
      </w:r>
      <w:r w:rsidRPr="00403220">
        <w:rPr>
          <w:szCs w:val="24"/>
          <w:lang w:val="fr-CA"/>
        </w:rPr>
        <w:tab/>
        <w:t xml:space="preserve">Les demandes des compagnies de tabac relatives à l’indemnisation en </w:t>
      </w:r>
      <w:proofErr w:type="spellStart"/>
      <w:r w:rsidRPr="00403220">
        <w:rPr>
          <w:szCs w:val="24"/>
          <w:lang w:val="fr-CA"/>
        </w:rPr>
        <w:t>equity</w:t>
      </w:r>
      <w:proofErr w:type="spellEnd"/>
      <w:r w:rsidRPr="00403220">
        <w:rPr>
          <w:szCs w:val="24"/>
          <w:lang w:val="fr-CA"/>
        </w:rPr>
        <w:t xml:space="preserve"> doivent</w:t>
      </w:r>
      <w:r w:rsidR="00B22699">
        <w:rPr>
          <w:szCs w:val="24"/>
          <w:lang w:val="fr-CA"/>
        </w:rPr>
        <w:t>-</w:t>
      </w:r>
      <w:r w:rsidRPr="00403220">
        <w:rPr>
          <w:szCs w:val="24"/>
          <w:lang w:val="fr-CA"/>
        </w:rPr>
        <w:t>elles être radiées?</w:t>
      </w:r>
    </w:p>
    <w:p w:rsidR="0047179D" w:rsidRPr="00403220" w:rsidRDefault="0047179D" w:rsidP="00B22699">
      <w:pPr>
        <w:pStyle w:val="Citation-AltC"/>
        <w:tabs>
          <w:tab w:val="left" w:pos="1170"/>
        </w:tabs>
        <w:spacing w:after="240" w:line="480" w:lineRule="auto"/>
        <w:ind w:left="1170" w:hanging="1170"/>
        <w:contextualSpacing w:val="0"/>
        <w:rPr>
          <w:szCs w:val="24"/>
          <w:lang w:val="fr-CA"/>
        </w:rPr>
      </w:pPr>
      <w:r w:rsidRPr="00403220">
        <w:rPr>
          <w:szCs w:val="24"/>
          <w:lang w:val="fr-CA"/>
        </w:rPr>
        <w:t>9.</w:t>
      </w:r>
      <w:r w:rsidRPr="00403220">
        <w:rPr>
          <w:szCs w:val="24"/>
          <w:lang w:val="fr-CA"/>
        </w:rPr>
        <w:tab/>
        <w:t>Si la responsabilité du Canada envers les compagnies de tabac n</w:t>
      </w:r>
      <w:r w:rsidR="008372AA" w:rsidRPr="00403220">
        <w:rPr>
          <w:szCs w:val="24"/>
          <w:lang w:val="fr-CA"/>
        </w:rPr>
        <w:t>’</w:t>
      </w:r>
      <w:r w:rsidRPr="00403220">
        <w:rPr>
          <w:szCs w:val="24"/>
          <w:lang w:val="fr-CA"/>
        </w:rPr>
        <w:t>est re</w:t>
      </w:r>
      <w:r w:rsidR="00193275" w:rsidRPr="00403220">
        <w:rPr>
          <w:szCs w:val="24"/>
          <w:lang w:val="fr-CA"/>
        </w:rPr>
        <w:t>te</w:t>
      </w:r>
      <w:r w:rsidRPr="00403220">
        <w:rPr>
          <w:szCs w:val="24"/>
          <w:lang w:val="fr-CA"/>
        </w:rPr>
        <w:t>nue à l</w:t>
      </w:r>
      <w:r w:rsidR="008372AA" w:rsidRPr="00403220">
        <w:rPr>
          <w:szCs w:val="24"/>
          <w:lang w:val="fr-CA"/>
        </w:rPr>
        <w:t>’</w:t>
      </w:r>
      <w:r w:rsidRPr="00403220">
        <w:rPr>
          <w:szCs w:val="24"/>
          <w:lang w:val="fr-CA"/>
        </w:rPr>
        <w:t>égard d</w:t>
      </w:r>
      <w:r w:rsidR="008372AA" w:rsidRPr="00403220">
        <w:rPr>
          <w:szCs w:val="24"/>
          <w:lang w:val="fr-CA"/>
        </w:rPr>
        <w:t>’</w:t>
      </w:r>
      <w:r w:rsidRPr="00403220">
        <w:rPr>
          <w:szCs w:val="24"/>
          <w:lang w:val="fr-CA"/>
        </w:rPr>
        <w:t>aucune des demandes de mise en cause, les compagnies de tabac ont</w:t>
      </w:r>
      <w:r w:rsidR="00B22699">
        <w:rPr>
          <w:szCs w:val="24"/>
          <w:lang w:val="fr-CA"/>
        </w:rPr>
        <w:t>-</w:t>
      </w:r>
      <w:r w:rsidRPr="00403220">
        <w:rPr>
          <w:szCs w:val="24"/>
          <w:lang w:val="fr-CA"/>
        </w:rPr>
        <w:t>elles quand même le droit d</w:t>
      </w:r>
      <w:r w:rsidR="008372AA" w:rsidRPr="00403220">
        <w:rPr>
          <w:szCs w:val="24"/>
          <w:lang w:val="fr-CA"/>
        </w:rPr>
        <w:t>’</w:t>
      </w:r>
      <w:r w:rsidRPr="00403220">
        <w:rPr>
          <w:szCs w:val="24"/>
          <w:lang w:val="fr-CA"/>
        </w:rPr>
        <w:t xml:space="preserve">obtenir contre lui un jugement le déclarant partie aux deux litiges, ce qui le soumettra aux obligations de communication préalable </w:t>
      </w:r>
      <w:r w:rsidR="009408D9" w:rsidRPr="00403220">
        <w:rPr>
          <w:szCs w:val="24"/>
          <w:lang w:val="fr-CA"/>
        </w:rPr>
        <w:t xml:space="preserve">de la preuve </w:t>
      </w:r>
      <w:r w:rsidRPr="00403220">
        <w:rPr>
          <w:szCs w:val="24"/>
          <w:lang w:val="fr-CA"/>
        </w:rPr>
        <w:t xml:space="preserve">prévues aux </w:t>
      </w:r>
      <w:proofErr w:type="spellStart"/>
      <w:r w:rsidR="00066F16" w:rsidRPr="00403220">
        <w:rPr>
          <w:i/>
          <w:szCs w:val="24"/>
          <w:lang w:val="fr-CA"/>
        </w:rPr>
        <w:t>Supreme</w:t>
      </w:r>
      <w:proofErr w:type="spellEnd"/>
      <w:r w:rsidR="00066F16" w:rsidRPr="00403220">
        <w:rPr>
          <w:i/>
          <w:szCs w:val="24"/>
          <w:lang w:val="fr-CA"/>
        </w:rPr>
        <w:t xml:space="preserve"> Court </w:t>
      </w:r>
      <w:proofErr w:type="spellStart"/>
      <w:r w:rsidR="009408D9" w:rsidRPr="00403220">
        <w:rPr>
          <w:i/>
          <w:szCs w:val="24"/>
          <w:lang w:val="fr-CA"/>
        </w:rPr>
        <w:t>Rules</w:t>
      </w:r>
      <w:proofErr w:type="spellEnd"/>
      <w:r w:rsidRPr="00403220">
        <w:rPr>
          <w:szCs w:val="24"/>
          <w:lang w:val="fr-CA"/>
        </w:rPr>
        <w:t>?</w:t>
      </w:r>
    </w:p>
    <w:p w:rsidR="0047179D" w:rsidRPr="00403220" w:rsidRDefault="00066F16" w:rsidP="00B22699">
      <w:pPr>
        <w:pStyle w:val="TitleTitre-AltT"/>
        <w:keepNext/>
        <w:tabs>
          <w:tab w:val="clear" w:pos="360"/>
          <w:tab w:val="left" w:pos="540"/>
        </w:tabs>
        <w:spacing w:after="720"/>
        <w:ind w:left="540" w:hanging="540"/>
        <w:rPr>
          <w:rFonts w:cs="Times New Roman"/>
          <w:szCs w:val="24"/>
          <w:u w:val="single"/>
          <w:lang w:val="fr-CA"/>
        </w:rPr>
      </w:pPr>
      <w:bookmarkStart w:id="7" w:name="_Toc314735110"/>
      <w:r w:rsidRPr="00403220">
        <w:rPr>
          <w:rFonts w:cs="Times New Roman"/>
          <w:szCs w:val="24"/>
          <w:lang w:val="fr-CA"/>
        </w:rPr>
        <w:t>IV</w:t>
      </w:r>
      <w:r w:rsidR="0047179D" w:rsidRPr="00403220">
        <w:rPr>
          <w:rFonts w:cs="Times New Roman"/>
          <w:szCs w:val="24"/>
          <w:lang w:val="fr-CA"/>
        </w:rPr>
        <w:t>.</w:t>
      </w:r>
      <w:r w:rsidR="00427A77" w:rsidRPr="00403220">
        <w:rPr>
          <w:rFonts w:cs="Times New Roman"/>
          <w:szCs w:val="24"/>
          <w:lang w:val="fr-CA"/>
        </w:rPr>
        <w:tab/>
      </w:r>
      <w:r w:rsidR="0047179D" w:rsidRPr="00403220">
        <w:rPr>
          <w:rFonts w:cs="Times New Roman"/>
          <w:szCs w:val="24"/>
          <w:u w:val="single"/>
          <w:lang w:val="fr-CA"/>
        </w:rPr>
        <w:t>Analyse</w:t>
      </w:r>
      <w:bookmarkEnd w:id="7"/>
    </w:p>
    <w:p w:rsidR="0047179D" w:rsidRPr="00403220" w:rsidRDefault="00066F16" w:rsidP="00B22699">
      <w:pPr>
        <w:pStyle w:val="TitleTitre-AltT"/>
        <w:keepNext/>
        <w:tabs>
          <w:tab w:val="clear" w:pos="360"/>
          <w:tab w:val="left" w:pos="540"/>
        </w:tabs>
        <w:spacing w:after="720"/>
        <w:ind w:left="540" w:hanging="540"/>
        <w:rPr>
          <w:rFonts w:cs="Times New Roman"/>
          <w:szCs w:val="24"/>
          <w:lang w:val="fr-CA"/>
        </w:rPr>
      </w:pPr>
      <w:bookmarkStart w:id="8" w:name="_Toc314735111"/>
      <w:r w:rsidRPr="00403220">
        <w:rPr>
          <w:rFonts w:cs="Times New Roman"/>
          <w:szCs w:val="24"/>
          <w:lang w:val="fr-CA"/>
        </w:rPr>
        <w:t>A.</w:t>
      </w:r>
      <w:r w:rsidRPr="00403220">
        <w:rPr>
          <w:rFonts w:cs="Times New Roman"/>
          <w:szCs w:val="24"/>
          <w:lang w:val="fr-CA"/>
        </w:rPr>
        <w:tab/>
      </w:r>
      <w:r w:rsidR="0047179D" w:rsidRPr="00403220">
        <w:rPr>
          <w:rFonts w:cs="Times New Roman"/>
          <w:i/>
          <w:szCs w:val="24"/>
          <w:lang w:val="fr-CA"/>
        </w:rPr>
        <w:t>Le critère applicable à la radiation d</w:t>
      </w:r>
      <w:r w:rsidR="008372AA" w:rsidRPr="00403220">
        <w:rPr>
          <w:rFonts w:cs="Times New Roman"/>
          <w:i/>
          <w:szCs w:val="24"/>
          <w:lang w:val="fr-CA"/>
        </w:rPr>
        <w:t>’</w:t>
      </w:r>
      <w:r w:rsidR="0047179D" w:rsidRPr="00403220">
        <w:rPr>
          <w:rFonts w:cs="Times New Roman"/>
          <w:i/>
          <w:szCs w:val="24"/>
          <w:lang w:val="fr-CA"/>
        </w:rPr>
        <w:t>une d</w:t>
      </w:r>
      <w:r w:rsidR="00474B01" w:rsidRPr="00403220">
        <w:rPr>
          <w:rFonts w:cs="Times New Roman"/>
          <w:i/>
          <w:szCs w:val="24"/>
          <w:lang w:val="fr-CA"/>
        </w:rPr>
        <w:t>emande</w:t>
      </w:r>
      <w:bookmarkEnd w:id="8"/>
    </w:p>
    <w:p w:rsidR="0047179D" w:rsidRPr="00403220" w:rsidRDefault="0047179D" w:rsidP="005A33F7">
      <w:pPr>
        <w:pStyle w:val="ParaNoNdepar-AltN"/>
        <w:rPr>
          <w:rFonts w:cs="Times New Roman"/>
          <w:i/>
          <w:szCs w:val="24"/>
          <w:lang w:val="fr-CA"/>
        </w:rPr>
      </w:pPr>
      <w:r w:rsidRPr="00403220">
        <w:rPr>
          <w:rFonts w:cs="Times New Roman"/>
          <w:szCs w:val="24"/>
          <w:lang w:val="fr-CA"/>
        </w:rPr>
        <w:t>Les parties conviennent du critère applicable à la radiation d</w:t>
      </w:r>
      <w:r w:rsidR="008372AA" w:rsidRPr="00403220">
        <w:rPr>
          <w:rFonts w:cs="Times New Roman"/>
          <w:szCs w:val="24"/>
          <w:lang w:val="fr-CA"/>
        </w:rPr>
        <w:t>’</w:t>
      </w:r>
      <w:r w:rsidRPr="00403220">
        <w:rPr>
          <w:rFonts w:cs="Times New Roman"/>
          <w:szCs w:val="24"/>
          <w:lang w:val="fr-CA"/>
        </w:rPr>
        <w:t>une demande pour absence de cause d</w:t>
      </w:r>
      <w:r w:rsidR="008372AA" w:rsidRPr="00403220">
        <w:rPr>
          <w:rFonts w:cs="Times New Roman"/>
          <w:szCs w:val="24"/>
          <w:lang w:val="fr-CA"/>
        </w:rPr>
        <w:t>’</w:t>
      </w:r>
      <w:r w:rsidRPr="00403220">
        <w:rPr>
          <w:rFonts w:cs="Times New Roman"/>
          <w:szCs w:val="24"/>
          <w:lang w:val="fr-CA"/>
        </w:rPr>
        <w:t xml:space="preserve">action </w:t>
      </w:r>
      <w:r w:rsidR="00AF187E" w:rsidRPr="00403220">
        <w:rPr>
          <w:rFonts w:cs="Times New Roman"/>
          <w:szCs w:val="24"/>
          <w:lang w:val="fr-CA"/>
        </w:rPr>
        <w:t>raisonn</w:t>
      </w:r>
      <w:r w:rsidR="003E3A9D" w:rsidRPr="00403220">
        <w:rPr>
          <w:rFonts w:cs="Times New Roman"/>
          <w:szCs w:val="24"/>
          <w:lang w:val="fr-CA"/>
        </w:rPr>
        <w:t>able en vertu de</w:t>
      </w:r>
      <w:r w:rsidRPr="00403220">
        <w:rPr>
          <w:rFonts w:cs="Times New Roman"/>
          <w:szCs w:val="24"/>
          <w:lang w:val="fr-CA"/>
        </w:rPr>
        <w:t xml:space="preserve"> l</w:t>
      </w:r>
      <w:r w:rsidR="008372AA" w:rsidRPr="00403220">
        <w:rPr>
          <w:rFonts w:cs="Times New Roman"/>
          <w:szCs w:val="24"/>
          <w:lang w:val="fr-CA"/>
        </w:rPr>
        <w:t>’</w:t>
      </w:r>
      <w:r w:rsidR="00A54DAC" w:rsidRPr="00403220">
        <w:rPr>
          <w:rFonts w:cs="Times New Roman"/>
          <w:szCs w:val="24"/>
          <w:lang w:val="fr-CA"/>
        </w:rPr>
        <w:t>al. </w:t>
      </w:r>
      <w:r w:rsidRPr="00403220">
        <w:rPr>
          <w:rFonts w:cs="Times New Roman"/>
          <w:szCs w:val="24"/>
          <w:lang w:val="fr-CA"/>
        </w:rPr>
        <w:t xml:space="preserve">19(24)a) des </w:t>
      </w:r>
      <w:proofErr w:type="spellStart"/>
      <w:r w:rsidR="00066F16" w:rsidRPr="00403220">
        <w:rPr>
          <w:rFonts w:cs="Times New Roman"/>
          <w:i/>
          <w:szCs w:val="24"/>
          <w:lang w:val="fr-CA"/>
        </w:rPr>
        <w:t>Supreme</w:t>
      </w:r>
      <w:proofErr w:type="spellEnd"/>
      <w:r w:rsidR="00066F16" w:rsidRPr="00403220">
        <w:rPr>
          <w:rFonts w:cs="Times New Roman"/>
          <w:i/>
          <w:szCs w:val="24"/>
          <w:lang w:val="fr-CA"/>
        </w:rPr>
        <w:t xml:space="preserve"> Court </w:t>
      </w:r>
      <w:proofErr w:type="spellStart"/>
      <w:r w:rsidR="009408D9" w:rsidRPr="00403220">
        <w:rPr>
          <w:rFonts w:cs="Times New Roman"/>
          <w:i/>
          <w:szCs w:val="24"/>
          <w:lang w:val="fr-CA"/>
        </w:rPr>
        <w:t>Rules</w:t>
      </w:r>
      <w:proofErr w:type="spellEnd"/>
      <w:r w:rsidR="00066F16" w:rsidRPr="00403220">
        <w:rPr>
          <w:rFonts w:cs="Times New Roman"/>
          <w:szCs w:val="24"/>
          <w:lang w:val="fr-CA"/>
        </w:rPr>
        <w:t xml:space="preserve"> de la C</w:t>
      </w:r>
      <w:r w:rsidR="00E64960" w:rsidRPr="00403220">
        <w:rPr>
          <w:rFonts w:cs="Times New Roman"/>
          <w:szCs w:val="24"/>
          <w:lang w:val="fr-CA"/>
        </w:rPr>
        <w:t>olombie</w:t>
      </w:r>
      <w:r w:rsidR="00B22699">
        <w:rPr>
          <w:rFonts w:cs="Times New Roman"/>
          <w:szCs w:val="24"/>
          <w:lang w:val="fr-CA"/>
        </w:rPr>
        <w:t>-</w:t>
      </w:r>
      <w:r w:rsidR="00066F16" w:rsidRPr="00403220">
        <w:rPr>
          <w:rFonts w:cs="Times New Roman"/>
          <w:szCs w:val="24"/>
          <w:lang w:val="fr-CA"/>
        </w:rPr>
        <w:t>B</w:t>
      </w:r>
      <w:r w:rsidR="00E64960" w:rsidRPr="00403220">
        <w:rPr>
          <w:rFonts w:cs="Times New Roman"/>
          <w:szCs w:val="24"/>
          <w:lang w:val="fr-CA"/>
        </w:rPr>
        <w:t>ritannique</w:t>
      </w:r>
      <w:r w:rsidR="00066F16" w:rsidRPr="00403220">
        <w:rPr>
          <w:rFonts w:cs="Times New Roman"/>
          <w:szCs w:val="24"/>
          <w:lang w:val="fr-CA"/>
        </w:rPr>
        <w:t>.</w:t>
      </w:r>
      <w:r w:rsidR="009408D9" w:rsidRPr="00403220">
        <w:rPr>
          <w:rFonts w:cs="Times New Roman"/>
          <w:szCs w:val="24"/>
          <w:lang w:val="fr-CA"/>
        </w:rPr>
        <w:t xml:space="preserve">  La Cour </w:t>
      </w:r>
      <w:r w:rsidRPr="00403220">
        <w:rPr>
          <w:rFonts w:cs="Times New Roman"/>
          <w:szCs w:val="24"/>
          <w:lang w:val="fr-CA"/>
        </w:rPr>
        <w:t>a réitéré</w:t>
      </w:r>
      <w:r w:rsidR="003E3A9D" w:rsidRPr="00403220">
        <w:rPr>
          <w:rFonts w:cs="Times New Roman"/>
          <w:szCs w:val="24"/>
          <w:lang w:val="fr-CA"/>
        </w:rPr>
        <w:t xml:space="preserve"> c</w:t>
      </w:r>
      <w:r w:rsidR="00FB15B2" w:rsidRPr="00403220">
        <w:rPr>
          <w:rFonts w:cs="Times New Roman"/>
          <w:szCs w:val="24"/>
          <w:lang w:val="fr-CA"/>
        </w:rPr>
        <w:t>e critère à maintes reprises</w:t>
      </w:r>
      <w:r w:rsidR="00A54DAC" w:rsidRPr="00403220">
        <w:rPr>
          <w:rFonts w:cs="Times New Roman"/>
          <w:szCs w:val="24"/>
          <w:lang w:val="fr-CA"/>
        </w:rPr>
        <w:t> :</w:t>
      </w:r>
      <w:r w:rsidRPr="00403220">
        <w:rPr>
          <w:rFonts w:cs="Times New Roman"/>
          <w:szCs w:val="24"/>
          <w:lang w:val="fr-CA"/>
        </w:rPr>
        <w:t xml:space="preserve"> l</w:t>
      </w:r>
      <w:r w:rsidR="008372AA" w:rsidRPr="00403220">
        <w:rPr>
          <w:rFonts w:cs="Times New Roman"/>
          <w:szCs w:val="24"/>
          <w:lang w:val="fr-CA"/>
        </w:rPr>
        <w:t>’</w:t>
      </w:r>
      <w:r w:rsidRPr="00403220">
        <w:rPr>
          <w:rFonts w:cs="Times New Roman"/>
          <w:szCs w:val="24"/>
          <w:lang w:val="fr-CA"/>
        </w:rPr>
        <w:t>action ne sera rejetée que s</w:t>
      </w:r>
      <w:r w:rsidR="008372AA" w:rsidRPr="00403220">
        <w:rPr>
          <w:rFonts w:cs="Times New Roman"/>
          <w:szCs w:val="24"/>
          <w:lang w:val="fr-CA"/>
        </w:rPr>
        <w:t>’</w:t>
      </w:r>
      <w:r w:rsidRPr="00403220">
        <w:rPr>
          <w:rFonts w:cs="Times New Roman"/>
          <w:szCs w:val="24"/>
          <w:lang w:val="fr-CA"/>
        </w:rPr>
        <w:t xml:space="preserve">il est évident et manifeste, </w:t>
      </w:r>
      <w:r w:rsidR="0034378D">
        <w:rPr>
          <w:rFonts w:cs="Times New Roman"/>
          <w:szCs w:val="24"/>
          <w:lang w:val="fr-CA"/>
        </w:rPr>
        <w:t>dans l’hypothèse où</w:t>
      </w:r>
      <w:r w:rsidR="00611178" w:rsidRPr="00403220">
        <w:rPr>
          <w:rFonts w:cs="Times New Roman"/>
          <w:szCs w:val="24"/>
          <w:lang w:val="fr-CA"/>
        </w:rPr>
        <w:t xml:space="preserve"> </w:t>
      </w:r>
      <w:r w:rsidRPr="00403220">
        <w:rPr>
          <w:rFonts w:cs="Times New Roman"/>
          <w:szCs w:val="24"/>
          <w:lang w:val="fr-CA"/>
        </w:rPr>
        <w:t xml:space="preserve">les faits allégués </w:t>
      </w:r>
      <w:r w:rsidR="00611178" w:rsidRPr="00403220">
        <w:rPr>
          <w:rFonts w:cs="Times New Roman"/>
          <w:szCs w:val="24"/>
          <w:lang w:val="fr-CA"/>
        </w:rPr>
        <w:t>seraient</w:t>
      </w:r>
      <w:r w:rsidR="009A68D8" w:rsidRPr="00403220">
        <w:rPr>
          <w:rFonts w:cs="Times New Roman"/>
          <w:szCs w:val="24"/>
          <w:lang w:val="fr-CA"/>
        </w:rPr>
        <w:t xml:space="preserve"> avérés</w:t>
      </w:r>
      <w:r w:rsidRPr="00403220">
        <w:rPr>
          <w:rFonts w:cs="Times New Roman"/>
          <w:szCs w:val="24"/>
          <w:lang w:val="fr-CA"/>
        </w:rPr>
        <w:t>, que la déclaration ne révèle aucune cause d</w:t>
      </w:r>
      <w:r w:rsidR="008372AA" w:rsidRPr="00403220">
        <w:rPr>
          <w:rFonts w:cs="Times New Roman"/>
          <w:szCs w:val="24"/>
          <w:lang w:val="fr-CA"/>
        </w:rPr>
        <w:t>’</w:t>
      </w:r>
      <w:r w:rsidRPr="00403220">
        <w:rPr>
          <w:rFonts w:cs="Times New Roman"/>
          <w:szCs w:val="24"/>
          <w:lang w:val="fr-CA"/>
        </w:rPr>
        <w:t>action raisonnable</w:t>
      </w:r>
      <w:r w:rsidR="00A54DAC" w:rsidRPr="00403220">
        <w:rPr>
          <w:rFonts w:cs="Times New Roman"/>
          <w:szCs w:val="24"/>
          <w:lang w:val="fr-CA"/>
        </w:rPr>
        <w:t> :</w:t>
      </w:r>
      <w:r w:rsidRPr="00403220">
        <w:rPr>
          <w:rFonts w:cs="Times New Roman"/>
          <w:szCs w:val="24"/>
          <w:lang w:val="fr-CA"/>
        </w:rPr>
        <w:t xml:space="preserve"> </w:t>
      </w:r>
      <w:r w:rsidRPr="00403220">
        <w:rPr>
          <w:rFonts w:cs="Times New Roman"/>
          <w:i/>
          <w:szCs w:val="24"/>
          <w:lang w:val="fr-CA"/>
        </w:rPr>
        <w:t xml:space="preserve">Succession </w:t>
      </w:r>
      <w:proofErr w:type="spellStart"/>
      <w:r w:rsidRPr="00403220">
        <w:rPr>
          <w:rStyle w:val="documentbody"/>
          <w:rFonts w:cs="Times New Roman"/>
          <w:i/>
          <w:szCs w:val="24"/>
          <w:lang w:val="fr-CA"/>
        </w:rPr>
        <w:t>Odhavji</w:t>
      </w:r>
      <w:proofErr w:type="spellEnd"/>
      <w:r w:rsidRPr="00403220">
        <w:rPr>
          <w:rStyle w:val="documentbody"/>
          <w:rFonts w:cs="Times New Roman"/>
          <w:i/>
          <w:szCs w:val="24"/>
          <w:lang w:val="fr-CA"/>
        </w:rPr>
        <w:t xml:space="preserve"> c. </w:t>
      </w:r>
      <w:proofErr w:type="spellStart"/>
      <w:r w:rsidRPr="00403220">
        <w:rPr>
          <w:rStyle w:val="documentbody"/>
          <w:rFonts w:cs="Times New Roman"/>
          <w:i/>
          <w:szCs w:val="24"/>
          <w:lang w:val="fr-CA"/>
        </w:rPr>
        <w:t>Woodhouse</w:t>
      </w:r>
      <w:proofErr w:type="spellEnd"/>
      <w:r w:rsidRPr="00403220">
        <w:rPr>
          <w:rStyle w:val="documentbody"/>
          <w:rFonts w:cs="Times New Roman"/>
          <w:szCs w:val="24"/>
          <w:lang w:val="fr-CA"/>
        </w:rPr>
        <w:t xml:space="preserve">, 2003 CSC 69, [2003] 3 R.C.S. 263, </w:t>
      </w:r>
      <w:r w:rsidR="00A54DAC" w:rsidRPr="00403220">
        <w:rPr>
          <w:rStyle w:val="documentbody"/>
          <w:rFonts w:cs="Times New Roman"/>
          <w:szCs w:val="24"/>
          <w:lang w:val="fr-CA"/>
        </w:rPr>
        <w:t>par. </w:t>
      </w:r>
      <w:r w:rsidRPr="00403220">
        <w:rPr>
          <w:rStyle w:val="documentbody"/>
          <w:rFonts w:cs="Times New Roman"/>
          <w:szCs w:val="24"/>
          <w:lang w:val="fr-CA"/>
        </w:rPr>
        <w:t>15;</w:t>
      </w:r>
      <w:r w:rsidRPr="00403220">
        <w:rPr>
          <w:rFonts w:cs="Times New Roman"/>
          <w:szCs w:val="24"/>
          <w:lang w:val="fr-CA"/>
        </w:rPr>
        <w:t xml:space="preserve"> </w:t>
      </w:r>
      <w:r w:rsidRPr="00403220">
        <w:rPr>
          <w:rFonts w:cs="Times New Roman"/>
          <w:i/>
          <w:szCs w:val="24"/>
          <w:lang w:val="fr-CA"/>
        </w:rPr>
        <w:t>Hunt c. Carey Canada Inc.</w:t>
      </w:r>
      <w:r w:rsidR="00066F16" w:rsidRPr="00403220">
        <w:rPr>
          <w:rFonts w:cs="Times New Roman"/>
          <w:szCs w:val="24"/>
          <w:lang w:val="fr-CA"/>
        </w:rPr>
        <w:t xml:space="preserve">, </w:t>
      </w:r>
      <w:r w:rsidRPr="00403220">
        <w:rPr>
          <w:rFonts w:cs="Times New Roman"/>
          <w:szCs w:val="24"/>
          <w:lang w:val="fr-CA"/>
        </w:rPr>
        <w:t xml:space="preserve">[1990] 2 R.C.S. 959, </w:t>
      </w:r>
      <w:r w:rsidR="00A54DAC" w:rsidRPr="00403220">
        <w:rPr>
          <w:rFonts w:cs="Times New Roman"/>
          <w:szCs w:val="24"/>
          <w:lang w:val="fr-CA"/>
        </w:rPr>
        <w:t>p. </w:t>
      </w:r>
      <w:r w:rsidRPr="00403220">
        <w:rPr>
          <w:rFonts w:cs="Times New Roman"/>
          <w:szCs w:val="24"/>
          <w:lang w:val="fr-CA"/>
        </w:rPr>
        <w:t>980.  Autrement dit, la demande doit n</w:t>
      </w:r>
      <w:r w:rsidR="008372AA" w:rsidRPr="00403220">
        <w:rPr>
          <w:rFonts w:cs="Times New Roman"/>
          <w:szCs w:val="24"/>
          <w:lang w:val="fr-CA"/>
        </w:rPr>
        <w:t>’</w:t>
      </w:r>
      <w:r w:rsidRPr="00403220">
        <w:rPr>
          <w:rFonts w:cs="Times New Roman"/>
          <w:szCs w:val="24"/>
          <w:lang w:val="fr-CA"/>
        </w:rPr>
        <w:t xml:space="preserve">avoir aucune </w:t>
      </w:r>
      <w:r w:rsidR="00C53C5F" w:rsidRPr="00403220">
        <w:rPr>
          <w:rFonts w:cs="Times New Roman"/>
          <w:szCs w:val="24"/>
          <w:lang w:val="fr-CA"/>
        </w:rPr>
        <w:t>possibilité</w:t>
      </w:r>
      <w:r w:rsidRPr="00403220">
        <w:rPr>
          <w:rFonts w:cs="Times New Roman"/>
          <w:szCs w:val="24"/>
          <w:lang w:val="fr-CA"/>
        </w:rPr>
        <w:t xml:space="preserve"> raisonnable d</w:t>
      </w:r>
      <w:r w:rsidR="008372AA" w:rsidRPr="00403220">
        <w:rPr>
          <w:rFonts w:cs="Times New Roman"/>
          <w:szCs w:val="24"/>
          <w:lang w:val="fr-CA"/>
        </w:rPr>
        <w:t>’</w:t>
      </w:r>
      <w:r w:rsidRPr="00403220">
        <w:rPr>
          <w:rFonts w:cs="Times New Roman"/>
          <w:szCs w:val="24"/>
          <w:lang w:val="fr-CA"/>
        </w:rPr>
        <w:t xml:space="preserve">être </w:t>
      </w:r>
      <w:r w:rsidRPr="00403220">
        <w:rPr>
          <w:rFonts w:cs="Times New Roman"/>
          <w:szCs w:val="24"/>
          <w:lang w:val="fr-CA"/>
        </w:rPr>
        <w:lastRenderedPageBreak/>
        <w:t>accueillie.  Sinon, il faut lui laisser suivre son cours</w:t>
      </w:r>
      <w:r w:rsidR="00A54DAC" w:rsidRPr="00403220">
        <w:rPr>
          <w:rFonts w:cs="Times New Roman"/>
          <w:szCs w:val="24"/>
          <w:lang w:val="fr-CA"/>
        </w:rPr>
        <w:t> :</w:t>
      </w:r>
      <w:r w:rsidRPr="00403220">
        <w:rPr>
          <w:rFonts w:cs="Times New Roman"/>
          <w:szCs w:val="24"/>
          <w:lang w:val="fr-CA"/>
        </w:rPr>
        <w:t xml:space="preserve"> voir généralement </w:t>
      </w:r>
      <w:proofErr w:type="spellStart"/>
      <w:r w:rsidRPr="00403220">
        <w:rPr>
          <w:rFonts w:cs="Times New Roman"/>
          <w:i/>
          <w:iCs/>
          <w:szCs w:val="24"/>
          <w:lang w:val="fr-CA"/>
        </w:rPr>
        <w:t>Syl</w:t>
      </w:r>
      <w:proofErr w:type="spellEnd"/>
      <w:r w:rsidRPr="00403220">
        <w:rPr>
          <w:rFonts w:cs="Times New Roman"/>
          <w:i/>
          <w:iCs/>
          <w:szCs w:val="24"/>
          <w:lang w:val="fr-CA"/>
        </w:rPr>
        <w:t xml:space="preserve"> </w:t>
      </w:r>
      <w:proofErr w:type="spellStart"/>
      <w:r w:rsidRPr="00403220">
        <w:rPr>
          <w:rFonts w:cs="Times New Roman"/>
          <w:i/>
          <w:iCs/>
          <w:szCs w:val="24"/>
          <w:lang w:val="fr-CA"/>
        </w:rPr>
        <w:t>Apps</w:t>
      </w:r>
      <w:proofErr w:type="spellEnd"/>
      <w:r w:rsidRPr="00403220">
        <w:rPr>
          <w:rFonts w:cs="Times New Roman"/>
          <w:i/>
          <w:iCs/>
          <w:szCs w:val="24"/>
          <w:lang w:val="fr-CA"/>
        </w:rPr>
        <w:t xml:space="preserve"> Secure </w:t>
      </w:r>
      <w:proofErr w:type="spellStart"/>
      <w:r w:rsidRPr="00403220">
        <w:rPr>
          <w:rFonts w:cs="Times New Roman"/>
          <w:i/>
          <w:iCs/>
          <w:szCs w:val="24"/>
          <w:lang w:val="fr-CA"/>
        </w:rPr>
        <w:t>Treatment</w:t>
      </w:r>
      <w:proofErr w:type="spellEnd"/>
      <w:r w:rsidRPr="00403220">
        <w:rPr>
          <w:rFonts w:cs="Times New Roman"/>
          <w:i/>
          <w:iCs/>
          <w:szCs w:val="24"/>
          <w:lang w:val="fr-CA"/>
        </w:rPr>
        <w:t xml:space="preserve"> Centre c. B.D.</w:t>
      </w:r>
      <w:r w:rsidRPr="00403220">
        <w:rPr>
          <w:rFonts w:cs="Times New Roman"/>
          <w:szCs w:val="24"/>
          <w:lang w:val="fr-CA"/>
        </w:rPr>
        <w:t>, 2007 CSC 38, [2007] 3 R.C.S.</w:t>
      </w:r>
      <w:r w:rsidRPr="00403220">
        <w:rPr>
          <w:rFonts w:cs="Times New Roman"/>
          <w:iCs/>
          <w:szCs w:val="24"/>
          <w:lang w:val="fr-CA"/>
        </w:rPr>
        <w:t xml:space="preserve"> </w:t>
      </w:r>
      <w:r w:rsidRPr="00403220">
        <w:rPr>
          <w:rFonts w:cs="Times New Roman"/>
          <w:szCs w:val="24"/>
          <w:lang w:val="fr-CA"/>
        </w:rPr>
        <w:t>83</w:t>
      </w:r>
      <w:r w:rsidR="00066F16" w:rsidRPr="00403220">
        <w:rPr>
          <w:rFonts w:cs="Times New Roman"/>
          <w:szCs w:val="24"/>
          <w:lang w:val="fr-CA"/>
        </w:rPr>
        <w:t>;</w:t>
      </w:r>
      <w:r w:rsidRPr="00403220">
        <w:rPr>
          <w:rFonts w:cs="Times New Roman"/>
          <w:i/>
          <w:szCs w:val="24"/>
          <w:lang w:val="fr-CA"/>
        </w:rPr>
        <w:t xml:space="preserve"> Succession </w:t>
      </w:r>
      <w:proofErr w:type="spellStart"/>
      <w:r w:rsidRPr="00403220">
        <w:rPr>
          <w:rFonts w:cs="Times New Roman"/>
          <w:i/>
          <w:szCs w:val="24"/>
          <w:lang w:val="fr-CA"/>
        </w:rPr>
        <w:t>Odhavji</w:t>
      </w:r>
      <w:proofErr w:type="spellEnd"/>
      <w:r w:rsidR="00066F16" w:rsidRPr="00403220">
        <w:rPr>
          <w:rFonts w:cs="Times New Roman"/>
          <w:szCs w:val="24"/>
          <w:lang w:val="fr-CA"/>
        </w:rPr>
        <w:t xml:space="preserve">; </w:t>
      </w:r>
      <w:r w:rsidRPr="00403220">
        <w:rPr>
          <w:rFonts w:cs="Times New Roman"/>
          <w:i/>
          <w:szCs w:val="24"/>
          <w:lang w:val="fr-CA"/>
        </w:rPr>
        <w:t>Hunt</w:t>
      </w:r>
      <w:r w:rsidRPr="00403220">
        <w:rPr>
          <w:rFonts w:cs="Times New Roman"/>
          <w:szCs w:val="24"/>
          <w:lang w:val="fr-CA"/>
        </w:rPr>
        <w:t xml:space="preserve">; </w:t>
      </w:r>
      <w:r w:rsidRPr="00403220">
        <w:rPr>
          <w:rFonts w:cs="Times New Roman"/>
          <w:i/>
          <w:szCs w:val="24"/>
          <w:lang w:val="fr-CA"/>
        </w:rPr>
        <w:t>Proc</w:t>
      </w:r>
      <w:r w:rsidR="00B22699">
        <w:rPr>
          <w:rFonts w:cs="Times New Roman"/>
          <w:i/>
          <w:szCs w:val="24"/>
          <w:lang w:val="fr-CA"/>
        </w:rPr>
        <w:t>ureur g</w:t>
      </w:r>
      <w:r w:rsidR="00FB15B2" w:rsidRPr="00403220">
        <w:rPr>
          <w:rFonts w:cs="Times New Roman"/>
          <w:i/>
          <w:szCs w:val="24"/>
          <w:lang w:val="fr-CA"/>
        </w:rPr>
        <w:t>énéral</w:t>
      </w:r>
      <w:r w:rsidRPr="00403220">
        <w:rPr>
          <w:rFonts w:cs="Times New Roman"/>
          <w:i/>
          <w:szCs w:val="24"/>
          <w:lang w:val="fr-CA"/>
        </w:rPr>
        <w:t xml:space="preserve"> du</w:t>
      </w:r>
      <w:r w:rsidRPr="00403220">
        <w:rPr>
          <w:rStyle w:val="documentbody"/>
          <w:rFonts w:cs="Times New Roman"/>
          <w:i/>
          <w:iCs/>
          <w:szCs w:val="24"/>
          <w:lang w:val="fr-CA"/>
        </w:rPr>
        <w:t xml:space="preserve"> Can</w:t>
      </w:r>
      <w:r w:rsidR="00FB15B2" w:rsidRPr="00403220">
        <w:rPr>
          <w:rStyle w:val="documentbody"/>
          <w:rFonts w:cs="Times New Roman"/>
          <w:i/>
          <w:iCs/>
          <w:szCs w:val="24"/>
          <w:lang w:val="fr-CA"/>
        </w:rPr>
        <w:t>ada</w:t>
      </w:r>
      <w:r w:rsidRPr="00403220">
        <w:rPr>
          <w:rStyle w:val="documentbody"/>
          <w:rFonts w:cs="Times New Roman"/>
          <w:i/>
          <w:iCs/>
          <w:szCs w:val="24"/>
          <w:lang w:val="fr-CA"/>
        </w:rPr>
        <w:t xml:space="preserve"> c. Inuit </w:t>
      </w:r>
      <w:proofErr w:type="spellStart"/>
      <w:r w:rsidRPr="00403220">
        <w:rPr>
          <w:rStyle w:val="documentbody"/>
          <w:rFonts w:cs="Times New Roman"/>
          <w:i/>
          <w:iCs/>
          <w:szCs w:val="24"/>
          <w:lang w:val="fr-CA"/>
        </w:rPr>
        <w:t>Tapirisat</w:t>
      </w:r>
      <w:proofErr w:type="spellEnd"/>
      <w:r w:rsidRPr="00403220">
        <w:rPr>
          <w:rStyle w:val="documentbody"/>
          <w:rFonts w:cs="Times New Roman"/>
          <w:i/>
          <w:iCs/>
          <w:szCs w:val="24"/>
          <w:lang w:val="fr-CA"/>
        </w:rPr>
        <w:t xml:space="preserve"> </w:t>
      </w:r>
      <w:r w:rsidR="00FB15B2" w:rsidRPr="00403220">
        <w:rPr>
          <w:rStyle w:val="documentbody"/>
          <w:rFonts w:cs="Times New Roman"/>
          <w:i/>
          <w:iCs/>
          <w:szCs w:val="24"/>
          <w:lang w:val="fr-CA"/>
        </w:rPr>
        <w:t>of Canada</w:t>
      </w:r>
      <w:r w:rsidRPr="00403220">
        <w:rPr>
          <w:rStyle w:val="documentbody"/>
          <w:rFonts w:cs="Times New Roman"/>
          <w:szCs w:val="24"/>
          <w:lang w:val="fr-CA"/>
        </w:rPr>
        <w:t>, [1980] 2 R.C.S. 735.</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Bien que </w:t>
      </w:r>
      <w:r w:rsidR="00FB15B2" w:rsidRPr="00403220">
        <w:rPr>
          <w:rFonts w:cs="Times New Roman"/>
          <w:szCs w:val="24"/>
          <w:lang w:val="fr-CA"/>
        </w:rPr>
        <w:t>les parties acceptent d</w:t>
      </w:r>
      <w:r w:rsidR="008372AA" w:rsidRPr="00403220">
        <w:rPr>
          <w:rFonts w:cs="Times New Roman"/>
          <w:szCs w:val="24"/>
          <w:lang w:val="fr-CA"/>
        </w:rPr>
        <w:t>’</w:t>
      </w:r>
      <w:r w:rsidR="00611178" w:rsidRPr="00403220">
        <w:rPr>
          <w:rFonts w:cs="Times New Roman"/>
          <w:szCs w:val="24"/>
          <w:lang w:val="fr-CA"/>
        </w:rPr>
        <w:t>emblée c</w:t>
      </w:r>
      <w:r w:rsidR="00FB15B2" w:rsidRPr="00403220">
        <w:rPr>
          <w:rFonts w:cs="Times New Roman"/>
          <w:szCs w:val="24"/>
          <w:lang w:val="fr-CA"/>
        </w:rPr>
        <w:t>e</w:t>
      </w:r>
      <w:r w:rsidRPr="00403220">
        <w:rPr>
          <w:rFonts w:cs="Times New Roman"/>
          <w:szCs w:val="24"/>
          <w:lang w:val="fr-CA"/>
        </w:rPr>
        <w:t xml:space="preserve"> critère, il ressort des arguments qui nous ont été présentés que tou</w:t>
      </w:r>
      <w:r w:rsidR="00A93A67" w:rsidRPr="00403220">
        <w:rPr>
          <w:rFonts w:cs="Times New Roman"/>
          <w:szCs w:val="24"/>
          <w:lang w:val="fr-CA"/>
        </w:rPr>
        <w:t>te</w:t>
      </w:r>
      <w:r w:rsidRPr="00403220">
        <w:rPr>
          <w:rFonts w:cs="Times New Roman"/>
          <w:szCs w:val="24"/>
          <w:lang w:val="fr-CA"/>
        </w:rPr>
        <w:t xml:space="preserve">s ne voient pas du même </w:t>
      </w:r>
      <w:r w:rsidR="00016A2E" w:rsidRPr="00403220">
        <w:rPr>
          <w:rFonts w:cs="Times New Roman"/>
          <w:szCs w:val="24"/>
          <w:lang w:val="fr-CA"/>
        </w:rPr>
        <w:t>œ</w:t>
      </w:r>
      <w:r w:rsidRPr="00403220">
        <w:rPr>
          <w:rFonts w:cs="Times New Roman"/>
          <w:szCs w:val="24"/>
          <w:lang w:val="fr-CA"/>
        </w:rPr>
        <w:t xml:space="preserve">il son application aux faits.  </w:t>
      </w:r>
      <w:r w:rsidR="00FB15B2" w:rsidRPr="00403220">
        <w:rPr>
          <w:rFonts w:cs="Times New Roman"/>
          <w:szCs w:val="24"/>
          <w:lang w:val="fr-CA"/>
        </w:rPr>
        <w:t>I</w:t>
      </w:r>
      <w:r w:rsidRPr="00403220">
        <w:rPr>
          <w:rFonts w:cs="Times New Roman"/>
          <w:szCs w:val="24"/>
          <w:lang w:val="fr-CA"/>
        </w:rPr>
        <w:t xml:space="preserve">l </w:t>
      </w:r>
      <w:r w:rsidR="00FB15B2" w:rsidRPr="00403220">
        <w:rPr>
          <w:rFonts w:cs="Times New Roman"/>
          <w:szCs w:val="24"/>
          <w:lang w:val="fr-CA"/>
        </w:rPr>
        <w:t>peut donc</w:t>
      </w:r>
      <w:r w:rsidRPr="00403220">
        <w:rPr>
          <w:rFonts w:cs="Times New Roman"/>
          <w:szCs w:val="24"/>
          <w:lang w:val="fr-CA"/>
        </w:rPr>
        <w:t xml:space="preserve"> se révéler utile de revoir l</w:t>
      </w:r>
      <w:r w:rsidR="008372AA" w:rsidRPr="00403220">
        <w:rPr>
          <w:rFonts w:cs="Times New Roman"/>
          <w:szCs w:val="24"/>
          <w:lang w:val="fr-CA"/>
        </w:rPr>
        <w:t>’</w:t>
      </w:r>
      <w:r w:rsidRPr="00403220">
        <w:rPr>
          <w:rFonts w:cs="Times New Roman"/>
          <w:szCs w:val="24"/>
          <w:lang w:val="fr-CA"/>
        </w:rPr>
        <w:t>objet</w:t>
      </w:r>
      <w:r w:rsidR="00A93A67" w:rsidRPr="00403220">
        <w:rPr>
          <w:rFonts w:cs="Times New Roman"/>
          <w:szCs w:val="24"/>
          <w:lang w:val="fr-CA"/>
        </w:rPr>
        <w:t xml:space="preserve"> du critère et son application.</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Le pouvoir de radier les demandes ne présentant aucune </w:t>
      </w:r>
      <w:r w:rsidR="009B0EEE" w:rsidRPr="00403220">
        <w:rPr>
          <w:rFonts w:cs="Times New Roman"/>
          <w:szCs w:val="24"/>
          <w:lang w:val="fr-CA"/>
        </w:rPr>
        <w:t>possib</w:t>
      </w:r>
      <w:r w:rsidR="00B563DD" w:rsidRPr="00403220">
        <w:rPr>
          <w:rFonts w:cs="Times New Roman"/>
          <w:szCs w:val="24"/>
          <w:lang w:val="fr-CA"/>
        </w:rPr>
        <w:t>i</w:t>
      </w:r>
      <w:r w:rsidR="009B0EEE" w:rsidRPr="00403220">
        <w:rPr>
          <w:rFonts w:cs="Times New Roman"/>
          <w:szCs w:val="24"/>
          <w:lang w:val="fr-CA"/>
        </w:rPr>
        <w:t>lité</w:t>
      </w:r>
      <w:r w:rsidRPr="00403220">
        <w:rPr>
          <w:rFonts w:cs="Times New Roman"/>
          <w:szCs w:val="24"/>
          <w:lang w:val="fr-CA"/>
        </w:rPr>
        <w:t xml:space="preserve"> raisonnable de </w:t>
      </w:r>
      <w:proofErr w:type="gramStart"/>
      <w:r w:rsidRPr="00403220">
        <w:rPr>
          <w:rFonts w:cs="Times New Roman"/>
          <w:szCs w:val="24"/>
          <w:lang w:val="fr-CA"/>
        </w:rPr>
        <w:t>succès constitue</w:t>
      </w:r>
      <w:proofErr w:type="gramEnd"/>
      <w:r w:rsidRPr="00403220">
        <w:rPr>
          <w:rFonts w:cs="Times New Roman"/>
          <w:szCs w:val="24"/>
          <w:lang w:val="fr-CA"/>
        </w:rPr>
        <w:t xml:space="preserve"> une importante mesure de gouverne judiciaire essentielle à l</w:t>
      </w:r>
      <w:r w:rsidR="008372AA" w:rsidRPr="00403220">
        <w:rPr>
          <w:rFonts w:cs="Times New Roman"/>
          <w:szCs w:val="24"/>
          <w:lang w:val="fr-CA"/>
        </w:rPr>
        <w:t>’</w:t>
      </w:r>
      <w:r w:rsidRPr="00403220">
        <w:rPr>
          <w:rFonts w:cs="Times New Roman"/>
          <w:szCs w:val="24"/>
          <w:lang w:val="fr-CA"/>
        </w:rPr>
        <w:t>efficacité et à l</w:t>
      </w:r>
      <w:r w:rsidR="008372AA" w:rsidRPr="00403220">
        <w:rPr>
          <w:rFonts w:cs="Times New Roman"/>
          <w:szCs w:val="24"/>
          <w:lang w:val="fr-CA"/>
        </w:rPr>
        <w:t>’</w:t>
      </w:r>
      <w:r w:rsidRPr="00403220">
        <w:rPr>
          <w:rFonts w:cs="Times New Roman"/>
          <w:szCs w:val="24"/>
          <w:lang w:val="fr-CA"/>
        </w:rPr>
        <w:t>équité des procès.  Il permet d</w:t>
      </w:r>
      <w:r w:rsidR="008372AA" w:rsidRPr="00403220">
        <w:rPr>
          <w:rFonts w:cs="Times New Roman"/>
          <w:szCs w:val="24"/>
          <w:lang w:val="fr-CA"/>
        </w:rPr>
        <w:t>’</w:t>
      </w:r>
      <w:r w:rsidRPr="00403220">
        <w:rPr>
          <w:rFonts w:cs="Times New Roman"/>
          <w:szCs w:val="24"/>
          <w:lang w:val="fr-CA"/>
        </w:rPr>
        <w:t xml:space="preserve">élaguer les litiges en écartant les demandes </w:t>
      </w:r>
      <w:r w:rsidR="009B0EEE" w:rsidRPr="00403220">
        <w:rPr>
          <w:rFonts w:cs="Times New Roman"/>
          <w:szCs w:val="24"/>
          <w:lang w:val="fr-CA"/>
        </w:rPr>
        <w:t>vaines et en assurant l</w:t>
      </w:r>
      <w:r w:rsidR="008372AA" w:rsidRPr="00403220">
        <w:rPr>
          <w:rFonts w:cs="Times New Roman"/>
          <w:szCs w:val="24"/>
          <w:lang w:val="fr-CA"/>
        </w:rPr>
        <w:t>’</w:t>
      </w:r>
      <w:r w:rsidR="009B0EEE" w:rsidRPr="00403220">
        <w:rPr>
          <w:rFonts w:cs="Times New Roman"/>
          <w:szCs w:val="24"/>
          <w:lang w:val="fr-CA"/>
        </w:rPr>
        <w:t>instruction des demandes susceptibles d</w:t>
      </w:r>
      <w:r w:rsidR="008372AA" w:rsidRPr="00403220">
        <w:rPr>
          <w:rFonts w:cs="Times New Roman"/>
          <w:szCs w:val="24"/>
          <w:lang w:val="fr-CA"/>
        </w:rPr>
        <w:t>’</w:t>
      </w:r>
      <w:r w:rsidR="009B0EEE" w:rsidRPr="00403220">
        <w:rPr>
          <w:rFonts w:cs="Times New Roman"/>
          <w:szCs w:val="24"/>
          <w:lang w:val="fr-CA"/>
        </w:rPr>
        <w:t>être accueill</w:t>
      </w:r>
      <w:r w:rsidR="003073B6" w:rsidRPr="00403220">
        <w:rPr>
          <w:rFonts w:cs="Times New Roman"/>
          <w:szCs w:val="24"/>
          <w:lang w:val="fr-CA"/>
        </w:rPr>
        <w:t>i</w:t>
      </w:r>
      <w:r w:rsidR="009B0EEE" w:rsidRPr="00403220">
        <w:rPr>
          <w:rFonts w:cs="Times New Roman"/>
          <w:szCs w:val="24"/>
          <w:lang w:val="fr-CA"/>
        </w:rPr>
        <w:t>es</w:t>
      </w:r>
      <w:r w:rsidR="003073B6" w:rsidRPr="00403220">
        <w:rPr>
          <w:rFonts w:cs="Times New Roman"/>
          <w:szCs w:val="24"/>
          <w:lang w:val="fr-CA"/>
        </w:rPr>
        <w:t>.</w:t>
      </w:r>
    </w:p>
    <w:p w:rsidR="0047179D" w:rsidRPr="00403220" w:rsidRDefault="0047179D" w:rsidP="005A33F7">
      <w:pPr>
        <w:pStyle w:val="ParaNoNdepar-AltN"/>
        <w:rPr>
          <w:rFonts w:cs="Times New Roman"/>
          <w:szCs w:val="24"/>
          <w:lang w:val="fr-CA"/>
        </w:rPr>
      </w:pPr>
      <w:r w:rsidRPr="00403220">
        <w:rPr>
          <w:rFonts w:cs="Times New Roman"/>
          <w:szCs w:val="24"/>
          <w:lang w:val="fr-CA"/>
        </w:rPr>
        <w:t>Ce faisant, il favorise deux conséquences positives, soit l</w:t>
      </w:r>
      <w:r w:rsidR="008372AA" w:rsidRPr="00403220">
        <w:rPr>
          <w:rFonts w:cs="Times New Roman"/>
          <w:szCs w:val="24"/>
          <w:lang w:val="fr-CA"/>
        </w:rPr>
        <w:t>’</w:t>
      </w:r>
      <w:r w:rsidRPr="00403220">
        <w:rPr>
          <w:rFonts w:cs="Times New Roman"/>
          <w:szCs w:val="24"/>
          <w:lang w:val="fr-CA"/>
        </w:rPr>
        <w:t xml:space="preserve">instruction efficace des litiges et le </w:t>
      </w:r>
      <w:proofErr w:type="spellStart"/>
      <w:r w:rsidRPr="00403220">
        <w:rPr>
          <w:rFonts w:cs="Times New Roman"/>
          <w:szCs w:val="24"/>
          <w:lang w:val="fr-CA"/>
        </w:rPr>
        <w:t>bien</w:t>
      </w:r>
      <w:r w:rsidR="00A54DAC" w:rsidRPr="00403220">
        <w:rPr>
          <w:rFonts w:cs="Times New Roman"/>
          <w:szCs w:val="24"/>
          <w:lang w:val="fr-CA"/>
        </w:rPr>
        <w:noBreakHyphen/>
      </w:r>
      <w:r w:rsidRPr="00403220">
        <w:rPr>
          <w:rFonts w:cs="Times New Roman"/>
          <w:szCs w:val="24"/>
          <w:lang w:val="fr-CA"/>
        </w:rPr>
        <w:t>fondé</w:t>
      </w:r>
      <w:proofErr w:type="spellEnd"/>
      <w:r w:rsidRPr="00403220">
        <w:rPr>
          <w:rFonts w:cs="Times New Roman"/>
          <w:szCs w:val="24"/>
          <w:lang w:val="fr-CA"/>
        </w:rPr>
        <w:t xml:space="preserve"> des </w:t>
      </w:r>
      <w:r w:rsidR="003073B6" w:rsidRPr="00403220">
        <w:rPr>
          <w:rFonts w:cs="Times New Roman"/>
          <w:szCs w:val="24"/>
          <w:lang w:val="fr-CA"/>
        </w:rPr>
        <w:t>décisions sur ces demandes</w:t>
      </w:r>
      <w:r w:rsidRPr="00403220">
        <w:rPr>
          <w:rFonts w:cs="Times New Roman"/>
          <w:szCs w:val="24"/>
          <w:lang w:val="fr-CA"/>
        </w:rPr>
        <w:t xml:space="preserve">.  </w:t>
      </w:r>
      <w:r w:rsidR="003073B6" w:rsidRPr="00403220">
        <w:rPr>
          <w:rFonts w:cs="Times New Roman"/>
          <w:szCs w:val="24"/>
          <w:lang w:val="fr-CA"/>
        </w:rPr>
        <w:t>La radiation des</w:t>
      </w:r>
      <w:r w:rsidRPr="00403220">
        <w:rPr>
          <w:rFonts w:cs="Times New Roman"/>
          <w:szCs w:val="24"/>
          <w:lang w:val="fr-CA"/>
        </w:rPr>
        <w:t xml:space="preserve"> demandes n</w:t>
      </w:r>
      <w:r w:rsidR="008372AA" w:rsidRPr="00403220">
        <w:rPr>
          <w:rFonts w:cs="Times New Roman"/>
          <w:szCs w:val="24"/>
          <w:lang w:val="fr-CA"/>
        </w:rPr>
        <w:t>’</w:t>
      </w:r>
      <w:r w:rsidRPr="00403220">
        <w:rPr>
          <w:rFonts w:cs="Times New Roman"/>
          <w:szCs w:val="24"/>
          <w:lang w:val="fr-CA"/>
        </w:rPr>
        <w:t xml:space="preserve">ayant aucune </w:t>
      </w:r>
      <w:r w:rsidR="003073B6" w:rsidRPr="00403220">
        <w:rPr>
          <w:rFonts w:cs="Times New Roman"/>
          <w:szCs w:val="24"/>
          <w:lang w:val="fr-CA"/>
        </w:rPr>
        <w:t>possibilité</w:t>
      </w:r>
      <w:r w:rsidRPr="00403220">
        <w:rPr>
          <w:rFonts w:cs="Times New Roman"/>
          <w:szCs w:val="24"/>
          <w:lang w:val="fr-CA"/>
        </w:rPr>
        <w:t xml:space="preserve"> raisonnable de succès favorise l</w:t>
      </w:r>
      <w:r w:rsidR="008372AA" w:rsidRPr="00403220">
        <w:rPr>
          <w:rFonts w:cs="Times New Roman"/>
          <w:szCs w:val="24"/>
          <w:lang w:val="fr-CA"/>
        </w:rPr>
        <w:t>’</w:t>
      </w:r>
      <w:r w:rsidRPr="00403220">
        <w:rPr>
          <w:rFonts w:cs="Times New Roman"/>
          <w:szCs w:val="24"/>
          <w:lang w:val="fr-CA"/>
        </w:rPr>
        <w:t>efficacité et fait épargner temps et argent.  Les plaideurs peuvent se concentrer sur les demandes importantes et n</w:t>
      </w:r>
      <w:r w:rsidR="008372AA" w:rsidRPr="00403220">
        <w:rPr>
          <w:rFonts w:cs="Times New Roman"/>
          <w:szCs w:val="24"/>
          <w:lang w:val="fr-CA"/>
        </w:rPr>
        <w:t>’</w:t>
      </w:r>
      <w:r w:rsidRPr="00403220">
        <w:rPr>
          <w:rFonts w:cs="Times New Roman"/>
          <w:szCs w:val="24"/>
          <w:lang w:val="fr-CA"/>
        </w:rPr>
        <w:t xml:space="preserve">ont pas à consacrer des jours — parfois même des semaines — à la </w:t>
      </w:r>
      <w:r w:rsidRPr="00403220">
        <w:rPr>
          <w:rFonts w:cs="Times New Roman"/>
          <w:szCs w:val="24"/>
          <w:lang w:val="fr-CA"/>
        </w:rPr>
        <w:lastRenderedPageBreak/>
        <w:t>preuve et aux arguments de demandes vouées de toute façon à l</w:t>
      </w:r>
      <w:r w:rsidR="008372AA" w:rsidRPr="00403220">
        <w:rPr>
          <w:rFonts w:cs="Times New Roman"/>
          <w:szCs w:val="24"/>
          <w:lang w:val="fr-CA"/>
        </w:rPr>
        <w:t>’</w:t>
      </w:r>
      <w:r w:rsidRPr="00403220">
        <w:rPr>
          <w:rFonts w:cs="Times New Roman"/>
          <w:szCs w:val="24"/>
          <w:lang w:val="fr-CA"/>
        </w:rPr>
        <w:t xml:space="preserve">échec.  Il en va de même </w:t>
      </w:r>
      <w:r w:rsidR="00DC6F31" w:rsidRPr="00403220">
        <w:rPr>
          <w:rFonts w:cs="Times New Roman"/>
          <w:szCs w:val="24"/>
          <w:lang w:val="fr-CA"/>
        </w:rPr>
        <w:t>pour l</w:t>
      </w:r>
      <w:r w:rsidRPr="00403220">
        <w:rPr>
          <w:rFonts w:cs="Times New Roman"/>
          <w:szCs w:val="24"/>
          <w:lang w:val="fr-CA"/>
        </w:rPr>
        <w:t xml:space="preserve">es juges et </w:t>
      </w:r>
      <w:r w:rsidR="00DC6F31" w:rsidRPr="00403220">
        <w:rPr>
          <w:rFonts w:cs="Times New Roman"/>
          <w:szCs w:val="24"/>
          <w:lang w:val="fr-CA"/>
        </w:rPr>
        <w:t>l</w:t>
      </w:r>
      <w:r w:rsidRPr="00403220">
        <w:rPr>
          <w:rFonts w:cs="Times New Roman"/>
          <w:szCs w:val="24"/>
          <w:lang w:val="fr-CA"/>
        </w:rPr>
        <w:t>es jurés, dont l</w:t>
      </w:r>
      <w:r w:rsidR="008372AA" w:rsidRPr="00403220">
        <w:rPr>
          <w:rFonts w:cs="Times New Roman"/>
          <w:szCs w:val="24"/>
          <w:lang w:val="fr-CA"/>
        </w:rPr>
        <w:t>’</w:t>
      </w:r>
      <w:r w:rsidRPr="00403220">
        <w:rPr>
          <w:rFonts w:cs="Times New Roman"/>
          <w:szCs w:val="24"/>
          <w:lang w:val="fr-CA"/>
        </w:rPr>
        <w:t xml:space="preserve">attention est portée là où il le faut, soit sur les demandes présentant une </w:t>
      </w:r>
      <w:r w:rsidR="00DC6F31" w:rsidRPr="00403220">
        <w:rPr>
          <w:rFonts w:cs="Times New Roman"/>
          <w:szCs w:val="24"/>
          <w:lang w:val="fr-CA"/>
        </w:rPr>
        <w:t>possibilité</w:t>
      </w:r>
      <w:r w:rsidRPr="00403220">
        <w:rPr>
          <w:rFonts w:cs="Times New Roman"/>
          <w:szCs w:val="24"/>
          <w:lang w:val="fr-CA"/>
        </w:rPr>
        <w:t xml:space="preserve"> raisonnable de succès.  Les gains d</w:t>
      </w:r>
      <w:r w:rsidR="008372AA" w:rsidRPr="00403220">
        <w:rPr>
          <w:rFonts w:cs="Times New Roman"/>
          <w:szCs w:val="24"/>
          <w:lang w:val="fr-CA"/>
        </w:rPr>
        <w:t>’</w:t>
      </w:r>
      <w:r w:rsidRPr="00403220">
        <w:rPr>
          <w:rFonts w:cs="Times New Roman"/>
          <w:szCs w:val="24"/>
          <w:lang w:val="fr-CA"/>
        </w:rPr>
        <w:t xml:space="preserve">efficacité découlant de cet </w:t>
      </w:r>
      <w:r w:rsidR="006603C4" w:rsidRPr="00403220">
        <w:rPr>
          <w:rFonts w:cs="Times New Roman"/>
          <w:szCs w:val="24"/>
          <w:lang w:val="fr-CA"/>
        </w:rPr>
        <w:t>élagage</w:t>
      </w:r>
      <w:r w:rsidRPr="00403220">
        <w:rPr>
          <w:rFonts w:cs="Times New Roman"/>
          <w:szCs w:val="24"/>
          <w:lang w:val="fr-CA"/>
        </w:rPr>
        <w:t xml:space="preserve"> contribuent à leur tour à </w:t>
      </w:r>
      <w:r w:rsidR="00DC6F31"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amélior</w:t>
      </w:r>
      <w:r w:rsidR="00DC6F31" w:rsidRPr="00403220">
        <w:rPr>
          <w:rFonts w:cs="Times New Roman"/>
          <w:szCs w:val="24"/>
          <w:lang w:val="fr-CA"/>
        </w:rPr>
        <w:t>ation de l</w:t>
      </w:r>
      <w:r w:rsidR="008372AA" w:rsidRPr="00403220">
        <w:rPr>
          <w:rFonts w:cs="Times New Roman"/>
          <w:szCs w:val="24"/>
          <w:lang w:val="fr-CA"/>
        </w:rPr>
        <w:t>’</w:t>
      </w:r>
      <w:r w:rsidR="00DC6F31" w:rsidRPr="00403220">
        <w:rPr>
          <w:rFonts w:cs="Times New Roman"/>
          <w:szCs w:val="24"/>
          <w:lang w:val="fr-CA"/>
        </w:rPr>
        <w:t>administration de</w:t>
      </w:r>
      <w:r w:rsidRPr="00403220">
        <w:rPr>
          <w:rFonts w:cs="Times New Roman"/>
          <w:szCs w:val="24"/>
          <w:lang w:val="fr-CA"/>
        </w:rPr>
        <w:t xml:space="preserve"> la justice.  Plus la preuve et les arguments sont </w:t>
      </w:r>
      <w:proofErr w:type="gramStart"/>
      <w:r w:rsidRPr="00403220">
        <w:rPr>
          <w:rFonts w:cs="Times New Roman"/>
          <w:szCs w:val="24"/>
          <w:lang w:val="fr-CA"/>
        </w:rPr>
        <w:t>axés</w:t>
      </w:r>
      <w:proofErr w:type="gramEnd"/>
      <w:r w:rsidRPr="00403220">
        <w:rPr>
          <w:rFonts w:cs="Times New Roman"/>
          <w:szCs w:val="24"/>
          <w:lang w:val="fr-CA"/>
        </w:rPr>
        <w:t xml:space="preserve"> sur les vraies questions, mieux les thèses des parties à l</w:t>
      </w:r>
      <w:r w:rsidR="008372AA" w:rsidRPr="00403220">
        <w:rPr>
          <w:rFonts w:cs="Times New Roman"/>
          <w:szCs w:val="24"/>
          <w:lang w:val="fr-CA"/>
        </w:rPr>
        <w:t>’</w:t>
      </w:r>
      <w:r w:rsidRPr="00403220">
        <w:rPr>
          <w:rFonts w:cs="Times New Roman"/>
          <w:szCs w:val="24"/>
          <w:lang w:val="fr-CA"/>
        </w:rPr>
        <w:t xml:space="preserve">égard </w:t>
      </w:r>
      <w:r w:rsidR="00E54FED" w:rsidRPr="00403220">
        <w:rPr>
          <w:rFonts w:cs="Times New Roman"/>
          <w:szCs w:val="24"/>
          <w:lang w:val="fr-CA"/>
        </w:rPr>
        <w:t xml:space="preserve">de ces questions </w:t>
      </w:r>
      <w:r w:rsidRPr="00403220">
        <w:rPr>
          <w:rFonts w:cs="Times New Roman"/>
          <w:szCs w:val="24"/>
          <w:lang w:val="fr-CA"/>
        </w:rPr>
        <w:t xml:space="preserve">et le </w:t>
      </w:r>
      <w:proofErr w:type="spellStart"/>
      <w:r w:rsidRPr="00403220">
        <w:rPr>
          <w:rFonts w:cs="Times New Roman"/>
          <w:szCs w:val="24"/>
          <w:lang w:val="fr-CA"/>
        </w:rPr>
        <w:t>bien</w:t>
      </w:r>
      <w:r w:rsidR="00A54DAC" w:rsidRPr="00403220">
        <w:rPr>
          <w:rFonts w:cs="Times New Roman"/>
          <w:szCs w:val="24"/>
          <w:lang w:val="fr-CA"/>
        </w:rPr>
        <w:noBreakHyphen/>
      </w:r>
      <w:r w:rsidRPr="00403220">
        <w:rPr>
          <w:rFonts w:cs="Times New Roman"/>
          <w:szCs w:val="24"/>
          <w:lang w:val="fr-CA"/>
        </w:rPr>
        <w:t>fondé</w:t>
      </w:r>
      <w:proofErr w:type="spellEnd"/>
      <w:r w:rsidRPr="00403220">
        <w:rPr>
          <w:rFonts w:cs="Times New Roman"/>
          <w:szCs w:val="24"/>
          <w:lang w:val="fr-CA"/>
        </w:rPr>
        <w:t xml:space="preserve"> de l</w:t>
      </w:r>
      <w:r w:rsidR="008372AA" w:rsidRPr="00403220">
        <w:rPr>
          <w:rFonts w:cs="Times New Roman"/>
          <w:szCs w:val="24"/>
          <w:lang w:val="fr-CA"/>
        </w:rPr>
        <w:t>’</w:t>
      </w:r>
      <w:r w:rsidRPr="00403220">
        <w:rPr>
          <w:rFonts w:cs="Times New Roman"/>
          <w:szCs w:val="24"/>
          <w:lang w:val="fr-CA"/>
        </w:rPr>
        <w:t>affaire se dégageront de l</w:t>
      </w:r>
      <w:r w:rsidR="008372AA" w:rsidRPr="00403220">
        <w:rPr>
          <w:rFonts w:cs="Times New Roman"/>
          <w:szCs w:val="24"/>
          <w:lang w:val="fr-CA"/>
        </w:rPr>
        <w:t>’</w:t>
      </w:r>
      <w:r w:rsidRPr="00403220">
        <w:rPr>
          <w:rFonts w:cs="Times New Roman"/>
          <w:szCs w:val="24"/>
          <w:lang w:val="fr-CA"/>
        </w:rPr>
        <w:t>instruction du procès.</w:t>
      </w:r>
    </w:p>
    <w:p w:rsidR="0047179D" w:rsidRPr="00403220" w:rsidRDefault="0047179D" w:rsidP="005A33F7">
      <w:pPr>
        <w:pStyle w:val="ParaNoNdepar-AltN"/>
        <w:rPr>
          <w:rFonts w:cs="Times New Roman"/>
          <w:szCs w:val="24"/>
          <w:lang w:val="fr-CA"/>
        </w:rPr>
      </w:pPr>
      <w:r w:rsidRPr="00403220">
        <w:rPr>
          <w:rFonts w:cs="Times New Roman"/>
          <w:szCs w:val="24"/>
          <w:lang w:val="fr-CA"/>
        </w:rPr>
        <w:t>Quoique très utile, la requête en radiation ne saurait être accueillie à la légère.  Le droit n</w:t>
      </w:r>
      <w:r w:rsidR="008372AA" w:rsidRPr="00403220">
        <w:rPr>
          <w:rFonts w:cs="Times New Roman"/>
          <w:szCs w:val="24"/>
          <w:lang w:val="fr-CA"/>
        </w:rPr>
        <w:t>’</w:t>
      </w:r>
      <w:r w:rsidRPr="00403220">
        <w:rPr>
          <w:rFonts w:cs="Times New Roman"/>
          <w:szCs w:val="24"/>
          <w:lang w:val="fr-CA"/>
        </w:rPr>
        <w:t xml:space="preserve">est pas immuable.  Des actions qui semblaient hier encore </w:t>
      </w:r>
      <w:r w:rsidR="00A06917" w:rsidRPr="00403220">
        <w:rPr>
          <w:rFonts w:cs="Times New Roman"/>
          <w:szCs w:val="24"/>
          <w:lang w:val="fr-CA"/>
        </w:rPr>
        <w:t>vouées à l</w:t>
      </w:r>
      <w:r w:rsidR="008372AA" w:rsidRPr="00403220">
        <w:rPr>
          <w:rFonts w:cs="Times New Roman"/>
          <w:szCs w:val="24"/>
          <w:lang w:val="fr-CA"/>
        </w:rPr>
        <w:t>’</w:t>
      </w:r>
      <w:r w:rsidR="0097633F" w:rsidRPr="00403220">
        <w:rPr>
          <w:rFonts w:cs="Times New Roman"/>
          <w:szCs w:val="24"/>
          <w:lang w:val="fr-CA"/>
        </w:rPr>
        <w:t>é</w:t>
      </w:r>
      <w:r w:rsidR="00A06917" w:rsidRPr="00403220">
        <w:rPr>
          <w:rFonts w:cs="Times New Roman"/>
          <w:szCs w:val="24"/>
          <w:lang w:val="fr-CA"/>
        </w:rPr>
        <w:t>chec</w:t>
      </w:r>
      <w:r w:rsidRPr="00403220">
        <w:rPr>
          <w:rFonts w:cs="Times New Roman"/>
          <w:szCs w:val="24"/>
          <w:lang w:val="fr-CA"/>
        </w:rPr>
        <w:t xml:space="preserve"> pourraient être accueillies demain.  Avant qu</w:t>
      </w:r>
      <w:r w:rsidR="008372AA" w:rsidRPr="00403220">
        <w:rPr>
          <w:rFonts w:cs="Times New Roman"/>
          <w:szCs w:val="24"/>
          <w:lang w:val="fr-CA"/>
        </w:rPr>
        <w:t>’</w:t>
      </w:r>
      <w:r w:rsidRPr="00403220">
        <w:rPr>
          <w:rFonts w:cs="Times New Roman"/>
          <w:szCs w:val="24"/>
          <w:lang w:val="fr-CA"/>
        </w:rPr>
        <w:t>une obligation générale de diligence envers son prochain reposant sur la prévisibilité soit reconnue dans l</w:t>
      </w:r>
      <w:r w:rsidR="008372AA" w:rsidRPr="00403220">
        <w:rPr>
          <w:rFonts w:cs="Times New Roman"/>
          <w:szCs w:val="24"/>
          <w:lang w:val="fr-CA"/>
        </w:rPr>
        <w:t>’</w:t>
      </w:r>
      <w:r w:rsidRPr="00403220">
        <w:rPr>
          <w:rFonts w:cs="Times New Roman"/>
          <w:szCs w:val="24"/>
          <w:lang w:val="fr-CA"/>
        </w:rPr>
        <w:t xml:space="preserve">arrêt </w:t>
      </w:r>
      <w:proofErr w:type="spellStart"/>
      <w:r w:rsidRPr="00403220">
        <w:rPr>
          <w:rFonts w:cs="Times New Roman"/>
          <w:i/>
          <w:szCs w:val="24"/>
          <w:lang w:val="fr-CA"/>
        </w:rPr>
        <w:t>Donoghue</w:t>
      </w:r>
      <w:proofErr w:type="spellEnd"/>
      <w:r w:rsidRPr="00403220">
        <w:rPr>
          <w:rFonts w:cs="Times New Roman"/>
          <w:i/>
          <w:szCs w:val="24"/>
          <w:lang w:val="fr-CA"/>
        </w:rPr>
        <w:t xml:space="preserve"> c. Stevenson</w:t>
      </w:r>
      <w:r w:rsidR="00066F16" w:rsidRPr="00403220">
        <w:rPr>
          <w:rFonts w:cs="Times New Roman"/>
          <w:szCs w:val="24"/>
          <w:lang w:val="fr-CA"/>
        </w:rPr>
        <w:t>,</w:t>
      </w:r>
      <w:r w:rsidRPr="00403220">
        <w:rPr>
          <w:rFonts w:cs="Times New Roman"/>
          <w:szCs w:val="24"/>
          <w:lang w:val="fr-CA"/>
        </w:rPr>
        <w:t xml:space="preserve"> [1932] A.C. 562 (H.L.), peu de gens auraient pu prévoir qu</w:t>
      </w:r>
      <w:r w:rsidR="008372AA" w:rsidRPr="00403220">
        <w:rPr>
          <w:rFonts w:cs="Times New Roman"/>
          <w:szCs w:val="24"/>
          <w:lang w:val="fr-CA"/>
        </w:rPr>
        <w:t>’</w:t>
      </w:r>
      <w:r w:rsidRPr="00403220">
        <w:rPr>
          <w:rFonts w:cs="Times New Roman"/>
          <w:szCs w:val="24"/>
          <w:lang w:val="fr-CA"/>
        </w:rPr>
        <w:t>une entreprise d</w:t>
      </w:r>
      <w:r w:rsidR="008372AA" w:rsidRPr="00403220">
        <w:rPr>
          <w:rFonts w:cs="Times New Roman"/>
          <w:szCs w:val="24"/>
          <w:lang w:val="fr-CA"/>
        </w:rPr>
        <w:t>’</w:t>
      </w:r>
      <w:r w:rsidRPr="00403220">
        <w:rPr>
          <w:rFonts w:cs="Times New Roman"/>
          <w:szCs w:val="24"/>
          <w:lang w:val="fr-CA"/>
        </w:rPr>
        <w:t>embouteillage puisse être tenue responsable, en l</w:t>
      </w:r>
      <w:r w:rsidR="008372AA" w:rsidRPr="00403220">
        <w:rPr>
          <w:rFonts w:cs="Times New Roman"/>
          <w:szCs w:val="24"/>
          <w:lang w:val="fr-CA"/>
        </w:rPr>
        <w:t>’</w:t>
      </w:r>
      <w:r w:rsidRPr="00403220">
        <w:rPr>
          <w:rFonts w:cs="Times New Roman"/>
          <w:szCs w:val="24"/>
          <w:lang w:val="fr-CA"/>
        </w:rPr>
        <w:t>absence de tout lien contractuel, du préjudice corporel et du traumatisme émotionnel causé par la découverte d</w:t>
      </w:r>
      <w:r w:rsidR="008372AA" w:rsidRPr="00403220">
        <w:rPr>
          <w:rFonts w:cs="Times New Roman"/>
          <w:szCs w:val="24"/>
          <w:lang w:val="fr-CA"/>
        </w:rPr>
        <w:t>’</w:t>
      </w:r>
      <w:r w:rsidRPr="00403220">
        <w:rPr>
          <w:rFonts w:cs="Times New Roman"/>
          <w:szCs w:val="24"/>
          <w:lang w:val="fr-CA"/>
        </w:rPr>
        <w:t xml:space="preserve">un escargot </w:t>
      </w:r>
      <w:r w:rsidR="00A06917" w:rsidRPr="00403220">
        <w:rPr>
          <w:rFonts w:cs="Times New Roman"/>
          <w:szCs w:val="24"/>
          <w:lang w:val="fr-CA"/>
        </w:rPr>
        <w:t xml:space="preserve">dans </w:t>
      </w:r>
      <w:r w:rsidRPr="00403220">
        <w:rPr>
          <w:rFonts w:cs="Times New Roman"/>
          <w:szCs w:val="24"/>
          <w:lang w:val="fr-CA"/>
        </w:rPr>
        <w:t xml:space="preserve">une bouteille de bière de gingembre.  </w:t>
      </w:r>
      <w:r w:rsidR="00475C06" w:rsidRPr="00403220">
        <w:rPr>
          <w:rFonts w:cs="Times New Roman"/>
          <w:szCs w:val="24"/>
          <w:lang w:val="fr-CA"/>
        </w:rPr>
        <w:t>A</w:t>
      </w:r>
      <w:r w:rsidRPr="00403220">
        <w:rPr>
          <w:rFonts w:cs="Times New Roman"/>
          <w:szCs w:val="24"/>
          <w:lang w:val="fr-CA"/>
        </w:rPr>
        <w:t>vant</w:t>
      </w:r>
      <w:r w:rsidR="00A06917" w:rsidRPr="00403220">
        <w:rPr>
          <w:rFonts w:cs="Times New Roman"/>
          <w:szCs w:val="24"/>
          <w:lang w:val="fr-CA"/>
        </w:rPr>
        <w:t xml:space="preserve"> l</w:t>
      </w:r>
      <w:r w:rsidR="008372AA" w:rsidRPr="00403220">
        <w:rPr>
          <w:rFonts w:cs="Times New Roman"/>
          <w:szCs w:val="24"/>
          <w:lang w:val="fr-CA"/>
        </w:rPr>
        <w:t>’</w:t>
      </w:r>
      <w:r w:rsidR="00A06917" w:rsidRPr="00403220">
        <w:rPr>
          <w:rFonts w:cs="Times New Roman"/>
          <w:szCs w:val="24"/>
          <w:lang w:val="fr-CA"/>
        </w:rPr>
        <w:t>arrêt</w:t>
      </w:r>
      <w:r w:rsidRPr="00403220">
        <w:rPr>
          <w:rFonts w:cs="Times New Roman"/>
          <w:szCs w:val="24"/>
          <w:lang w:val="fr-CA"/>
        </w:rPr>
        <w:t xml:space="preserve"> </w:t>
      </w:r>
      <w:proofErr w:type="spellStart"/>
      <w:r w:rsidRPr="00403220">
        <w:rPr>
          <w:rFonts w:cs="Times New Roman"/>
          <w:i/>
          <w:iCs/>
          <w:spacing w:val="-3"/>
          <w:szCs w:val="24"/>
          <w:lang w:val="fr-CA"/>
        </w:rPr>
        <w:t>Hedley</w:t>
      </w:r>
      <w:proofErr w:type="spellEnd"/>
      <w:r w:rsidRPr="00403220">
        <w:rPr>
          <w:rFonts w:cs="Times New Roman"/>
          <w:i/>
          <w:iCs/>
          <w:spacing w:val="-3"/>
          <w:szCs w:val="24"/>
          <w:lang w:val="fr-CA"/>
        </w:rPr>
        <w:t xml:space="preserve"> Byrne &amp; Co. c</w:t>
      </w:r>
      <w:r w:rsidR="00475C06" w:rsidRPr="00403220">
        <w:rPr>
          <w:rFonts w:cs="Times New Roman"/>
          <w:i/>
          <w:iCs/>
          <w:spacing w:val="-3"/>
          <w:szCs w:val="24"/>
          <w:lang w:val="fr-CA"/>
        </w:rPr>
        <w:t xml:space="preserve">. Heller &amp; </w:t>
      </w:r>
      <w:proofErr w:type="spellStart"/>
      <w:r w:rsidR="00475C06" w:rsidRPr="00403220">
        <w:rPr>
          <w:rFonts w:cs="Times New Roman"/>
          <w:i/>
          <w:iCs/>
          <w:spacing w:val="-3"/>
          <w:szCs w:val="24"/>
          <w:lang w:val="fr-CA"/>
        </w:rPr>
        <w:t>Partners</w:t>
      </w:r>
      <w:proofErr w:type="spellEnd"/>
      <w:r w:rsidR="00891AB5">
        <w:rPr>
          <w:rFonts w:cs="Times New Roman"/>
          <w:i/>
          <w:iCs/>
          <w:spacing w:val="-3"/>
          <w:szCs w:val="24"/>
          <w:lang w:val="fr-CA"/>
        </w:rPr>
        <w:t>,</w:t>
      </w:r>
      <w:r w:rsidRPr="00403220">
        <w:rPr>
          <w:rFonts w:cs="Times New Roman"/>
          <w:i/>
          <w:iCs/>
          <w:spacing w:val="-3"/>
          <w:szCs w:val="24"/>
          <w:lang w:val="fr-CA"/>
        </w:rPr>
        <w:t xml:space="preserve"> Ltd.</w:t>
      </w:r>
      <w:r w:rsidRPr="00403220">
        <w:rPr>
          <w:rFonts w:cs="Times New Roman"/>
          <w:spacing w:val="-3"/>
          <w:szCs w:val="24"/>
          <w:lang w:val="fr-CA"/>
        </w:rPr>
        <w:t>, [1963] 2 All E.R. 575</w:t>
      </w:r>
      <w:r w:rsidR="00475C06" w:rsidRPr="00403220">
        <w:rPr>
          <w:rFonts w:cs="Times New Roman"/>
          <w:spacing w:val="-3"/>
          <w:szCs w:val="24"/>
          <w:lang w:val="fr-CA"/>
        </w:rPr>
        <w:t xml:space="preserve"> (H.L.)</w:t>
      </w:r>
      <w:r w:rsidRPr="00403220">
        <w:rPr>
          <w:rFonts w:cs="Times New Roman"/>
          <w:szCs w:val="24"/>
          <w:lang w:val="fr-CA"/>
        </w:rPr>
        <w:t>, l</w:t>
      </w:r>
      <w:r w:rsidR="008372AA" w:rsidRPr="00403220">
        <w:rPr>
          <w:rFonts w:cs="Times New Roman"/>
          <w:szCs w:val="24"/>
          <w:lang w:val="fr-CA"/>
        </w:rPr>
        <w:t>’</w:t>
      </w:r>
      <w:r w:rsidRPr="00403220">
        <w:rPr>
          <w:rFonts w:cs="Times New Roman"/>
          <w:szCs w:val="24"/>
          <w:lang w:val="fr-CA"/>
        </w:rPr>
        <w:t>action en responsabilité délictuelle pour déclaration</w:t>
      </w:r>
      <w:r w:rsidR="004130E8" w:rsidRPr="00403220">
        <w:rPr>
          <w:rFonts w:cs="Times New Roman"/>
          <w:szCs w:val="24"/>
          <w:lang w:val="fr-CA"/>
        </w:rPr>
        <w:t>s</w:t>
      </w:r>
      <w:r w:rsidRPr="00403220">
        <w:rPr>
          <w:rFonts w:cs="Times New Roman"/>
          <w:szCs w:val="24"/>
          <w:lang w:val="fr-CA"/>
        </w:rPr>
        <w:t xml:space="preserve"> inexacte</w:t>
      </w:r>
      <w:r w:rsidR="004130E8" w:rsidRPr="00403220">
        <w:rPr>
          <w:rFonts w:cs="Times New Roman"/>
          <w:szCs w:val="24"/>
          <w:lang w:val="fr-CA"/>
        </w:rPr>
        <w:t>s</w:t>
      </w:r>
      <w:r w:rsidRPr="00403220">
        <w:rPr>
          <w:rFonts w:cs="Times New Roman"/>
          <w:szCs w:val="24"/>
          <w:lang w:val="fr-CA"/>
        </w:rPr>
        <w:t xml:space="preserve"> faite</w:t>
      </w:r>
      <w:r w:rsidR="004130E8" w:rsidRPr="00403220">
        <w:rPr>
          <w:rFonts w:cs="Times New Roman"/>
          <w:szCs w:val="24"/>
          <w:lang w:val="fr-CA"/>
        </w:rPr>
        <w:t>s</w:t>
      </w:r>
      <w:r w:rsidRPr="00403220">
        <w:rPr>
          <w:rFonts w:cs="Times New Roman"/>
          <w:szCs w:val="24"/>
          <w:lang w:val="fr-CA"/>
        </w:rPr>
        <w:t xml:space="preserve"> par négligence aurait paru vouée à l</w:t>
      </w:r>
      <w:r w:rsidR="008372AA" w:rsidRPr="00403220">
        <w:rPr>
          <w:rFonts w:cs="Times New Roman"/>
          <w:szCs w:val="24"/>
          <w:lang w:val="fr-CA"/>
        </w:rPr>
        <w:t>’</w:t>
      </w:r>
      <w:r w:rsidRPr="00403220">
        <w:rPr>
          <w:rFonts w:cs="Times New Roman"/>
          <w:szCs w:val="24"/>
          <w:lang w:val="fr-CA"/>
        </w:rPr>
        <w:t xml:space="preserve">échec.  </w:t>
      </w:r>
      <w:r w:rsidR="00A06917"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histoire de notre droit</w:t>
      </w:r>
      <w:r w:rsidR="00A06917" w:rsidRPr="00403220">
        <w:rPr>
          <w:rFonts w:cs="Times New Roman"/>
          <w:szCs w:val="24"/>
          <w:lang w:val="fr-CA"/>
        </w:rPr>
        <w:t xml:space="preserve"> nous apprend que</w:t>
      </w:r>
      <w:r w:rsidRPr="00403220">
        <w:rPr>
          <w:rFonts w:cs="Times New Roman"/>
          <w:szCs w:val="24"/>
          <w:lang w:val="fr-CA"/>
        </w:rPr>
        <w:t xml:space="preserve"> souvent</w:t>
      </w:r>
      <w:r w:rsidR="00A06917" w:rsidRPr="00403220">
        <w:rPr>
          <w:rFonts w:cs="Times New Roman"/>
          <w:szCs w:val="24"/>
          <w:lang w:val="fr-CA"/>
        </w:rPr>
        <w:t>,</w:t>
      </w:r>
      <w:r w:rsidRPr="00403220">
        <w:rPr>
          <w:rFonts w:cs="Times New Roman"/>
          <w:szCs w:val="24"/>
          <w:lang w:val="fr-CA"/>
        </w:rPr>
        <w:t xml:space="preserve"> de</w:t>
      </w:r>
      <w:r w:rsidR="00A06917" w:rsidRPr="00403220">
        <w:rPr>
          <w:rFonts w:cs="Times New Roman"/>
          <w:szCs w:val="24"/>
          <w:lang w:val="fr-CA"/>
        </w:rPr>
        <w:t>s</w:t>
      </w:r>
      <w:r w:rsidRPr="00403220">
        <w:rPr>
          <w:rFonts w:cs="Times New Roman"/>
          <w:szCs w:val="24"/>
          <w:lang w:val="fr-CA"/>
        </w:rPr>
        <w:t xml:space="preserve"> requêtes en radiation ou </w:t>
      </w:r>
      <w:r w:rsidR="00A06917" w:rsidRPr="00403220">
        <w:rPr>
          <w:rFonts w:cs="Times New Roman"/>
          <w:szCs w:val="24"/>
          <w:lang w:val="fr-CA"/>
        </w:rPr>
        <w:t>des requêtes</w:t>
      </w:r>
      <w:r w:rsidRPr="00403220">
        <w:rPr>
          <w:rFonts w:cs="Times New Roman"/>
          <w:szCs w:val="24"/>
          <w:lang w:val="fr-CA"/>
        </w:rPr>
        <w:t xml:space="preserve"> préliminaires</w:t>
      </w:r>
      <w:r w:rsidR="00A06917" w:rsidRPr="00403220">
        <w:rPr>
          <w:rFonts w:cs="Times New Roman"/>
          <w:szCs w:val="24"/>
          <w:lang w:val="fr-CA"/>
        </w:rPr>
        <w:t xml:space="preserve"> semblables</w:t>
      </w:r>
      <w:r w:rsidRPr="00403220">
        <w:rPr>
          <w:rFonts w:cs="Times New Roman"/>
          <w:szCs w:val="24"/>
          <w:lang w:val="fr-CA"/>
        </w:rPr>
        <w:t>, à l</w:t>
      </w:r>
      <w:r w:rsidR="008372AA" w:rsidRPr="00403220">
        <w:rPr>
          <w:rFonts w:cs="Times New Roman"/>
          <w:szCs w:val="24"/>
          <w:lang w:val="fr-CA"/>
        </w:rPr>
        <w:t>’</w:t>
      </w:r>
      <w:r w:rsidRPr="00403220">
        <w:rPr>
          <w:rFonts w:cs="Times New Roman"/>
          <w:szCs w:val="24"/>
          <w:lang w:val="fr-CA"/>
        </w:rPr>
        <w:t xml:space="preserve">instar de celle présentée dans </w:t>
      </w:r>
      <w:proofErr w:type="spellStart"/>
      <w:r w:rsidRPr="00403220">
        <w:rPr>
          <w:rFonts w:cs="Times New Roman"/>
          <w:i/>
          <w:szCs w:val="24"/>
          <w:lang w:val="fr-CA"/>
        </w:rPr>
        <w:t>Donoghue</w:t>
      </w:r>
      <w:proofErr w:type="spellEnd"/>
      <w:r w:rsidRPr="00891AB5">
        <w:rPr>
          <w:rFonts w:cs="Times New Roman"/>
          <w:i/>
          <w:szCs w:val="24"/>
          <w:lang w:val="fr-CA"/>
        </w:rPr>
        <w:t xml:space="preserve"> c. </w:t>
      </w:r>
      <w:r w:rsidRPr="00403220">
        <w:rPr>
          <w:rFonts w:cs="Times New Roman"/>
          <w:i/>
          <w:szCs w:val="24"/>
          <w:lang w:val="fr-CA"/>
        </w:rPr>
        <w:t>Stevenson</w:t>
      </w:r>
      <w:r w:rsidRPr="00403220">
        <w:rPr>
          <w:rFonts w:cs="Times New Roman"/>
          <w:szCs w:val="24"/>
          <w:lang w:val="fr-CA"/>
        </w:rPr>
        <w:t xml:space="preserve">, </w:t>
      </w:r>
      <w:r w:rsidR="00A06917" w:rsidRPr="00403220">
        <w:rPr>
          <w:rFonts w:cs="Times New Roman"/>
          <w:szCs w:val="24"/>
          <w:lang w:val="fr-CA"/>
        </w:rPr>
        <w:t>amorcent une évolution du</w:t>
      </w:r>
      <w:r w:rsidRPr="00403220">
        <w:rPr>
          <w:rFonts w:cs="Times New Roman"/>
          <w:szCs w:val="24"/>
          <w:lang w:val="fr-CA"/>
        </w:rPr>
        <w:t xml:space="preserve"> droit.  Par </w:t>
      </w:r>
      <w:r w:rsidRPr="00403220">
        <w:rPr>
          <w:rFonts w:cs="Times New Roman"/>
          <w:szCs w:val="24"/>
          <w:lang w:val="fr-CA"/>
        </w:rPr>
        <w:lastRenderedPageBreak/>
        <w:t>conséquent, le fait qu</w:t>
      </w:r>
      <w:r w:rsidR="008372AA" w:rsidRPr="00403220">
        <w:rPr>
          <w:rFonts w:cs="Times New Roman"/>
          <w:szCs w:val="24"/>
          <w:lang w:val="fr-CA"/>
        </w:rPr>
        <w:t>’</w:t>
      </w:r>
      <w:r w:rsidRPr="00403220">
        <w:rPr>
          <w:rFonts w:cs="Times New Roman"/>
          <w:szCs w:val="24"/>
          <w:lang w:val="fr-CA"/>
        </w:rPr>
        <w:t xml:space="preserve">une action </w:t>
      </w:r>
      <w:r w:rsidR="00FF2F54" w:rsidRPr="00403220">
        <w:rPr>
          <w:rFonts w:cs="Times New Roman"/>
          <w:szCs w:val="24"/>
          <w:lang w:val="fr-CA"/>
        </w:rPr>
        <w:t>en particulie</w:t>
      </w:r>
      <w:r w:rsidRPr="00403220">
        <w:rPr>
          <w:rFonts w:cs="Times New Roman"/>
          <w:szCs w:val="24"/>
          <w:lang w:val="fr-CA"/>
        </w:rPr>
        <w:t>r n</w:t>
      </w:r>
      <w:r w:rsidR="008372AA" w:rsidRPr="00403220">
        <w:rPr>
          <w:rFonts w:cs="Times New Roman"/>
          <w:szCs w:val="24"/>
          <w:lang w:val="fr-CA"/>
        </w:rPr>
        <w:t>’</w:t>
      </w:r>
      <w:r w:rsidRPr="00403220">
        <w:rPr>
          <w:rFonts w:cs="Times New Roman"/>
          <w:szCs w:val="24"/>
          <w:lang w:val="fr-CA"/>
        </w:rPr>
        <w:t>a pas encore été reconnue en droit n</w:t>
      </w:r>
      <w:r w:rsidR="008372AA" w:rsidRPr="00403220">
        <w:rPr>
          <w:rFonts w:cs="Times New Roman"/>
          <w:szCs w:val="24"/>
          <w:lang w:val="fr-CA"/>
        </w:rPr>
        <w:t>’</w:t>
      </w:r>
      <w:r w:rsidRPr="00403220">
        <w:rPr>
          <w:rFonts w:cs="Times New Roman"/>
          <w:szCs w:val="24"/>
          <w:lang w:val="fr-CA"/>
        </w:rPr>
        <w:t xml:space="preserve">est pas déterminant pour la requête en radiation.  Le tribunal doit </w:t>
      </w:r>
      <w:r w:rsidR="00FF2F54" w:rsidRPr="00403220">
        <w:rPr>
          <w:rFonts w:cs="Times New Roman"/>
          <w:szCs w:val="24"/>
          <w:lang w:val="fr-CA"/>
        </w:rPr>
        <w:t>plutôt se demander</w:t>
      </w:r>
      <w:r w:rsidRPr="00403220">
        <w:rPr>
          <w:rFonts w:cs="Times New Roman"/>
          <w:szCs w:val="24"/>
          <w:lang w:val="fr-CA"/>
        </w:rPr>
        <w:t xml:space="preserve"> si, </w:t>
      </w:r>
      <w:r w:rsidR="00611178" w:rsidRPr="00403220">
        <w:rPr>
          <w:rFonts w:cs="Times New Roman"/>
          <w:szCs w:val="24"/>
          <w:lang w:val="fr-CA"/>
        </w:rPr>
        <w:t xml:space="preserve">dans l’hypothèse où </w:t>
      </w:r>
      <w:r w:rsidRPr="00403220">
        <w:rPr>
          <w:rFonts w:cs="Times New Roman"/>
          <w:szCs w:val="24"/>
          <w:lang w:val="fr-CA"/>
        </w:rPr>
        <w:t xml:space="preserve">les faits allégués </w:t>
      </w:r>
      <w:r w:rsidR="00611178" w:rsidRPr="00403220">
        <w:rPr>
          <w:rFonts w:cs="Times New Roman"/>
          <w:szCs w:val="24"/>
          <w:lang w:val="fr-CA"/>
        </w:rPr>
        <w:t>seraient</w:t>
      </w:r>
      <w:r w:rsidRPr="00403220">
        <w:rPr>
          <w:rFonts w:cs="Times New Roman"/>
          <w:szCs w:val="24"/>
          <w:lang w:val="fr-CA"/>
        </w:rPr>
        <w:t xml:space="preserve"> avérés,</w:t>
      </w:r>
      <w:r w:rsidR="00FF2F54" w:rsidRPr="00403220">
        <w:rPr>
          <w:rFonts w:cs="Times New Roman"/>
          <w:szCs w:val="24"/>
          <w:lang w:val="fr-CA"/>
        </w:rPr>
        <w:t xml:space="preserve"> il est raisonnablement possible que</w:t>
      </w:r>
      <w:r w:rsidRPr="00403220">
        <w:rPr>
          <w:rFonts w:cs="Times New Roman"/>
          <w:szCs w:val="24"/>
          <w:lang w:val="fr-CA"/>
        </w:rPr>
        <w:t xml:space="preserve"> l</w:t>
      </w:r>
      <w:r w:rsidR="008372AA" w:rsidRPr="00403220">
        <w:rPr>
          <w:rFonts w:cs="Times New Roman"/>
          <w:szCs w:val="24"/>
          <w:lang w:val="fr-CA"/>
        </w:rPr>
        <w:t>’</w:t>
      </w:r>
      <w:r w:rsidRPr="00403220">
        <w:rPr>
          <w:rFonts w:cs="Times New Roman"/>
          <w:szCs w:val="24"/>
          <w:lang w:val="fr-CA"/>
        </w:rPr>
        <w:t xml:space="preserve">action </w:t>
      </w:r>
      <w:r w:rsidR="00FF2F54" w:rsidRPr="00403220">
        <w:rPr>
          <w:rFonts w:cs="Times New Roman"/>
          <w:szCs w:val="24"/>
          <w:lang w:val="fr-CA"/>
        </w:rPr>
        <w:t>soit</w:t>
      </w:r>
      <w:r w:rsidRPr="00403220">
        <w:rPr>
          <w:rFonts w:cs="Times New Roman"/>
          <w:szCs w:val="24"/>
          <w:lang w:val="fr-CA"/>
        </w:rPr>
        <w:t xml:space="preserve"> accueillie.  L</w:t>
      </w:r>
      <w:r w:rsidR="008372AA" w:rsidRPr="00403220">
        <w:rPr>
          <w:rFonts w:cs="Times New Roman"/>
          <w:szCs w:val="24"/>
          <w:lang w:val="fr-CA"/>
        </w:rPr>
        <w:t>’</w:t>
      </w:r>
      <w:r w:rsidRPr="00403220">
        <w:rPr>
          <w:rFonts w:cs="Times New Roman"/>
          <w:szCs w:val="24"/>
          <w:lang w:val="fr-CA"/>
        </w:rPr>
        <w:t>approche doit être généreuse et permettre</w:t>
      </w:r>
      <w:r w:rsidR="00FF2F54" w:rsidRPr="00403220">
        <w:rPr>
          <w:rFonts w:cs="Times New Roman"/>
          <w:szCs w:val="24"/>
          <w:lang w:val="fr-CA"/>
        </w:rPr>
        <w:t>, dans la mesure du possible,</w:t>
      </w:r>
      <w:r w:rsidRPr="00403220">
        <w:rPr>
          <w:rFonts w:cs="Times New Roman"/>
          <w:szCs w:val="24"/>
          <w:lang w:val="fr-CA"/>
        </w:rPr>
        <w:t xml:space="preserve"> l</w:t>
      </w:r>
      <w:r w:rsidR="008372AA" w:rsidRPr="00403220">
        <w:rPr>
          <w:rFonts w:cs="Times New Roman"/>
          <w:szCs w:val="24"/>
          <w:lang w:val="fr-CA"/>
        </w:rPr>
        <w:t>’</w:t>
      </w:r>
      <w:r w:rsidRPr="00403220">
        <w:rPr>
          <w:rFonts w:cs="Times New Roman"/>
          <w:szCs w:val="24"/>
          <w:lang w:val="fr-CA"/>
        </w:rPr>
        <w:t xml:space="preserve">instruction de toute </w:t>
      </w:r>
      <w:r w:rsidR="00FF2F54" w:rsidRPr="00403220">
        <w:rPr>
          <w:rFonts w:cs="Times New Roman"/>
          <w:szCs w:val="24"/>
          <w:lang w:val="fr-CA"/>
        </w:rPr>
        <w:t xml:space="preserve">demande </w:t>
      </w:r>
      <w:r w:rsidR="00413740" w:rsidRPr="00403220">
        <w:rPr>
          <w:rFonts w:cs="Times New Roman"/>
          <w:szCs w:val="24"/>
          <w:lang w:val="fr-CA"/>
        </w:rPr>
        <w:t>inédit</w:t>
      </w:r>
      <w:r w:rsidR="006603C4" w:rsidRPr="00403220">
        <w:rPr>
          <w:rFonts w:cs="Times New Roman"/>
          <w:szCs w:val="24"/>
          <w:lang w:val="fr-CA"/>
        </w:rPr>
        <w:t>e,</w:t>
      </w:r>
      <w:r w:rsidRPr="00403220">
        <w:rPr>
          <w:rFonts w:cs="Times New Roman"/>
          <w:szCs w:val="24"/>
          <w:lang w:val="fr-CA"/>
        </w:rPr>
        <w:t xml:space="preserve"> mais </w:t>
      </w:r>
      <w:r w:rsidR="00FF2F54" w:rsidRPr="00403220">
        <w:rPr>
          <w:rFonts w:cs="Times New Roman"/>
          <w:szCs w:val="24"/>
          <w:lang w:val="fr-CA"/>
        </w:rPr>
        <w:t>souten</w:t>
      </w:r>
      <w:r w:rsidRPr="00403220">
        <w:rPr>
          <w:rFonts w:cs="Times New Roman"/>
          <w:szCs w:val="24"/>
          <w:lang w:val="fr-CA"/>
        </w:rPr>
        <w:t xml:space="preserve">able.  </w:t>
      </w:r>
    </w:p>
    <w:p w:rsidR="0047179D" w:rsidRPr="00403220" w:rsidRDefault="0047179D" w:rsidP="005A33F7">
      <w:pPr>
        <w:pStyle w:val="ParaNoNdepar-AltN"/>
        <w:rPr>
          <w:rFonts w:cs="Times New Roman"/>
          <w:szCs w:val="24"/>
          <w:lang w:val="fr-CA"/>
        </w:rPr>
      </w:pPr>
      <w:r w:rsidRPr="00403220">
        <w:rPr>
          <w:rFonts w:cs="Times New Roman"/>
          <w:szCs w:val="24"/>
          <w:lang w:val="fr-CA"/>
        </w:rPr>
        <w:t>Une requête en radiation pour absence de cause d</w:t>
      </w:r>
      <w:r w:rsidR="008372AA" w:rsidRPr="00403220">
        <w:rPr>
          <w:rFonts w:cs="Times New Roman"/>
          <w:szCs w:val="24"/>
          <w:lang w:val="fr-CA"/>
        </w:rPr>
        <w:t>’</w:t>
      </w:r>
      <w:r w:rsidRPr="00403220">
        <w:rPr>
          <w:rFonts w:cs="Times New Roman"/>
          <w:szCs w:val="24"/>
          <w:lang w:val="fr-CA"/>
        </w:rPr>
        <w:t>action raisonnable repose sur le principe que les faits allégués sont vrais, sauf s</w:t>
      </w:r>
      <w:r w:rsidR="008372AA" w:rsidRPr="00403220">
        <w:rPr>
          <w:rFonts w:cs="Times New Roman"/>
          <w:szCs w:val="24"/>
          <w:lang w:val="fr-CA"/>
        </w:rPr>
        <w:t>’</w:t>
      </w:r>
      <w:r w:rsidRPr="00403220">
        <w:rPr>
          <w:rFonts w:cs="Times New Roman"/>
          <w:szCs w:val="24"/>
          <w:lang w:val="fr-CA"/>
        </w:rPr>
        <w:t>ils ne peuvent manifestement pas être prouvés</w:t>
      </w:r>
      <w:r w:rsidR="00A54DAC" w:rsidRPr="00403220">
        <w:rPr>
          <w:rFonts w:cs="Times New Roman"/>
          <w:szCs w:val="24"/>
          <w:lang w:val="fr-CA"/>
        </w:rPr>
        <w:t> :</w:t>
      </w:r>
      <w:r w:rsidRPr="00403220">
        <w:rPr>
          <w:rFonts w:cs="Times New Roman"/>
          <w:szCs w:val="24"/>
          <w:lang w:val="fr-CA"/>
        </w:rPr>
        <w:t xml:space="preserve"> </w:t>
      </w:r>
      <w:proofErr w:type="spellStart"/>
      <w:r w:rsidRPr="00403220">
        <w:rPr>
          <w:rFonts w:cs="Times New Roman"/>
          <w:i/>
          <w:szCs w:val="24"/>
          <w:lang w:val="fr-CA"/>
        </w:rPr>
        <w:t>Operation</w:t>
      </w:r>
      <w:proofErr w:type="spellEnd"/>
      <w:r w:rsidRPr="00403220">
        <w:rPr>
          <w:rFonts w:cs="Times New Roman"/>
          <w:i/>
          <w:szCs w:val="24"/>
          <w:lang w:val="fr-CA"/>
        </w:rPr>
        <w:t xml:space="preserve"> </w:t>
      </w:r>
      <w:proofErr w:type="spellStart"/>
      <w:r w:rsidRPr="00403220">
        <w:rPr>
          <w:rFonts w:cs="Times New Roman"/>
          <w:i/>
          <w:szCs w:val="24"/>
          <w:lang w:val="fr-CA"/>
        </w:rPr>
        <w:t>Dismantle</w:t>
      </w:r>
      <w:proofErr w:type="spellEnd"/>
      <w:r w:rsidRPr="00403220">
        <w:rPr>
          <w:rFonts w:cs="Times New Roman"/>
          <w:i/>
          <w:szCs w:val="24"/>
          <w:lang w:val="fr-CA"/>
        </w:rPr>
        <w:t xml:space="preserve"> </w:t>
      </w:r>
      <w:r w:rsidR="00E64960" w:rsidRPr="00403220">
        <w:rPr>
          <w:rFonts w:cs="Times New Roman"/>
          <w:i/>
          <w:szCs w:val="24"/>
          <w:lang w:val="fr-CA"/>
        </w:rPr>
        <w:t xml:space="preserve">Inc. </w:t>
      </w:r>
      <w:r w:rsidRPr="00403220">
        <w:rPr>
          <w:rFonts w:cs="Times New Roman"/>
          <w:i/>
          <w:szCs w:val="24"/>
          <w:lang w:val="fr-CA"/>
        </w:rPr>
        <w:t>c. La Reine</w:t>
      </w:r>
      <w:r w:rsidRPr="00403220">
        <w:rPr>
          <w:rFonts w:cs="Times New Roman"/>
          <w:szCs w:val="24"/>
          <w:lang w:val="fr-CA"/>
        </w:rPr>
        <w:t xml:space="preserve">, [1985] 1 R.C.S. 441, </w:t>
      </w:r>
      <w:r w:rsidR="00A54DAC" w:rsidRPr="00403220">
        <w:rPr>
          <w:rFonts w:cs="Times New Roman"/>
          <w:szCs w:val="24"/>
          <w:lang w:val="fr-CA"/>
        </w:rPr>
        <w:t>p. </w:t>
      </w:r>
      <w:r w:rsidRPr="00403220">
        <w:rPr>
          <w:rFonts w:cs="Times New Roman"/>
          <w:szCs w:val="24"/>
          <w:lang w:val="fr-CA"/>
        </w:rPr>
        <w:t>455.  Aucune preuve n</w:t>
      </w:r>
      <w:r w:rsidR="008372AA" w:rsidRPr="00403220">
        <w:rPr>
          <w:rFonts w:cs="Times New Roman"/>
          <w:szCs w:val="24"/>
          <w:lang w:val="fr-CA"/>
        </w:rPr>
        <w:t>’</w:t>
      </w:r>
      <w:r w:rsidRPr="00403220">
        <w:rPr>
          <w:rFonts w:cs="Times New Roman"/>
          <w:szCs w:val="24"/>
          <w:lang w:val="fr-CA"/>
        </w:rPr>
        <w:t>est admissible à l</w:t>
      </w:r>
      <w:r w:rsidR="008372AA" w:rsidRPr="00403220">
        <w:rPr>
          <w:rFonts w:cs="Times New Roman"/>
          <w:szCs w:val="24"/>
          <w:lang w:val="fr-CA"/>
        </w:rPr>
        <w:t>’</w:t>
      </w:r>
      <w:r w:rsidRPr="00403220">
        <w:rPr>
          <w:rFonts w:cs="Times New Roman"/>
          <w:szCs w:val="24"/>
          <w:lang w:val="fr-CA"/>
        </w:rPr>
        <w:t>égard d</w:t>
      </w:r>
      <w:r w:rsidR="008372AA" w:rsidRPr="00403220">
        <w:rPr>
          <w:rFonts w:cs="Times New Roman"/>
          <w:szCs w:val="24"/>
          <w:lang w:val="fr-CA"/>
        </w:rPr>
        <w:t>’</w:t>
      </w:r>
      <w:r w:rsidRPr="00403220">
        <w:rPr>
          <w:rFonts w:cs="Times New Roman"/>
          <w:szCs w:val="24"/>
          <w:lang w:val="fr-CA"/>
        </w:rPr>
        <w:t>une telle requête</w:t>
      </w:r>
      <w:r w:rsidR="00A54DAC" w:rsidRPr="00403220">
        <w:rPr>
          <w:rFonts w:cs="Times New Roman"/>
          <w:szCs w:val="24"/>
          <w:lang w:val="fr-CA"/>
        </w:rPr>
        <w:t> :</w:t>
      </w:r>
      <w:r w:rsidR="002A5F66" w:rsidRPr="00403220">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 xml:space="preserve">19(27) des </w:t>
      </w:r>
      <w:proofErr w:type="spellStart"/>
      <w:r w:rsidR="00E64960" w:rsidRPr="00403220">
        <w:rPr>
          <w:rFonts w:cs="Times New Roman"/>
          <w:i/>
          <w:iCs/>
          <w:szCs w:val="24"/>
          <w:lang w:val="fr-CA"/>
        </w:rPr>
        <w:t>Supreme</w:t>
      </w:r>
      <w:proofErr w:type="spellEnd"/>
      <w:r w:rsidR="00E64960" w:rsidRPr="00403220">
        <w:rPr>
          <w:rFonts w:cs="Times New Roman"/>
          <w:i/>
          <w:iCs/>
          <w:szCs w:val="24"/>
          <w:lang w:val="fr-CA"/>
        </w:rPr>
        <w:t xml:space="preserve"> Court</w:t>
      </w:r>
      <w:r w:rsidR="00E64960" w:rsidRPr="00403220">
        <w:rPr>
          <w:rFonts w:cs="Times New Roman"/>
          <w:iCs/>
          <w:szCs w:val="24"/>
          <w:lang w:val="fr-CA"/>
        </w:rPr>
        <w:t xml:space="preserve"> </w:t>
      </w:r>
      <w:proofErr w:type="spellStart"/>
      <w:r w:rsidRPr="00403220">
        <w:rPr>
          <w:rFonts w:cs="Times New Roman"/>
          <w:i/>
          <w:iCs/>
          <w:szCs w:val="24"/>
          <w:lang w:val="fr-CA"/>
        </w:rPr>
        <w:t>Rules</w:t>
      </w:r>
      <w:proofErr w:type="spellEnd"/>
      <w:r w:rsidRPr="00403220">
        <w:rPr>
          <w:rFonts w:cs="Times New Roman"/>
          <w:i/>
          <w:iCs/>
          <w:szCs w:val="24"/>
          <w:lang w:val="fr-CA"/>
        </w:rPr>
        <w:t xml:space="preserve"> </w:t>
      </w:r>
      <w:r w:rsidR="002A5F66" w:rsidRPr="00403220">
        <w:rPr>
          <w:rFonts w:cs="Times New Roman"/>
          <w:iCs/>
          <w:szCs w:val="24"/>
          <w:lang w:val="fr-CA"/>
        </w:rPr>
        <w:t xml:space="preserve">de la </w:t>
      </w:r>
      <w:proofErr w:type="spellStart"/>
      <w:r w:rsidR="002A5F66" w:rsidRPr="00403220">
        <w:rPr>
          <w:rFonts w:cs="Times New Roman"/>
          <w:iCs/>
          <w:szCs w:val="24"/>
          <w:lang w:val="fr-CA"/>
        </w:rPr>
        <w:t>Colombie</w:t>
      </w:r>
      <w:r w:rsidR="00A54DAC" w:rsidRPr="00403220">
        <w:rPr>
          <w:rFonts w:cs="Times New Roman"/>
          <w:iCs/>
          <w:szCs w:val="24"/>
          <w:lang w:val="fr-CA"/>
        </w:rPr>
        <w:noBreakHyphen/>
      </w:r>
      <w:r w:rsidR="002A5F66" w:rsidRPr="00403220">
        <w:rPr>
          <w:rFonts w:cs="Times New Roman"/>
          <w:iCs/>
          <w:szCs w:val="24"/>
          <w:lang w:val="fr-CA"/>
        </w:rPr>
        <w:t>Britannique</w:t>
      </w:r>
      <w:proofErr w:type="spellEnd"/>
      <w:r w:rsidR="00A93A67" w:rsidRPr="00403220">
        <w:rPr>
          <w:rFonts w:cs="Times New Roman"/>
          <w:iCs/>
          <w:szCs w:val="24"/>
          <w:lang w:val="fr-CA"/>
        </w:rPr>
        <w:t xml:space="preserve"> (maintenant le </w:t>
      </w:r>
      <w:r w:rsidR="00A54DAC" w:rsidRPr="00403220">
        <w:rPr>
          <w:rFonts w:cs="Times New Roman"/>
          <w:iCs/>
          <w:szCs w:val="24"/>
          <w:lang w:val="fr-CA"/>
        </w:rPr>
        <w:t>par. </w:t>
      </w:r>
      <w:r w:rsidR="00A93A67" w:rsidRPr="00403220">
        <w:rPr>
          <w:rFonts w:cs="Times New Roman"/>
          <w:iCs/>
          <w:szCs w:val="24"/>
          <w:lang w:val="fr-CA"/>
        </w:rPr>
        <w:t>9</w:t>
      </w:r>
      <w:r w:rsidR="00DF6983">
        <w:rPr>
          <w:rFonts w:cs="Times New Roman"/>
          <w:iCs/>
          <w:szCs w:val="24"/>
          <w:lang w:val="fr-CA"/>
        </w:rPr>
        <w:t>-</w:t>
      </w:r>
      <w:r w:rsidR="00A93A67" w:rsidRPr="00403220">
        <w:rPr>
          <w:rFonts w:cs="Times New Roman"/>
          <w:iCs/>
          <w:szCs w:val="24"/>
          <w:lang w:val="fr-CA"/>
        </w:rPr>
        <w:t xml:space="preserve">5(2) des </w:t>
      </w:r>
      <w:proofErr w:type="spellStart"/>
      <w:r w:rsidR="00A93A67" w:rsidRPr="00403220">
        <w:rPr>
          <w:rFonts w:cs="Times New Roman"/>
          <w:i/>
          <w:iCs/>
          <w:szCs w:val="24"/>
          <w:lang w:val="fr-CA"/>
        </w:rPr>
        <w:t>Supreme</w:t>
      </w:r>
      <w:proofErr w:type="spellEnd"/>
      <w:r w:rsidR="00A93A67" w:rsidRPr="00403220">
        <w:rPr>
          <w:rFonts w:cs="Times New Roman"/>
          <w:i/>
          <w:iCs/>
          <w:szCs w:val="24"/>
          <w:lang w:val="fr-CA"/>
        </w:rPr>
        <w:t xml:space="preserve"> Court Civil </w:t>
      </w:r>
      <w:proofErr w:type="spellStart"/>
      <w:r w:rsidR="00A93A67" w:rsidRPr="00403220">
        <w:rPr>
          <w:rFonts w:cs="Times New Roman"/>
          <w:i/>
          <w:iCs/>
          <w:szCs w:val="24"/>
          <w:lang w:val="fr-CA"/>
        </w:rPr>
        <w:t>Rules</w:t>
      </w:r>
      <w:proofErr w:type="spellEnd"/>
      <w:r w:rsidR="00A93A67" w:rsidRPr="00403220">
        <w:rPr>
          <w:rFonts w:cs="Times New Roman"/>
          <w:iCs/>
          <w:szCs w:val="24"/>
          <w:lang w:val="fr-CA"/>
        </w:rPr>
        <w:t>)</w:t>
      </w:r>
      <w:r w:rsidRPr="00403220">
        <w:rPr>
          <w:rFonts w:cs="Times New Roman"/>
          <w:i/>
          <w:iCs/>
          <w:szCs w:val="24"/>
          <w:lang w:val="fr-CA"/>
        </w:rPr>
        <w:t>.</w:t>
      </w:r>
      <w:r w:rsidRPr="00403220">
        <w:rPr>
          <w:rFonts w:cs="Times New Roman"/>
          <w:szCs w:val="24"/>
          <w:lang w:val="fr-CA"/>
        </w:rPr>
        <w:t xml:space="preserve">  Il incombe au demandeur de plaider clairement les faits sur lesquels il fonde sa demande.  Un demandeur </w:t>
      </w:r>
      <w:r w:rsidR="002A5F66" w:rsidRPr="00403220">
        <w:rPr>
          <w:rFonts w:cs="Times New Roman"/>
          <w:szCs w:val="24"/>
          <w:lang w:val="fr-CA"/>
        </w:rPr>
        <w:t xml:space="preserve">ne peut compter sur </w:t>
      </w:r>
      <w:r w:rsidRPr="00403220">
        <w:rPr>
          <w:rFonts w:cs="Times New Roman"/>
          <w:szCs w:val="24"/>
          <w:lang w:val="fr-CA"/>
        </w:rPr>
        <w:t>la possibilité que de nouveaux faits appara</w:t>
      </w:r>
      <w:r w:rsidR="002A5F66" w:rsidRPr="00403220">
        <w:rPr>
          <w:rFonts w:cs="Times New Roman"/>
          <w:szCs w:val="24"/>
          <w:lang w:val="fr-CA"/>
        </w:rPr>
        <w:t>issent</w:t>
      </w:r>
      <w:r w:rsidRPr="00403220">
        <w:rPr>
          <w:rFonts w:cs="Times New Roman"/>
          <w:szCs w:val="24"/>
          <w:lang w:val="fr-CA"/>
        </w:rPr>
        <w:t xml:space="preserve"> au fur et à mesure que </w:t>
      </w:r>
      <w:r w:rsidR="002A5F66" w:rsidRPr="00403220">
        <w:rPr>
          <w:rFonts w:cs="Times New Roman"/>
          <w:szCs w:val="24"/>
          <w:lang w:val="fr-CA"/>
        </w:rPr>
        <w:t>l</w:t>
      </w:r>
      <w:r w:rsidR="008372AA" w:rsidRPr="00403220">
        <w:rPr>
          <w:rFonts w:cs="Times New Roman"/>
          <w:szCs w:val="24"/>
          <w:lang w:val="fr-CA"/>
        </w:rPr>
        <w:t>’</w:t>
      </w:r>
      <w:r w:rsidR="002A5F66" w:rsidRPr="00403220">
        <w:rPr>
          <w:rFonts w:cs="Times New Roman"/>
          <w:szCs w:val="24"/>
          <w:lang w:val="fr-CA"/>
        </w:rPr>
        <w:t>instruction</w:t>
      </w:r>
      <w:r w:rsidRPr="00403220">
        <w:rPr>
          <w:rFonts w:cs="Times New Roman"/>
          <w:szCs w:val="24"/>
          <w:lang w:val="fr-CA"/>
        </w:rPr>
        <w:t xml:space="preserve"> progresse.  Il peut arriver que le demandeur ne soit pas en mesure de prouver les faits plaidés au moment de la requête.  Il peut </w:t>
      </w:r>
      <w:r w:rsidR="002A5F66" w:rsidRPr="00403220">
        <w:rPr>
          <w:rFonts w:cs="Times New Roman"/>
          <w:szCs w:val="24"/>
          <w:lang w:val="fr-CA"/>
        </w:rPr>
        <w:t>seulement espérer qu</w:t>
      </w:r>
      <w:r w:rsidR="008372AA" w:rsidRPr="00403220">
        <w:rPr>
          <w:rFonts w:cs="Times New Roman"/>
          <w:szCs w:val="24"/>
          <w:lang w:val="fr-CA"/>
        </w:rPr>
        <w:t>’</w:t>
      </w:r>
      <w:r w:rsidR="002A5F66" w:rsidRPr="00403220">
        <w:rPr>
          <w:rFonts w:cs="Times New Roman"/>
          <w:szCs w:val="24"/>
          <w:lang w:val="fr-CA"/>
        </w:rPr>
        <w:t>il sera en mesure</w:t>
      </w:r>
      <w:r w:rsidRPr="00403220">
        <w:rPr>
          <w:rFonts w:cs="Times New Roman"/>
          <w:szCs w:val="24"/>
          <w:lang w:val="fr-CA"/>
        </w:rPr>
        <w:t xml:space="preserve"> de les prouver.  Il doit cependant les plaider.  Les faits allégués sont le fondement solide en fonction duquel </w:t>
      </w:r>
      <w:r w:rsidR="002A5F66" w:rsidRPr="00403220">
        <w:rPr>
          <w:rFonts w:cs="Times New Roman"/>
          <w:szCs w:val="24"/>
          <w:lang w:val="fr-CA"/>
        </w:rPr>
        <w:t xml:space="preserve">doit être évaluée </w:t>
      </w:r>
      <w:r w:rsidRPr="00403220">
        <w:rPr>
          <w:rFonts w:cs="Times New Roman"/>
          <w:szCs w:val="24"/>
          <w:lang w:val="fr-CA"/>
        </w:rPr>
        <w:t xml:space="preserve">la possibilité </w:t>
      </w:r>
      <w:r w:rsidR="002A5F66" w:rsidRPr="00403220">
        <w:rPr>
          <w:rFonts w:cs="Times New Roman"/>
          <w:szCs w:val="24"/>
          <w:lang w:val="fr-CA"/>
        </w:rPr>
        <w:t>que la demande soit accueillie</w:t>
      </w:r>
      <w:r w:rsidRPr="00403220">
        <w:rPr>
          <w:rFonts w:cs="Times New Roman"/>
          <w:szCs w:val="24"/>
          <w:lang w:val="fr-CA"/>
        </w:rPr>
        <w:t>.  S</w:t>
      </w:r>
      <w:r w:rsidR="008372AA" w:rsidRPr="00403220">
        <w:rPr>
          <w:rFonts w:cs="Times New Roman"/>
          <w:szCs w:val="24"/>
          <w:lang w:val="fr-CA"/>
        </w:rPr>
        <w:t>’</w:t>
      </w:r>
      <w:r w:rsidRPr="00403220">
        <w:rPr>
          <w:rFonts w:cs="Times New Roman"/>
          <w:szCs w:val="24"/>
          <w:lang w:val="fr-CA"/>
        </w:rPr>
        <w:t>ils ne sont pas allégués, l</w:t>
      </w:r>
      <w:r w:rsidR="008372AA" w:rsidRPr="00403220">
        <w:rPr>
          <w:rFonts w:cs="Times New Roman"/>
          <w:szCs w:val="24"/>
          <w:lang w:val="fr-CA"/>
        </w:rPr>
        <w:t>’</w:t>
      </w:r>
      <w:r w:rsidRPr="00403220">
        <w:rPr>
          <w:rFonts w:cs="Times New Roman"/>
          <w:szCs w:val="24"/>
          <w:lang w:val="fr-CA"/>
        </w:rPr>
        <w:t>exercice ne peut pas être exécuté adéquatement.</w:t>
      </w:r>
    </w:p>
    <w:p w:rsidR="0047179D" w:rsidRPr="00403220" w:rsidRDefault="0047179D" w:rsidP="005A33F7">
      <w:pPr>
        <w:pStyle w:val="ParaNoNdepar-AltN"/>
        <w:rPr>
          <w:rFonts w:cs="Times New Roman"/>
          <w:szCs w:val="24"/>
          <w:lang w:val="fr-CA"/>
        </w:rPr>
      </w:pPr>
      <w:r w:rsidRPr="00403220">
        <w:rPr>
          <w:rFonts w:cs="Times New Roman"/>
          <w:szCs w:val="24"/>
          <w:lang w:val="fr-CA"/>
        </w:rPr>
        <w:lastRenderedPageBreak/>
        <w:t>Dan</w:t>
      </w:r>
      <w:r w:rsidR="002A5F66" w:rsidRPr="00403220">
        <w:rPr>
          <w:rFonts w:cs="Times New Roman"/>
          <w:szCs w:val="24"/>
          <w:lang w:val="fr-CA"/>
        </w:rPr>
        <w:t>s notre Cour</w:t>
      </w:r>
      <w:r w:rsidRPr="00403220">
        <w:rPr>
          <w:rFonts w:cs="Times New Roman"/>
          <w:szCs w:val="24"/>
          <w:lang w:val="fr-CA"/>
        </w:rPr>
        <w:t xml:space="preserve">, </w:t>
      </w:r>
      <w:r w:rsidR="00847C22" w:rsidRPr="00403220">
        <w:rPr>
          <w:rFonts w:cs="Times New Roman"/>
          <w:szCs w:val="24"/>
          <w:lang w:val="fr-CA"/>
        </w:rPr>
        <w:t xml:space="preserve">Imperial </w:t>
      </w:r>
      <w:r w:rsidRPr="00403220">
        <w:rPr>
          <w:rFonts w:cs="Times New Roman"/>
          <w:szCs w:val="24"/>
          <w:lang w:val="fr-CA"/>
        </w:rPr>
        <w:t xml:space="preserve">et les autres compagnies de tabac ont prétendu que la requête en radiation devrait prendre en compte non seulement les faits </w:t>
      </w:r>
      <w:r w:rsidR="002A5F66" w:rsidRPr="00403220">
        <w:rPr>
          <w:rFonts w:cs="Times New Roman"/>
          <w:szCs w:val="24"/>
          <w:lang w:val="fr-CA"/>
        </w:rPr>
        <w:t>plaidés</w:t>
      </w:r>
      <w:r w:rsidRPr="00403220">
        <w:rPr>
          <w:rFonts w:cs="Times New Roman"/>
          <w:szCs w:val="24"/>
          <w:lang w:val="fr-CA"/>
        </w:rPr>
        <w:t xml:space="preserve">, mais la possibilité que, au fur et à mesure que </w:t>
      </w:r>
      <w:r w:rsidR="002A5F66" w:rsidRPr="00403220">
        <w:rPr>
          <w:rFonts w:cs="Times New Roman"/>
          <w:szCs w:val="24"/>
          <w:lang w:val="fr-CA"/>
        </w:rPr>
        <w:t>l</w:t>
      </w:r>
      <w:r w:rsidR="008372AA" w:rsidRPr="00403220">
        <w:rPr>
          <w:rFonts w:cs="Times New Roman"/>
          <w:szCs w:val="24"/>
          <w:lang w:val="fr-CA"/>
        </w:rPr>
        <w:t>’</w:t>
      </w:r>
      <w:r w:rsidR="002A5F66" w:rsidRPr="00403220">
        <w:rPr>
          <w:rFonts w:cs="Times New Roman"/>
          <w:szCs w:val="24"/>
          <w:lang w:val="fr-CA"/>
        </w:rPr>
        <w:t>instruction</w:t>
      </w:r>
      <w:r w:rsidRPr="00403220">
        <w:rPr>
          <w:rFonts w:cs="Times New Roman"/>
          <w:szCs w:val="24"/>
          <w:lang w:val="fr-CA"/>
        </w:rPr>
        <w:t xml:space="preserve"> progresse, la preuve en révélerait davantage quant au comportement du Canada et au rôle qu</w:t>
      </w:r>
      <w:r w:rsidR="008372AA" w:rsidRPr="00403220">
        <w:rPr>
          <w:rFonts w:cs="Times New Roman"/>
          <w:szCs w:val="24"/>
          <w:lang w:val="fr-CA"/>
        </w:rPr>
        <w:t>’</w:t>
      </w:r>
      <w:r w:rsidRPr="00403220">
        <w:rPr>
          <w:rFonts w:cs="Times New Roman"/>
          <w:szCs w:val="24"/>
          <w:lang w:val="fr-CA"/>
        </w:rPr>
        <w:t xml:space="preserve">il </w:t>
      </w:r>
      <w:r w:rsidR="002A5F66" w:rsidRPr="00403220">
        <w:rPr>
          <w:rFonts w:cs="Times New Roman"/>
          <w:szCs w:val="24"/>
          <w:lang w:val="fr-CA"/>
        </w:rPr>
        <w:t xml:space="preserve">a </w:t>
      </w:r>
      <w:r w:rsidRPr="00403220">
        <w:rPr>
          <w:rFonts w:cs="Times New Roman"/>
          <w:szCs w:val="24"/>
          <w:lang w:val="fr-CA"/>
        </w:rPr>
        <w:t>jou</w:t>
      </w:r>
      <w:r w:rsidR="002A5F66" w:rsidRPr="00403220">
        <w:rPr>
          <w:rFonts w:cs="Times New Roman"/>
          <w:szCs w:val="24"/>
          <w:lang w:val="fr-CA"/>
        </w:rPr>
        <w:t>é</w:t>
      </w:r>
      <w:r w:rsidRPr="00403220">
        <w:rPr>
          <w:rFonts w:cs="Times New Roman"/>
          <w:szCs w:val="24"/>
          <w:lang w:val="fr-CA"/>
        </w:rPr>
        <w:t xml:space="preserve"> dans la promotion de l</w:t>
      </w:r>
      <w:r w:rsidR="007E6354" w:rsidRPr="00403220">
        <w:rPr>
          <w:rFonts w:cs="Times New Roman"/>
          <w:szCs w:val="24"/>
          <w:lang w:val="fr-CA"/>
        </w:rPr>
        <w:t>a consommat</w:t>
      </w:r>
      <w:r w:rsidRPr="00403220">
        <w:rPr>
          <w:rFonts w:cs="Times New Roman"/>
          <w:szCs w:val="24"/>
          <w:lang w:val="fr-CA"/>
        </w:rPr>
        <w:t xml:space="preserve">ion de cigarettes à teneur réduite en goudron.  Cette </w:t>
      </w:r>
      <w:r w:rsidR="002A5F66" w:rsidRPr="00403220">
        <w:rPr>
          <w:rFonts w:cs="Times New Roman"/>
          <w:szCs w:val="24"/>
          <w:lang w:val="fr-CA"/>
        </w:rPr>
        <w:t>position</w:t>
      </w:r>
      <w:r w:rsidRPr="00403220">
        <w:rPr>
          <w:rFonts w:cs="Times New Roman"/>
          <w:szCs w:val="24"/>
          <w:lang w:val="fr-CA"/>
        </w:rPr>
        <w:t xml:space="preserve"> dénote une compréhension</w:t>
      </w:r>
      <w:r w:rsidR="002A5F66" w:rsidRPr="00403220">
        <w:rPr>
          <w:rFonts w:cs="Times New Roman"/>
          <w:szCs w:val="24"/>
          <w:lang w:val="fr-CA"/>
        </w:rPr>
        <w:t xml:space="preserve"> fondamentalement erronée de ce qu</w:t>
      </w:r>
      <w:r w:rsidRPr="00403220">
        <w:rPr>
          <w:rFonts w:cs="Times New Roman"/>
          <w:szCs w:val="24"/>
          <w:lang w:val="fr-CA"/>
        </w:rPr>
        <w:t>e</w:t>
      </w:r>
      <w:r w:rsidR="002A5F66" w:rsidRPr="00403220">
        <w:rPr>
          <w:rFonts w:cs="Times New Roman"/>
          <w:szCs w:val="24"/>
          <w:lang w:val="fr-CA"/>
        </w:rPr>
        <w:t xml:space="preserve"> vise</w:t>
      </w:r>
      <w:r w:rsidRPr="00403220">
        <w:rPr>
          <w:rFonts w:cs="Times New Roman"/>
          <w:szCs w:val="24"/>
          <w:lang w:val="fr-CA"/>
        </w:rPr>
        <w:t xml:space="preserve"> une requête en radiation.  Elle n</w:t>
      </w:r>
      <w:r w:rsidR="008372AA" w:rsidRPr="00403220">
        <w:rPr>
          <w:rFonts w:cs="Times New Roman"/>
          <w:szCs w:val="24"/>
          <w:lang w:val="fr-CA"/>
        </w:rPr>
        <w:t>’</w:t>
      </w:r>
      <w:r w:rsidRPr="00403220">
        <w:rPr>
          <w:rFonts w:cs="Times New Roman"/>
          <w:szCs w:val="24"/>
          <w:lang w:val="fr-CA"/>
        </w:rPr>
        <w:t xml:space="preserve">a rien à voir avec la preuve.  Elle porte sur les </w:t>
      </w:r>
      <w:r w:rsidR="002A5F66" w:rsidRPr="00403220">
        <w:rPr>
          <w:rFonts w:cs="Times New Roman"/>
          <w:szCs w:val="24"/>
          <w:lang w:val="fr-CA"/>
        </w:rPr>
        <w:t>actes de procédure</w:t>
      </w:r>
      <w:r w:rsidRPr="00403220">
        <w:rPr>
          <w:rFonts w:cs="Times New Roman"/>
          <w:szCs w:val="24"/>
          <w:lang w:val="fr-CA"/>
        </w:rPr>
        <w:t xml:space="preserve">.  Les faits allégués sont réputés véridiques.  La question de savoir si la preuve corrobore </w:t>
      </w:r>
      <w:r w:rsidR="002A5F66" w:rsidRPr="00403220">
        <w:rPr>
          <w:rFonts w:cs="Times New Roman"/>
          <w:szCs w:val="24"/>
          <w:lang w:val="fr-CA"/>
        </w:rPr>
        <w:t xml:space="preserve">ou corroborera les faits allégués </w:t>
      </w:r>
      <w:r w:rsidRPr="00403220">
        <w:rPr>
          <w:rFonts w:cs="Times New Roman"/>
          <w:szCs w:val="24"/>
          <w:lang w:val="fr-CA"/>
        </w:rPr>
        <w:t>n</w:t>
      </w:r>
      <w:r w:rsidR="008372AA" w:rsidRPr="00403220">
        <w:rPr>
          <w:rFonts w:cs="Times New Roman"/>
          <w:szCs w:val="24"/>
          <w:lang w:val="fr-CA"/>
        </w:rPr>
        <w:t>’</w:t>
      </w:r>
      <w:r w:rsidRPr="00403220">
        <w:rPr>
          <w:rFonts w:cs="Times New Roman"/>
          <w:szCs w:val="24"/>
          <w:lang w:val="fr-CA"/>
        </w:rPr>
        <w:t>a aucune pertinence quant à la requête en radiation.  Le juge saisi de la re</w:t>
      </w:r>
      <w:r w:rsidR="002A5F66" w:rsidRPr="00403220">
        <w:rPr>
          <w:rFonts w:cs="Times New Roman"/>
          <w:szCs w:val="24"/>
          <w:lang w:val="fr-CA"/>
        </w:rPr>
        <w:t>quête en radiation ne peut pas anticiper ce que la</w:t>
      </w:r>
      <w:r w:rsidRPr="00403220">
        <w:rPr>
          <w:rFonts w:cs="Times New Roman"/>
          <w:szCs w:val="24"/>
          <w:lang w:val="fr-CA"/>
        </w:rPr>
        <w:t xml:space="preserve"> preuve </w:t>
      </w:r>
      <w:r w:rsidR="002A5F66" w:rsidRPr="00403220">
        <w:rPr>
          <w:rFonts w:cs="Times New Roman"/>
          <w:szCs w:val="24"/>
          <w:lang w:val="fr-CA"/>
        </w:rPr>
        <w:t xml:space="preserve">qui </w:t>
      </w:r>
      <w:r w:rsidRPr="00403220">
        <w:rPr>
          <w:rFonts w:cs="Times New Roman"/>
          <w:szCs w:val="24"/>
          <w:lang w:val="fr-CA"/>
        </w:rPr>
        <w:t xml:space="preserve">sera produite </w:t>
      </w:r>
      <w:r w:rsidR="002A5F66" w:rsidRPr="00403220">
        <w:rPr>
          <w:rFonts w:cs="Times New Roman"/>
          <w:szCs w:val="24"/>
          <w:lang w:val="fr-CA"/>
        </w:rPr>
        <w:t>permettra d</w:t>
      </w:r>
      <w:r w:rsidR="008372AA" w:rsidRPr="00403220">
        <w:rPr>
          <w:rFonts w:cs="Times New Roman"/>
          <w:szCs w:val="24"/>
          <w:lang w:val="fr-CA"/>
        </w:rPr>
        <w:t>’</w:t>
      </w:r>
      <w:r w:rsidR="002A5F66" w:rsidRPr="00403220">
        <w:rPr>
          <w:rFonts w:cs="Times New Roman"/>
          <w:szCs w:val="24"/>
          <w:lang w:val="fr-CA"/>
        </w:rPr>
        <w:t>établir</w:t>
      </w:r>
      <w:r w:rsidRPr="00403220">
        <w:rPr>
          <w:rFonts w:cs="Times New Roman"/>
          <w:szCs w:val="24"/>
          <w:lang w:val="fr-CA"/>
        </w:rPr>
        <w:t xml:space="preserve">.  </w:t>
      </w:r>
      <w:r w:rsidR="007E6354" w:rsidRPr="00403220">
        <w:rPr>
          <w:rFonts w:cs="Times New Roman"/>
          <w:szCs w:val="24"/>
          <w:lang w:val="fr-CA"/>
        </w:rPr>
        <w:t>Si l’on</w:t>
      </w:r>
      <w:r w:rsidR="002A5F66" w:rsidRPr="00403220">
        <w:rPr>
          <w:rFonts w:cs="Times New Roman"/>
          <w:szCs w:val="24"/>
          <w:lang w:val="fr-CA"/>
        </w:rPr>
        <w:t xml:space="preserve"> exigea</w:t>
      </w:r>
      <w:r w:rsidR="007E6354" w:rsidRPr="00403220">
        <w:rPr>
          <w:rFonts w:cs="Times New Roman"/>
          <w:szCs w:val="24"/>
          <w:lang w:val="fr-CA"/>
        </w:rPr>
        <w:t>i</w:t>
      </w:r>
      <w:r w:rsidR="002A5F66" w:rsidRPr="00403220">
        <w:rPr>
          <w:rFonts w:cs="Times New Roman"/>
          <w:szCs w:val="24"/>
          <w:lang w:val="fr-CA"/>
        </w:rPr>
        <w:t>t cela du</w:t>
      </w:r>
      <w:r w:rsidRPr="00403220">
        <w:rPr>
          <w:rFonts w:cs="Times New Roman"/>
          <w:szCs w:val="24"/>
          <w:lang w:val="fr-CA"/>
        </w:rPr>
        <w:t xml:space="preserve"> juge</w:t>
      </w:r>
      <w:r w:rsidR="000809A8" w:rsidRPr="00403220">
        <w:rPr>
          <w:rFonts w:cs="Times New Roman"/>
          <w:szCs w:val="24"/>
          <w:lang w:val="fr-CA"/>
        </w:rPr>
        <w:t xml:space="preserve">, </w:t>
      </w:r>
      <w:r w:rsidRPr="00403220">
        <w:rPr>
          <w:rFonts w:cs="Times New Roman"/>
          <w:szCs w:val="24"/>
          <w:lang w:val="fr-CA"/>
        </w:rPr>
        <w:t xml:space="preserve">la requête en radiation </w:t>
      </w:r>
      <w:r w:rsidR="000809A8" w:rsidRPr="00403220">
        <w:rPr>
          <w:rFonts w:cs="Times New Roman"/>
          <w:szCs w:val="24"/>
          <w:lang w:val="fr-CA"/>
        </w:rPr>
        <w:t xml:space="preserve">perdrait </w:t>
      </w:r>
      <w:r w:rsidRPr="00403220">
        <w:rPr>
          <w:rFonts w:cs="Times New Roman"/>
          <w:szCs w:val="24"/>
          <w:lang w:val="fr-CA"/>
        </w:rPr>
        <w:t xml:space="preserve">sa logique et </w:t>
      </w:r>
      <w:r w:rsidR="000809A8" w:rsidRPr="00403220">
        <w:rPr>
          <w:rFonts w:cs="Times New Roman"/>
          <w:szCs w:val="24"/>
          <w:lang w:val="fr-CA"/>
        </w:rPr>
        <w:t>deviendrait</w:t>
      </w:r>
      <w:r w:rsidRPr="00403220">
        <w:rPr>
          <w:rFonts w:cs="Times New Roman"/>
          <w:szCs w:val="24"/>
          <w:lang w:val="fr-CA"/>
        </w:rPr>
        <w:t xml:space="preserve"> en fin de compte inutile.</w:t>
      </w:r>
    </w:p>
    <w:p w:rsidR="0047179D" w:rsidRPr="00403220" w:rsidRDefault="0047179D" w:rsidP="005A33F7">
      <w:pPr>
        <w:pStyle w:val="ParaNoNdepar-AltN"/>
        <w:rPr>
          <w:rFonts w:cs="Times New Roman"/>
          <w:szCs w:val="24"/>
          <w:lang w:val="fr-CA"/>
        </w:rPr>
      </w:pPr>
      <w:r w:rsidRPr="00403220">
        <w:rPr>
          <w:rFonts w:cs="Times New Roman"/>
          <w:szCs w:val="24"/>
          <w:lang w:val="fr-CA"/>
        </w:rPr>
        <w:t>Cela n</w:t>
      </w:r>
      <w:r w:rsidR="008372AA" w:rsidRPr="00403220">
        <w:rPr>
          <w:rFonts w:cs="Times New Roman"/>
          <w:szCs w:val="24"/>
          <w:lang w:val="fr-CA"/>
        </w:rPr>
        <w:t>’</w:t>
      </w:r>
      <w:r w:rsidR="006220A1" w:rsidRPr="00403220">
        <w:rPr>
          <w:rFonts w:cs="Times New Roman"/>
          <w:szCs w:val="24"/>
          <w:lang w:val="fr-CA"/>
        </w:rPr>
        <w:t>a rien d</w:t>
      </w:r>
      <w:r w:rsidR="008372AA" w:rsidRPr="00403220">
        <w:rPr>
          <w:rFonts w:cs="Times New Roman"/>
          <w:szCs w:val="24"/>
          <w:lang w:val="fr-CA"/>
        </w:rPr>
        <w:t>’</w:t>
      </w:r>
      <w:r w:rsidRPr="00403220">
        <w:rPr>
          <w:rFonts w:cs="Times New Roman"/>
          <w:szCs w:val="24"/>
          <w:lang w:val="fr-CA"/>
        </w:rPr>
        <w:t xml:space="preserve">inéquitable </w:t>
      </w:r>
      <w:r w:rsidR="006220A1" w:rsidRPr="00403220">
        <w:rPr>
          <w:rFonts w:cs="Times New Roman"/>
          <w:szCs w:val="24"/>
          <w:lang w:val="fr-CA"/>
        </w:rPr>
        <w:t>pour</w:t>
      </w:r>
      <w:r w:rsidRPr="00403220">
        <w:rPr>
          <w:rFonts w:cs="Times New Roman"/>
          <w:szCs w:val="24"/>
          <w:lang w:val="fr-CA"/>
        </w:rPr>
        <w:t xml:space="preserve"> le demandeur.  La présomption selon laquelle les faits allégués sont vrais joue en </w:t>
      </w:r>
      <w:r w:rsidR="006220A1" w:rsidRPr="00403220">
        <w:rPr>
          <w:rFonts w:cs="Times New Roman"/>
          <w:szCs w:val="24"/>
          <w:lang w:val="fr-CA"/>
        </w:rPr>
        <w:t xml:space="preserve">sa </w:t>
      </w:r>
      <w:r w:rsidRPr="00403220">
        <w:rPr>
          <w:rFonts w:cs="Times New Roman"/>
          <w:szCs w:val="24"/>
          <w:lang w:val="fr-CA"/>
        </w:rPr>
        <w:t>faveur.  L</w:t>
      </w:r>
      <w:r w:rsidR="006220A1" w:rsidRPr="00403220">
        <w:rPr>
          <w:rFonts w:cs="Times New Roman"/>
          <w:szCs w:val="24"/>
          <w:lang w:val="fr-CA"/>
        </w:rPr>
        <w:t>e demandeur choisit les faits qu</w:t>
      </w:r>
      <w:r w:rsidR="008372AA" w:rsidRPr="00403220">
        <w:rPr>
          <w:rFonts w:cs="Times New Roman"/>
          <w:szCs w:val="24"/>
          <w:lang w:val="fr-CA"/>
        </w:rPr>
        <w:t>’</w:t>
      </w:r>
      <w:r w:rsidR="006220A1" w:rsidRPr="00403220">
        <w:rPr>
          <w:rFonts w:cs="Times New Roman"/>
          <w:szCs w:val="24"/>
          <w:lang w:val="fr-CA"/>
        </w:rPr>
        <w:t>il allè</w:t>
      </w:r>
      <w:r w:rsidRPr="00403220">
        <w:rPr>
          <w:rFonts w:cs="Times New Roman"/>
          <w:szCs w:val="24"/>
          <w:lang w:val="fr-CA"/>
        </w:rPr>
        <w:t xml:space="preserve">gue </w:t>
      </w:r>
      <w:r w:rsidR="006220A1" w:rsidRPr="00403220">
        <w:rPr>
          <w:rFonts w:cs="Times New Roman"/>
          <w:szCs w:val="24"/>
          <w:lang w:val="fr-CA"/>
        </w:rPr>
        <w:t xml:space="preserve">en fonction de la </w:t>
      </w:r>
      <w:r w:rsidRPr="00403220">
        <w:rPr>
          <w:rFonts w:cs="Times New Roman"/>
          <w:szCs w:val="24"/>
          <w:lang w:val="fr-CA"/>
        </w:rPr>
        <w:t>cause d</w:t>
      </w:r>
      <w:r w:rsidR="008372AA" w:rsidRPr="00403220">
        <w:rPr>
          <w:rFonts w:cs="Times New Roman"/>
          <w:szCs w:val="24"/>
          <w:lang w:val="fr-CA"/>
        </w:rPr>
        <w:t>’</w:t>
      </w:r>
      <w:r w:rsidRPr="00403220">
        <w:rPr>
          <w:rFonts w:cs="Times New Roman"/>
          <w:szCs w:val="24"/>
          <w:lang w:val="fr-CA"/>
        </w:rPr>
        <w:t>action</w:t>
      </w:r>
      <w:r w:rsidR="006220A1" w:rsidRPr="00403220">
        <w:rPr>
          <w:rFonts w:cs="Times New Roman"/>
          <w:szCs w:val="24"/>
          <w:lang w:val="fr-CA"/>
        </w:rPr>
        <w:t xml:space="preserve"> qu</w:t>
      </w:r>
      <w:r w:rsidR="008372AA" w:rsidRPr="00403220">
        <w:rPr>
          <w:rFonts w:cs="Times New Roman"/>
          <w:szCs w:val="24"/>
          <w:lang w:val="fr-CA"/>
        </w:rPr>
        <w:t>’</w:t>
      </w:r>
      <w:r w:rsidR="006220A1" w:rsidRPr="00403220">
        <w:rPr>
          <w:rFonts w:cs="Times New Roman"/>
          <w:szCs w:val="24"/>
          <w:lang w:val="fr-CA"/>
        </w:rPr>
        <w:t>il fait valoir</w:t>
      </w:r>
      <w:r w:rsidRPr="00403220">
        <w:rPr>
          <w:rFonts w:cs="Times New Roman"/>
          <w:szCs w:val="24"/>
          <w:lang w:val="fr-CA"/>
        </w:rPr>
        <w:t>.  Si de</w:t>
      </w:r>
      <w:r w:rsidR="006220A1" w:rsidRPr="00403220">
        <w:rPr>
          <w:rFonts w:cs="Times New Roman"/>
          <w:szCs w:val="24"/>
          <w:lang w:val="fr-CA"/>
        </w:rPr>
        <w:t>s faits</w:t>
      </w:r>
      <w:r w:rsidRPr="00403220">
        <w:rPr>
          <w:rFonts w:cs="Times New Roman"/>
          <w:szCs w:val="24"/>
          <w:lang w:val="fr-CA"/>
        </w:rPr>
        <w:t xml:space="preserve"> nouveaux soulèvent de nouvelles possibilités — comme c</w:t>
      </w:r>
      <w:r w:rsidR="008372AA" w:rsidRPr="00403220">
        <w:rPr>
          <w:rFonts w:cs="Times New Roman"/>
          <w:szCs w:val="24"/>
          <w:lang w:val="fr-CA"/>
        </w:rPr>
        <w:t>’</w:t>
      </w:r>
      <w:r w:rsidRPr="00403220">
        <w:rPr>
          <w:rFonts w:cs="Times New Roman"/>
          <w:szCs w:val="24"/>
          <w:lang w:val="fr-CA"/>
        </w:rPr>
        <w:t xml:space="preserve">est parfois le cas </w:t>
      </w:r>
      <w:r w:rsidR="006603C4" w:rsidRPr="00403220">
        <w:rPr>
          <w:rFonts w:cs="Times New Roman"/>
          <w:szCs w:val="24"/>
          <w:lang w:val="fr-CA"/>
        </w:rPr>
        <w:t>—,</w:t>
      </w:r>
      <w:r w:rsidRPr="00403220">
        <w:rPr>
          <w:rFonts w:cs="Times New Roman"/>
          <w:szCs w:val="24"/>
          <w:lang w:val="fr-CA"/>
        </w:rPr>
        <w:t xml:space="preserve"> la solution </w:t>
      </w:r>
      <w:r w:rsidR="006220A1" w:rsidRPr="00403220">
        <w:rPr>
          <w:rFonts w:cs="Times New Roman"/>
          <w:szCs w:val="24"/>
          <w:lang w:val="fr-CA"/>
        </w:rPr>
        <w:t xml:space="preserve">consiste à </w:t>
      </w:r>
      <w:r w:rsidRPr="00403220">
        <w:rPr>
          <w:rFonts w:cs="Times New Roman"/>
          <w:szCs w:val="24"/>
          <w:lang w:val="fr-CA"/>
        </w:rPr>
        <w:t xml:space="preserve">modifier les </w:t>
      </w:r>
      <w:r w:rsidR="006220A1" w:rsidRPr="00403220">
        <w:rPr>
          <w:rFonts w:cs="Times New Roman"/>
          <w:szCs w:val="24"/>
          <w:lang w:val="fr-CA"/>
        </w:rPr>
        <w:t>actes de procédure</w:t>
      </w:r>
      <w:r w:rsidRPr="00403220">
        <w:rPr>
          <w:rFonts w:cs="Times New Roman"/>
          <w:szCs w:val="24"/>
          <w:lang w:val="fr-CA"/>
        </w:rPr>
        <w:t xml:space="preserve"> afin d</w:t>
      </w:r>
      <w:r w:rsidR="008372AA" w:rsidRPr="00403220">
        <w:rPr>
          <w:rFonts w:cs="Times New Roman"/>
          <w:szCs w:val="24"/>
          <w:lang w:val="fr-CA"/>
        </w:rPr>
        <w:t>’</w:t>
      </w:r>
      <w:r w:rsidR="007E6354" w:rsidRPr="00403220">
        <w:rPr>
          <w:rFonts w:cs="Times New Roman"/>
          <w:szCs w:val="24"/>
          <w:lang w:val="fr-CA"/>
        </w:rPr>
        <w:t>alléguer l</w:t>
      </w:r>
      <w:r w:rsidRPr="00403220">
        <w:rPr>
          <w:rFonts w:cs="Times New Roman"/>
          <w:szCs w:val="24"/>
          <w:lang w:val="fr-CA"/>
        </w:rPr>
        <w:t>e</w:t>
      </w:r>
      <w:r w:rsidR="007E6354" w:rsidRPr="00403220">
        <w:rPr>
          <w:rFonts w:cs="Times New Roman"/>
          <w:szCs w:val="24"/>
          <w:lang w:val="fr-CA"/>
        </w:rPr>
        <w:t>s</w:t>
      </w:r>
      <w:r w:rsidRPr="00403220">
        <w:rPr>
          <w:rFonts w:cs="Times New Roman"/>
          <w:szCs w:val="24"/>
          <w:lang w:val="fr-CA"/>
        </w:rPr>
        <w:t xml:space="preserve"> </w:t>
      </w:r>
      <w:r w:rsidR="007E6354" w:rsidRPr="00403220">
        <w:rPr>
          <w:rFonts w:cs="Times New Roman"/>
          <w:szCs w:val="24"/>
          <w:lang w:val="fr-CA"/>
        </w:rPr>
        <w:t xml:space="preserve">faits </w:t>
      </w:r>
      <w:r w:rsidRPr="00403220">
        <w:rPr>
          <w:rFonts w:cs="Times New Roman"/>
          <w:szCs w:val="24"/>
          <w:lang w:val="fr-CA"/>
        </w:rPr>
        <w:t>nouveaux à ce moment</w:t>
      </w:r>
      <w:r w:rsidR="00DF6983">
        <w:rPr>
          <w:rFonts w:cs="Times New Roman"/>
          <w:szCs w:val="24"/>
          <w:lang w:val="fr-CA"/>
        </w:rPr>
        <w:t>-</w:t>
      </w:r>
      <w:r w:rsidRPr="00403220">
        <w:rPr>
          <w:rFonts w:cs="Times New Roman"/>
          <w:szCs w:val="24"/>
          <w:lang w:val="fr-CA"/>
        </w:rPr>
        <w:t xml:space="preserve">là. </w:t>
      </w:r>
    </w:p>
    <w:p w:rsidR="0047179D" w:rsidRPr="00403220" w:rsidRDefault="0047179D" w:rsidP="005A33F7">
      <w:pPr>
        <w:pStyle w:val="ParaNoNdepar-AltN"/>
        <w:rPr>
          <w:rFonts w:cs="Times New Roman"/>
          <w:szCs w:val="24"/>
          <w:lang w:val="fr-CA"/>
        </w:rPr>
      </w:pPr>
      <w:r w:rsidRPr="00403220">
        <w:rPr>
          <w:rFonts w:cs="Times New Roman"/>
          <w:szCs w:val="24"/>
          <w:lang w:val="fr-CA"/>
        </w:rPr>
        <w:lastRenderedPageBreak/>
        <w:t>La question de la conjecture est liée à la question de savoir si la requête devrait être re</w:t>
      </w:r>
      <w:r w:rsidR="007E6354" w:rsidRPr="00403220">
        <w:rPr>
          <w:rFonts w:cs="Times New Roman"/>
          <w:szCs w:val="24"/>
          <w:lang w:val="fr-CA"/>
        </w:rPr>
        <w:t>jet</w:t>
      </w:r>
      <w:r w:rsidRPr="00403220">
        <w:rPr>
          <w:rFonts w:cs="Times New Roman"/>
          <w:szCs w:val="24"/>
          <w:lang w:val="fr-CA"/>
        </w:rPr>
        <w:t>ée en raison de la possibilité qu</w:t>
      </w:r>
      <w:r w:rsidR="008372AA" w:rsidRPr="00403220">
        <w:rPr>
          <w:rFonts w:cs="Times New Roman"/>
          <w:szCs w:val="24"/>
          <w:lang w:val="fr-CA"/>
        </w:rPr>
        <w:t>’</w:t>
      </w:r>
      <w:r w:rsidRPr="00403220">
        <w:rPr>
          <w:rFonts w:cs="Times New Roman"/>
          <w:szCs w:val="24"/>
          <w:lang w:val="fr-CA"/>
        </w:rPr>
        <w:t>une nouvelle preuve apparaisse éventuellement.  Le juge saisi d</w:t>
      </w:r>
      <w:r w:rsidR="008372AA" w:rsidRPr="00403220">
        <w:rPr>
          <w:rFonts w:cs="Times New Roman"/>
          <w:szCs w:val="24"/>
          <w:lang w:val="fr-CA"/>
        </w:rPr>
        <w:t>’</w:t>
      </w:r>
      <w:r w:rsidRPr="00403220">
        <w:rPr>
          <w:rFonts w:cs="Times New Roman"/>
          <w:szCs w:val="24"/>
          <w:lang w:val="fr-CA"/>
        </w:rPr>
        <w:t xml:space="preserve">une requête en radiation </w:t>
      </w:r>
      <w:r w:rsidR="006220A1" w:rsidRPr="00403220">
        <w:rPr>
          <w:rFonts w:cs="Times New Roman"/>
          <w:szCs w:val="24"/>
          <w:lang w:val="fr-CA"/>
        </w:rPr>
        <w:t>se demande s</w:t>
      </w:r>
      <w:r w:rsidR="008372AA" w:rsidRPr="00403220">
        <w:rPr>
          <w:rFonts w:cs="Times New Roman"/>
          <w:szCs w:val="24"/>
          <w:lang w:val="fr-CA"/>
        </w:rPr>
        <w:t>’</w:t>
      </w:r>
      <w:r w:rsidR="006220A1" w:rsidRPr="00403220">
        <w:rPr>
          <w:rFonts w:cs="Times New Roman"/>
          <w:szCs w:val="24"/>
          <w:lang w:val="fr-CA"/>
        </w:rPr>
        <w:t>il existe une possibilité</w:t>
      </w:r>
      <w:r w:rsidRPr="00403220">
        <w:rPr>
          <w:rFonts w:cs="Times New Roman"/>
          <w:szCs w:val="24"/>
          <w:lang w:val="fr-CA"/>
        </w:rPr>
        <w:t xml:space="preserve"> raisonnable </w:t>
      </w:r>
      <w:r w:rsidR="006220A1" w:rsidRPr="00403220">
        <w:rPr>
          <w:rFonts w:cs="Times New Roman"/>
          <w:szCs w:val="24"/>
          <w:lang w:val="fr-CA"/>
        </w:rPr>
        <w:t>que la demande soit</w:t>
      </w:r>
      <w:r w:rsidRPr="00403220">
        <w:rPr>
          <w:rFonts w:cs="Times New Roman"/>
          <w:szCs w:val="24"/>
          <w:lang w:val="fr-CA"/>
        </w:rPr>
        <w:t xml:space="preserve"> accueillie.  Dans le monde de la conjecture abstraite, il existe une probabilité mathématique qu</w:t>
      </w:r>
      <w:r w:rsidR="008372AA" w:rsidRPr="00403220">
        <w:rPr>
          <w:rFonts w:cs="Times New Roman"/>
          <w:szCs w:val="24"/>
          <w:lang w:val="fr-CA"/>
        </w:rPr>
        <w:t>’</w:t>
      </w:r>
      <w:r w:rsidRPr="00403220">
        <w:rPr>
          <w:rFonts w:cs="Times New Roman"/>
          <w:szCs w:val="24"/>
          <w:lang w:val="fr-CA"/>
        </w:rPr>
        <w:t>un certain nombre d</w:t>
      </w:r>
      <w:r w:rsidR="008372AA" w:rsidRPr="00403220">
        <w:rPr>
          <w:rFonts w:cs="Times New Roman"/>
          <w:szCs w:val="24"/>
          <w:lang w:val="fr-CA"/>
        </w:rPr>
        <w:t>’</w:t>
      </w:r>
      <w:r w:rsidRPr="00403220">
        <w:rPr>
          <w:rFonts w:cs="Times New Roman"/>
          <w:szCs w:val="24"/>
          <w:lang w:val="fr-CA"/>
        </w:rPr>
        <w:t>événements se produisent.  Ce n</w:t>
      </w:r>
      <w:r w:rsidR="008372AA" w:rsidRPr="00403220">
        <w:rPr>
          <w:rFonts w:cs="Times New Roman"/>
          <w:szCs w:val="24"/>
          <w:lang w:val="fr-CA"/>
        </w:rPr>
        <w:t>’</w:t>
      </w:r>
      <w:r w:rsidRPr="00403220">
        <w:rPr>
          <w:rFonts w:cs="Times New Roman"/>
          <w:szCs w:val="24"/>
          <w:lang w:val="fr-CA"/>
        </w:rPr>
        <w:t xml:space="preserve">est pas ce que le critère applicable aux requêtes en radiation cherche à déterminer.  Il </w:t>
      </w:r>
      <w:r w:rsidR="006220A1" w:rsidRPr="00403220">
        <w:rPr>
          <w:rFonts w:cs="Times New Roman"/>
          <w:szCs w:val="24"/>
          <w:lang w:val="fr-CA"/>
        </w:rPr>
        <w:t>suppose</w:t>
      </w:r>
      <w:r w:rsidRPr="00403220">
        <w:rPr>
          <w:rFonts w:cs="Times New Roman"/>
          <w:szCs w:val="24"/>
          <w:lang w:val="fr-CA"/>
        </w:rPr>
        <w:t xml:space="preserve"> plutôt que la demande sera traitée de la manière habituelle dans le système judiciaire — un système fondé sur le débat contradictoire dans lequel les juges sont tenus d</w:t>
      </w:r>
      <w:r w:rsidR="008372AA" w:rsidRPr="00403220">
        <w:rPr>
          <w:rFonts w:cs="Times New Roman"/>
          <w:szCs w:val="24"/>
          <w:lang w:val="fr-CA"/>
        </w:rPr>
        <w:t>’</w:t>
      </w:r>
      <w:r w:rsidRPr="00403220">
        <w:rPr>
          <w:rFonts w:cs="Times New Roman"/>
          <w:szCs w:val="24"/>
          <w:lang w:val="fr-CA"/>
        </w:rPr>
        <w:t>appliquer le droit (</w:t>
      </w:r>
      <w:r w:rsidR="006220A1" w:rsidRPr="00403220">
        <w:rPr>
          <w:rFonts w:cs="Times New Roman"/>
          <w:szCs w:val="24"/>
          <w:lang w:val="fr-CA"/>
        </w:rPr>
        <w:t>et son évolution</w:t>
      </w:r>
      <w:r w:rsidRPr="00403220">
        <w:rPr>
          <w:rFonts w:cs="Times New Roman"/>
          <w:szCs w:val="24"/>
          <w:lang w:val="fr-CA"/>
        </w:rPr>
        <w:t xml:space="preserve">) </w:t>
      </w:r>
      <w:r w:rsidR="006220A1" w:rsidRPr="00403220">
        <w:rPr>
          <w:rFonts w:cs="Times New Roman"/>
          <w:szCs w:val="24"/>
          <w:lang w:val="fr-CA"/>
        </w:rPr>
        <w:t xml:space="preserve">énoncé </w:t>
      </w:r>
      <w:r w:rsidRPr="00403220">
        <w:rPr>
          <w:rFonts w:cs="Times New Roman"/>
          <w:szCs w:val="24"/>
          <w:lang w:val="fr-CA"/>
        </w:rPr>
        <w:t>dans les lois et la jurisprudence.  Il s</w:t>
      </w:r>
      <w:r w:rsidR="008372AA" w:rsidRPr="00403220">
        <w:rPr>
          <w:rFonts w:cs="Times New Roman"/>
          <w:szCs w:val="24"/>
          <w:lang w:val="fr-CA"/>
        </w:rPr>
        <w:t>’</w:t>
      </w:r>
      <w:r w:rsidRPr="00403220">
        <w:rPr>
          <w:rFonts w:cs="Times New Roman"/>
          <w:szCs w:val="24"/>
          <w:lang w:val="fr-CA"/>
        </w:rPr>
        <w:t xml:space="preserve">agit de savoir si, dans </w:t>
      </w:r>
      <w:r w:rsidRPr="00403220">
        <w:rPr>
          <w:rFonts w:cs="Times New Roman"/>
          <w:i/>
          <w:szCs w:val="24"/>
          <w:lang w:val="fr-CA"/>
        </w:rPr>
        <w:t>le contexte du droit et du processus judiciaire</w:t>
      </w:r>
      <w:r w:rsidRPr="00403220">
        <w:rPr>
          <w:rFonts w:cs="Times New Roman"/>
          <w:szCs w:val="24"/>
          <w:lang w:val="fr-CA"/>
        </w:rPr>
        <w:t>, la demande n</w:t>
      </w:r>
      <w:r w:rsidR="008372AA" w:rsidRPr="00403220">
        <w:rPr>
          <w:rFonts w:cs="Times New Roman"/>
          <w:szCs w:val="24"/>
          <w:lang w:val="fr-CA"/>
        </w:rPr>
        <w:t>’</w:t>
      </w:r>
      <w:r w:rsidRPr="00403220">
        <w:rPr>
          <w:rFonts w:cs="Times New Roman"/>
          <w:szCs w:val="24"/>
          <w:lang w:val="fr-CA"/>
        </w:rPr>
        <w:t xml:space="preserve">a aucune </w:t>
      </w:r>
      <w:r w:rsidR="00816408" w:rsidRPr="00403220">
        <w:rPr>
          <w:rFonts w:cs="Times New Roman"/>
          <w:szCs w:val="24"/>
          <w:lang w:val="fr-CA"/>
        </w:rPr>
        <w:t>possibilité</w:t>
      </w:r>
      <w:r w:rsidRPr="00403220">
        <w:rPr>
          <w:rFonts w:cs="Times New Roman"/>
          <w:szCs w:val="24"/>
          <w:lang w:val="fr-CA"/>
        </w:rPr>
        <w:t xml:space="preserve"> raisonnable d</w:t>
      </w:r>
      <w:r w:rsidR="008372AA" w:rsidRPr="00403220">
        <w:rPr>
          <w:rFonts w:cs="Times New Roman"/>
          <w:szCs w:val="24"/>
          <w:lang w:val="fr-CA"/>
        </w:rPr>
        <w:t>’</w:t>
      </w:r>
      <w:r w:rsidRPr="00403220">
        <w:rPr>
          <w:rFonts w:cs="Times New Roman"/>
          <w:szCs w:val="24"/>
          <w:lang w:val="fr-CA"/>
        </w:rPr>
        <w:t xml:space="preserve">être accueillie.  </w:t>
      </w:r>
    </w:p>
    <w:p w:rsidR="0047179D" w:rsidRPr="00403220" w:rsidRDefault="00816408" w:rsidP="005A33F7">
      <w:pPr>
        <w:pStyle w:val="ParaNoNdepar-AltN"/>
        <w:rPr>
          <w:rFonts w:cs="Times New Roman"/>
          <w:szCs w:val="24"/>
          <w:lang w:val="fr-CA"/>
        </w:rPr>
      </w:pPr>
      <w:r w:rsidRPr="00403220">
        <w:rPr>
          <w:rFonts w:cs="Times New Roman"/>
          <w:szCs w:val="24"/>
          <w:lang w:val="fr-CA"/>
        </w:rPr>
        <w:t>C</w:t>
      </w:r>
      <w:r w:rsidR="008372AA" w:rsidRPr="00403220">
        <w:rPr>
          <w:rFonts w:cs="Times New Roman"/>
          <w:szCs w:val="24"/>
          <w:lang w:val="fr-CA"/>
        </w:rPr>
        <w:t>’</w:t>
      </w:r>
      <w:r w:rsidRPr="00403220">
        <w:rPr>
          <w:rFonts w:cs="Times New Roman"/>
          <w:szCs w:val="24"/>
          <w:lang w:val="fr-CA"/>
        </w:rPr>
        <w:t>est en tenant c</w:t>
      </w:r>
      <w:r w:rsidR="0047179D" w:rsidRPr="00403220">
        <w:rPr>
          <w:rFonts w:cs="Times New Roman"/>
          <w:szCs w:val="24"/>
          <w:lang w:val="fr-CA"/>
        </w:rPr>
        <w:t>ompte de ce cadre</w:t>
      </w:r>
      <w:r w:rsidRPr="00403220">
        <w:rPr>
          <w:rFonts w:cs="Times New Roman"/>
          <w:szCs w:val="24"/>
          <w:lang w:val="fr-CA"/>
        </w:rPr>
        <w:t xml:space="preserve"> que j</w:t>
      </w:r>
      <w:r w:rsidR="008372AA" w:rsidRPr="00403220">
        <w:rPr>
          <w:rFonts w:cs="Times New Roman"/>
          <w:szCs w:val="24"/>
          <w:lang w:val="fr-CA"/>
        </w:rPr>
        <w:t>’</w:t>
      </w:r>
      <w:r w:rsidRPr="00403220">
        <w:rPr>
          <w:rFonts w:cs="Times New Roman"/>
          <w:szCs w:val="24"/>
          <w:lang w:val="fr-CA"/>
        </w:rPr>
        <w:t>entame l</w:t>
      </w:r>
      <w:r w:rsidR="008372AA" w:rsidRPr="00403220">
        <w:rPr>
          <w:rFonts w:cs="Times New Roman"/>
          <w:szCs w:val="24"/>
          <w:lang w:val="fr-CA"/>
        </w:rPr>
        <w:t>’</w:t>
      </w:r>
      <w:r w:rsidRPr="00403220">
        <w:rPr>
          <w:rFonts w:cs="Times New Roman"/>
          <w:szCs w:val="24"/>
          <w:lang w:val="fr-CA"/>
        </w:rPr>
        <w:t>examen des</w:t>
      </w:r>
      <w:r w:rsidR="0047179D" w:rsidRPr="00403220">
        <w:rPr>
          <w:rFonts w:cs="Times New Roman"/>
          <w:szCs w:val="24"/>
          <w:lang w:val="fr-CA"/>
        </w:rPr>
        <w:t xml:space="preserve"> demandes des compagnies de tabac.</w:t>
      </w:r>
    </w:p>
    <w:p w:rsidR="0047179D" w:rsidRPr="00403220" w:rsidRDefault="00E64960" w:rsidP="00DF6983">
      <w:pPr>
        <w:pStyle w:val="TitleTitre-AltT"/>
        <w:keepNext/>
        <w:tabs>
          <w:tab w:val="clear" w:pos="360"/>
          <w:tab w:val="left" w:pos="540"/>
        </w:tabs>
        <w:spacing w:after="720"/>
        <w:ind w:left="540" w:hanging="540"/>
        <w:rPr>
          <w:rFonts w:cs="Times New Roman"/>
          <w:szCs w:val="24"/>
          <w:lang w:val="fr-CA"/>
        </w:rPr>
      </w:pPr>
      <w:bookmarkStart w:id="9" w:name="_Toc314735112"/>
      <w:r w:rsidRPr="00403220">
        <w:rPr>
          <w:rFonts w:cs="Times New Roman"/>
          <w:szCs w:val="24"/>
          <w:lang w:val="fr-CA"/>
        </w:rPr>
        <w:t>B</w:t>
      </w:r>
      <w:r w:rsidR="0047179D" w:rsidRPr="00403220">
        <w:rPr>
          <w:rFonts w:cs="Times New Roman"/>
          <w:szCs w:val="24"/>
          <w:lang w:val="fr-CA"/>
        </w:rPr>
        <w:t>.</w:t>
      </w:r>
      <w:r w:rsidRPr="00403220">
        <w:rPr>
          <w:rFonts w:cs="Times New Roman"/>
          <w:szCs w:val="24"/>
          <w:lang w:val="fr-CA"/>
        </w:rPr>
        <w:tab/>
      </w:r>
      <w:r w:rsidR="0047179D" w:rsidRPr="00403220">
        <w:rPr>
          <w:rFonts w:cs="Times New Roman"/>
          <w:i/>
          <w:szCs w:val="24"/>
          <w:lang w:val="fr-CA"/>
        </w:rPr>
        <w:t>Les pré</w:t>
      </w:r>
      <w:r w:rsidR="00816408" w:rsidRPr="00403220">
        <w:rPr>
          <w:rFonts w:cs="Times New Roman"/>
          <w:i/>
          <w:szCs w:val="24"/>
          <w:lang w:val="fr-CA"/>
        </w:rPr>
        <w:t>tendue</w:t>
      </w:r>
      <w:r w:rsidR="0047179D" w:rsidRPr="00403220">
        <w:rPr>
          <w:rFonts w:cs="Times New Roman"/>
          <w:i/>
          <w:szCs w:val="24"/>
          <w:lang w:val="fr-CA"/>
        </w:rPr>
        <w:t xml:space="preserve">s obligations de diligence du Canada envers les </w:t>
      </w:r>
      <w:r w:rsidR="00A93A67" w:rsidRPr="00403220">
        <w:rPr>
          <w:rFonts w:cs="Times New Roman"/>
          <w:i/>
          <w:szCs w:val="24"/>
          <w:lang w:val="fr-CA"/>
        </w:rPr>
        <w:t xml:space="preserve">fumeurs </w:t>
      </w:r>
      <w:r w:rsidR="0047179D" w:rsidRPr="00403220">
        <w:rPr>
          <w:rFonts w:cs="Times New Roman"/>
          <w:i/>
          <w:szCs w:val="24"/>
          <w:lang w:val="fr-CA"/>
        </w:rPr>
        <w:t>dans l</w:t>
      </w:r>
      <w:r w:rsidR="008372AA" w:rsidRPr="00403220">
        <w:rPr>
          <w:rFonts w:cs="Times New Roman"/>
          <w:i/>
          <w:szCs w:val="24"/>
          <w:lang w:val="fr-CA"/>
        </w:rPr>
        <w:t>’</w:t>
      </w:r>
      <w:r w:rsidRPr="00403220">
        <w:rPr>
          <w:rFonts w:cs="Times New Roman"/>
          <w:i/>
          <w:szCs w:val="24"/>
          <w:lang w:val="fr-CA"/>
        </w:rPr>
        <w:t>A</w:t>
      </w:r>
      <w:r w:rsidR="0047179D" w:rsidRPr="00403220">
        <w:rPr>
          <w:rFonts w:cs="Times New Roman"/>
          <w:i/>
          <w:szCs w:val="24"/>
          <w:lang w:val="fr-CA"/>
        </w:rPr>
        <w:t xml:space="preserve">ffaire </w:t>
      </w:r>
      <w:r w:rsidR="00D0006E" w:rsidRPr="00403220">
        <w:rPr>
          <w:rFonts w:cs="Times New Roman"/>
          <w:i/>
          <w:szCs w:val="24"/>
          <w:lang w:val="fr-CA"/>
        </w:rPr>
        <w:t xml:space="preserve">du </w:t>
      </w:r>
      <w:r w:rsidR="0047179D" w:rsidRPr="00403220">
        <w:rPr>
          <w:rFonts w:cs="Times New Roman"/>
          <w:i/>
          <w:szCs w:val="24"/>
          <w:lang w:val="fr-CA"/>
        </w:rPr>
        <w:t>recouvrement des coûts</w:t>
      </w:r>
      <w:bookmarkEnd w:id="9"/>
    </w:p>
    <w:p w:rsidR="0047179D" w:rsidRPr="00403220" w:rsidRDefault="0047179D" w:rsidP="005A33F7">
      <w:pPr>
        <w:pStyle w:val="ParaNoNdepar-AltN"/>
        <w:rPr>
          <w:rFonts w:cs="Times New Roman"/>
          <w:szCs w:val="24"/>
          <w:lang w:val="fr-CA"/>
        </w:rPr>
      </w:pPr>
      <w:r w:rsidRPr="00403220">
        <w:rPr>
          <w:rFonts w:cs="Times New Roman"/>
          <w:szCs w:val="24"/>
          <w:lang w:val="fr-CA"/>
        </w:rPr>
        <w:t>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 xml:space="preserve">ffaire </w:t>
      </w:r>
      <w:r w:rsidR="00D0006E" w:rsidRPr="00403220">
        <w:rPr>
          <w:rFonts w:cs="Times New Roman"/>
          <w:i/>
          <w:szCs w:val="24"/>
          <w:lang w:val="fr-CA"/>
        </w:rPr>
        <w:t xml:space="preserve">du </w:t>
      </w:r>
      <w:r w:rsidRPr="00403220">
        <w:rPr>
          <w:rFonts w:cs="Times New Roman"/>
          <w:i/>
          <w:szCs w:val="24"/>
          <w:lang w:val="fr-CA"/>
        </w:rPr>
        <w:t>recouvrement des coûts</w:t>
      </w:r>
      <w:r w:rsidRPr="00403220">
        <w:rPr>
          <w:rFonts w:cs="Times New Roman"/>
          <w:szCs w:val="24"/>
          <w:lang w:val="fr-CA"/>
        </w:rPr>
        <w:t xml:space="preserve">, le Canada </w:t>
      </w:r>
      <w:r w:rsidR="00A93A67" w:rsidRPr="00403220">
        <w:rPr>
          <w:rFonts w:cs="Times New Roman"/>
          <w:szCs w:val="24"/>
          <w:lang w:val="fr-CA"/>
        </w:rPr>
        <w:t>plaide</w:t>
      </w:r>
      <w:r w:rsidRPr="00403220">
        <w:rPr>
          <w:rFonts w:cs="Times New Roman"/>
          <w:szCs w:val="24"/>
          <w:lang w:val="fr-CA"/>
        </w:rPr>
        <w:t xml:space="preserve"> que toutes les demandes de contribution fondées sur ses pré</w:t>
      </w:r>
      <w:r w:rsidR="00201CC9" w:rsidRPr="00403220">
        <w:rPr>
          <w:rFonts w:cs="Times New Roman"/>
          <w:szCs w:val="24"/>
          <w:lang w:val="fr-CA"/>
        </w:rPr>
        <w:t>tendu</w:t>
      </w:r>
      <w:r w:rsidRPr="00403220">
        <w:rPr>
          <w:rFonts w:cs="Times New Roman"/>
          <w:szCs w:val="24"/>
          <w:lang w:val="fr-CA"/>
        </w:rPr>
        <w:t xml:space="preserve">es obligations de diligence envers </w:t>
      </w:r>
      <w:r w:rsidRPr="00403220">
        <w:rPr>
          <w:rFonts w:cs="Times New Roman"/>
          <w:szCs w:val="24"/>
          <w:lang w:val="fr-CA"/>
        </w:rPr>
        <w:lastRenderedPageBreak/>
        <w:t xml:space="preserve">les </w:t>
      </w:r>
      <w:r w:rsidR="00A93A67" w:rsidRPr="00403220">
        <w:rPr>
          <w:rFonts w:cs="Times New Roman"/>
          <w:szCs w:val="24"/>
          <w:lang w:val="fr-CA"/>
        </w:rPr>
        <w:t xml:space="preserve">fumeurs </w:t>
      </w:r>
      <w:r w:rsidRPr="00403220">
        <w:rPr>
          <w:rFonts w:cs="Times New Roman"/>
          <w:szCs w:val="24"/>
          <w:lang w:val="fr-CA"/>
        </w:rPr>
        <w:t xml:space="preserve">doivent être radiées.  Le Canada prétend </w:t>
      </w:r>
      <w:r w:rsidR="00201CC9" w:rsidRPr="00403220">
        <w:rPr>
          <w:rFonts w:cs="Times New Roman"/>
          <w:szCs w:val="24"/>
          <w:lang w:val="fr-CA"/>
        </w:rPr>
        <w:t>qu</w:t>
      </w:r>
      <w:r w:rsidR="00A93A67" w:rsidRPr="00403220">
        <w:rPr>
          <w:rFonts w:cs="Times New Roman"/>
          <w:szCs w:val="24"/>
          <w:lang w:val="fr-CA"/>
        </w:rPr>
        <w:t xml:space="preserve">e, </w:t>
      </w:r>
      <w:r w:rsidR="00201CC9" w:rsidRPr="00403220">
        <w:rPr>
          <w:rFonts w:cs="Times New Roman"/>
          <w:szCs w:val="24"/>
          <w:lang w:val="fr-CA"/>
        </w:rPr>
        <w:t>aux termes de</w:t>
      </w:r>
      <w:r w:rsidRPr="00403220">
        <w:rPr>
          <w:rFonts w:cs="Times New Roman"/>
          <w:szCs w:val="24"/>
          <w:lang w:val="fr-CA"/>
        </w:rPr>
        <w:t xml:space="preserve"> la </w:t>
      </w:r>
      <w:proofErr w:type="spellStart"/>
      <w:r w:rsidRPr="00403220">
        <w:rPr>
          <w:rFonts w:cs="Times New Roman"/>
          <w:i/>
          <w:szCs w:val="24"/>
          <w:lang w:val="fr-CA"/>
        </w:rPr>
        <w:t>Negligence</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00201CC9" w:rsidRPr="00403220">
        <w:rPr>
          <w:rFonts w:cs="Times New Roman"/>
          <w:szCs w:val="24"/>
          <w:lang w:val="fr-CA"/>
        </w:rPr>
        <w:t>,</w:t>
      </w:r>
      <w:r w:rsidRPr="00403220">
        <w:rPr>
          <w:rFonts w:cs="Times New Roman"/>
          <w:szCs w:val="24"/>
          <w:lang w:val="fr-CA"/>
        </w:rPr>
        <w:t xml:space="preserve"> une contribution ne peut être accordée si </w:t>
      </w:r>
      <w:r w:rsidR="00201CC9" w:rsidRPr="00403220">
        <w:rPr>
          <w:rFonts w:cs="Times New Roman"/>
          <w:szCs w:val="24"/>
          <w:lang w:val="fr-CA"/>
        </w:rPr>
        <w:t>le tiers n</w:t>
      </w:r>
      <w:r w:rsidR="008372AA" w:rsidRPr="00403220">
        <w:rPr>
          <w:rFonts w:cs="Times New Roman"/>
          <w:szCs w:val="24"/>
          <w:lang w:val="fr-CA"/>
        </w:rPr>
        <w:t>’</w:t>
      </w:r>
      <w:r w:rsidR="00201CC9" w:rsidRPr="00403220">
        <w:rPr>
          <w:rFonts w:cs="Times New Roman"/>
          <w:szCs w:val="24"/>
          <w:lang w:val="fr-CA"/>
        </w:rPr>
        <w:t xml:space="preserve">est pas directement responsable </w:t>
      </w:r>
      <w:r w:rsidRPr="00403220">
        <w:rPr>
          <w:rFonts w:cs="Times New Roman"/>
          <w:szCs w:val="24"/>
          <w:lang w:val="fr-CA"/>
        </w:rPr>
        <w:t>envers le plaignant.  Il prétend que même s</w:t>
      </w:r>
      <w:r w:rsidR="008372AA" w:rsidRPr="00403220">
        <w:rPr>
          <w:rFonts w:cs="Times New Roman"/>
          <w:szCs w:val="24"/>
          <w:lang w:val="fr-CA"/>
        </w:rPr>
        <w:t>’</w:t>
      </w:r>
      <w:r w:rsidRPr="00403220">
        <w:rPr>
          <w:rFonts w:cs="Times New Roman"/>
          <w:szCs w:val="24"/>
          <w:lang w:val="fr-CA"/>
        </w:rPr>
        <w:t xml:space="preserve">il a manqué à ses obligations envers les </w:t>
      </w:r>
      <w:r w:rsidR="00A93A67" w:rsidRPr="00403220">
        <w:rPr>
          <w:rFonts w:cs="Times New Roman"/>
          <w:szCs w:val="24"/>
          <w:lang w:val="fr-CA"/>
        </w:rPr>
        <w:t>fumeurs</w:t>
      </w:r>
      <w:r w:rsidRPr="00403220">
        <w:rPr>
          <w:rFonts w:cs="Times New Roman"/>
          <w:szCs w:val="24"/>
          <w:lang w:val="fr-CA"/>
        </w:rPr>
        <w:t xml:space="preserve">, ce manquement ne peut pas servir de fondement aux demandes de contribution des compagnies de tabac si elles sont tenues responsables envers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l</w:t>
      </w:r>
      <w:r w:rsidR="008372AA" w:rsidRPr="00403220">
        <w:rPr>
          <w:rFonts w:cs="Times New Roman"/>
          <w:szCs w:val="24"/>
          <w:lang w:val="fr-CA"/>
        </w:rPr>
        <w:t>’</w:t>
      </w:r>
      <w:r w:rsidRPr="00403220">
        <w:rPr>
          <w:rFonts w:cs="Times New Roman"/>
          <w:szCs w:val="24"/>
          <w:lang w:val="fr-CA"/>
        </w:rPr>
        <w:t xml:space="preserve">unique </w:t>
      </w:r>
      <w:r w:rsidR="001025F8" w:rsidRPr="00403220">
        <w:rPr>
          <w:rFonts w:cs="Times New Roman"/>
          <w:szCs w:val="24"/>
          <w:lang w:val="fr-CA"/>
        </w:rPr>
        <w:t>demanderesse</w:t>
      </w:r>
      <w:r w:rsidRPr="00403220">
        <w:rPr>
          <w:rFonts w:cs="Times New Roman"/>
          <w:szCs w:val="24"/>
          <w:lang w:val="fr-CA"/>
        </w:rPr>
        <w:t xml:space="preserve">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 xml:space="preserve">ffaire </w:t>
      </w:r>
      <w:r w:rsidR="00D0006E" w:rsidRPr="00403220">
        <w:rPr>
          <w:rFonts w:cs="Times New Roman"/>
          <w:i/>
          <w:szCs w:val="24"/>
          <w:lang w:val="fr-CA"/>
        </w:rPr>
        <w:t xml:space="preserve">du </w:t>
      </w:r>
      <w:r w:rsidRPr="00403220">
        <w:rPr>
          <w:rFonts w:cs="Times New Roman"/>
          <w:i/>
          <w:szCs w:val="24"/>
          <w:lang w:val="fr-CA"/>
        </w:rPr>
        <w:t>recouvrement des coûts</w:t>
      </w:r>
      <w:r w:rsidRPr="00403220">
        <w:rPr>
          <w:rFonts w:cs="Times New Roman"/>
          <w:szCs w:val="24"/>
          <w:lang w:val="fr-CA"/>
        </w:rPr>
        <w:t>.  La Cour d</w:t>
      </w:r>
      <w:r w:rsidR="008372AA" w:rsidRPr="00403220">
        <w:rPr>
          <w:rFonts w:cs="Times New Roman"/>
          <w:szCs w:val="24"/>
          <w:lang w:val="fr-CA"/>
        </w:rPr>
        <w:t>’</w:t>
      </w:r>
      <w:r w:rsidRPr="00403220">
        <w:rPr>
          <w:rFonts w:cs="Times New Roman"/>
          <w:szCs w:val="24"/>
          <w:lang w:val="fr-CA"/>
        </w:rPr>
        <w:t xml:space="preserve">appel a accepté cet argument.  </w:t>
      </w:r>
    </w:p>
    <w:p w:rsidR="0047179D" w:rsidRPr="00403220" w:rsidRDefault="0047179D" w:rsidP="005A33F7">
      <w:pPr>
        <w:pStyle w:val="ParaNoNdepar-AltN"/>
        <w:rPr>
          <w:rFonts w:cs="Times New Roman"/>
          <w:szCs w:val="24"/>
          <w:lang w:val="fr-CA"/>
        </w:rPr>
      </w:pPr>
      <w:r w:rsidRPr="00403220">
        <w:rPr>
          <w:rFonts w:cs="Times New Roman"/>
          <w:szCs w:val="24"/>
          <w:lang w:val="fr-CA"/>
        </w:rPr>
        <w:t>Les compagnies de tabac prétendent qu</w:t>
      </w:r>
      <w:r w:rsidR="008372AA" w:rsidRPr="00403220">
        <w:rPr>
          <w:rFonts w:cs="Times New Roman"/>
          <w:szCs w:val="24"/>
          <w:lang w:val="fr-CA"/>
        </w:rPr>
        <w:t>’</w:t>
      </w:r>
      <w:r w:rsidRPr="00403220">
        <w:rPr>
          <w:rFonts w:cs="Times New Roman"/>
          <w:szCs w:val="24"/>
          <w:lang w:val="fr-CA"/>
        </w:rPr>
        <w:t>il n</w:t>
      </w:r>
      <w:r w:rsidR="008372AA" w:rsidRPr="00403220">
        <w:rPr>
          <w:rFonts w:cs="Times New Roman"/>
          <w:szCs w:val="24"/>
          <w:lang w:val="fr-CA"/>
        </w:rPr>
        <w:t>’</w:t>
      </w:r>
      <w:r w:rsidRPr="00403220">
        <w:rPr>
          <w:rFonts w:cs="Times New Roman"/>
          <w:szCs w:val="24"/>
          <w:lang w:val="fr-CA"/>
        </w:rPr>
        <w:t xml:space="preserve">est pas nécessaire </w:t>
      </w:r>
      <w:r w:rsidR="00201CC9" w:rsidRPr="00403220">
        <w:rPr>
          <w:rFonts w:cs="Times New Roman"/>
          <w:szCs w:val="24"/>
          <w:lang w:val="fr-CA"/>
        </w:rPr>
        <w:t>qu</w:t>
      </w:r>
      <w:r w:rsidR="008372AA" w:rsidRPr="00403220">
        <w:rPr>
          <w:rFonts w:cs="Times New Roman"/>
          <w:szCs w:val="24"/>
          <w:lang w:val="fr-CA"/>
        </w:rPr>
        <w:t>’</w:t>
      </w:r>
      <w:r w:rsidR="00201CC9" w:rsidRPr="00403220">
        <w:rPr>
          <w:rFonts w:cs="Times New Roman"/>
          <w:szCs w:val="24"/>
          <w:lang w:val="fr-CA"/>
        </w:rPr>
        <w:t>une personne soit</w:t>
      </w:r>
      <w:r w:rsidRPr="00403220">
        <w:rPr>
          <w:rFonts w:cs="Times New Roman"/>
          <w:szCs w:val="24"/>
          <w:lang w:val="fr-CA"/>
        </w:rPr>
        <w:t xml:space="preserve"> directement responsable envers le </w:t>
      </w:r>
      <w:r w:rsidR="001025F8" w:rsidRPr="00403220">
        <w:rPr>
          <w:rFonts w:cs="Times New Roman"/>
          <w:szCs w:val="24"/>
          <w:lang w:val="fr-CA"/>
        </w:rPr>
        <w:t>demandeur</w:t>
      </w:r>
      <w:r w:rsidRPr="00403220">
        <w:rPr>
          <w:rFonts w:cs="Times New Roman"/>
          <w:szCs w:val="24"/>
          <w:lang w:val="fr-CA"/>
        </w:rPr>
        <w:t xml:space="preserve"> pour être tenu</w:t>
      </w:r>
      <w:r w:rsidR="00201CC9" w:rsidRPr="00403220">
        <w:rPr>
          <w:rFonts w:cs="Times New Roman"/>
          <w:szCs w:val="24"/>
          <w:lang w:val="fr-CA"/>
        </w:rPr>
        <w:t>e</w:t>
      </w:r>
      <w:r w:rsidRPr="00403220">
        <w:rPr>
          <w:rFonts w:cs="Times New Roman"/>
          <w:szCs w:val="24"/>
          <w:lang w:val="fr-CA"/>
        </w:rPr>
        <w:t xml:space="preserve"> de verser une contribution.  Elles prétendent que la contribution dont parle la</w:t>
      </w:r>
      <w:r w:rsidRPr="00403220">
        <w:rPr>
          <w:rFonts w:cs="Times New Roman"/>
          <w:i/>
          <w:szCs w:val="24"/>
          <w:lang w:val="fr-CA"/>
        </w:rPr>
        <w:t xml:space="preserve"> </w:t>
      </w:r>
      <w:proofErr w:type="spellStart"/>
      <w:r w:rsidRPr="00403220">
        <w:rPr>
          <w:rFonts w:cs="Times New Roman"/>
          <w:i/>
          <w:szCs w:val="24"/>
          <w:lang w:val="fr-CA"/>
        </w:rPr>
        <w:t>Negligence</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i/>
          <w:szCs w:val="24"/>
          <w:lang w:val="fr-CA"/>
        </w:rPr>
        <w:t xml:space="preserve"> </w:t>
      </w:r>
      <w:r w:rsidRPr="00403220">
        <w:rPr>
          <w:rFonts w:cs="Times New Roman"/>
          <w:szCs w:val="24"/>
          <w:lang w:val="fr-CA"/>
        </w:rPr>
        <w:t>repose sur</w:t>
      </w:r>
      <w:r w:rsidRPr="00403220">
        <w:rPr>
          <w:rFonts w:cs="Times New Roman"/>
          <w:i/>
          <w:szCs w:val="24"/>
          <w:lang w:val="fr-CA"/>
        </w:rPr>
        <w:t xml:space="preserve"> </w:t>
      </w:r>
      <w:r w:rsidRPr="00403220">
        <w:rPr>
          <w:rFonts w:cs="Times New Roman"/>
          <w:szCs w:val="24"/>
          <w:lang w:val="fr-CA"/>
        </w:rPr>
        <w:t xml:space="preserve">la faute et non pas sur la responsabilité.  Elles affirment que la </w:t>
      </w:r>
      <w:proofErr w:type="spellStart"/>
      <w:r w:rsidRPr="00403220">
        <w:rPr>
          <w:rFonts w:cs="Times New Roman"/>
          <w:i/>
          <w:szCs w:val="24"/>
          <w:lang w:val="fr-CA"/>
        </w:rPr>
        <w:t>Negligence</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i/>
          <w:szCs w:val="24"/>
          <w:lang w:val="fr-CA"/>
        </w:rPr>
        <w:t xml:space="preserve"> </w:t>
      </w:r>
      <w:r w:rsidRPr="00403220">
        <w:rPr>
          <w:rFonts w:cs="Times New Roman"/>
          <w:szCs w:val="24"/>
          <w:lang w:val="fr-CA"/>
        </w:rPr>
        <w:t>vise à permettre aux défendeurs d</w:t>
      </w:r>
      <w:r w:rsidR="008372AA" w:rsidRPr="00403220">
        <w:rPr>
          <w:rFonts w:cs="Times New Roman"/>
          <w:szCs w:val="24"/>
          <w:lang w:val="fr-CA"/>
        </w:rPr>
        <w:t>’</w:t>
      </w:r>
      <w:r w:rsidRPr="00403220">
        <w:rPr>
          <w:rFonts w:cs="Times New Roman"/>
          <w:szCs w:val="24"/>
          <w:lang w:val="fr-CA"/>
        </w:rPr>
        <w:t>être indemnisés par d</w:t>
      </w:r>
      <w:r w:rsidR="008372AA" w:rsidRPr="00403220">
        <w:rPr>
          <w:rFonts w:cs="Times New Roman"/>
          <w:szCs w:val="24"/>
          <w:lang w:val="fr-CA"/>
        </w:rPr>
        <w:t>’</w:t>
      </w:r>
      <w:r w:rsidRPr="00403220">
        <w:rPr>
          <w:rFonts w:cs="Times New Roman"/>
          <w:szCs w:val="24"/>
          <w:lang w:val="fr-CA"/>
        </w:rPr>
        <w:t>autres parties qui sont également responsables du dommage causé au plaignant</w:t>
      </w:r>
      <w:r w:rsidR="00201CC9" w:rsidRPr="00403220">
        <w:rPr>
          <w:rFonts w:cs="Times New Roman"/>
          <w:szCs w:val="24"/>
          <w:lang w:val="fr-CA"/>
        </w:rPr>
        <w:t xml:space="preserve">, </w:t>
      </w:r>
      <w:r w:rsidRPr="00403220">
        <w:rPr>
          <w:rFonts w:cs="Times New Roman"/>
          <w:szCs w:val="24"/>
          <w:lang w:val="fr-CA"/>
        </w:rPr>
        <w:t xml:space="preserve">et </w:t>
      </w:r>
      <w:r w:rsidR="00201CC9" w:rsidRPr="00403220">
        <w:rPr>
          <w:rFonts w:cs="Times New Roman"/>
          <w:szCs w:val="24"/>
          <w:lang w:val="fr-CA"/>
        </w:rPr>
        <w:t>qu</w:t>
      </w:r>
      <w:r w:rsidR="008372AA" w:rsidRPr="00403220">
        <w:rPr>
          <w:rFonts w:cs="Times New Roman"/>
          <w:szCs w:val="24"/>
          <w:lang w:val="fr-CA"/>
        </w:rPr>
        <w:t>’</w:t>
      </w:r>
      <w:r w:rsidRPr="00403220">
        <w:rPr>
          <w:rFonts w:cs="Times New Roman"/>
          <w:szCs w:val="24"/>
          <w:lang w:val="fr-CA"/>
        </w:rPr>
        <w:t>interdire un droit d</w:t>
      </w:r>
      <w:r w:rsidR="008372AA" w:rsidRPr="00403220">
        <w:rPr>
          <w:rFonts w:cs="Times New Roman"/>
          <w:szCs w:val="24"/>
          <w:lang w:val="fr-CA"/>
        </w:rPr>
        <w:t>’</w:t>
      </w:r>
      <w:r w:rsidRPr="00403220">
        <w:rPr>
          <w:rFonts w:cs="Times New Roman"/>
          <w:szCs w:val="24"/>
          <w:lang w:val="fr-CA"/>
        </w:rPr>
        <w:t>action contre le Canada ferait échec à cet objectif.</w:t>
      </w:r>
    </w:p>
    <w:p w:rsidR="0047179D" w:rsidRPr="00403220" w:rsidRDefault="0047179D" w:rsidP="005A33F7">
      <w:pPr>
        <w:pStyle w:val="ParaNoNdepar-AltN"/>
        <w:rPr>
          <w:rFonts w:cs="Times New Roman"/>
          <w:szCs w:val="24"/>
          <w:lang w:val="fr-CA"/>
        </w:rPr>
      </w:pPr>
      <w:r w:rsidRPr="00403220">
        <w:rPr>
          <w:rFonts w:cs="Times New Roman"/>
          <w:szCs w:val="24"/>
          <w:lang w:val="fr-CA"/>
        </w:rPr>
        <w:t>Je souscris à l</w:t>
      </w:r>
      <w:r w:rsidR="008372AA" w:rsidRPr="00403220">
        <w:rPr>
          <w:rFonts w:cs="Times New Roman"/>
          <w:szCs w:val="24"/>
          <w:lang w:val="fr-CA"/>
        </w:rPr>
        <w:t>’</w:t>
      </w:r>
      <w:r w:rsidRPr="00403220">
        <w:rPr>
          <w:rFonts w:cs="Times New Roman"/>
          <w:szCs w:val="24"/>
          <w:lang w:val="fr-CA"/>
        </w:rPr>
        <w:t>opinion du Canada et de la Cour d</w:t>
      </w:r>
      <w:r w:rsidR="008372AA" w:rsidRPr="00403220">
        <w:rPr>
          <w:rFonts w:cs="Times New Roman"/>
          <w:szCs w:val="24"/>
          <w:lang w:val="fr-CA"/>
        </w:rPr>
        <w:t>’</w:t>
      </w:r>
      <w:r w:rsidRPr="00403220">
        <w:rPr>
          <w:rFonts w:cs="Times New Roman"/>
          <w:szCs w:val="24"/>
          <w:lang w:val="fr-CA"/>
        </w:rPr>
        <w:t xml:space="preserve">appel selon laquelle un tiers ne peut être tenu de verser une contribution en vertu de la </w:t>
      </w:r>
      <w:proofErr w:type="spellStart"/>
      <w:r w:rsidRPr="00403220">
        <w:rPr>
          <w:rFonts w:cs="Times New Roman"/>
          <w:i/>
          <w:szCs w:val="24"/>
          <w:lang w:val="fr-CA"/>
        </w:rPr>
        <w:t>Negligence</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szCs w:val="24"/>
          <w:lang w:val="fr-CA"/>
        </w:rPr>
        <w:t xml:space="preserve"> que s</w:t>
      </w:r>
      <w:r w:rsidR="008372AA" w:rsidRPr="00403220">
        <w:rPr>
          <w:rFonts w:cs="Times New Roman"/>
          <w:szCs w:val="24"/>
          <w:lang w:val="fr-CA"/>
        </w:rPr>
        <w:t>’</w:t>
      </w:r>
      <w:r w:rsidRPr="00403220">
        <w:rPr>
          <w:rFonts w:cs="Times New Roman"/>
          <w:szCs w:val="24"/>
          <w:lang w:val="fr-CA"/>
        </w:rPr>
        <w:t>il est directement responsable envers le plaignant.  Dans</w:t>
      </w:r>
      <w:r w:rsidR="00201CC9" w:rsidRPr="00403220">
        <w:rPr>
          <w:rFonts w:cs="Times New Roman"/>
          <w:szCs w:val="24"/>
          <w:lang w:val="fr-CA"/>
        </w:rPr>
        <w:t xml:space="preserve"> l</w:t>
      </w:r>
      <w:r w:rsidR="008372AA" w:rsidRPr="00403220">
        <w:rPr>
          <w:rFonts w:cs="Times New Roman"/>
          <w:szCs w:val="24"/>
          <w:lang w:val="fr-CA"/>
        </w:rPr>
        <w:t>’</w:t>
      </w:r>
      <w:r w:rsidR="00201CC9" w:rsidRPr="00403220">
        <w:rPr>
          <w:rFonts w:cs="Times New Roman"/>
          <w:szCs w:val="24"/>
          <w:lang w:val="fr-CA"/>
        </w:rPr>
        <w:t>arrêt</w:t>
      </w:r>
      <w:r w:rsidRPr="00403220">
        <w:rPr>
          <w:rFonts w:cs="Times New Roman"/>
          <w:szCs w:val="24"/>
          <w:lang w:val="fr-CA"/>
        </w:rPr>
        <w:t xml:space="preserve"> </w:t>
      </w:r>
      <w:proofErr w:type="spellStart"/>
      <w:r w:rsidRPr="00403220">
        <w:rPr>
          <w:rFonts w:cs="Times New Roman"/>
          <w:i/>
          <w:szCs w:val="24"/>
          <w:lang w:val="fr-CA"/>
        </w:rPr>
        <w:t>Giffels</w:t>
      </w:r>
      <w:proofErr w:type="spellEnd"/>
      <w:r w:rsidR="00D45BE0" w:rsidRPr="00403220">
        <w:rPr>
          <w:rFonts w:cs="Times New Roman"/>
          <w:i/>
          <w:szCs w:val="24"/>
          <w:lang w:val="fr-CA"/>
        </w:rPr>
        <w:t xml:space="preserve"> Associates Ltd.</w:t>
      </w:r>
      <w:r w:rsidRPr="00403220">
        <w:rPr>
          <w:rFonts w:cs="Times New Roman"/>
          <w:i/>
          <w:szCs w:val="24"/>
          <w:lang w:val="fr-CA"/>
        </w:rPr>
        <w:t xml:space="preserve"> c. </w:t>
      </w:r>
      <w:proofErr w:type="spellStart"/>
      <w:r w:rsidRPr="00403220">
        <w:rPr>
          <w:rFonts w:cs="Times New Roman"/>
          <w:i/>
          <w:szCs w:val="24"/>
          <w:lang w:val="fr-CA"/>
        </w:rPr>
        <w:t>Eastern</w:t>
      </w:r>
      <w:proofErr w:type="spellEnd"/>
      <w:r w:rsidRPr="00403220">
        <w:rPr>
          <w:rFonts w:cs="Times New Roman"/>
          <w:i/>
          <w:szCs w:val="24"/>
          <w:lang w:val="fr-CA"/>
        </w:rPr>
        <w:t xml:space="preserve"> Constructio</w:t>
      </w:r>
      <w:r w:rsidR="00D45BE0" w:rsidRPr="00403220">
        <w:rPr>
          <w:rFonts w:cs="Times New Roman"/>
          <w:i/>
          <w:szCs w:val="24"/>
          <w:lang w:val="fr-CA"/>
        </w:rPr>
        <w:t>n Co.</w:t>
      </w:r>
      <w:r w:rsidRPr="00403220">
        <w:rPr>
          <w:rFonts w:cs="Times New Roman"/>
          <w:szCs w:val="24"/>
          <w:lang w:val="fr-CA"/>
        </w:rPr>
        <w:t>, [1978] 2 R.C.S. 1346, où il était question d</w:t>
      </w:r>
      <w:r w:rsidR="008372AA" w:rsidRPr="00403220">
        <w:rPr>
          <w:rFonts w:cs="Times New Roman"/>
          <w:szCs w:val="24"/>
          <w:lang w:val="fr-CA"/>
        </w:rPr>
        <w:t>’</w:t>
      </w:r>
      <w:r w:rsidRPr="00403220">
        <w:rPr>
          <w:rFonts w:cs="Times New Roman"/>
          <w:szCs w:val="24"/>
          <w:lang w:val="fr-CA"/>
        </w:rPr>
        <w:t xml:space="preserve">une </w:t>
      </w:r>
      <w:r w:rsidRPr="00403220">
        <w:rPr>
          <w:rFonts w:cs="Times New Roman"/>
          <w:szCs w:val="24"/>
          <w:lang w:val="fr-CA"/>
        </w:rPr>
        <w:lastRenderedPageBreak/>
        <w:t xml:space="preserve">disposition législative semblable à celle </w:t>
      </w:r>
      <w:r w:rsidR="00201CC9" w:rsidRPr="00403220">
        <w:rPr>
          <w:rFonts w:cs="Times New Roman"/>
          <w:szCs w:val="24"/>
          <w:lang w:val="fr-CA"/>
        </w:rPr>
        <w:t>de la</w:t>
      </w:r>
      <w:r w:rsidRPr="00403220">
        <w:rPr>
          <w:rFonts w:cs="Times New Roman"/>
          <w:szCs w:val="24"/>
          <w:lang w:val="fr-CA"/>
        </w:rPr>
        <w:t xml:space="preserve"> </w:t>
      </w:r>
      <w:proofErr w:type="spellStart"/>
      <w:r w:rsidRPr="00403220">
        <w:rPr>
          <w:rFonts w:cs="Times New Roman"/>
          <w:szCs w:val="24"/>
          <w:lang w:val="fr-CA"/>
        </w:rPr>
        <w:t>Colombie</w:t>
      </w:r>
      <w:r w:rsidR="00A54DAC" w:rsidRPr="00403220">
        <w:rPr>
          <w:rFonts w:cs="Times New Roman"/>
          <w:szCs w:val="24"/>
          <w:lang w:val="fr-CA"/>
        </w:rPr>
        <w:noBreakHyphen/>
      </w:r>
      <w:r w:rsidR="00FD18C7" w:rsidRPr="00403220">
        <w:rPr>
          <w:rFonts w:cs="Times New Roman"/>
          <w:szCs w:val="24"/>
          <w:lang w:val="fr-CA"/>
        </w:rPr>
        <w:t>Britannique</w:t>
      </w:r>
      <w:proofErr w:type="spellEnd"/>
      <w:r w:rsidR="00FD18C7" w:rsidRPr="00403220">
        <w:rPr>
          <w:rFonts w:cs="Times New Roman"/>
          <w:szCs w:val="24"/>
          <w:lang w:val="fr-CA"/>
        </w:rPr>
        <w:t xml:space="preserve">, le juge en chef </w:t>
      </w:r>
      <w:proofErr w:type="spellStart"/>
      <w:r w:rsidRPr="00403220">
        <w:rPr>
          <w:rFonts w:cs="Times New Roman"/>
          <w:szCs w:val="24"/>
          <w:lang w:val="fr-CA"/>
        </w:rPr>
        <w:t>Laskin</w:t>
      </w:r>
      <w:proofErr w:type="spellEnd"/>
      <w:r w:rsidRPr="00403220">
        <w:rPr>
          <w:rFonts w:cs="Times New Roman"/>
          <w:szCs w:val="24"/>
          <w:lang w:val="fr-CA"/>
        </w:rPr>
        <w:t xml:space="preserve"> a déclaré ce qui suit</w:t>
      </w:r>
      <w:r w:rsidR="00A54DAC" w:rsidRPr="00403220">
        <w:rPr>
          <w:rFonts w:cs="Times New Roman"/>
          <w:szCs w:val="24"/>
          <w:lang w:val="fr-CA"/>
        </w:rPr>
        <w:t> :</w:t>
      </w:r>
    </w:p>
    <w:p w:rsidR="0047179D" w:rsidRPr="00403220" w:rsidRDefault="00B563DD" w:rsidP="00B563DD">
      <w:pPr>
        <w:pStyle w:val="Citation-AltC"/>
        <w:ind w:hanging="1166"/>
        <w:rPr>
          <w:szCs w:val="24"/>
          <w:lang w:val="fr-CA"/>
        </w:rPr>
      </w:pPr>
      <w:r w:rsidRPr="00403220">
        <w:rPr>
          <w:rStyle w:val="Emphasis"/>
          <w:i w:val="0"/>
          <w:szCs w:val="24"/>
          <w:lang w:val="fr-CA"/>
        </w:rPr>
        <w:tab/>
      </w:r>
      <w:r w:rsidR="00AC4643">
        <w:rPr>
          <w:rStyle w:val="Emphasis"/>
          <w:i w:val="0"/>
          <w:szCs w:val="24"/>
          <w:lang w:val="fr-CA"/>
        </w:rPr>
        <w:t xml:space="preserve">. . . </w:t>
      </w:r>
      <w:r w:rsidR="00AC4643" w:rsidRPr="00AC4643">
        <w:rPr>
          <w:rStyle w:val="Emphasis"/>
          <w:i w:val="0"/>
          <w:szCs w:val="24"/>
          <w:u w:val="single"/>
          <w:lang w:val="fr-CA"/>
        </w:rPr>
        <w:t>j’</w:t>
      </w:r>
      <w:r w:rsidR="0047179D" w:rsidRPr="00403220">
        <w:rPr>
          <w:rStyle w:val="Emphasis"/>
          <w:i w:val="0"/>
          <w:szCs w:val="24"/>
          <w:u w:val="single"/>
          <w:lang w:val="fr-CA"/>
        </w:rPr>
        <w:t>estime qu</w:t>
      </w:r>
      <w:r w:rsidR="008372AA" w:rsidRPr="00403220">
        <w:rPr>
          <w:rStyle w:val="Emphasis"/>
          <w:i w:val="0"/>
          <w:szCs w:val="24"/>
          <w:u w:val="single"/>
          <w:lang w:val="fr-CA"/>
        </w:rPr>
        <w:t>’</w:t>
      </w:r>
      <w:r w:rsidR="0047179D" w:rsidRPr="00403220">
        <w:rPr>
          <w:rStyle w:val="Emphasis"/>
          <w:i w:val="0"/>
          <w:szCs w:val="24"/>
          <w:u w:val="single"/>
          <w:lang w:val="fr-CA"/>
        </w:rPr>
        <w:t>il faut d</w:t>
      </w:r>
      <w:r w:rsidR="008372AA" w:rsidRPr="00403220">
        <w:rPr>
          <w:rStyle w:val="Emphasis"/>
          <w:i w:val="0"/>
          <w:szCs w:val="24"/>
          <w:u w:val="single"/>
          <w:lang w:val="fr-CA"/>
        </w:rPr>
        <w:t>’</w:t>
      </w:r>
      <w:r w:rsidR="0047179D" w:rsidRPr="00403220">
        <w:rPr>
          <w:rStyle w:val="Emphasis"/>
          <w:i w:val="0"/>
          <w:szCs w:val="24"/>
          <w:u w:val="single"/>
          <w:lang w:val="fr-CA"/>
        </w:rPr>
        <w:t>abord établir la responsabilité envers la demanderesse pour pouvoir réclamer la contribution</w:t>
      </w:r>
      <w:r w:rsidR="0047179D" w:rsidRPr="00403220">
        <w:rPr>
          <w:rStyle w:val="Emphasis"/>
          <w:i w:val="0"/>
          <w:szCs w:val="24"/>
          <w:lang w:val="fr-CA"/>
        </w:rPr>
        <w:t>.</w:t>
      </w:r>
      <w:r w:rsidRPr="00403220">
        <w:rPr>
          <w:rStyle w:val="Emphasis"/>
          <w:i w:val="0"/>
          <w:szCs w:val="24"/>
          <w:lang w:val="fr-CA"/>
        </w:rPr>
        <w:t xml:space="preserve"> </w:t>
      </w:r>
      <w:r w:rsidR="00D45BE0" w:rsidRPr="00403220">
        <w:rPr>
          <w:rStyle w:val="Emphasis"/>
          <w:i w:val="0"/>
          <w:szCs w:val="24"/>
          <w:lang w:val="fr-CA"/>
        </w:rPr>
        <w:t xml:space="preserve"> Je ne vois pas comment une personne pourrait, en vertu du </w:t>
      </w:r>
      <w:r w:rsidR="00A54DAC" w:rsidRPr="00403220">
        <w:rPr>
          <w:rStyle w:val="Emphasis"/>
          <w:i w:val="0"/>
          <w:szCs w:val="24"/>
          <w:lang w:val="fr-CA"/>
        </w:rPr>
        <w:t>par. </w:t>
      </w:r>
      <w:r w:rsidR="00D45BE0" w:rsidRPr="00403220">
        <w:rPr>
          <w:rStyle w:val="Emphasis"/>
          <w:i w:val="0"/>
          <w:szCs w:val="24"/>
          <w:lang w:val="fr-CA"/>
        </w:rPr>
        <w:t xml:space="preserve">2(1), réclamer à une autre personne une contribution relativement à la perte subie par un tiers sans que chacune des deux premières personnes soit responsable envers le tiers de la perte qu’il a subie. </w:t>
      </w:r>
      <w:r w:rsidR="0047179D" w:rsidRPr="00403220">
        <w:rPr>
          <w:szCs w:val="24"/>
          <w:lang w:val="fr-CA"/>
        </w:rPr>
        <w:t xml:space="preserve"> [Je souligne</w:t>
      </w:r>
      <w:r w:rsidR="00201CC9" w:rsidRPr="00403220">
        <w:rPr>
          <w:szCs w:val="24"/>
          <w:lang w:val="fr-CA"/>
        </w:rPr>
        <w:t xml:space="preserve">; </w:t>
      </w:r>
      <w:r w:rsidR="00A54DAC" w:rsidRPr="00403220">
        <w:rPr>
          <w:szCs w:val="24"/>
          <w:lang w:val="fr-CA"/>
        </w:rPr>
        <w:t>p. </w:t>
      </w:r>
      <w:r w:rsidR="00201CC9" w:rsidRPr="00403220">
        <w:rPr>
          <w:szCs w:val="24"/>
          <w:lang w:val="fr-CA"/>
        </w:rPr>
        <w:t>1354</w:t>
      </w:r>
      <w:r w:rsidR="0047179D" w:rsidRPr="00403220">
        <w:rPr>
          <w:szCs w:val="24"/>
          <w:lang w:val="fr-CA"/>
        </w:rPr>
        <w:t>.]</w:t>
      </w:r>
    </w:p>
    <w:p w:rsidR="0047179D" w:rsidRPr="00403220" w:rsidRDefault="0047179D" w:rsidP="005A33F7">
      <w:pPr>
        <w:pStyle w:val="ParaNoNdepar-AltN"/>
        <w:rPr>
          <w:rFonts w:cs="Times New Roman"/>
          <w:szCs w:val="24"/>
          <w:lang w:val="fr-CA"/>
        </w:rPr>
      </w:pPr>
      <w:r w:rsidRPr="00403220">
        <w:rPr>
          <w:rFonts w:cs="Times New Roman"/>
          <w:szCs w:val="24"/>
          <w:lang w:val="fr-CA"/>
        </w:rPr>
        <w:t>Par conséquent, il est</w:t>
      </w:r>
      <w:r w:rsidR="00201CC9" w:rsidRPr="00403220">
        <w:rPr>
          <w:rFonts w:cs="Times New Roman"/>
          <w:szCs w:val="24"/>
          <w:lang w:val="fr-CA"/>
        </w:rPr>
        <w:t xml:space="preserve"> évident et</w:t>
      </w:r>
      <w:r w:rsidRPr="00403220">
        <w:rPr>
          <w:rFonts w:cs="Times New Roman"/>
          <w:szCs w:val="24"/>
          <w:lang w:val="fr-CA"/>
        </w:rPr>
        <w:t xml:space="preserve"> manifeste que les réclamations de droit privé </w:t>
      </w:r>
      <w:r w:rsidR="007C00EC" w:rsidRPr="00403220">
        <w:rPr>
          <w:rFonts w:cs="Times New Roman"/>
          <w:szCs w:val="24"/>
          <w:lang w:val="fr-CA"/>
        </w:rPr>
        <w:t>dirig</w:t>
      </w:r>
      <w:r w:rsidRPr="00403220">
        <w:rPr>
          <w:rFonts w:cs="Times New Roman"/>
          <w:szCs w:val="24"/>
          <w:lang w:val="fr-CA"/>
        </w:rPr>
        <w:t>ées contre le Canada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 xml:space="preserve">ffaire </w:t>
      </w:r>
      <w:r w:rsidR="00D0006E" w:rsidRPr="00403220">
        <w:rPr>
          <w:rFonts w:cs="Times New Roman"/>
          <w:i/>
          <w:szCs w:val="24"/>
          <w:lang w:val="fr-CA"/>
        </w:rPr>
        <w:t>du</w:t>
      </w:r>
      <w:r w:rsidRPr="00403220">
        <w:rPr>
          <w:rFonts w:cs="Times New Roman"/>
          <w:i/>
          <w:szCs w:val="24"/>
          <w:lang w:val="fr-CA"/>
        </w:rPr>
        <w:t xml:space="preserve"> recouvrement des coûts</w:t>
      </w:r>
      <w:r w:rsidRPr="00403220">
        <w:rPr>
          <w:rFonts w:cs="Times New Roman"/>
          <w:szCs w:val="24"/>
          <w:lang w:val="fr-CA"/>
        </w:rPr>
        <w:t xml:space="preserve"> qui découlent de pré</w:t>
      </w:r>
      <w:r w:rsidR="00201CC9" w:rsidRPr="00403220">
        <w:rPr>
          <w:rFonts w:cs="Times New Roman"/>
          <w:szCs w:val="24"/>
          <w:lang w:val="fr-CA"/>
        </w:rPr>
        <w:t>tendu</w:t>
      </w:r>
      <w:r w:rsidRPr="00403220">
        <w:rPr>
          <w:rFonts w:cs="Times New Roman"/>
          <w:szCs w:val="24"/>
          <w:lang w:val="fr-CA"/>
        </w:rPr>
        <w:t>es obligations de diligence</w:t>
      </w:r>
      <w:r w:rsidR="00201CC9" w:rsidRPr="00403220">
        <w:rPr>
          <w:rFonts w:cs="Times New Roman"/>
          <w:szCs w:val="24"/>
          <w:lang w:val="fr-CA"/>
        </w:rPr>
        <w:t xml:space="preserve"> envers les consommateurs</w:t>
      </w:r>
      <w:r w:rsidRPr="00403220">
        <w:rPr>
          <w:rFonts w:cs="Times New Roman"/>
          <w:szCs w:val="24"/>
          <w:lang w:val="fr-CA"/>
        </w:rPr>
        <w:t xml:space="preserve"> doivent être radiées.  Même si le Canada a manqué à ses obligations envers les </w:t>
      </w:r>
      <w:r w:rsidR="00A93A67" w:rsidRPr="00403220">
        <w:rPr>
          <w:rFonts w:cs="Times New Roman"/>
          <w:szCs w:val="24"/>
          <w:lang w:val="fr-CA"/>
        </w:rPr>
        <w:t>fumeurs</w:t>
      </w:r>
      <w:r w:rsidRPr="00403220">
        <w:rPr>
          <w:rFonts w:cs="Times New Roman"/>
          <w:szCs w:val="24"/>
          <w:lang w:val="fr-CA"/>
        </w:rPr>
        <w:t>, ce manquement n</w:t>
      </w:r>
      <w:r w:rsidR="008372AA" w:rsidRPr="00403220">
        <w:rPr>
          <w:rFonts w:cs="Times New Roman"/>
          <w:szCs w:val="24"/>
          <w:lang w:val="fr-CA"/>
        </w:rPr>
        <w:t>’</w:t>
      </w:r>
      <w:r w:rsidRPr="00403220">
        <w:rPr>
          <w:rFonts w:cs="Times New Roman"/>
          <w:szCs w:val="24"/>
          <w:lang w:val="fr-CA"/>
        </w:rPr>
        <w:t>aurait aucune incidence sur la question de savoir s</w:t>
      </w:r>
      <w:r w:rsidR="008372AA" w:rsidRPr="00403220">
        <w:rPr>
          <w:rFonts w:cs="Times New Roman"/>
          <w:szCs w:val="24"/>
          <w:lang w:val="fr-CA"/>
        </w:rPr>
        <w:t>’</w:t>
      </w:r>
      <w:r w:rsidRPr="00403220">
        <w:rPr>
          <w:rFonts w:cs="Times New Roman"/>
          <w:szCs w:val="24"/>
          <w:lang w:val="fr-CA"/>
        </w:rPr>
        <w:t xml:space="preserve">il est responsable envers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00A93A67" w:rsidRPr="00403220">
        <w:rPr>
          <w:rFonts w:cs="Times New Roman"/>
          <w:szCs w:val="24"/>
          <w:lang w:val="fr-CA"/>
        </w:rPr>
        <w:t>, la demanderesse dans cette affaire</w:t>
      </w:r>
      <w:r w:rsidRPr="00403220">
        <w:rPr>
          <w:rFonts w:cs="Times New Roman"/>
          <w:szCs w:val="24"/>
          <w:lang w:val="fr-CA"/>
        </w:rPr>
        <w:t>.  Cette conclusion n</w:t>
      </w:r>
      <w:r w:rsidR="008372AA" w:rsidRPr="00403220">
        <w:rPr>
          <w:rFonts w:cs="Times New Roman"/>
          <w:szCs w:val="24"/>
          <w:lang w:val="fr-CA"/>
        </w:rPr>
        <w:t>’</w:t>
      </w:r>
      <w:r w:rsidRPr="00403220">
        <w:rPr>
          <w:rFonts w:cs="Times New Roman"/>
          <w:szCs w:val="24"/>
          <w:lang w:val="fr-CA"/>
        </w:rPr>
        <w:t xml:space="preserve">a aucune incidence sur la réclamation des consommateurs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i/>
          <w:szCs w:val="24"/>
          <w:lang w:val="fr-CA"/>
        </w:rPr>
        <w:t xml:space="preserve"> </w:t>
      </w:r>
      <w:r w:rsidR="00201CC9" w:rsidRPr="00403220">
        <w:rPr>
          <w:rFonts w:cs="Times New Roman"/>
          <w:szCs w:val="24"/>
          <w:lang w:val="fr-CA"/>
        </w:rPr>
        <w:t>puisque dans cette instance,</w:t>
      </w:r>
      <w:r w:rsidRPr="00403220">
        <w:rPr>
          <w:rFonts w:cs="Times New Roman"/>
          <w:szCs w:val="24"/>
          <w:lang w:val="fr-CA"/>
        </w:rPr>
        <w:t xml:space="preserve"> les consommateurs de cigarettes légères ou douces sont les </w:t>
      </w:r>
      <w:r w:rsidR="00201CC9" w:rsidRPr="00403220">
        <w:rPr>
          <w:rFonts w:cs="Times New Roman"/>
          <w:szCs w:val="24"/>
          <w:lang w:val="fr-CA"/>
        </w:rPr>
        <w:t>demandeurs</w:t>
      </w:r>
      <w:r w:rsidRPr="00403220">
        <w:rPr>
          <w:rFonts w:cs="Times New Roman"/>
          <w:szCs w:val="24"/>
          <w:lang w:val="fr-CA"/>
        </w:rPr>
        <w:t>.</w:t>
      </w:r>
    </w:p>
    <w:p w:rsidR="0047179D" w:rsidRPr="00403220" w:rsidRDefault="00201CC9" w:rsidP="005A33F7">
      <w:pPr>
        <w:pStyle w:val="ParaNoNdepar-AltN"/>
        <w:rPr>
          <w:rFonts w:cs="Times New Roman"/>
          <w:szCs w:val="24"/>
          <w:lang w:val="fr-CA"/>
        </w:rPr>
      </w:pPr>
      <w:r w:rsidRPr="00403220">
        <w:rPr>
          <w:rFonts w:cs="Times New Roman"/>
          <w:szCs w:val="24"/>
          <w:lang w:val="fr-CA"/>
        </w:rPr>
        <w:t>Dans le reste des présents motifs, l</w:t>
      </w:r>
      <w:r w:rsidR="00785D34" w:rsidRPr="00403220">
        <w:rPr>
          <w:rFonts w:cs="Times New Roman"/>
          <w:szCs w:val="24"/>
          <w:lang w:val="fr-CA"/>
        </w:rPr>
        <w:t>’examen</w:t>
      </w:r>
      <w:r w:rsidR="0047179D" w:rsidRPr="00403220">
        <w:rPr>
          <w:rFonts w:cs="Times New Roman"/>
          <w:szCs w:val="24"/>
          <w:lang w:val="fr-CA"/>
        </w:rPr>
        <w:t xml:space="preserve"> </w:t>
      </w:r>
      <w:r w:rsidR="00785D34" w:rsidRPr="00403220">
        <w:rPr>
          <w:rFonts w:cs="Times New Roman"/>
          <w:szCs w:val="24"/>
          <w:lang w:val="fr-CA"/>
        </w:rPr>
        <w:t>d</w:t>
      </w:r>
      <w:r w:rsidR="0047179D" w:rsidRPr="00403220">
        <w:rPr>
          <w:rFonts w:cs="Times New Roman"/>
          <w:szCs w:val="24"/>
          <w:lang w:val="fr-CA"/>
        </w:rPr>
        <w:t>es réclamations de droit privé ne portera que sur l</w:t>
      </w:r>
      <w:r w:rsidRPr="00403220">
        <w:rPr>
          <w:rFonts w:cs="Times New Roman"/>
          <w:szCs w:val="24"/>
          <w:lang w:val="fr-CA"/>
        </w:rPr>
        <w:t>es demandes fondées sur les prétendu</w:t>
      </w:r>
      <w:r w:rsidR="0047179D" w:rsidRPr="00403220">
        <w:rPr>
          <w:rFonts w:cs="Times New Roman"/>
          <w:szCs w:val="24"/>
          <w:lang w:val="fr-CA"/>
        </w:rPr>
        <w:t xml:space="preserve">es obligations de diligence du Canada envers les compagnies de tabac dans les deux causes dont la </w:t>
      </w:r>
      <w:r w:rsidR="0047179D" w:rsidRPr="00403220">
        <w:rPr>
          <w:rFonts w:cs="Times New Roman"/>
          <w:szCs w:val="24"/>
          <w:lang w:val="fr-CA"/>
        </w:rPr>
        <w:lastRenderedPageBreak/>
        <w:t>Cour est saisie</w:t>
      </w:r>
      <w:r w:rsidRPr="00403220">
        <w:rPr>
          <w:rFonts w:cs="Times New Roman"/>
          <w:szCs w:val="24"/>
          <w:lang w:val="fr-CA"/>
        </w:rPr>
        <w:t>,</w:t>
      </w:r>
      <w:r w:rsidR="0047179D" w:rsidRPr="00403220">
        <w:rPr>
          <w:rFonts w:cs="Times New Roman"/>
          <w:szCs w:val="24"/>
          <w:lang w:val="fr-CA"/>
        </w:rPr>
        <w:t xml:space="preserve"> et sur les pré</w:t>
      </w:r>
      <w:r w:rsidRPr="00403220">
        <w:rPr>
          <w:rFonts w:cs="Times New Roman"/>
          <w:szCs w:val="24"/>
          <w:lang w:val="fr-CA"/>
        </w:rPr>
        <w:t>tendu</w:t>
      </w:r>
      <w:r w:rsidR="0047179D" w:rsidRPr="00403220">
        <w:rPr>
          <w:rFonts w:cs="Times New Roman"/>
          <w:szCs w:val="24"/>
          <w:lang w:val="fr-CA"/>
        </w:rPr>
        <w:t xml:space="preserve">es obligations du Canada envers les consommateurs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47179D" w:rsidRPr="00403220">
        <w:rPr>
          <w:rFonts w:cs="Times New Roman"/>
          <w:szCs w:val="24"/>
          <w:lang w:val="fr-CA"/>
        </w:rPr>
        <w:t>.</w:t>
      </w:r>
    </w:p>
    <w:p w:rsidR="0047179D" w:rsidRPr="00403220" w:rsidRDefault="00377327" w:rsidP="00DF6983">
      <w:pPr>
        <w:pStyle w:val="TitleTitre-AltT"/>
        <w:keepNext/>
        <w:tabs>
          <w:tab w:val="clear" w:pos="360"/>
          <w:tab w:val="left" w:pos="540"/>
        </w:tabs>
        <w:spacing w:after="720"/>
        <w:ind w:left="540" w:hanging="540"/>
        <w:rPr>
          <w:rFonts w:cs="Times New Roman"/>
          <w:i/>
          <w:szCs w:val="24"/>
          <w:lang w:val="fr-CA"/>
        </w:rPr>
      </w:pPr>
      <w:bookmarkStart w:id="10" w:name="_Toc314735113"/>
      <w:r w:rsidRPr="00403220">
        <w:rPr>
          <w:rFonts w:cs="Times New Roman"/>
          <w:szCs w:val="24"/>
          <w:lang w:val="fr-CA"/>
        </w:rPr>
        <w:t>C</w:t>
      </w:r>
      <w:r w:rsidR="008A0C1C" w:rsidRPr="00403220">
        <w:rPr>
          <w:rFonts w:cs="Times New Roman"/>
          <w:szCs w:val="24"/>
          <w:lang w:val="fr-CA"/>
        </w:rPr>
        <w:t>.</w:t>
      </w:r>
      <w:r w:rsidR="008A0C1C" w:rsidRPr="00403220">
        <w:rPr>
          <w:rFonts w:cs="Times New Roman"/>
          <w:i/>
          <w:szCs w:val="24"/>
          <w:lang w:val="fr-CA"/>
        </w:rPr>
        <w:tab/>
      </w:r>
      <w:r w:rsidR="0047179D" w:rsidRPr="00403220">
        <w:rPr>
          <w:rFonts w:cs="Times New Roman"/>
          <w:i/>
          <w:szCs w:val="24"/>
          <w:lang w:val="fr-CA"/>
        </w:rPr>
        <w:t>Les demandes fondées sur des déclarations inexactes faites par négligence</w:t>
      </w:r>
      <w:bookmarkEnd w:id="10"/>
    </w:p>
    <w:p w:rsidR="0047179D" w:rsidRPr="00403220" w:rsidRDefault="0047179D" w:rsidP="005A33F7">
      <w:pPr>
        <w:pStyle w:val="ParaNoNdepar-AltN"/>
        <w:rPr>
          <w:rFonts w:cs="Times New Roman"/>
          <w:szCs w:val="24"/>
          <w:lang w:val="fr-CA"/>
        </w:rPr>
      </w:pPr>
      <w:r w:rsidRPr="00403220">
        <w:rPr>
          <w:rFonts w:cs="Times New Roman"/>
          <w:szCs w:val="24"/>
          <w:lang w:val="fr-CA"/>
        </w:rPr>
        <w:t>Deux types de demande</w:t>
      </w:r>
      <w:r w:rsidR="00201CC9" w:rsidRPr="00403220">
        <w:rPr>
          <w:rFonts w:cs="Times New Roman"/>
          <w:szCs w:val="24"/>
          <w:lang w:val="fr-CA"/>
        </w:rPr>
        <w:t>s</w:t>
      </w:r>
      <w:r w:rsidRPr="00403220">
        <w:rPr>
          <w:rFonts w:cs="Times New Roman"/>
          <w:szCs w:val="24"/>
          <w:lang w:val="fr-CA"/>
        </w:rPr>
        <w:t xml:space="preserve"> fondée</w:t>
      </w:r>
      <w:r w:rsidR="00201CC9" w:rsidRPr="00403220">
        <w:rPr>
          <w:rFonts w:cs="Times New Roman"/>
          <w:szCs w:val="24"/>
          <w:lang w:val="fr-CA"/>
        </w:rPr>
        <w:t>s</w:t>
      </w:r>
      <w:r w:rsidRPr="00403220">
        <w:rPr>
          <w:rFonts w:cs="Times New Roman"/>
          <w:szCs w:val="24"/>
          <w:lang w:val="fr-CA"/>
        </w:rPr>
        <w:t xml:space="preserve"> sur des déclarations inexactes faites par négligence sont toujours en litige dans le présent appel.  Premièrement,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xml:space="preserve">, </w:t>
      </w:r>
      <w:r w:rsidR="00847C22" w:rsidRPr="00403220">
        <w:rPr>
          <w:rFonts w:cs="Times New Roman"/>
          <w:szCs w:val="24"/>
          <w:lang w:val="fr-CA"/>
        </w:rPr>
        <w:t xml:space="preserve">Imperial </w:t>
      </w:r>
      <w:r w:rsidRPr="00403220">
        <w:rPr>
          <w:rFonts w:cs="Times New Roman"/>
          <w:szCs w:val="24"/>
          <w:lang w:val="fr-CA"/>
        </w:rPr>
        <w:t xml:space="preserve">prétend que le Canada a </w:t>
      </w:r>
      <w:r w:rsidR="00201CC9" w:rsidRPr="00403220">
        <w:rPr>
          <w:rFonts w:cs="Times New Roman"/>
          <w:szCs w:val="24"/>
          <w:lang w:val="fr-CA"/>
        </w:rPr>
        <w:t>fait preuve de négligence en déclarant faussement</w:t>
      </w:r>
      <w:r w:rsidRPr="00403220">
        <w:rPr>
          <w:rFonts w:cs="Times New Roman"/>
          <w:szCs w:val="24"/>
          <w:lang w:val="fr-CA"/>
        </w:rPr>
        <w:t xml:space="preserve"> aux </w:t>
      </w:r>
      <w:r w:rsidR="00A93A67" w:rsidRPr="00403220">
        <w:rPr>
          <w:rFonts w:cs="Times New Roman"/>
          <w:szCs w:val="24"/>
          <w:lang w:val="fr-CA"/>
        </w:rPr>
        <w:t>consommat</w:t>
      </w:r>
      <w:r w:rsidRPr="00403220">
        <w:rPr>
          <w:rFonts w:cs="Times New Roman"/>
          <w:szCs w:val="24"/>
          <w:lang w:val="fr-CA"/>
        </w:rPr>
        <w:t xml:space="preserve">eurs </w:t>
      </w:r>
      <w:r w:rsidR="00201CC9" w:rsidRPr="00403220">
        <w:rPr>
          <w:rFonts w:cs="Times New Roman"/>
          <w:szCs w:val="24"/>
          <w:lang w:val="fr-CA"/>
        </w:rPr>
        <w:t>que la</w:t>
      </w:r>
      <w:r w:rsidRPr="00403220">
        <w:rPr>
          <w:rFonts w:cs="Times New Roman"/>
          <w:szCs w:val="24"/>
          <w:lang w:val="fr-CA"/>
        </w:rPr>
        <w:t xml:space="preserve"> cigarette à teneur réduite en goudron </w:t>
      </w:r>
      <w:r w:rsidR="00201CC9" w:rsidRPr="00403220">
        <w:rPr>
          <w:rFonts w:cs="Times New Roman"/>
          <w:szCs w:val="24"/>
          <w:lang w:val="fr-CA"/>
        </w:rPr>
        <w:t>serait moins nocive pour la santé, et qu</w:t>
      </w:r>
      <w:r w:rsidR="008372AA" w:rsidRPr="00403220">
        <w:rPr>
          <w:rFonts w:cs="Times New Roman"/>
          <w:szCs w:val="24"/>
          <w:lang w:val="fr-CA"/>
        </w:rPr>
        <w:t>’</w:t>
      </w:r>
      <w:r w:rsidR="00201CC9" w:rsidRPr="00403220">
        <w:rPr>
          <w:rFonts w:cs="Times New Roman"/>
          <w:szCs w:val="24"/>
          <w:lang w:val="fr-CA"/>
        </w:rPr>
        <w:t>il</w:t>
      </w:r>
      <w:r w:rsidRPr="00403220">
        <w:rPr>
          <w:rFonts w:cs="Times New Roman"/>
          <w:szCs w:val="24"/>
          <w:lang w:val="fr-CA"/>
        </w:rPr>
        <w:t xml:space="preserve"> </w:t>
      </w:r>
      <w:r w:rsidR="00A93A67" w:rsidRPr="00403220">
        <w:rPr>
          <w:rFonts w:cs="Times New Roman"/>
          <w:szCs w:val="24"/>
          <w:lang w:val="fr-CA"/>
        </w:rPr>
        <w:t>est</w:t>
      </w:r>
      <w:r w:rsidRPr="00403220">
        <w:rPr>
          <w:rFonts w:cs="Times New Roman"/>
          <w:szCs w:val="24"/>
          <w:lang w:val="fr-CA"/>
        </w:rPr>
        <w:t xml:space="preserve"> donc tenu</w:t>
      </w:r>
      <w:r w:rsidR="00A93A67" w:rsidRPr="00403220">
        <w:rPr>
          <w:rFonts w:cs="Times New Roman"/>
          <w:szCs w:val="24"/>
          <w:lang w:val="fr-CA"/>
        </w:rPr>
        <w:t xml:space="preserve"> à contribution et à indemnisation</w:t>
      </w:r>
      <w:r w:rsidR="00DB687B" w:rsidRPr="00403220">
        <w:rPr>
          <w:rFonts w:cs="Times New Roman"/>
          <w:szCs w:val="24"/>
          <w:lang w:val="fr-CA"/>
        </w:rPr>
        <w:t xml:space="preserve"> sur la base de la </w:t>
      </w:r>
      <w:proofErr w:type="spellStart"/>
      <w:r w:rsidR="00DB687B" w:rsidRPr="00403220">
        <w:rPr>
          <w:rFonts w:cs="Times New Roman"/>
          <w:i/>
          <w:szCs w:val="24"/>
          <w:lang w:val="fr-CA"/>
        </w:rPr>
        <w:t>Negligence</w:t>
      </w:r>
      <w:proofErr w:type="spellEnd"/>
      <w:r w:rsidR="00DB687B" w:rsidRPr="00403220">
        <w:rPr>
          <w:rFonts w:cs="Times New Roman"/>
          <w:i/>
          <w:szCs w:val="24"/>
          <w:lang w:val="fr-CA"/>
        </w:rPr>
        <w:t xml:space="preserve"> </w:t>
      </w:r>
      <w:proofErr w:type="spellStart"/>
      <w:r w:rsidR="00DB687B" w:rsidRPr="00403220">
        <w:rPr>
          <w:rFonts w:cs="Times New Roman"/>
          <w:i/>
          <w:szCs w:val="24"/>
          <w:lang w:val="fr-CA"/>
        </w:rPr>
        <w:t>Act</w:t>
      </w:r>
      <w:proofErr w:type="spellEnd"/>
      <w:r w:rsidRPr="00403220">
        <w:rPr>
          <w:rFonts w:cs="Times New Roman"/>
          <w:szCs w:val="24"/>
          <w:lang w:val="fr-CA"/>
        </w:rPr>
        <w:t xml:space="preserve"> si les membres du groupe ont gain de cause dans </w:t>
      </w:r>
      <w:r w:rsidR="00201CC9" w:rsidRPr="00403220">
        <w:rPr>
          <w:rFonts w:cs="Times New Roman"/>
          <w:szCs w:val="24"/>
          <w:lang w:val="fr-CA"/>
        </w:rPr>
        <w:t>cette</w:t>
      </w:r>
      <w:r w:rsidRPr="00403220">
        <w:rPr>
          <w:rFonts w:cs="Times New Roman"/>
          <w:szCs w:val="24"/>
          <w:lang w:val="fr-CA"/>
        </w:rPr>
        <w:t xml:space="preserve"> poursuite.  Deuxièmement, dans les deux affaires dont la Cour est saisie, </w:t>
      </w:r>
      <w:r w:rsidR="00847C22" w:rsidRPr="00403220">
        <w:rPr>
          <w:rFonts w:cs="Times New Roman"/>
          <w:szCs w:val="24"/>
          <w:lang w:val="fr-CA"/>
        </w:rPr>
        <w:t xml:space="preserve">Imperial </w:t>
      </w:r>
      <w:r w:rsidRPr="00403220">
        <w:rPr>
          <w:rFonts w:cs="Times New Roman"/>
          <w:szCs w:val="24"/>
          <w:lang w:val="fr-CA"/>
        </w:rPr>
        <w:t xml:space="preserve">et les autres compagnies de tabac prétendent que le Canada a fait </w:t>
      </w:r>
      <w:r w:rsidR="00A2437F" w:rsidRPr="00403220">
        <w:rPr>
          <w:rFonts w:cs="Times New Roman"/>
          <w:szCs w:val="24"/>
          <w:lang w:val="fr-CA"/>
        </w:rPr>
        <w:t xml:space="preserve">aux compagnies de tabac </w:t>
      </w:r>
      <w:r w:rsidRPr="00403220">
        <w:rPr>
          <w:rFonts w:cs="Times New Roman"/>
          <w:szCs w:val="24"/>
          <w:lang w:val="fr-CA"/>
        </w:rPr>
        <w:t>des déclarations inexactes par négligence et qu</w:t>
      </w:r>
      <w:r w:rsidR="008372AA" w:rsidRPr="00403220">
        <w:rPr>
          <w:rFonts w:cs="Times New Roman"/>
          <w:szCs w:val="24"/>
          <w:lang w:val="fr-CA"/>
        </w:rPr>
        <w:t>’</w:t>
      </w:r>
      <w:r w:rsidRPr="00403220">
        <w:rPr>
          <w:rFonts w:cs="Times New Roman"/>
          <w:szCs w:val="24"/>
          <w:lang w:val="fr-CA"/>
        </w:rPr>
        <w:t xml:space="preserve">il est responsable des pertes </w:t>
      </w:r>
      <w:r w:rsidR="00785D34" w:rsidRPr="00403220">
        <w:rPr>
          <w:rFonts w:cs="Times New Roman"/>
          <w:szCs w:val="24"/>
          <w:lang w:val="fr-CA"/>
        </w:rPr>
        <w:t xml:space="preserve">que pourraient subir </w:t>
      </w:r>
      <w:r w:rsidRPr="00403220">
        <w:rPr>
          <w:rFonts w:cs="Times New Roman"/>
          <w:szCs w:val="24"/>
          <w:lang w:val="fr-CA"/>
        </w:rPr>
        <w:t xml:space="preserve">les compagnies de tabac en raison des indemnités </w:t>
      </w:r>
      <w:r w:rsidR="00785D34" w:rsidRPr="00403220">
        <w:rPr>
          <w:rFonts w:cs="Times New Roman"/>
          <w:szCs w:val="24"/>
          <w:lang w:val="fr-CA"/>
        </w:rPr>
        <w:t xml:space="preserve">à </w:t>
      </w:r>
      <w:r w:rsidRPr="00403220">
        <w:rPr>
          <w:rFonts w:cs="Times New Roman"/>
          <w:szCs w:val="24"/>
          <w:lang w:val="fr-CA"/>
        </w:rPr>
        <w:t>vers</w:t>
      </w:r>
      <w:r w:rsidR="00785D34" w:rsidRPr="00403220">
        <w:rPr>
          <w:rFonts w:cs="Times New Roman"/>
          <w:szCs w:val="24"/>
          <w:lang w:val="fr-CA"/>
        </w:rPr>
        <w:t>er</w:t>
      </w:r>
      <w:r w:rsidRPr="00403220">
        <w:rPr>
          <w:rFonts w:cs="Times New Roman"/>
          <w:szCs w:val="24"/>
          <w:lang w:val="fr-CA"/>
        </w:rPr>
        <w:t xml:space="preserve"> aux plaignants dans l</w:t>
      </w:r>
      <w:r w:rsidR="008372AA" w:rsidRPr="00403220">
        <w:rPr>
          <w:rFonts w:cs="Times New Roman"/>
          <w:szCs w:val="24"/>
          <w:lang w:val="fr-CA"/>
        </w:rPr>
        <w:t>’</w:t>
      </w:r>
      <w:r w:rsidR="00DB687B" w:rsidRPr="00403220">
        <w:rPr>
          <w:rFonts w:cs="Times New Roman"/>
          <w:szCs w:val="24"/>
          <w:lang w:val="fr-CA"/>
        </w:rPr>
        <w:t xml:space="preserve">une ou l’autre de ces </w:t>
      </w:r>
      <w:r w:rsidRPr="00403220">
        <w:rPr>
          <w:rFonts w:cs="Times New Roman"/>
          <w:szCs w:val="24"/>
          <w:lang w:val="fr-CA"/>
        </w:rPr>
        <w:t>affaire</w:t>
      </w:r>
      <w:r w:rsidR="00DB687B" w:rsidRPr="00403220">
        <w:rPr>
          <w:rFonts w:cs="Times New Roman"/>
          <w:szCs w:val="24"/>
          <w:lang w:val="fr-CA"/>
        </w:rPr>
        <w:t>s</w:t>
      </w:r>
      <w:r w:rsidRPr="00403220">
        <w:rPr>
          <w:rFonts w:cs="Times New Roman"/>
          <w:szCs w:val="24"/>
          <w:lang w:val="fr-CA"/>
        </w:rPr>
        <w:t>.</w:t>
      </w:r>
    </w:p>
    <w:p w:rsidR="0047179D" w:rsidRPr="00403220" w:rsidRDefault="0047179D" w:rsidP="005A33F7">
      <w:pPr>
        <w:pStyle w:val="ParaNoNdepar-AltN"/>
        <w:rPr>
          <w:rFonts w:cs="Times New Roman"/>
          <w:szCs w:val="24"/>
          <w:lang w:val="fr-CA"/>
        </w:rPr>
      </w:pPr>
      <w:r w:rsidRPr="00403220">
        <w:rPr>
          <w:rFonts w:cs="Times New Roman"/>
          <w:szCs w:val="24"/>
          <w:lang w:val="fr-CA"/>
        </w:rPr>
        <w:t>Le Canada demande la radiation des demandes parce qu</w:t>
      </w:r>
      <w:r w:rsidR="008372AA" w:rsidRPr="00403220">
        <w:rPr>
          <w:rFonts w:cs="Times New Roman"/>
          <w:szCs w:val="24"/>
          <w:lang w:val="fr-CA"/>
        </w:rPr>
        <w:t>’</w:t>
      </w:r>
      <w:r w:rsidR="00A2437F" w:rsidRPr="00403220">
        <w:rPr>
          <w:rFonts w:cs="Times New Roman"/>
          <w:szCs w:val="24"/>
          <w:lang w:val="fr-CA"/>
        </w:rPr>
        <w:t>il n</w:t>
      </w:r>
      <w:r w:rsidR="008372AA" w:rsidRPr="00403220">
        <w:rPr>
          <w:rFonts w:cs="Times New Roman"/>
          <w:szCs w:val="24"/>
          <w:lang w:val="fr-CA"/>
        </w:rPr>
        <w:t>’</w:t>
      </w:r>
      <w:r w:rsidR="00A2437F" w:rsidRPr="00403220">
        <w:rPr>
          <w:rFonts w:cs="Times New Roman"/>
          <w:szCs w:val="24"/>
          <w:lang w:val="fr-CA"/>
        </w:rPr>
        <w:t>existe</w:t>
      </w:r>
      <w:r w:rsidRPr="00403220">
        <w:rPr>
          <w:rFonts w:cs="Times New Roman"/>
          <w:szCs w:val="24"/>
          <w:lang w:val="fr-CA"/>
        </w:rPr>
        <w:t xml:space="preserve"> aucune </w:t>
      </w:r>
      <w:r w:rsidR="00A2437F" w:rsidRPr="00403220">
        <w:rPr>
          <w:rFonts w:cs="Times New Roman"/>
          <w:szCs w:val="24"/>
          <w:lang w:val="fr-CA"/>
        </w:rPr>
        <w:t>possibilité</w:t>
      </w:r>
      <w:r w:rsidRPr="00403220">
        <w:rPr>
          <w:rFonts w:cs="Times New Roman"/>
          <w:szCs w:val="24"/>
          <w:lang w:val="fr-CA"/>
        </w:rPr>
        <w:t xml:space="preserve"> raisonnable </w:t>
      </w:r>
      <w:r w:rsidR="00A2437F" w:rsidRPr="00403220">
        <w:rPr>
          <w:rFonts w:cs="Times New Roman"/>
          <w:szCs w:val="24"/>
          <w:lang w:val="fr-CA"/>
        </w:rPr>
        <w:t>qu</w:t>
      </w:r>
      <w:r w:rsidR="008372AA" w:rsidRPr="00403220">
        <w:rPr>
          <w:rFonts w:cs="Times New Roman"/>
          <w:szCs w:val="24"/>
          <w:lang w:val="fr-CA"/>
        </w:rPr>
        <w:t>’</w:t>
      </w:r>
      <w:r w:rsidR="00A2437F" w:rsidRPr="00403220">
        <w:rPr>
          <w:rFonts w:cs="Times New Roman"/>
          <w:szCs w:val="24"/>
          <w:lang w:val="fr-CA"/>
        </w:rPr>
        <w:t>elles soient</w:t>
      </w:r>
      <w:r w:rsidRPr="00403220">
        <w:rPr>
          <w:rFonts w:cs="Times New Roman"/>
          <w:szCs w:val="24"/>
          <w:lang w:val="fr-CA"/>
        </w:rPr>
        <w:t xml:space="preserve"> accueillies.</w:t>
      </w:r>
    </w:p>
    <w:p w:rsidR="0047179D" w:rsidRPr="00403220" w:rsidRDefault="0047179D" w:rsidP="005A33F7">
      <w:pPr>
        <w:pStyle w:val="ParaNoNdepar-AltN"/>
        <w:rPr>
          <w:rFonts w:cs="Times New Roman"/>
          <w:szCs w:val="24"/>
          <w:lang w:val="fr-CA"/>
        </w:rPr>
      </w:pPr>
      <w:r w:rsidRPr="00403220">
        <w:rPr>
          <w:rFonts w:cs="Times New Roman"/>
          <w:szCs w:val="24"/>
          <w:lang w:val="fr-CA"/>
        </w:rPr>
        <w:lastRenderedPageBreak/>
        <w:t xml:space="preserve">Pour les besoins de la requête en radiation, nous devons tenir pour </w:t>
      </w:r>
      <w:r w:rsidR="006603C4" w:rsidRPr="00403220">
        <w:rPr>
          <w:rFonts w:cs="Times New Roman"/>
          <w:szCs w:val="24"/>
          <w:lang w:val="fr-CA"/>
        </w:rPr>
        <w:t>avérés</w:t>
      </w:r>
      <w:r w:rsidRPr="00403220">
        <w:rPr>
          <w:rFonts w:cs="Times New Roman"/>
          <w:szCs w:val="24"/>
          <w:lang w:val="fr-CA"/>
        </w:rPr>
        <w:t xml:space="preserve"> les faits allégués.  Nous devons donc accepter que le Canada a déclaré aux consommateurs et aux compagnies de tabac que les cigarettes légères ou douces étaient moins </w:t>
      </w:r>
      <w:r w:rsidR="00E905DF" w:rsidRPr="00403220">
        <w:rPr>
          <w:rFonts w:cs="Times New Roman"/>
          <w:szCs w:val="24"/>
          <w:lang w:val="fr-CA"/>
        </w:rPr>
        <w:t>nocives</w:t>
      </w:r>
      <w:r w:rsidRPr="00403220">
        <w:rPr>
          <w:rFonts w:cs="Times New Roman"/>
          <w:szCs w:val="24"/>
          <w:lang w:val="fr-CA"/>
        </w:rPr>
        <w:t xml:space="preserve"> et que ces déclarations n</w:t>
      </w:r>
      <w:r w:rsidR="008372AA" w:rsidRPr="00403220">
        <w:rPr>
          <w:rFonts w:cs="Times New Roman"/>
          <w:szCs w:val="24"/>
          <w:lang w:val="fr-CA"/>
        </w:rPr>
        <w:t>’</w:t>
      </w:r>
      <w:r w:rsidRPr="00403220">
        <w:rPr>
          <w:rFonts w:cs="Times New Roman"/>
          <w:szCs w:val="24"/>
          <w:lang w:val="fr-CA"/>
        </w:rPr>
        <w:t xml:space="preserve">étaient pas exactes.  Nous devons également accepter que les consommateurs et les compagnies de tabac </w:t>
      </w:r>
      <w:proofErr w:type="gramStart"/>
      <w:r w:rsidRPr="00403220">
        <w:rPr>
          <w:rFonts w:cs="Times New Roman"/>
          <w:szCs w:val="24"/>
          <w:lang w:val="fr-CA"/>
        </w:rPr>
        <w:t>ont</w:t>
      </w:r>
      <w:proofErr w:type="gramEnd"/>
      <w:r w:rsidRPr="00403220">
        <w:rPr>
          <w:rFonts w:cs="Times New Roman"/>
          <w:szCs w:val="24"/>
          <w:lang w:val="fr-CA"/>
        </w:rPr>
        <w:t xml:space="preserve"> agi à leur détriment </w:t>
      </w:r>
      <w:r w:rsidR="00E905DF" w:rsidRPr="00403220">
        <w:rPr>
          <w:rFonts w:cs="Times New Roman"/>
          <w:szCs w:val="24"/>
          <w:lang w:val="fr-CA"/>
        </w:rPr>
        <w:t>sur la foi des</w:t>
      </w:r>
      <w:r w:rsidRPr="00403220">
        <w:rPr>
          <w:rFonts w:cs="Times New Roman"/>
          <w:szCs w:val="24"/>
          <w:lang w:val="fr-CA"/>
        </w:rPr>
        <w:t xml:space="preserve"> déclarations inexactes du Canada. </w:t>
      </w:r>
    </w:p>
    <w:p w:rsidR="0047179D" w:rsidRPr="00403220" w:rsidRDefault="0047179D" w:rsidP="005A33F7">
      <w:pPr>
        <w:pStyle w:val="ParaNoNdepar-AltN"/>
        <w:rPr>
          <w:rFonts w:cs="Times New Roman"/>
          <w:szCs w:val="24"/>
          <w:lang w:val="fr-CA"/>
        </w:rPr>
      </w:pPr>
      <w:r w:rsidRPr="00403220">
        <w:rPr>
          <w:rFonts w:cs="Times New Roman"/>
          <w:szCs w:val="24"/>
          <w:lang w:val="fr-CA"/>
        </w:rPr>
        <w:t>Le droit a reconnu pour la première fois l</w:t>
      </w:r>
      <w:r w:rsidR="008372AA" w:rsidRPr="00403220">
        <w:rPr>
          <w:rFonts w:cs="Times New Roman"/>
          <w:szCs w:val="24"/>
          <w:lang w:val="fr-CA"/>
        </w:rPr>
        <w:t>’</w:t>
      </w:r>
      <w:r w:rsidRPr="00403220">
        <w:rPr>
          <w:rFonts w:cs="Times New Roman"/>
          <w:szCs w:val="24"/>
          <w:lang w:val="fr-CA"/>
        </w:rPr>
        <w:t>action en responsabilité délictuelle par suite d</w:t>
      </w:r>
      <w:r w:rsidR="008372AA" w:rsidRPr="00403220">
        <w:rPr>
          <w:rFonts w:cs="Times New Roman"/>
          <w:szCs w:val="24"/>
          <w:lang w:val="fr-CA"/>
        </w:rPr>
        <w:t>’</w:t>
      </w:r>
      <w:r w:rsidRPr="00403220">
        <w:rPr>
          <w:rFonts w:cs="Times New Roman"/>
          <w:szCs w:val="24"/>
          <w:lang w:val="fr-CA"/>
        </w:rPr>
        <w:t xml:space="preserve">une déclaration inexacte faite par négligence dans </w:t>
      </w:r>
      <w:proofErr w:type="spellStart"/>
      <w:r w:rsidR="00FD18C7" w:rsidRPr="00403220">
        <w:rPr>
          <w:rFonts w:cs="Times New Roman"/>
          <w:i/>
          <w:szCs w:val="24"/>
          <w:lang w:val="fr-CA"/>
        </w:rPr>
        <w:t>Hedley</w:t>
      </w:r>
      <w:proofErr w:type="spellEnd"/>
      <w:r w:rsidR="00FD18C7" w:rsidRPr="00403220">
        <w:rPr>
          <w:rFonts w:cs="Times New Roman"/>
          <w:i/>
          <w:szCs w:val="24"/>
          <w:lang w:val="fr-CA"/>
        </w:rPr>
        <w:t xml:space="preserve"> </w:t>
      </w:r>
      <w:r w:rsidRPr="00403220">
        <w:rPr>
          <w:rFonts w:cs="Times New Roman"/>
          <w:i/>
          <w:szCs w:val="24"/>
          <w:lang w:val="fr-CA"/>
        </w:rPr>
        <w:t>Byrne.</w:t>
      </w:r>
      <w:r w:rsidRPr="00403220">
        <w:rPr>
          <w:rFonts w:cs="Times New Roman"/>
          <w:szCs w:val="24"/>
          <w:lang w:val="fr-CA"/>
        </w:rPr>
        <w:t xml:space="preserve">  Avant cette décision, les parties ne disposaient que de recours contractuels en matière de déclaration</w:t>
      </w:r>
      <w:r w:rsidR="00785D34" w:rsidRPr="00403220">
        <w:rPr>
          <w:rFonts w:cs="Times New Roman"/>
          <w:szCs w:val="24"/>
          <w:lang w:val="fr-CA"/>
        </w:rPr>
        <w:t>s</w:t>
      </w:r>
      <w:r w:rsidRPr="00403220">
        <w:rPr>
          <w:rFonts w:cs="Times New Roman"/>
          <w:szCs w:val="24"/>
          <w:lang w:val="fr-CA"/>
        </w:rPr>
        <w:t xml:space="preserve"> inexacte</w:t>
      </w:r>
      <w:r w:rsidR="00785D34" w:rsidRPr="00403220">
        <w:rPr>
          <w:rFonts w:cs="Times New Roman"/>
          <w:szCs w:val="24"/>
          <w:lang w:val="fr-CA"/>
        </w:rPr>
        <w:t>s</w:t>
      </w:r>
      <w:r w:rsidRPr="00403220">
        <w:rPr>
          <w:rFonts w:cs="Times New Roman"/>
          <w:szCs w:val="24"/>
          <w:lang w:val="fr-CA"/>
        </w:rPr>
        <w:t xml:space="preserve">.  La décision </w:t>
      </w:r>
      <w:proofErr w:type="spellStart"/>
      <w:r w:rsidRPr="00403220">
        <w:rPr>
          <w:rFonts w:cs="Times New Roman"/>
          <w:i/>
          <w:szCs w:val="24"/>
          <w:lang w:val="fr-CA"/>
        </w:rPr>
        <w:t>Hedley</w:t>
      </w:r>
      <w:proofErr w:type="spellEnd"/>
      <w:r w:rsidRPr="00403220">
        <w:rPr>
          <w:rFonts w:cs="Times New Roman"/>
          <w:i/>
          <w:szCs w:val="24"/>
          <w:lang w:val="fr-CA"/>
        </w:rPr>
        <w:t xml:space="preserve"> Byrne </w:t>
      </w:r>
      <w:r w:rsidR="00D139C4" w:rsidRPr="00403220">
        <w:rPr>
          <w:rFonts w:cs="Times New Roman"/>
          <w:szCs w:val="24"/>
          <w:lang w:val="fr-CA"/>
        </w:rPr>
        <w:t xml:space="preserve">a rompu </w:t>
      </w:r>
      <w:r w:rsidRPr="00403220">
        <w:rPr>
          <w:rFonts w:cs="Times New Roman"/>
          <w:szCs w:val="24"/>
          <w:lang w:val="fr-CA"/>
        </w:rPr>
        <w:t xml:space="preserve">avec cette tradition en accueillant une action pour perte </w:t>
      </w:r>
      <w:r w:rsidR="00785D34" w:rsidRPr="00403220">
        <w:rPr>
          <w:rFonts w:cs="Times New Roman"/>
          <w:szCs w:val="24"/>
          <w:lang w:val="fr-CA"/>
        </w:rPr>
        <w:t>financière</w:t>
      </w:r>
      <w:r w:rsidRPr="00403220">
        <w:rPr>
          <w:rFonts w:cs="Times New Roman"/>
          <w:szCs w:val="24"/>
          <w:lang w:val="fr-CA"/>
        </w:rPr>
        <w:t xml:space="preserve"> par suite d</w:t>
      </w:r>
      <w:r w:rsidR="008372AA" w:rsidRPr="00403220">
        <w:rPr>
          <w:rFonts w:cs="Times New Roman"/>
          <w:szCs w:val="24"/>
          <w:lang w:val="fr-CA"/>
        </w:rPr>
        <w:t>’</w:t>
      </w:r>
      <w:r w:rsidRPr="00403220">
        <w:rPr>
          <w:rFonts w:cs="Times New Roman"/>
          <w:szCs w:val="24"/>
          <w:lang w:val="fr-CA"/>
        </w:rPr>
        <w:t>une déclaration inexacte faite par négligence en l</w:t>
      </w:r>
      <w:r w:rsidR="008372AA" w:rsidRPr="00403220">
        <w:rPr>
          <w:rFonts w:cs="Times New Roman"/>
          <w:szCs w:val="24"/>
          <w:lang w:val="fr-CA"/>
        </w:rPr>
        <w:t>’</w:t>
      </w:r>
      <w:r w:rsidRPr="00403220">
        <w:rPr>
          <w:rFonts w:cs="Times New Roman"/>
          <w:szCs w:val="24"/>
          <w:lang w:val="fr-CA"/>
        </w:rPr>
        <w:t>absence d</w:t>
      </w:r>
      <w:r w:rsidR="008372AA" w:rsidRPr="00403220">
        <w:rPr>
          <w:rFonts w:cs="Times New Roman"/>
          <w:szCs w:val="24"/>
          <w:lang w:val="fr-CA"/>
        </w:rPr>
        <w:t>’</w:t>
      </w:r>
      <w:r w:rsidRPr="00403220">
        <w:rPr>
          <w:rFonts w:cs="Times New Roman"/>
          <w:szCs w:val="24"/>
          <w:lang w:val="fr-CA"/>
        </w:rPr>
        <w:t xml:space="preserve">un contrat entre les parties.  Dans les décennies qui ont suivi, la responsabilité délictuelle pour déclaration inexacte faite par négligence a été </w:t>
      </w:r>
      <w:r w:rsidR="00D139C4" w:rsidRPr="00403220">
        <w:rPr>
          <w:rFonts w:cs="Times New Roman"/>
          <w:szCs w:val="24"/>
          <w:lang w:val="fr-CA"/>
        </w:rPr>
        <w:t>retenue</w:t>
      </w:r>
      <w:r w:rsidRPr="00403220">
        <w:rPr>
          <w:rFonts w:cs="Times New Roman"/>
          <w:szCs w:val="24"/>
          <w:lang w:val="fr-CA"/>
        </w:rPr>
        <w:t xml:space="preserve"> dans diverses situations où la relation entre les parties révélait </w:t>
      </w:r>
      <w:r w:rsidR="00D139C4" w:rsidRPr="00403220">
        <w:rPr>
          <w:rFonts w:cs="Times New Roman"/>
          <w:szCs w:val="24"/>
          <w:lang w:val="fr-CA"/>
        </w:rPr>
        <w:t xml:space="preserve">une prévisibilité et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existence d</w:t>
      </w:r>
      <w:r w:rsidR="008372AA" w:rsidRPr="00403220">
        <w:rPr>
          <w:rFonts w:cs="Times New Roman"/>
          <w:szCs w:val="24"/>
          <w:lang w:val="fr-CA"/>
        </w:rPr>
        <w:t>’</w:t>
      </w:r>
      <w:r w:rsidRPr="00403220">
        <w:rPr>
          <w:rFonts w:cs="Times New Roman"/>
          <w:szCs w:val="24"/>
          <w:lang w:val="fr-CA"/>
        </w:rPr>
        <w:t>un lien</w:t>
      </w:r>
      <w:r w:rsidR="00D139C4" w:rsidRPr="00403220">
        <w:rPr>
          <w:rFonts w:cs="Times New Roman"/>
          <w:szCs w:val="24"/>
          <w:lang w:val="fr-CA"/>
        </w:rPr>
        <w:t xml:space="preserve"> suffisamment</w:t>
      </w:r>
      <w:r w:rsidRPr="00403220">
        <w:rPr>
          <w:rFonts w:cs="Times New Roman"/>
          <w:szCs w:val="24"/>
          <w:lang w:val="fr-CA"/>
        </w:rPr>
        <w:t xml:space="preserve"> étroit et </w:t>
      </w:r>
      <w:r w:rsidR="00D139C4" w:rsidRPr="00403220">
        <w:rPr>
          <w:rFonts w:cs="Times New Roman"/>
          <w:szCs w:val="24"/>
          <w:lang w:val="fr-CA"/>
        </w:rPr>
        <w:t xml:space="preserve">où </w:t>
      </w:r>
      <w:r w:rsidRPr="00403220">
        <w:rPr>
          <w:rFonts w:cs="Times New Roman"/>
          <w:szCs w:val="24"/>
          <w:lang w:val="fr-CA"/>
        </w:rPr>
        <w:t>les considérations de politique générale n</w:t>
      </w:r>
      <w:r w:rsidR="008372AA" w:rsidRPr="00403220">
        <w:rPr>
          <w:rFonts w:cs="Times New Roman"/>
          <w:szCs w:val="24"/>
          <w:lang w:val="fr-CA"/>
        </w:rPr>
        <w:t>’</w:t>
      </w:r>
      <w:r w:rsidRPr="00403220">
        <w:rPr>
          <w:rFonts w:cs="Times New Roman"/>
          <w:szCs w:val="24"/>
          <w:lang w:val="fr-CA"/>
        </w:rPr>
        <w:t>empêchaient pas la reconnaissance de la responsabilité délictuelle.</w:t>
      </w:r>
    </w:p>
    <w:p w:rsidR="0047179D" w:rsidRPr="00403220" w:rsidRDefault="00847C22" w:rsidP="005A33F7">
      <w:pPr>
        <w:pStyle w:val="ParaNoNdepar-AltN"/>
        <w:rPr>
          <w:rFonts w:cs="Times New Roman"/>
          <w:szCs w:val="24"/>
          <w:lang w:val="fr-CA"/>
        </w:rPr>
      </w:pPr>
      <w:r w:rsidRPr="00403220">
        <w:rPr>
          <w:rFonts w:cs="Times New Roman"/>
          <w:szCs w:val="24"/>
          <w:lang w:val="fr-CA"/>
        </w:rPr>
        <w:t xml:space="preserve">Imperial </w:t>
      </w:r>
      <w:r w:rsidR="0047179D" w:rsidRPr="00403220">
        <w:rPr>
          <w:rFonts w:cs="Times New Roman"/>
          <w:szCs w:val="24"/>
          <w:lang w:val="fr-CA"/>
        </w:rPr>
        <w:t>et les autres compagnies de tabac prétendent que</w:t>
      </w:r>
      <w:r w:rsidR="00D139C4" w:rsidRPr="00403220">
        <w:rPr>
          <w:rFonts w:cs="Times New Roman"/>
          <w:szCs w:val="24"/>
          <w:lang w:val="fr-CA"/>
        </w:rPr>
        <w:t>, vu</w:t>
      </w:r>
      <w:r w:rsidR="0047179D" w:rsidRPr="00403220">
        <w:rPr>
          <w:rFonts w:cs="Times New Roman"/>
          <w:szCs w:val="24"/>
          <w:lang w:val="fr-CA"/>
        </w:rPr>
        <w:t xml:space="preserve"> les faits allégués contre le Canada</w:t>
      </w:r>
      <w:r w:rsidR="00D139C4" w:rsidRPr="00403220">
        <w:rPr>
          <w:rFonts w:cs="Times New Roman"/>
          <w:szCs w:val="24"/>
          <w:lang w:val="fr-CA"/>
        </w:rPr>
        <w:t>,</w:t>
      </w:r>
      <w:r w:rsidR="0047179D" w:rsidRPr="00403220">
        <w:rPr>
          <w:rFonts w:cs="Times New Roman"/>
          <w:szCs w:val="24"/>
          <w:lang w:val="fr-CA"/>
        </w:rPr>
        <w:t xml:space="preserve"> </w:t>
      </w:r>
      <w:r w:rsidR="00D139C4" w:rsidRPr="00403220">
        <w:rPr>
          <w:rFonts w:cs="Times New Roman"/>
          <w:szCs w:val="24"/>
          <w:lang w:val="fr-CA"/>
        </w:rPr>
        <w:t>l</w:t>
      </w:r>
      <w:r w:rsidR="0047179D" w:rsidRPr="00403220">
        <w:rPr>
          <w:rFonts w:cs="Times New Roman"/>
          <w:szCs w:val="24"/>
          <w:lang w:val="fr-CA"/>
        </w:rPr>
        <w:t xml:space="preserve">es paramètres définis du délit de déclaration inexacte faite </w:t>
      </w:r>
      <w:r w:rsidR="0047179D" w:rsidRPr="00403220">
        <w:rPr>
          <w:rFonts w:cs="Times New Roman"/>
          <w:szCs w:val="24"/>
          <w:lang w:val="fr-CA"/>
        </w:rPr>
        <w:lastRenderedPageBreak/>
        <w:t xml:space="preserve">par négligence </w:t>
      </w:r>
      <w:r w:rsidR="00D139C4" w:rsidRPr="00403220">
        <w:rPr>
          <w:rFonts w:cs="Times New Roman"/>
          <w:szCs w:val="24"/>
          <w:lang w:val="fr-CA"/>
        </w:rPr>
        <w:t xml:space="preserve">correspondent à leurs demandes </w:t>
      </w:r>
      <w:r w:rsidR="0047179D" w:rsidRPr="00403220">
        <w:rPr>
          <w:rFonts w:cs="Times New Roman"/>
          <w:szCs w:val="24"/>
          <w:lang w:val="fr-CA"/>
        </w:rPr>
        <w:t>et, par conséquent, l</w:t>
      </w:r>
      <w:r w:rsidR="008372AA" w:rsidRPr="00403220">
        <w:rPr>
          <w:rFonts w:cs="Times New Roman"/>
          <w:szCs w:val="24"/>
          <w:lang w:val="fr-CA"/>
        </w:rPr>
        <w:t>’</w:t>
      </w:r>
      <w:r w:rsidR="0047179D" w:rsidRPr="00403220">
        <w:rPr>
          <w:rFonts w:cs="Times New Roman"/>
          <w:szCs w:val="24"/>
          <w:lang w:val="fr-CA"/>
        </w:rPr>
        <w:t>existence d</w:t>
      </w:r>
      <w:r w:rsidR="008372AA" w:rsidRPr="00403220">
        <w:rPr>
          <w:rFonts w:cs="Times New Roman"/>
          <w:szCs w:val="24"/>
          <w:lang w:val="fr-CA"/>
        </w:rPr>
        <w:t>’</w:t>
      </w:r>
      <w:r w:rsidR="0047179D" w:rsidRPr="00403220">
        <w:rPr>
          <w:rFonts w:cs="Times New Roman"/>
          <w:szCs w:val="24"/>
          <w:lang w:val="fr-CA"/>
        </w:rPr>
        <w:t xml:space="preserve">une obligation de diligence </w:t>
      </w:r>
      <w:r w:rsidR="0047179D" w:rsidRPr="00403220">
        <w:rPr>
          <w:rFonts w:cs="Times New Roman"/>
          <w:i/>
          <w:szCs w:val="24"/>
          <w:lang w:val="fr-CA"/>
        </w:rPr>
        <w:t xml:space="preserve">prima </w:t>
      </w:r>
      <w:proofErr w:type="spellStart"/>
      <w:r w:rsidR="0047179D" w:rsidRPr="00403220">
        <w:rPr>
          <w:rFonts w:cs="Times New Roman"/>
          <w:i/>
          <w:szCs w:val="24"/>
          <w:lang w:val="fr-CA"/>
        </w:rPr>
        <w:t>facie</w:t>
      </w:r>
      <w:proofErr w:type="spellEnd"/>
      <w:r w:rsidR="0047179D" w:rsidRPr="00403220">
        <w:rPr>
          <w:rFonts w:cs="Times New Roman"/>
          <w:i/>
          <w:szCs w:val="24"/>
          <w:lang w:val="fr-CA"/>
        </w:rPr>
        <w:t xml:space="preserve"> </w:t>
      </w:r>
      <w:r w:rsidR="0047179D" w:rsidRPr="00403220">
        <w:rPr>
          <w:rFonts w:cs="Times New Roman"/>
          <w:szCs w:val="24"/>
          <w:lang w:val="fr-CA"/>
        </w:rPr>
        <w:t xml:space="preserve">est établie.  </w:t>
      </w:r>
      <w:r w:rsidR="00D139C4" w:rsidRPr="00403220">
        <w:rPr>
          <w:rFonts w:cs="Times New Roman"/>
          <w:szCs w:val="24"/>
          <w:lang w:val="fr-CA"/>
        </w:rPr>
        <w:t>Les juges majoritaires de la</w:t>
      </w:r>
      <w:r w:rsidR="0047179D" w:rsidRPr="00403220">
        <w:rPr>
          <w:rFonts w:cs="Times New Roman"/>
          <w:szCs w:val="24"/>
          <w:lang w:val="fr-CA"/>
        </w:rPr>
        <w:t xml:space="preserve"> Cour d</w:t>
      </w:r>
      <w:r w:rsidR="008372AA" w:rsidRPr="00403220">
        <w:rPr>
          <w:rFonts w:cs="Times New Roman"/>
          <w:szCs w:val="24"/>
          <w:lang w:val="fr-CA"/>
        </w:rPr>
        <w:t>’</w:t>
      </w:r>
      <w:r w:rsidR="0047179D" w:rsidRPr="00403220">
        <w:rPr>
          <w:rFonts w:cs="Times New Roman"/>
          <w:szCs w:val="24"/>
          <w:lang w:val="fr-CA"/>
        </w:rPr>
        <w:t xml:space="preserve">appel </w:t>
      </w:r>
      <w:r w:rsidR="00D139C4" w:rsidRPr="00403220">
        <w:rPr>
          <w:rFonts w:cs="Times New Roman"/>
          <w:szCs w:val="24"/>
          <w:lang w:val="fr-CA"/>
        </w:rPr>
        <w:t>ont</w:t>
      </w:r>
      <w:r w:rsidR="0047179D" w:rsidRPr="00403220">
        <w:rPr>
          <w:rFonts w:cs="Times New Roman"/>
          <w:szCs w:val="24"/>
          <w:lang w:val="fr-CA"/>
        </w:rPr>
        <w:t xml:space="preserve"> retenu cet argument dans les deux décisions</w:t>
      </w:r>
      <w:r w:rsidR="00D139C4" w:rsidRPr="00403220">
        <w:rPr>
          <w:rFonts w:cs="Times New Roman"/>
          <w:szCs w:val="24"/>
          <w:lang w:val="fr-CA"/>
        </w:rPr>
        <w:t xml:space="preserve"> en cause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47179D" w:rsidRPr="00403220">
        <w:rPr>
          <w:rFonts w:cs="Times New Roman"/>
          <w:szCs w:val="24"/>
          <w:lang w:val="fr-CA"/>
        </w:rPr>
        <w:t xml:space="preserve">, </w:t>
      </w:r>
      <w:r w:rsidR="00A54DAC" w:rsidRPr="00403220">
        <w:rPr>
          <w:rFonts w:cs="Times New Roman"/>
          <w:szCs w:val="24"/>
          <w:lang w:val="fr-CA"/>
        </w:rPr>
        <w:t>par. </w:t>
      </w:r>
      <w:r w:rsidR="0047179D" w:rsidRPr="00403220">
        <w:rPr>
          <w:rFonts w:cs="Times New Roman"/>
          <w:szCs w:val="24"/>
          <w:lang w:val="fr-CA"/>
        </w:rPr>
        <w:t>45 et 66; l</w:t>
      </w:r>
      <w:r w:rsidR="008372AA" w:rsidRPr="00403220">
        <w:rPr>
          <w:rFonts w:cs="Times New Roman"/>
          <w:szCs w:val="24"/>
          <w:lang w:val="fr-CA"/>
        </w:rPr>
        <w:t>’</w:t>
      </w:r>
      <w:r w:rsidR="00E64960" w:rsidRPr="00403220">
        <w:rPr>
          <w:rFonts w:cs="Times New Roman"/>
          <w:i/>
          <w:szCs w:val="24"/>
          <w:lang w:val="fr-CA"/>
        </w:rPr>
        <w:t>A</w:t>
      </w:r>
      <w:r w:rsidR="0047179D" w:rsidRPr="00403220">
        <w:rPr>
          <w:rFonts w:cs="Times New Roman"/>
          <w:i/>
          <w:szCs w:val="24"/>
          <w:lang w:val="fr-CA"/>
        </w:rPr>
        <w:t xml:space="preserve">ffaire </w:t>
      </w:r>
      <w:r w:rsidR="00321EF3" w:rsidRPr="00403220">
        <w:rPr>
          <w:rFonts w:cs="Times New Roman"/>
          <w:i/>
          <w:szCs w:val="24"/>
          <w:lang w:val="fr-CA"/>
        </w:rPr>
        <w:t xml:space="preserve">du </w:t>
      </w:r>
      <w:r w:rsidR="0047179D" w:rsidRPr="00403220">
        <w:rPr>
          <w:rFonts w:cs="Times New Roman"/>
          <w:i/>
          <w:szCs w:val="24"/>
          <w:lang w:val="fr-CA"/>
        </w:rPr>
        <w:t>recouvrement des coûts</w:t>
      </w:r>
      <w:r w:rsidR="0047179D" w:rsidRPr="00403220">
        <w:rPr>
          <w:rFonts w:cs="Times New Roman"/>
          <w:szCs w:val="24"/>
          <w:lang w:val="fr-CA"/>
        </w:rPr>
        <w:t xml:space="preserve">, </w:t>
      </w:r>
      <w:r w:rsidR="00A54DAC" w:rsidRPr="00403220">
        <w:rPr>
          <w:rFonts w:cs="Times New Roman"/>
          <w:szCs w:val="24"/>
          <w:lang w:val="fr-CA"/>
        </w:rPr>
        <w:t>par. </w:t>
      </w:r>
      <w:r w:rsidR="0047179D" w:rsidRPr="00403220">
        <w:rPr>
          <w:rFonts w:cs="Times New Roman"/>
          <w:szCs w:val="24"/>
          <w:lang w:val="fr-CA"/>
        </w:rPr>
        <w:t>70</w:t>
      </w:r>
      <w:r w:rsidR="00D139C4" w:rsidRPr="00403220">
        <w:rPr>
          <w:rFonts w:cs="Times New Roman"/>
          <w:szCs w:val="24"/>
          <w:lang w:val="fr-CA"/>
        </w:rPr>
        <w:t>)</w:t>
      </w:r>
      <w:r w:rsidR="0047179D" w:rsidRPr="00403220">
        <w:rPr>
          <w:rFonts w:cs="Times New Roman"/>
          <w:szCs w:val="24"/>
          <w:lang w:val="fr-CA"/>
        </w:rPr>
        <w:t>.</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Il faut se demander en premier lieu si les faits allégués font entrer la relation du Canada avec les consommateurs et les compagnies de tabac dans </w:t>
      </w:r>
      <w:r w:rsidR="00DB687B" w:rsidRPr="00403220">
        <w:rPr>
          <w:rFonts w:cs="Times New Roman"/>
          <w:szCs w:val="24"/>
          <w:lang w:val="fr-CA"/>
        </w:rPr>
        <w:t>une</w:t>
      </w:r>
      <w:r w:rsidRPr="00403220">
        <w:rPr>
          <w:rFonts w:cs="Times New Roman"/>
          <w:szCs w:val="24"/>
          <w:lang w:val="fr-CA"/>
        </w:rPr>
        <w:t xml:space="preserve"> catégorie définie </w:t>
      </w:r>
      <w:r w:rsidR="00785D34" w:rsidRPr="00403220">
        <w:rPr>
          <w:rFonts w:cs="Times New Roman"/>
          <w:szCs w:val="24"/>
          <w:lang w:val="fr-CA"/>
        </w:rPr>
        <w:t xml:space="preserve">de relations </w:t>
      </w:r>
      <w:r w:rsidRPr="00403220">
        <w:rPr>
          <w:rFonts w:cs="Times New Roman"/>
          <w:szCs w:val="24"/>
          <w:lang w:val="fr-CA"/>
        </w:rPr>
        <w:t>qui donne</w:t>
      </w:r>
      <w:r w:rsidR="00785D34" w:rsidRPr="00403220">
        <w:rPr>
          <w:rFonts w:cs="Times New Roman"/>
          <w:szCs w:val="24"/>
          <w:lang w:val="fr-CA"/>
        </w:rPr>
        <w:t>nt</w:t>
      </w:r>
      <w:r w:rsidRPr="00403220">
        <w:rPr>
          <w:rFonts w:cs="Times New Roman"/>
          <w:szCs w:val="24"/>
          <w:lang w:val="fr-CA"/>
        </w:rPr>
        <w:t xml:space="preserve"> naissance à </w:t>
      </w:r>
      <w:r w:rsidR="00D139C4" w:rsidRPr="00403220">
        <w:rPr>
          <w:rFonts w:cs="Times New Roman"/>
          <w:szCs w:val="24"/>
          <w:lang w:val="fr-CA"/>
        </w:rPr>
        <w:t xml:space="preserve">une </w:t>
      </w:r>
      <w:r w:rsidRPr="00403220">
        <w:rPr>
          <w:rFonts w:cs="Times New Roman"/>
          <w:szCs w:val="24"/>
          <w:lang w:val="fr-CA"/>
        </w:rPr>
        <w:t>obligation de diligence.  Le cas échéant, l</w:t>
      </w:r>
      <w:r w:rsidR="008372AA" w:rsidRPr="00403220">
        <w:rPr>
          <w:rFonts w:cs="Times New Roman"/>
          <w:szCs w:val="24"/>
          <w:lang w:val="fr-CA"/>
        </w:rPr>
        <w:t>’</w:t>
      </w:r>
      <w:r w:rsidRPr="00403220">
        <w:rPr>
          <w:rFonts w:cs="Times New Roman"/>
          <w:szCs w:val="24"/>
          <w:lang w:val="fr-CA"/>
        </w:rPr>
        <w:t>existence d</w:t>
      </w:r>
      <w:r w:rsidR="008372AA" w:rsidRPr="00403220">
        <w:rPr>
          <w:rFonts w:cs="Times New Roman"/>
          <w:szCs w:val="24"/>
          <w:lang w:val="fr-CA"/>
        </w:rPr>
        <w:t>’</w:t>
      </w:r>
      <w:r w:rsidRPr="00403220">
        <w:rPr>
          <w:rFonts w:cs="Times New Roman"/>
          <w:szCs w:val="24"/>
          <w:lang w:val="fr-CA"/>
        </w:rPr>
        <w:t xml:space="preserve">une obligation de diligence </w:t>
      </w:r>
      <w:r w:rsidRPr="00403220">
        <w:rPr>
          <w:rFonts w:cs="Times New Roman"/>
          <w:i/>
          <w:iCs/>
          <w:szCs w:val="24"/>
          <w:lang w:val="fr-CA"/>
        </w:rPr>
        <w:t xml:space="preserve">prima </w:t>
      </w:r>
      <w:proofErr w:type="spellStart"/>
      <w:r w:rsidRPr="00403220">
        <w:rPr>
          <w:rFonts w:cs="Times New Roman"/>
          <w:i/>
          <w:iCs/>
          <w:szCs w:val="24"/>
          <w:lang w:val="fr-CA"/>
        </w:rPr>
        <w:t>facie</w:t>
      </w:r>
      <w:proofErr w:type="spellEnd"/>
      <w:r w:rsidRPr="00403220">
        <w:rPr>
          <w:rFonts w:cs="Times New Roman"/>
          <w:i/>
          <w:iCs/>
          <w:szCs w:val="24"/>
          <w:lang w:val="fr-CA"/>
        </w:rPr>
        <w:t xml:space="preserve"> </w:t>
      </w:r>
      <w:r w:rsidRPr="00403220">
        <w:rPr>
          <w:rFonts w:cs="Times New Roman"/>
          <w:iCs/>
          <w:szCs w:val="24"/>
          <w:lang w:val="fr-CA"/>
        </w:rPr>
        <w:t>sera établie</w:t>
      </w:r>
      <w:r w:rsidR="00A54DAC" w:rsidRPr="00403220">
        <w:rPr>
          <w:rFonts w:cs="Times New Roman"/>
          <w:iCs/>
          <w:szCs w:val="24"/>
          <w:lang w:val="fr-CA"/>
        </w:rPr>
        <w:t> :</w:t>
      </w:r>
      <w:r w:rsidR="00D139C4" w:rsidRPr="00403220">
        <w:rPr>
          <w:rFonts w:cs="Times New Roman"/>
          <w:iCs/>
          <w:szCs w:val="24"/>
          <w:lang w:val="fr-CA"/>
        </w:rPr>
        <w:t xml:space="preserve"> </w:t>
      </w:r>
      <w:r w:rsidRPr="00403220">
        <w:rPr>
          <w:rFonts w:cs="Times New Roman"/>
          <w:szCs w:val="24"/>
          <w:lang w:val="fr-CA"/>
        </w:rPr>
        <w:t xml:space="preserve">voir </w:t>
      </w:r>
      <w:proofErr w:type="spellStart"/>
      <w:r w:rsidRPr="00403220">
        <w:rPr>
          <w:rFonts w:cs="Times New Roman"/>
          <w:i/>
          <w:szCs w:val="24"/>
          <w:lang w:val="fr-CA"/>
        </w:rPr>
        <w:t>Childs</w:t>
      </w:r>
      <w:proofErr w:type="spellEnd"/>
      <w:r w:rsidRPr="00403220">
        <w:rPr>
          <w:rFonts w:cs="Times New Roman"/>
          <w:i/>
          <w:szCs w:val="24"/>
          <w:lang w:val="fr-CA"/>
        </w:rPr>
        <w:t xml:space="preserve"> c. </w:t>
      </w:r>
      <w:proofErr w:type="spellStart"/>
      <w:r w:rsidRPr="00403220">
        <w:rPr>
          <w:rFonts w:cs="Times New Roman"/>
          <w:i/>
          <w:szCs w:val="24"/>
          <w:lang w:val="fr-CA"/>
        </w:rPr>
        <w:t>Desormeaux</w:t>
      </w:r>
      <w:proofErr w:type="spellEnd"/>
      <w:r w:rsidRPr="00403220">
        <w:rPr>
          <w:rFonts w:cs="Times New Roman"/>
          <w:szCs w:val="24"/>
          <w:lang w:val="fr-CA"/>
        </w:rPr>
        <w:t>,</w:t>
      </w:r>
      <w:r w:rsidR="00D139C4" w:rsidRPr="00403220">
        <w:rPr>
          <w:rFonts w:cs="Times New Roman"/>
          <w:szCs w:val="24"/>
          <w:lang w:val="fr-CA"/>
        </w:rPr>
        <w:t xml:space="preserve"> 2006 CSC 18, </w:t>
      </w:r>
      <w:r w:rsidRPr="00403220">
        <w:rPr>
          <w:rFonts w:cs="Times New Roman"/>
          <w:szCs w:val="24"/>
          <w:lang w:val="fr-CA"/>
        </w:rPr>
        <w:t xml:space="preserve">[2006] 1 R.C.S. 643, </w:t>
      </w:r>
      <w:r w:rsidR="00A54DAC" w:rsidRPr="00403220">
        <w:rPr>
          <w:rFonts w:cs="Times New Roman"/>
          <w:szCs w:val="24"/>
          <w:lang w:val="fr-CA"/>
        </w:rPr>
        <w:t>par. </w:t>
      </w:r>
      <w:r w:rsidRPr="00403220">
        <w:rPr>
          <w:rFonts w:cs="Times New Roman"/>
          <w:szCs w:val="24"/>
          <w:lang w:val="fr-CA"/>
        </w:rPr>
        <w:t xml:space="preserve">15.  Toutefois, il </w:t>
      </w:r>
      <w:r w:rsidR="00D139C4" w:rsidRPr="00403220">
        <w:rPr>
          <w:rFonts w:cs="Times New Roman"/>
          <w:szCs w:val="24"/>
          <w:lang w:val="fr-CA"/>
        </w:rPr>
        <w:t>importe</w:t>
      </w:r>
      <w:r w:rsidRPr="00403220">
        <w:rPr>
          <w:rFonts w:cs="Times New Roman"/>
          <w:szCs w:val="24"/>
          <w:lang w:val="fr-CA"/>
        </w:rPr>
        <w:t xml:space="preserve"> de </w:t>
      </w:r>
      <w:r w:rsidR="005B2E86" w:rsidRPr="00403220">
        <w:rPr>
          <w:rFonts w:cs="Times New Roman"/>
          <w:szCs w:val="24"/>
          <w:lang w:val="fr-CA"/>
        </w:rPr>
        <w:t>signaler</w:t>
      </w:r>
      <w:r w:rsidRPr="00403220">
        <w:rPr>
          <w:rFonts w:cs="Times New Roman"/>
          <w:szCs w:val="24"/>
          <w:lang w:val="fr-CA"/>
        </w:rPr>
        <w:t xml:space="preserve"> que la responsabilité pour déclaration inexacte faite par négligence dépend de la nature de la relation entre le plaignant et le défendeur, comme je l</w:t>
      </w:r>
      <w:r w:rsidR="008372AA" w:rsidRPr="00403220">
        <w:rPr>
          <w:rFonts w:cs="Times New Roman"/>
          <w:szCs w:val="24"/>
          <w:lang w:val="fr-CA"/>
        </w:rPr>
        <w:t>’</w:t>
      </w:r>
      <w:r w:rsidRPr="00403220">
        <w:rPr>
          <w:rFonts w:cs="Times New Roman"/>
          <w:szCs w:val="24"/>
          <w:lang w:val="fr-CA"/>
        </w:rPr>
        <w:t>expliquerai davantage plus loin.  La question n</w:t>
      </w:r>
      <w:r w:rsidR="008372AA" w:rsidRPr="00403220">
        <w:rPr>
          <w:rFonts w:cs="Times New Roman"/>
          <w:szCs w:val="24"/>
          <w:lang w:val="fr-CA"/>
        </w:rPr>
        <w:t>’</w:t>
      </w:r>
      <w:r w:rsidRPr="00403220">
        <w:rPr>
          <w:rFonts w:cs="Times New Roman"/>
          <w:szCs w:val="24"/>
          <w:lang w:val="fr-CA"/>
        </w:rPr>
        <w:t xml:space="preserve">est pas de savoir si </w:t>
      </w:r>
      <w:r w:rsidR="004130E8" w:rsidRPr="00403220">
        <w:rPr>
          <w:rFonts w:cs="Times New Roman"/>
          <w:szCs w:val="24"/>
          <w:lang w:val="fr-CA"/>
        </w:rPr>
        <w:t>une</w:t>
      </w:r>
      <w:r w:rsidRPr="00403220">
        <w:rPr>
          <w:rFonts w:cs="Times New Roman"/>
          <w:szCs w:val="24"/>
          <w:lang w:val="fr-CA"/>
        </w:rPr>
        <w:t xml:space="preserve"> déclaration inexacte faite par négligence est un délit reconnu, mais de savoir s</w:t>
      </w:r>
      <w:r w:rsidR="008372AA" w:rsidRPr="00403220">
        <w:rPr>
          <w:rFonts w:cs="Times New Roman"/>
          <w:szCs w:val="24"/>
          <w:lang w:val="fr-CA"/>
        </w:rPr>
        <w:t>’</w:t>
      </w:r>
      <w:r w:rsidRPr="00403220">
        <w:rPr>
          <w:rFonts w:cs="Times New Roman"/>
          <w:szCs w:val="24"/>
          <w:lang w:val="fr-CA"/>
        </w:rPr>
        <w:t xml:space="preserve">il existe une possibilité raisonnable que la relation alléguée dans les </w:t>
      </w:r>
      <w:r w:rsidR="00440E4D" w:rsidRPr="00403220">
        <w:rPr>
          <w:rFonts w:cs="Times New Roman"/>
          <w:szCs w:val="24"/>
          <w:lang w:val="fr-CA"/>
        </w:rPr>
        <w:t>actes de procédure</w:t>
      </w:r>
      <w:r w:rsidRPr="00403220">
        <w:rPr>
          <w:rFonts w:cs="Times New Roman"/>
          <w:szCs w:val="24"/>
          <w:lang w:val="fr-CA"/>
        </w:rPr>
        <w:t xml:space="preserve"> </w:t>
      </w:r>
      <w:r w:rsidR="004130E8" w:rsidRPr="00403220">
        <w:rPr>
          <w:rFonts w:cs="Times New Roman"/>
          <w:szCs w:val="24"/>
          <w:lang w:val="fr-CA"/>
        </w:rPr>
        <w:t>engage</w:t>
      </w:r>
      <w:r w:rsidRPr="00403220">
        <w:rPr>
          <w:rFonts w:cs="Times New Roman"/>
          <w:szCs w:val="24"/>
          <w:lang w:val="fr-CA"/>
        </w:rPr>
        <w:t xml:space="preserve"> la responsabilité pour déclaration inexacte faite par négligence.  </w:t>
      </w:r>
    </w:p>
    <w:p w:rsidR="0047179D" w:rsidRPr="00403220" w:rsidRDefault="00905B7E" w:rsidP="005A33F7">
      <w:pPr>
        <w:pStyle w:val="ParaNoNdepar-AltN"/>
        <w:rPr>
          <w:rFonts w:cs="Times New Roman"/>
          <w:szCs w:val="24"/>
          <w:lang w:val="fr-CA"/>
        </w:rPr>
      </w:pPr>
      <w:r w:rsidRPr="00403220">
        <w:rPr>
          <w:rFonts w:cs="Times New Roman"/>
          <w:szCs w:val="24"/>
          <w:lang w:val="fr-CA"/>
        </w:rPr>
        <w:t>À mon avis</w:t>
      </w:r>
      <w:r w:rsidR="0047179D" w:rsidRPr="00403220">
        <w:rPr>
          <w:rFonts w:cs="Times New Roman"/>
          <w:szCs w:val="24"/>
          <w:lang w:val="fr-CA"/>
        </w:rPr>
        <w:t>, les faits allégués ne font entrer aucune des demandes à l</w:t>
      </w:r>
      <w:r w:rsidR="008372AA" w:rsidRPr="00403220">
        <w:rPr>
          <w:rFonts w:cs="Times New Roman"/>
          <w:szCs w:val="24"/>
          <w:lang w:val="fr-CA"/>
        </w:rPr>
        <w:t>’</w:t>
      </w:r>
      <w:r w:rsidR="0047179D" w:rsidRPr="00403220">
        <w:rPr>
          <w:rFonts w:cs="Times New Roman"/>
          <w:szCs w:val="24"/>
          <w:lang w:val="fr-CA"/>
        </w:rPr>
        <w:t>intérieur d</w:t>
      </w:r>
      <w:r w:rsidR="008372AA" w:rsidRPr="00403220">
        <w:rPr>
          <w:rFonts w:cs="Times New Roman"/>
          <w:szCs w:val="24"/>
          <w:lang w:val="fr-CA"/>
        </w:rPr>
        <w:t>’</w:t>
      </w:r>
      <w:r w:rsidR="0047179D" w:rsidRPr="00403220">
        <w:rPr>
          <w:rFonts w:cs="Times New Roman"/>
          <w:szCs w:val="24"/>
          <w:lang w:val="fr-CA"/>
        </w:rPr>
        <w:t>une catégorie définie de déclaration</w:t>
      </w:r>
      <w:r w:rsidR="00813224" w:rsidRPr="00403220">
        <w:rPr>
          <w:rFonts w:cs="Times New Roman"/>
          <w:szCs w:val="24"/>
          <w:lang w:val="fr-CA"/>
        </w:rPr>
        <w:t>s</w:t>
      </w:r>
      <w:r w:rsidR="0047179D" w:rsidRPr="00403220">
        <w:rPr>
          <w:rFonts w:cs="Times New Roman"/>
          <w:szCs w:val="24"/>
          <w:lang w:val="fr-CA"/>
        </w:rPr>
        <w:t xml:space="preserve"> inexacte</w:t>
      </w:r>
      <w:r w:rsidR="00813224" w:rsidRPr="00403220">
        <w:rPr>
          <w:rFonts w:cs="Times New Roman"/>
          <w:szCs w:val="24"/>
          <w:lang w:val="fr-CA"/>
        </w:rPr>
        <w:t>s</w:t>
      </w:r>
      <w:r w:rsidR="0047179D" w:rsidRPr="00403220">
        <w:rPr>
          <w:rFonts w:cs="Times New Roman"/>
          <w:szCs w:val="24"/>
          <w:lang w:val="fr-CA"/>
        </w:rPr>
        <w:t xml:space="preserve"> faite</w:t>
      </w:r>
      <w:r w:rsidR="00813224" w:rsidRPr="00403220">
        <w:rPr>
          <w:rFonts w:cs="Times New Roman"/>
          <w:szCs w:val="24"/>
          <w:lang w:val="fr-CA"/>
        </w:rPr>
        <w:t>s</w:t>
      </w:r>
      <w:r w:rsidR="0047179D" w:rsidRPr="00403220">
        <w:rPr>
          <w:rFonts w:cs="Times New Roman"/>
          <w:szCs w:val="24"/>
          <w:lang w:val="fr-CA"/>
        </w:rPr>
        <w:t xml:space="preserve"> par négligence.  Le droit en matière de déclaration inexacte faite par négligence n</w:t>
      </w:r>
      <w:r w:rsidR="008372AA" w:rsidRPr="00403220">
        <w:rPr>
          <w:rFonts w:cs="Times New Roman"/>
          <w:szCs w:val="24"/>
          <w:lang w:val="fr-CA"/>
        </w:rPr>
        <w:t>’</w:t>
      </w:r>
      <w:r w:rsidR="0047179D" w:rsidRPr="00403220">
        <w:rPr>
          <w:rFonts w:cs="Times New Roman"/>
          <w:szCs w:val="24"/>
          <w:lang w:val="fr-CA"/>
        </w:rPr>
        <w:t>a jusqu</w:t>
      </w:r>
      <w:r w:rsidR="008372AA" w:rsidRPr="00403220">
        <w:rPr>
          <w:rFonts w:cs="Times New Roman"/>
          <w:szCs w:val="24"/>
          <w:lang w:val="fr-CA"/>
        </w:rPr>
        <w:t>’</w:t>
      </w:r>
      <w:r w:rsidR="0047179D" w:rsidRPr="00403220">
        <w:rPr>
          <w:rFonts w:cs="Times New Roman"/>
          <w:szCs w:val="24"/>
          <w:lang w:val="fr-CA"/>
        </w:rPr>
        <w:t xml:space="preserve">à présent pas reconnu la responsabilité dans </w:t>
      </w:r>
      <w:r w:rsidR="00813224" w:rsidRPr="00403220">
        <w:rPr>
          <w:rFonts w:cs="Times New Roman"/>
          <w:szCs w:val="24"/>
          <w:lang w:val="fr-CA"/>
        </w:rPr>
        <w:t xml:space="preserve">les </w:t>
      </w:r>
      <w:r w:rsidR="00DB687B" w:rsidRPr="00403220">
        <w:rPr>
          <w:rFonts w:cs="Times New Roman"/>
          <w:szCs w:val="24"/>
          <w:lang w:val="fr-CA"/>
        </w:rPr>
        <w:t xml:space="preserve">types de </w:t>
      </w:r>
      <w:r w:rsidR="00813224" w:rsidRPr="00403220">
        <w:rPr>
          <w:rFonts w:cs="Times New Roman"/>
          <w:szCs w:val="24"/>
          <w:lang w:val="fr-CA"/>
        </w:rPr>
        <w:t xml:space="preserve">relations </w:t>
      </w:r>
      <w:r w:rsidR="00DB687B" w:rsidRPr="00403220">
        <w:rPr>
          <w:rFonts w:cs="Times New Roman"/>
          <w:szCs w:val="24"/>
          <w:lang w:val="fr-CA"/>
        </w:rPr>
        <w:t>en cause dans ces affaires</w:t>
      </w:r>
      <w:r w:rsidR="0047179D" w:rsidRPr="00403220">
        <w:rPr>
          <w:rFonts w:cs="Times New Roman"/>
          <w:szCs w:val="24"/>
          <w:lang w:val="fr-CA"/>
        </w:rPr>
        <w:t xml:space="preserve">.  </w:t>
      </w:r>
      <w:r w:rsidR="00813224" w:rsidRPr="00403220">
        <w:rPr>
          <w:rFonts w:cs="Times New Roman"/>
          <w:szCs w:val="24"/>
          <w:lang w:val="fr-CA"/>
        </w:rPr>
        <w:t xml:space="preserve">Les </w:t>
      </w:r>
      <w:r w:rsidR="00813224" w:rsidRPr="00403220">
        <w:rPr>
          <w:rFonts w:cs="Times New Roman"/>
          <w:szCs w:val="24"/>
          <w:lang w:val="fr-CA"/>
        </w:rPr>
        <w:lastRenderedPageBreak/>
        <w:t>compagnies de tabac ont fait l</w:t>
      </w:r>
      <w:r w:rsidR="008372AA" w:rsidRPr="00403220">
        <w:rPr>
          <w:rFonts w:cs="Times New Roman"/>
          <w:szCs w:val="24"/>
          <w:lang w:val="fr-CA"/>
        </w:rPr>
        <w:t>’</w:t>
      </w:r>
      <w:r w:rsidR="0047179D" w:rsidRPr="00403220">
        <w:rPr>
          <w:rFonts w:cs="Times New Roman"/>
          <w:szCs w:val="24"/>
          <w:lang w:val="fr-CA"/>
        </w:rPr>
        <w:t xml:space="preserve">erreur </w:t>
      </w:r>
      <w:r w:rsidR="00813224" w:rsidRPr="00403220">
        <w:rPr>
          <w:rFonts w:cs="Times New Roman"/>
          <w:szCs w:val="24"/>
          <w:lang w:val="fr-CA"/>
        </w:rPr>
        <w:t>de supposer</w:t>
      </w:r>
      <w:r w:rsidR="0047179D" w:rsidRPr="00403220">
        <w:rPr>
          <w:rFonts w:cs="Times New Roman"/>
          <w:szCs w:val="24"/>
          <w:lang w:val="fr-CA"/>
        </w:rPr>
        <w:t xml:space="preserve"> que l</w:t>
      </w:r>
      <w:r w:rsidR="00DB687B" w:rsidRPr="00403220">
        <w:rPr>
          <w:rFonts w:cs="Times New Roman"/>
          <w:szCs w:val="24"/>
          <w:lang w:val="fr-CA"/>
        </w:rPr>
        <w:t>es</w:t>
      </w:r>
      <w:r w:rsidR="0047179D" w:rsidRPr="00403220">
        <w:rPr>
          <w:rFonts w:cs="Times New Roman"/>
          <w:szCs w:val="24"/>
          <w:lang w:val="fr-CA"/>
        </w:rPr>
        <w:t xml:space="preserve"> relation</w:t>
      </w:r>
      <w:r w:rsidR="00DB687B" w:rsidRPr="00403220">
        <w:rPr>
          <w:rFonts w:cs="Times New Roman"/>
          <w:szCs w:val="24"/>
          <w:lang w:val="fr-CA"/>
        </w:rPr>
        <w:t>s</w:t>
      </w:r>
      <w:r w:rsidR="0047179D" w:rsidRPr="00403220">
        <w:rPr>
          <w:rFonts w:cs="Times New Roman"/>
          <w:szCs w:val="24"/>
          <w:lang w:val="fr-CA"/>
        </w:rPr>
        <w:t>, révélée</w:t>
      </w:r>
      <w:r w:rsidR="00DB687B" w:rsidRPr="00403220">
        <w:rPr>
          <w:rFonts w:cs="Times New Roman"/>
          <w:szCs w:val="24"/>
          <w:lang w:val="fr-CA"/>
        </w:rPr>
        <w:t>s</w:t>
      </w:r>
      <w:r w:rsidR="0047179D" w:rsidRPr="00403220">
        <w:rPr>
          <w:rFonts w:cs="Times New Roman"/>
          <w:szCs w:val="24"/>
          <w:lang w:val="fr-CA"/>
        </w:rPr>
        <w:t xml:space="preserve"> par les actes de procédure, entre le Canada et les compagnies de tabac</w:t>
      </w:r>
      <w:r w:rsidR="00DB687B" w:rsidRPr="00403220">
        <w:rPr>
          <w:rFonts w:cs="Times New Roman"/>
          <w:szCs w:val="24"/>
          <w:lang w:val="fr-CA"/>
        </w:rPr>
        <w:t>, d’une part,</w:t>
      </w:r>
      <w:r w:rsidR="0047179D" w:rsidRPr="00403220">
        <w:rPr>
          <w:rFonts w:cs="Times New Roman"/>
          <w:szCs w:val="24"/>
          <w:lang w:val="fr-CA"/>
        </w:rPr>
        <w:t xml:space="preserve"> et </w:t>
      </w:r>
      <w:r w:rsidR="00DB687B" w:rsidRPr="00403220">
        <w:rPr>
          <w:rFonts w:cs="Times New Roman"/>
          <w:szCs w:val="24"/>
          <w:lang w:val="fr-CA"/>
        </w:rPr>
        <w:t xml:space="preserve">entre le Canada et </w:t>
      </w:r>
      <w:r w:rsidR="0047179D" w:rsidRPr="00403220">
        <w:rPr>
          <w:rFonts w:cs="Times New Roman"/>
          <w:szCs w:val="24"/>
          <w:lang w:val="fr-CA"/>
        </w:rPr>
        <w:t>les consommateurs, d</w:t>
      </w:r>
      <w:r w:rsidR="008372AA" w:rsidRPr="00403220">
        <w:rPr>
          <w:rFonts w:cs="Times New Roman"/>
          <w:szCs w:val="24"/>
          <w:lang w:val="fr-CA"/>
        </w:rPr>
        <w:t>’</w:t>
      </w:r>
      <w:r w:rsidR="0047179D" w:rsidRPr="00403220">
        <w:rPr>
          <w:rFonts w:cs="Times New Roman"/>
          <w:szCs w:val="24"/>
          <w:lang w:val="fr-CA"/>
        </w:rPr>
        <w:t xml:space="preserve">autre part, </w:t>
      </w:r>
      <w:r w:rsidR="00DB687B" w:rsidRPr="00403220">
        <w:rPr>
          <w:rFonts w:cs="Times New Roman"/>
          <w:szCs w:val="24"/>
          <w:lang w:val="fr-CA"/>
        </w:rPr>
        <w:t>sont</w:t>
      </w:r>
      <w:r w:rsidR="0047179D" w:rsidRPr="00403220">
        <w:rPr>
          <w:rFonts w:cs="Times New Roman"/>
          <w:szCs w:val="24"/>
          <w:lang w:val="fr-CA"/>
        </w:rPr>
        <w:t xml:space="preserve"> </w:t>
      </w:r>
      <w:r w:rsidR="00813224" w:rsidRPr="00403220">
        <w:rPr>
          <w:rFonts w:cs="Times New Roman"/>
          <w:szCs w:val="24"/>
          <w:lang w:val="fr-CA"/>
        </w:rPr>
        <w:t>semblable</w:t>
      </w:r>
      <w:r w:rsidR="00DB687B" w:rsidRPr="00403220">
        <w:rPr>
          <w:rFonts w:cs="Times New Roman"/>
          <w:szCs w:val="24"/>
          <w:lang w:val="fr-CA"/>
        </w:rPr>
        <w:t>s</w:t>
      </w:r>
      <w:r w:rsidR="00813224" w:rsidRPr="00403220">
        <w:rPr>
          <w:rFonts w:cs="Times New Roman"/>
          <w:szCs w:val="24"/>
          <w:lang w:val="fr-CA"/>
        </w:rPr>
        <w:t xml:space="preserve"> aux autres relations à l</w:t>
      </w:r>
      <w:r w:rsidR="008372AA" w:rsidRPr="00403220">
        <w:rPr>
          <w:rFonts w:cs="Times New Roman"/>
          <w:szCs w:val="24"/>
          <w:lang w:val="fr-CA"/>
        </w:rPr>
        <w:t>’</w:t>
      </w:r>
      <w:r w:rsidR="00813224" w:rsidRPr="00403220">
        <w:rPr>
          <w:rFonts w:cs="Times New Roman"/>
          <w:szCs w:val="24"/>
          <w:lang w:val="fr-CA"/>
        </w:rPr>
        <w:t>égard desquelles</w:t>
      </w:r>
      <w:r w:rsidR="0047179D" w:rsidRPr="00403220">
        <w:rPr>
          <w:rFonts w:cs="Times New Roman"/>
          <w:szCs w:val="24"/>
          <w:lang w:val="fr-CA"/>
        </w:rPr>
        <w:t xml:space="preserve"> la responsabilité délictuelle pour déclaration inexacte faite par négligence</w:t>
      </w:r>
      <w:r w:rsidR="00813224" w:rsidRPr="00403220">
        <w:rPr>
          <w:rFonts w:cs="Times New Roman"/>
          <w:szCs w:val="24"/>
          <w:lang w:val="fr-CA"/>
        </w:rPr>
        <w:t xml:space="preserve"> a été retenue</w:t>
      </w:r>
      <w:r w:rsidR="0047179D" w:rsidRPr="00403220">
        <w:rPr>
          <w:rFonts w:cs="Times New Roman"/>
          <w:szCs w:val="24"/>
          <w:lang w:val="fr-CA"/>
        </w:rPr>
        <w:t>.  En fait, elle</w:t>
      </w:r>
      <w:r w:rsidR="00A6319C" w:rsidRPr="00403220">
        <w:rPr>
          <w:rFonts w:cs="Times New Roman"/>
          <w:szCs w:val="24"/>
          <w:lang w:val="fr-CA"/>
        </w:rPr>
        <w:t>s</w:t>
      </w:r>
      <w:r w:rsidR="0047179D" w:rsidRPr="00403220">
        <w:rPr>
          <w:rFonts w:cs="Times New Roman"/>
          <w:szCs w:val="24"/>
          <w:lang w:val="fr-CA"/>
        </w:rPr>
        <w:t xml:space="preserve"> comporte</w:t>
      </w:r>
      <w:r w:rsidR="00A6319C" w:rsidRPr="00403220">
        <w:rPr>
          <w:rFonts w:cs="Times New Roman"/>
          <w:szCs w:val="24"/>
          <w:lang w:val="fr-CA"/>
        </w:rPr>
        <w:t>nt</w:t>
      </w:r>
      <w:r w:rsidR="0047179D" w:rsidRPr="00403220">
        <w:rPr>
          <w:rFonts w:cs="Times New Roman"/>
          <w:szCs w:val="24"/>
          <w:lang w:val="fr-CA"/>
        </w:rPr>
        <w:t xml:space="preserve"> des différences importantes.  Il suffit à ce stade de </w:t>
      </w:r>
      <w:r w:rsidR="00813224" w:rsidRPr="00403220">
        <w:rPr>
          <w:rFonts w:cs="Times New Roman"/>
          <w:szCs w:val="24"/>
          <w:lang w:val="fr-CA"/>
        </w:rPr>
        <w:t>signaler</w:t>
      </w:r>
      <w:r w:rsidR="0047179D" w:rsidRPr="00403220">
        <w:rPr>
          <w:rFonts w:cs="Times New Roman"/>
          <w:szCs w:val="24"/>
          <w:lang w:val="fr-CA"/>
        </w:rPr>
        <w:t xml:space="preserve"> que les compagnies de tabac ont été incapables de </w:t>
      </w:r>
      <w:r w:rsidR="007C5445" w:rsidRPr="00403220">
        <w:rPr>
          <w:rFonts w:cs="Times New Roman"/>
          <w:szCs w:val="24"/>
          <w:lang w:val="fr-CA"/>
        </w:rPr>
        <w:t>citer</w:t>
      </w:r>
      <w:r w:rsidR="0047179D" w:rsidRPr="00403220">
        <w:rPr>
          <w:rFonts w:cs="Times New Roman"/>
          <w:szCs w:val="24"/>
          <w:lang w:val="fr-CA"/>
        </w:rPr>
        <w:t xml:space="preserve"> </w:t>
      </w:r>
      <w:r w:rsidR="00813224" w:rsidRPr="00403220">
        <w:rPr>
          <w:rFonts w:cs="Times New Roman"/>
          <w:szCs w:val="24"/>
          <w:lang w:val="fr-CA"/>
        </w:rPr>
        <w:t>une décision dans laquelle</w:t>
      </w:r>
      <w:r w:rsidR="0047179D" w:rsidRPr="00403220">
        <w:rPr>
          <w:rFonts w:cs="Times New Roman"/>
          <w:szCs w:val="24"/>
          <w:lang w:val="fr-CA"/>
        </w:rPr>
        <w:t xml:space="preserve"> un gouvernement a été tenu responsable </w:t>
      </w:r>
      <w:r w:rsidR="00101AB7">
        <w:rPr>
          <w:rFonts w:cs="Times New Roman"/>
          <w:szCs w:val="24"/>
          <w:lang w:val="fr-CA"/>
        </w:rPr>
        <w:t>d’une</w:t>
      </w:r>
      <w:r w:rsidR="0047179D" w:rsidRPr="00403220">
        <w:rPr>
          <w:rFonts w:cs="Times New Roman"/>
          <w:szCs w:val="24"/>
          <w:lang w:val="fr-CA"/>
        </w:rPr>
        <w:t xml:space="preserve"> déclaration inexacte faite par négligence relativement à des déclarations faites à une industrie.  Afin de déterminer si une pareille cause d</w:t>
      </w:r>
      <w:r w:rsidR="008372AA" w:rsidRPr="00403220">
        <w:rPr>
          <w:rFonts w:cs="Times New Roman"/>
          <w:szCs w:val="24"/>
          <w:lang w:val="fr-CA"/>
        </w:rPr>
        <w:t>’</w:t>
      </w:r>
      <w:r w:rsidR="0047179D" w:rsidRPr="00403220">
        <w:rPr>
          <w:rFonts w:cs="Times New Roman"/>
          <w:szCs w:val="24"/>
          <w:lang w:val="fr-CA"/>
        </w:rPr>
        <w:t xml:space="preserve">action </w:t>
      </w:r>
      <w:r w:rsidR="00BF6A41" w:rsidRPr="00403220">
        <w:rPr>
          <w:rFonts w:cs="Times New Roman"/>
          <w:szCs w:val="24"/>
          <w:lang w:val="fr-CA"/>
        </w:rPr>
        <w:t>a</w:t>
      </w:r>
      <w:r w:rsidR="00813224" w:rsidRPr="00403220">
        <w:rPr>
          <w:rFonts w:cs="Times New Roman"/>
          <w:szCs w:val="24"/>
          <w:lang w:val="fr-CA"/>
        </w:rPr>
        <w:t xml:space="preserve"> </w:t>
      </w:r>
      <w:r w:rsidR="0047179D" w:rsidRPr="00403220">
        <w:rPr>
          <w:rFonts w:cs="Times New Roman"/>
          <w:szCs w:val="24"/>
          <w:lang w:val="fr-CA"/>
        </w:rPr>
        <w:t xml:space="preserve">une </w:t>
      </w:r>
      <w:r w:rsidR="00813224" w:rsidRPr="00403220">
        <w:rPr>
          <w:rFonts w:cs="Times New Roman"/>
          <w:szCs w:val="24"/>
          <w:lang w:val="fr-CA"/>
        </w:rPr>
        <w:t>possibilité</w:t>
      </w:r>
      <w:r w:rsidR="0047179D" w:rsidRPr="00403220">
        <w:rPr>
          <w:rFonts w:cs="Times New Roman"/>
          <w:szCs w:val="24"/>
          <w:lang w:val="fr-CA"/>
        </w:rPr>
        <w:t xml:space="preserve"> raisonnable d</w:t>
      </w:r>
      <w:r w:rsidR="008372AA" w:rsidRPr="00403220">
        <w:rPr>
          <w:rFonts w:cs="Times New Roman"/>
          <w:szCs w:val="24"/>
          <w:lang w:val="fr-CA"/>
        </w:rPr>
        <w:t>’</w:t>
      </w:r>
      <w:r w:rsidR="0047179D" w:rsidRPr="00403220">
        <w:rPr>
          <w:rFonts w:cs="Times New Roman"/>
          <w:szCs w:val="24"/>
          <w:lang w:val="fr-CA"/>
        </w:rPr>
        <w:t xml:space="preserve">être accueillie, nous devons donc examiner </w:t>
      </w:r>
      <w:r w:rsidR="00813224" w:rsidRPr="00403220">
        <w:rPr>
          <w:rFonts w:cs="Times New Roman"/>
          <w:szCs w:val="24"/>
          <w:lang w:val="fr-CA"/>
        </w:rPr>
        <w:t>s</w:t>
      </w:r>
      <w:r w:rsidR="008372AA" w:rsidRPr="00403220">
        <w:rPr>
          <w:rFonts w:cs="Times New Roman"/>
          <w:szCs w:val="24"/>
          <w:lang w:val="fr-CA"/>
        </w:rPr>
        <w:t>’</w:t>
      </w:r>
      <w:r w:rsidR="00813224" w:rsidRPr="00403220">
        <w:rPr>
          <w:rFonts w:cs="Times New Roman"/>
          <w:szCs w:val="24"/>
          <w:lang w:val="fr-CA"/>
        </w:rPr>
        <w:t>il a été satisfait aux</w:t>
      </w:r>
      <w:r w:rsidR="0047179D" w:rsidRPr="00403220">
        <w:rPr>
          <w:rFonts w:cs="Times New Roman"/>
          <w:szCs w:val="24"/>
          <w:lang w:val="fr-CA"/>
        </w:rPr>
        <w:t xml:space="preserve"> exigences générales en matière de responsabilité délictuelle énoncées dans le critère établi par la Chambre des lords dans </w:t>
      </w:r>
      <w:proofErr w:type="spellStart"/>
      <w:r w:rsidR="00BF6A41" w:rsidRPr="00403220">
        <w:rPr>
          <w:rFonts w:cs="Times New Roman"/>
          <w:i/>
          <w:iCs/>
          <w:szCs w:val="24"/>
          <w:lang w:val="fr-CA"/>
        </w:rPr>
        <w:t>Anns</w:t>
      </w:r>
      <w:proofErr w:type="spellEnd"/>
      <w:r w:rsidR="00BF6A41" w:rsidRPr="00403220">
        <w:rPr>
          <w:rFonts w:cs="Times New Roman"/>
          <w:i/>
          <w:iCs/>
          <w:szCs w:val="24"/>
          <w:lang w:val="fr-CA"/>
        </w:rPr>
        <w:t xml:space="preserve"> c</w:t>
      </w:r>
      <w:r w:rsidR="0047179D" w:rsidRPr="00403220">
        <w:rPr>
          <w:rFonts w:cs="Times New Roman"/>
          <w:i/>
          <w:iCs/>
          <w:szCs w:val="24"/>
          <w:lang w:val="fr-CA"/>
        </w:rPr>
        <w:t>. Merton London Borough Council</w:t>
      </w:r>
      <w:r w:rsidR="0047179D" w:rsidRPr="00403220">
        <w:rPr>
          <w:rFonts w:cs="Times New Roman"/>
          <w:szCs w:val="24"/>
          <w:lang w:val="fr-CA"/>
        </w:rPr>
        <w:t xml:space="preserve">, </w:t>
      </w:r>
      <w:bookmarkStart w:id="11" w:name="reflex-caselaw-53733087"/>
      <w:bookmarkEnd w:id="11"/>
      <w:r w:rsidR="0047179D" w:rsidRPr="00403220">
        <w:rPr>
          <w:rFonts w:cs="Times New Roman"/>
          <w:szCs w:val="24"/>
          <w:lang w:val="fr-CA"/>
        </w:rPr>
        <w:t>[1978] A.C. 728, et quelque peu reformulé, mais appliqué de façon constante par la Cour, notamment dans l</w:t>
      </w:r>
      <w:r w:rsidR="008372AA" w:rsidRPr="00403220">
        <w:rPr>
          <w:rFonts w:cs="Times New Roman"/>
          <w:szCs w:val="24"/>
          <w:lang w:val="fr-CA"/>
        </w:rPr>
        <w:t>’</w:t>
      </w:r>
      <w:r w:rsidR="0047179D" w:rsidRPr="00403220">
        <w:rPr>
          <w:rFonts w:cs="Times New Roman"/>
          <w:szCs w:val="24"/>
          <w:lang w:val="fr-CA"/>
        </w:rPr>
        <w:t>arrêt </w:t>
      </w:r>
      <w:r w:rsidR="0047179D" w:rsidRPr="00403220">
        <w:rPr>
          <w:rFonts w:cs="Times New Roman"/>
          <w:i/>
          <w:szCs w:val="24"/>
          <w:lang w:val="fr-CA"/>
        </w:rPr>
        <w:t>Cooper c. Hobart</w:t>
      </w:r>
      <w:r w:rsidR="0047179D" w:rsidRPr="00403220">
        <w:rPr>
          <w:rFonts w:cs="Times New Roman"/>
          <w:szCs w:val="24"/>
          <w:lang w:val="fr-CA"/>
        </w:rPr>
        <w:t>,</w:t>
      </w:r>
      <w:r w:rsidR="00813224" w:rsidRPr="00403220">
        <w:rPr>
          <w:rFonts w:cs="Times New Roman"/>
          <w:szCs w:val="24"/>
          <w:lang w:val="fr-CA"/>
        </w:rPr>
        <w:t xml:space="preserve"> 2001 CSC 79,</w:t>
      </w:r>
      <w:r w:rsidR="0047179D" w:rsidRPr="00403220">
        <w:rPr>
          <w:rFonts w:cs="Times New Roman"/>
          <w:i/>
          <w:szCs w:val="24"/>
          <w:lang w:val="fr-CA"/>
        </w:rPr>
        <w:t xml:space="preserve"> </w:t>
      </w:r>
      <w:r w:rsidR="00813224" w:rsidRPr="00403220">
        <w:rPr>
          <w:rFonts w:cs="Times New Roman"/>
          <w:szCs w:val="24"/>
          <w:lang w:val="fr-CA"/>
        </w:rPr>
        <w:t>[2001] 3 R.C.S. 537</w:t>
      </w:r>
      <w:r w:rsidR="0047179D" w:rsidRPr="00403220">
        <w:rPr>
          <w:rFonts w:cs="Times New Roman"/>
          <w:szCs w:val="24"/>
          <w:lang w:val="fr-CA"/>
        </w:rPr>
        <w:t>.</w:t>
      </w:r>
    </w:p>
    <w:p w:rsidR="0047179D" w:rsidRPr="00403220" w:rsidRDefault="0047179D" w:rsidP="00AC4643">
      <w:pPr>
        <w:pStyle w:val="ParaNoNdepar-AltN"/>
        <w:tabs>
          <w:tab w:val="left" w:pos="810"/>
        </w:tabs>
        <w:rPr>
          <w:rFonts w:cs="Times New Roman"/>
          <w:szCs w:val="24"/>
          <w:lang w:val="fr-CA"/>
        </w:rPr>
      </w:pPr>
      <w:r w:rsidRPr="00403220">
        <w:rPr>
          <w:rFonts w:cs="Times New Roman"/>
          <w:szCs w:val="24"/>
          <w:lang w:val="fr-CA"/>
        </w:rPr>
        <w:t>À la première étape de ce critère, il faut se demander si les faits révèlent l</w:t>
      </w:r>
      <w:r w:rsidR="008372AA" w:rsidRPr="00403220">
        <w:rPr>
          <w:rFonts w:cs="Times New Roman"/>
          <w:szCs w:val="24"/>
          <w:lang w:val="fr-CA"/>
        </w:rPr>
        <w:t>’</w:t>
      </w:r>
      <w:r w:rsidRPr="00403220">
        <w:rPr>
          <w:rFonts w:cs="Times New Roman"/>
          <w:szCs w:val="24"/>
          <w:lang w:val="fr-CA"/>
        </w:rPr>
        <w:t>existence d</w:t>
      </w:r>
      <w:r w:rsidR="008372AA" w:rsidRPr="00403220">
        <w:rPr>
          <w:rFonts w:cs="Times New Roman"/>
          <w:szCs w:val="24"/>
          <w:lang w:val="fr-CA"/>
        </w:rPr>
        <w:t>’</w:t>
      </w:r>
      <w:r w:rsidRPr="00403220">
        <w:rPr>
          <w:rFonts w:cs="Times New Roman"/>
          <w:szCs w:val="24"/>
          <w:lang w:val="fr-CA"/>
        </w:rPr>
        <w:t>un lien de proximité dans le cadre duquel l</w:t>
      </w:r>
      <w:r w:rsidR="008372AA" w:rsidRPr="00403220">
        <w:rPr>
          <w:rFonts w:cs="Times New Roman"/>
          <w:szCs w:val="24"/>
          <w:lang w:val="fr-CA"/>
        </w:rPr>
        <w:t>’</w:t>
      </w:r>
      <w:r w:rsidRPr="00403220">
        <w:rPr>
          <w:rFonts w:cs="Times New Roman"/>
          <w:szCs w:val="24"/>
          <w:lang w:val="fr-CA"/>
        </w:rPr>
        <w:t xml:space="preserve">omission de faire preuve de diligence raisonnable peut, de façon prévisible, causer une perte ou un préjudice au plaignant.  Si cette condition est remplie, il y a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szCs w:val="24"/>
          <w:lang w:val="fr-CA"/>
        </w:rPr>
        <w:t xml:space="preserve"> et l</w:t>
      </w:r>
      <w:r w:rsidR="008372AA" w:rsidRPr="00403220">
        <w:rPr>
          <w:rFonts w:cs="Times New Roman"/>
          <w:szCs w:val="24"/>
          <w:lang w:val="fr-CA"/>
        </w:rPr>
        <w:t>’</w:t>
      </w:r>
      <w:r w:rsidRPr="00403220">
        <w:rPr>
          <w:rFonts w:cs="Times New Roman"/>
          <w:szCs w:val="24"/>
          <w:lang w:val="fr-CA"/>
        </w:rPr>
        <w:t>analyse passe à l</w:t>
      </w:r>
      <w:r w:rsidR="008372AA" w:rsidRPr="00403220">
        <w:rPr>
          <w:rFonts w:cs="Times New Roman"/>
          <w:szCs w:val="24"/>
          <w:lang w:val="fr-CA"/>
        </w:rPr>
        <w:t>’</w:t>
      </w:r>
      <w:r w:rsidRPr="00403220">
        <w:rPr>
          <w:rFonts w:cs="Times New Roman"/>
          <w:szCs w:val="24"/>
          <w:lang w:val="fr-CA"/>
        </w:rPr>
        <w:t xml:space="preserve">étape suivante dans laquelle on se demande </w:t>
      </w:r>
      <w:r w:rsidR="00B719B6" w:rsidRPr="00403220">
        <w:rPr>
          <w:rFonts w:cs="Times New Roman"/>
          <w:szCs w:val="24"/>
          <w:lang w:val="fr-CA"/>
        </w:rPr>
        <w:t>si</w:t>
      </w:r>
      <w:r w:rsidRPr="00403220">
        <w:rPr>
          <w:rFonts w:cs="Times New Roman"/>
          <w:szCs w:val="24"/>
          <w:lang w:val="fr-CA"/>
        </w:rPr>
        <w:t xml:space="preserve"> des considérations de politique </w:t>
      </w:r>
      <w:r w:rsidR="00AD41A8" w:rsidRPr="00403220">
        <w:rPr>
          <w:rFonts w:cs="Times New Roman"/>
          <w:szCs w:val="24"/>
          <w:lang w:val="fr-CA"/>
        </w:rPr>
        <w:t xml:space="preserve">générale </w:t>
      </w:r>
      <w:r w:rsidRPr="00403220">
        <w:rPr>
          <w:rFonts w:cs="Times New Roman"/>
          <w:szCs w:val="24"/>
          <w:lang w:val="fr-CA"/>
        </w:rPr>
        <w:t xml:space="preserve">empêcheraient </w:t>
      </w:r>
      <w:r w:rsidR="00B719B6" w:rsidRPr="00403220">
        <w:rPr>
          <w:rFonts w:cs="Times New Roman"/>
          <w:szCs w:val="24"/>
          <w:lang w:val="fr-CA"/>
        </w:rPr>
        <w:t xml:space="preserve">de reconnaître </w:t>
      </w:r>
      <w:r w:rsidRPr="00403220">
        <w:rPr>
          <w:rFonts w:cs="Times New Roman"/>
          <w:szCs w:val="24"/>
          <w:lang w:val="fr-CA"/>
        </w:rPr>
        <w:t xml:space="preserve">cette obligation de diligence </w:t>
      </w:r>
      <w:r w:rsidRPr="00403220">
        <w:rPr>
          <w:rFonts w:cs="Times New Roman"/>
          <w:i/>
          <w:szCs w:val="24"/>
          <w:lang w:val="fr-CA"/>
        </w:rPr>
        <w:lastRenderedPageBreak/>
        <w:t>prima </w:t>
      </w:r>
      <w:proofErr w:type="spellStart"/>
      <w:r w:rsidRPr="00403220">
        <w:rPr>
          <w:rFonts w:cs="Times New Roman"/>
          <w:i/>
          <w:szCs w:val="24"/>
          <w:lang w:val="fr-CA"/>
        </w:rPr>
        <w:t>facie</w:t>
      </w:r>
      <w:proofErr w:type="spellEnd"/>
      <w:r w:rsidR="00A54DAC" w:rsidRPr="00403220">
        <w:rPr>
          <w:rFonts w:cs="Times New Roman"/>
          <w:i/>
          <w:szCs w:val="24"/>
          <w:lang w:val="fr-CA"/>
        </w:rPr>
        <w:t> </w:t>
      </w:r>
      <w:r w:rsidR="00A54DAC" w:rsidRPr="00AC4643">
        <w:rPr>
          <w:rFonts w:cs="Times New Roman"/>
          <w:szCs w:val="24"/>
          <w:lang w:val="fr-CA"/>
        </w:rPr>
        <w:t>:</w:t>
      </w:r>
      <w:r w:rsidR="00B719B6" w:rsidRPr="00AC4643">
        <w:rPr>
          <w:rFonts w:cs="Times New Roman"/>
          <w:szCs w:val="24"/>
          <w:lang w:val="fr-CA"/>
        </w:rPr>
        <w:t xml:space="preserve"> </w:t>
      </w:r>
      <w:r w:rsidRPr="00403220">
        <w:rPr>
          <w:rFonts w:cs="Times New Roman"/>
          <w:i/>
          <w:szCs w:val="24"/>
          <w:lang w:val="fr-CA"/>
        </w:rPr>
        <w:t xml:space="preserve">Hill c. </w:t>
      </w:r>
      <w:r w:rsidRPr="00403220">
        <w:rPr>
          <w:rFonts w:cs="Times New Roman"/>
          <w:bCs/>
          <w:i/>
          <w:szCs w:val="24"/>
          <w:lang w:val="fr-CA"/>
        </w:rPr>
        <w:t>Commission des services policiers de la municipalité régionale de Hamilton</w:t>
      </w:r>
      <w:r w:rsidR="00AC4643">
        <w:rPr>
          <w:rFonts w:cs="Times New Roman"/>
          <w:bCs/>
          <w:i/>
          <w:szCs w:val="24"/>
          <w:lang w:val="fr-CA"/>
        </w:rPr>
        <w:t>-</w:t>
      </w:r>
      <w:proofErr w:type="spellStart"/>
      <w:r w:rsidRPr="00403220">
        <w:rPr>
          <w:rFonts w:cs="Times New Roman"/>
          <w:bCs/>
          <w:i/>
          <w:szCs w:val="24"/>
          <w:lang w:val="fr-CA"/>
        </w:rPr>
        <w:t>Wentworth</w:t>
      </w:r>
      <w:proofErr w:type="spellEnd"/>
      <w:r w:rsidRPr="00403220">
        <w:rPr>
          <w:rFonts w:cs="Times New Roman"/>
          <w:szCs w:val="24"/>
          <w:lang w:val="fr-CA"/>
        </w:rPr>
        <w:t xml:space="preserve">, </w:t>
      </w:r>
      <w:r w:rsidR="002E4EF3" w:rsidRPr="00403220">
        <w:rPr>
          <w:rFonts w:cs="Times New Roman"/>
          <w:szCs w:val="24"/>
          <w:lang w:val="fr-CA"/>
        </w:rPr>
        <w:t xml:space="preserve">2007 CSC 41, </w:t>
      </w:r>
      <w:r w:rsidRPr="00403220">
        <w:rPr>
          <w:rFonts w:cs="Times New Roman"/>
          <w:szCs w:val="24"/>
          <w:lang w:val="fr-CA"/>
        </w:rPr>
        <w:t xml:space="preserve">[2007] 3 R.C.S. 129. </w:t>
      </w:r>
    </w:p>
    <w:p w:rsidR="0047179D" w:rsidRPr="00403220" w:rsidRDefault="00AC4643" w:rsidP="00DF6983">
      <w:pPr>
        <w:pStyle w:val="TitleTitre-AltT"/>
        <w:keepNext/>
        <w:tabs>
          <w:tab w:val="clear" w:pos="360"/>
          <w:tab w:val="left" w:pos="1260"/>
        </w:tabs>
        <w:spacing w:after="720"/>
        <w:ind w:left="1800" w:hanging="1800"/>
        <w:rPr>
          <w:rFonts w:cs="Times New Roman"/>
          <w:szCs w:val="24"/>
          <w:u w:val="single"/>
          <w:lang w:val="fr-CA"/>
        </w:rPr>
      </w:pPr>
      <w:r>
        <w:rPr>
          <w:rFonts w:cs="Times New Roman"/>
          <w:szCs w:val="24"/>
          <w:lang w:val="fr-CA"/>
        </w:rPr>
        <w:tab/>
      </w:r>
      <w:bookmarkStart w:id="12" w:name="_Toc314735114"/>
      <w:r w:rsidR="00DF6983">
        <w:rPr>
          <w:rFonts w:cs="Times New Roman"/>
          <w:szCs w:val="24"/>
          <w:lang w:val="fr-CA"/>
        </w:rPr>
        <w:t>(</w:t>
      </w:r>
      <w:r w:rsidR="00A75E43" w:rsidRPr="00403220">
        <w:rPr>
          <w:rFonts w:cs="Times New Roman"/>
          <w:szCs w:val="24"/>
          <w:lang w:val="fr-CA"/>
        </w:rPr>
        <w:t>1</w:t>
      </w:r>
      <w:r w:rsidR="0047179D" w:rsidRPr="00403220">
        <w:rPr>
          <w:rFonts w:cs="Times New Roman"/>
          <w:szCs w:val="24"/>
          <w:lang w:val="fr-CA"/>
        </w:rPr>
        <w:t>)</w:t>
      </w:r>
      <w:r w:rsidR="00427A77" w:rsidRPr="00403220">
        <w:rPr>
          <w:rFonts w:cs="Times New Roman"/>
          <w:szCs w:val="24"/>
          <w:lang w:val="fr-CA"/>
        </w:rPr>
        <w:tab/>
      </w:r>
      <w:r w:rsidR="0047179D" w:rsidRPr="00403220">
        <w:rPr>
          <w:rFonts w:cs="Times New Roman"/>
          <w:szCs w:val="24"/>
          <w:u w:val="single"/>
          <w:lang w:val="fr-CA"/>
        </w:rPr>
        <w:t>Première étape</w:t>
      </w:r>
      <w:r w:rsidR="002D4FA3" w:rsidRPr="00403220">
        <w:rPr>
          <w:rFonts w:cs="Times New Roman"/>
          <w:szCs w:val="24"/>
          <w:u w:val="single"/>
          <w:lang w:val="fr-CA"/>
        </w:rPr>
        <w:t xml:space="preserve"> de l’analyse</w:t>
      </w:r>
      <w:r w:rsidR="00A54DAC" w:rsidRPr="00403220">
        <w:rPr>
          <w:rFonts w:cs="Times New Roman"/>
          <w:szCs w:val="24"/>
          <w:u w:val="single"/>
          <w:lang w:val="fr-CA"/>
        </w:rPr>
        <w:t> :</w:t>
      </w:r>
      <w:r w:rsidR="00427A77" w:rsidRPr="00403220">
        <w:rPr>
          <w:rFonts w:cs="Times New Roman"/>
          <w:szCs w:val="24"/>
          <w:u w:val="single"/>
          <w:lang w:val="fr-CA"/>
        </w:rPr>
        <w:t xml:space="preserve"> </w:t>
      </w:r>
      <w:r w:rsidR="0047179D" w:rsidRPr="00403220">
        <w:rPr>
          <w:rFonts w:cs="Times New Roman"/>
          <w:szCs w:val="24"/>
          <w:u w:val="single"/>
          <w:lang w:val="fr-CA"/>
        </w:rPr>
        <w:t xml:space="preserve">le lien </w:t>
      </w:r>
      <w:r w:rsidR="004340C3" w:rsidRPr="00403220">
        <w:rPr>
          <w:rFonts w:cs="Times New Roman"/>
          <w:szCs w:val="24"/>
          <w:u w:val="single"/>
          <w:lang w:val="fr-CA"/>
        </w:rPr>
        <w:t>de proximité</w:t>
      </w:r>
      <w:r w:rsidR="0047179D" w:rsidRPr="00403220">
        <w:rPr>
          <w:rFonts w:cs="Times New Roman"/>
          <w:szCs w:val="24"/>
          <w:u w:val="single"/>
          <w:lang w:val="fr-CA"/>
        </w:rPr>
        <w:t xml:space="preserve"> et la prévisibilité</w:t>
      </w:r>
      <w:bookmarkEnd w:id="12"/>
    </w:p>
    <w:p w:rsidR="0047179D" w:rsidRPr="00403220" w:rsidRDefault="0047179D" w:rsidP="005A33F7">
      <w:pPr>
        <w:pStyle w:val="ParaNoNdepar-AltN"/>
        <w:rPr>
          <w:rFonts w:cs="Times New Roman"/>
          <w:szCs w:val="24"/>
          <w:lang w:val="fr-CA"/>
        </w:rPr>
      </w:pPr>
      <w:r w:rsidRPr="00403220">
        <w:rPr>
          <w:rFonts w:cs="Times New Roman"/>
          <w:szCs w:val="24"/>
          <w:lang w:val="fr-CA"/>
        </w:rPr>
        <w:t>Quant au premier volet du critère, les compagnies de tabac font valoir que les faits allégués établissent l</w:t>
      </w:r>
      <w:r w:rsidR="008372AA" w:rsidRPr="00403220">
        <w:rPr>
          <w:rFonts w:cs="Times New Roman"/>
          <w:szCs w:val="24"/>
          <w:lang w:val="fr-CA"/>
        </w:rPr>
        <w:t>’</w:t>
      </w:r>
      <w:r w:rsidRPr="00403220">
        <w:rPr>
          <w:rFonts w:cs="Times New Roman"/>
          <w:szCs w:val="24"/>
          <w:lang w:val="fr-CA"/>
        </w:rPr>
        <w:t>existence d</w:t>
      </w:r>
      <w:r w:rsidR="008372AA" w:rsidRPr="00403220">
        <w:rPr>
          <w:rFonts w:cs="Times New Roman"/>
          <w:szCs w:val="24"/>
          <w:lang w:val="fr-CA"/>
        </w:rPr>
        <w:t>’</w:t>
      </w:r>
      <w:r w:rsidRPr="00403220">
        <w:rPr>
          <w:rFonts w:cs="Times New Roman"/>
          <w:szCs w:val="24"/>
          <w:lang w:val="fr-CA"/>
        </w:rPr>
        <w:t>un lien suffisamment étroit et direct</w:t>
      </w:r>
      <w:r w:rsidR="00817AAD" w:rsidRPr="00403220">
        <w:rPr>
          <w:rFonts w:cs="Times New Roman"/>
          <w:szCs w:val="24"/>
          <w:lang w:val="fr-CA"/>
        </w:rPr>
        <w:t>,</w:t>
      </w:r>
      <w:r w:rsidRPr="00403220">
        <w:rPr>
          <w:rFonts w:cs="Times New Roman"/>
          <w:szCs w:val="24"/>
          <w:lang w:val="fr-CA"/>
        </w:rPr>
        <w:t xml:space="preserve"> ou lien </w:t>
      </w:r>
      <w:r w:rsidR="00AC4643">
        <w:rPr>
          <w:rFonts w:cs="Times New Roman"/>
          <w:szCs w:val="24"/>
          <w:lang w:val="fr-CA"/>
        </w:rPr>
        <w:t>[</w:t>
      </w:r>
      <w:r w:rsidR="00AC4643" w:rsidRPr="00AC4643">
        <w:rPr>
          <w:rFonts w:cs="Times New Roman"/>
          <w:smallCaps/>
          <w:szCs w:val="24"/>
          <w:lang w:val="fr-CA"/>
        </w:rPr>
        <w:t>traduction</w:t>
      </w:r>
      <w:r w:rsidR="00AC4643">
        <w:rPr>
          <w:rFonts w:cs="Times New Roman"/>
          <w:szCs w:val="24"/>
          <w:lang w:val="fr-CA"/>
        </w:rPr>
        <w:t xml:space="preserve">] </w:t>
      </w:r>
      <w:r w:rsidRPr="00403220">
        <w:rPr>
          <w:rFonts w:cs="Times New Roman"/>
          <w:szCs w:val="24"/>
          <w:lang w:val="fr-CA"/>
        </w:rPr>
        <w:t>«</w:t>
      </w:r>
      <w:r w:rsidR="00817AAD" w:rsidRPr="00403220">
        <w:rPr>
          <w:rFonts w:cs="Times New Roman"/>
          <w:szCs w:val="24"/>
          <w:lang w:val="fr-CA"/>
        </w:rPr>
        <w:t> </w:t>
      </w:r>
      <w:r w:rsidRPr="00403220">
        <w:rPr>
          <w:rFonts w:cs="Times New Roman"/>
          <w:szCs w:val="24"/>
          <w:lang w:val="fr-CA"/>
        </w:rPr>
        <w:t>de proximité</w:t>
      </w:r>
      <w:r w:rsidR="00817AAD" w:rsidRPr="00403220">
        <w:rPr>
          <w:rFonts w:cs="Times New Roman"/>
          <w:szCs w:val="24"/>
          <w:lang w:val="fr-CA"/>
        </w:rPr>
        <w:t> </w:t>
      </w:r>
      <w:r w:rsidRPr="00403220">
        <w:rPr>
          <w:rFonts w:cs="Times New Roman"/>
          <w:szCs w:val="24"/>
          <w:lang w:val="fr-CA"/>
        </w:rPr>
        <w:t>»</w:t>
      </w:r>
      <w:r w:rsidR="00DA5F7D" w:rsidRPr="00403220">
        <w:rPr>
          <w:rFonts w:cs="Times New Roman"/>
          <w:szCs w:val="24"/>
          <w:lang w:val="fr-CA"/>
        </w:rPr>
        <w:t>,</w:t>
      </w:r>
      <w:r w:rsidRPr="00403220">
        <w:rPr>
          <w:rFonts w:cs="Times New Roman"/>
          <w:szCs w:val="24"/>
          <w:lang w:val="fr-CA"/>
        </w:rPr>
        <w:t xml:space="preserve"> d</w:t>
      </w:r>
      <w:r w:rsidR="008372AA" w:rsidRPr="00403220">
        <w:rPr>
          <w:rFonts w:cs="Times New Roman"/>
          <w:szCs w:val="24"/>
          <w:lang w:val="fr-CA"/>
        </w:rPr>
        <w:t>’</w:t>
      </w:r>
      <w:r w:rsidRPr="00403220">
        <w:rPr>
          <w:rFonts w:cs="Times New Roman"/>
          <w:szCs w:val="24"/>
          <w:lang w:val="fr-CA"/>
        </w:rPr>
        <w:t xml:space="preserve">une part, </w:t>
      </w:r>
      <w:r w:rsidR="004340C3" w:rsidRPr="00403220">
        <w:rPr>
          <w:rFonts w:cs="Times New Roman"/>
          <w:szCs w:val="24"/>
          <w:lang w:val="fr-CA"/>
        </w:rPr>
        <w:t xml:space="preserve">entre </w:t>
      </w:r>
      <w:r w:rsidRPr="00403220">
        <w:rPr>
          <w:rFonts w:cs="Times New Roman"/>
          <w:szCs w:val="24"/>
          <w:lang w:val="fr-CA"/>
        </w:rPr>
        <w:t xml:space="preserve">le Canada et les consommateurs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et, d</w:t>
      </w:r>
      <w:r w:rsidR="008372AA" w:rsidRPr="00403220">
        <w:rPr>
          <w:rFonts w:cs="Times New Roman"/>
          <w:szCs w:val="24"/>
          <w:lang w:val="fr-CA"/>
        </w:rPr>
        <w:t>’</w:t>
      </w:r>
      <w:r w:rsidRPr="00403220">
        <w:rPr>
          <w:rFonts w:cs="Times New Roman"/>
          <w:szCs w:val="24"/>
          <w:lang w:val="fr-CA"/>
        </w:rPr>
        <w:t>autre part, entre le Canada et les compagnies de tabac (dans les deux affaires) pour justifier une obligation de diligence à l</w:t>
      </w:r>
      <w:r w:rsidR="008372AA" w:rsidRPr="00403220">
        <w:rPr>
          <w:rFonts w:cs="Times New Roman"/>
          <w:szCs w:val="24"/>
          <w:lang w:val="fr-CA"/>
        </w:rPr>
        <w:t>’</w:t>
      </w:r>
      <w:r w:rsidRPr="00403220">
        <w:rPr>
          <w:rFonts w:cs="Times New Roman"/>
          <w:szCs w:val="24"/>
          <w:lang w:val="fr-CA"/>
        </w:rPr>
        <w:t xml:space="preserve">égard des déclarations du gouvernement </w:t>
      </w:r>
      <w:r w:rsidR="00817AAD" w:rsidRPr="00403220">
        <w:rPr>
          <w:rFonts w:cs="Times New Roman"/>
          <w:szCs w:val="24"/>
          <w:lang w:val="fr-CA"/>
        </w:rPr>
        <w:t>au sujet de</w:t>
      </w:r>
      <w:r w:rsidRPr="00403220">
        <w:rPr>
          <w:rFonts w:cs="Times New Roman"/>
          <w:szCs w:val="24"/>
          <w:lang w:val="fr-CA"/>
        </w:rPr>
        <w:t>s cigarettes légères et douces.  Les compagnies de tabac ajoutent que le Canada aurait pu raisonnablement prévoir que les consommateurs et l</w:t>
      </w:r>
      <w:r w:rsidR="008372AA" w:rsidRPr="00403220">
        <w:rPr>
          <w:rFonts w:cs="Times New Roman"/>
          <w:szCs w:val="24"/>
          <w:lang w:val="fr-CA"/>
        </w:rPr>
        <w:t>’</w:t>
      </w:r>
      <w:r w:rsidRPr="00403220">
        <w:rPr>
          <w:rFonts w:cs="Times New Roman"/>
          <w:szCs w:val="24"/>
          <w:lang w:val="fr-CA"/>
        </w:rPr>
        <w:t xml:space="preserve">industrie du tabac </w:t>
      </w:r>
      <w:r w:rsidR="004340C3" w:rsidRPr="00403220">
        <w:rPr>
          <w:rFonts w:cs="Times New Roman"/>
          <w:szCs w:val="24"/>
          <w:lang w:val="fr-CA"/>
        </w:rPr>
        <w:t xml:space="preserve">se </w:t>
      </w:r>
      <w:r w:rsidRPr="00403220">
        <w:rPr>
          <w:rFonts w:cs="Times New Roman"/>
          <w:szCs w:val="24"/>
          <w:lang w:val="fr-CA"/>
        </w:rPr>
        <w:t>f</w:t>
      </w:r>
      <w:r w:rsidR="004340C3" w:rsidRPr="00403220">
        <w:rPr>
          <w:rFonts w:cs="Times New Roman"/>
          <w:szCs w:val="24"/>
          <w:lang w:val="fr-CA"/>
        </w:rPr>
        <w:t>i</w:t>
      </w:r>
      <w:r w:rsidRPr="00403220">
        <w:rPr>
          <w:rFonts w:cs="Times New Roman"/>
          <w:szCs w:val="24"/>
          <w:lang w:val="fr-CA"/>
        </w:rPr>
        <w:t>eraient</w:t>
      </w:r>
      <w:r w:rsidR="00817AAD" w:rsidRPr="00403220">
        <w:rPr>
          <w:rFonts w:cs="Times New Roman"/>
          <w:szCs w:val="24"/>
          <w:lang w:val="fr-CA"/>
        </w:rPr>
        <w:t xml:space="preserve"> </w:t>
      </w:r>
      <w:r w:rsidRPr="00403220">
        <w:rPr>
          <w:rFonts w:cs="Times New Roman"/>
          <w:szCs w:val="24"/>
          <w:lang w:val="fr-CA"/>
        </w:rPr>
        <w:t xml:space="preserve">à ses déclarations </w:t>
      </w:r>
      <w:r w:rsidR="00817AAD" w:rsidRPr="00403220">
        <w:rPr>
          <w:rFonts w:cs="Times New Roman"/>
          <w:szCs w:val="24"/>
          <w:lang w:val="fr-CA"/>
        </w:rPr>
        <w:t>au sujet des</w:t>
      </w:r>
      <w:r w:rsidRPr="00403220">
        <w:rPr>
          <w:rFonts w:cs="Times New Roman"/>
          <w:szCs w:val="24"/>
          <w:lang w:val="fr-CA"/>
        </w:rPr>
        <w:t xml:space="preserve"> avantages des cigarettes légères au chapitre de la santé, et qu</w:t>
      </w:r>
      <w:r w:rsidR="008372AA" w:rsidRPr="00403220">
        <w:rPr>
          <w:rFonts w:cs="Times New Roman"/>
          <w:szCs w:val="24"/>
          <w:lang w:val="fr-CA"/>
        </w:rPr>
        <w:t>’</w:t>
      </w:r>
      <w:r w:rsidRPr="00403220">
        <w:rPr>
          <w:rFonts w:cs="Times New Roman"/>
          <w:szCs w:val="24"/>
          <w:lang w:val="fr-CA"/>
        </w:rPr>
        <w:t>il était raisonnable pour eux de se fier à ces déclarations.  Le Canada rétorque qu</w:t>
      </w:r>
      <w:r w:rsidR="008372AA" w:rsidRPr="00403220">
        <w:rPr>
          <w:rFonts w:cs="Times New Roman"/>
          <w:szCs w:val="24"/>
          <w:lang w:val="fr-CA"/>
        </w:rPr>
        <w:t>’</w:t>
      </w:r>
      <w:r w:rsidRPr="00403220">
        <w:rPr>
          <w:rFonts w:cs="Times New Roman"/>
          <w:szCs w:val="24"/>
          <w:lang w:val="fr-CA"/>
        </w:rPr>
        <w:t>il agissait seulement à titre d</w:t>
      </w:r>
      <w:r w:rsidR="008372AA" w:rsidRPr="00403220">
        <w:rPr>
          <w:rFonts w:cs="Times New Roman"/>
          <w:szCs w:val="24"/>
          <w:lang w:val="fr-CA"/>
        </w:rPr>
        <w:t>’</w:t>
      </w:r>
      <w:r w:rsidRPr="00403220">
        <w:rPr>
          <w:rFonts w:cs="Times New Roman"/>
          <w:szCs w:val="24"/>
          <w:lang w:val="fr-CA"/>
        </w:rPr>
        <w:t xml:space="preserve">autorité </w:t>
      </w:r>
      <w:r w:rsidR="004C5423" w:rsidRPr="00403220">
        <w:rPr>
          <w:rFonts w:cs="Times New Roman"/>
          <w:szCs w:val="24"/>
          <w:lang w:val="fr-CA"/>
        </w:rPr>
        <w:t>de réglementation</w:t>
      </w:r>
      <w:r w:rsidRPr="00403220">
        <w:rPr>
          <w:rFonts w:cs="Times New Roman"/>
          <w:szCs w:val="24"/>
          <w:lang w:val="fr-CA"/>
        </w:rPr>
        <w:t xml:space="preserve"> lorsqu</w:t>
      </w:r>
      <w:r w:rsidR="008372AA" w:rsidRPr="00403220">
        <w:rPr>
          <w:rFonts w:cs="Times New Roman"/>
          <w:szCs w:val="24"/>
          <w:lang w:val="fr-CA"/>
        </w:rPr>
        <w:t>’</w:t>
      </w:r>
      <w:r w:rsidRPr="00403220">
        <w:rPr>
          <w:rFonts w:cs="Times New Roman"/>
          <w:szCs w:val="24"/>
          <w:lang w:val="fr-CA"/>
        </w:rPr>
        <w:t>il a fait des déclarations à la population et à l</w:t>
      </w:r>
      <w:r w:rsidR="008372AA" w:rsidRPr="00403220">
        <w:rPr>
          <w:rFonts w:cs="Times New Roman"/>
          <w:szCs w:val="24"/>
          <w:lang w:val="fr-CA"/>
        </w:rPr>
        <w:t>’</w:t>
      </w:r>
      <w:r w:rsidRPr="00403220">
        <w:rPr>
          <w:rFonts w:cs="Times New Roman"/>
          <w:szCs w:val="24"/>
          <w:lang w:val="fr-CA"/>
        </w:rPr>
        <w:t>industrie, ce qui n</w:t>
      </w:r>
      <w:r w:rsidR="008372AA" w:rsidRPr="00403220">
        <w:rPr>
          <w:rFonts w:cs="Times New Roman"/>
          <w:szCs w:val="24"/>
          <w:lang w:val="fr-CA"/>
        </w:rPr>
        <w:t>’</w:t>
      </w:r>
      <w:r w:rsidRPr="00403220">
        <w:rPr>
          <w:rFonts w:cs="Times New Roman"/>
          <w:szCs w:val="24"/>
          <w:lang w:val="fr-CA"/>
        </w:rPr>
        <w:t>entraîne pas la création d</w:t>
      </w:r>
      <w:r w:rsidR="008372AA" w:rsidRPr="00403220">
        <w:rPr>
          <w:rFonts w:cs="Times New Roman"/>
          <w:szCs w:val="24"/>
          <w:lang w:val="fr-CA"/>
        </w:rPr>
        <w:t>’</w:t>
      </w:r>
      <w:r w:rsidRPr="00403220">
        <w:rPr>
          <w:rFonts w:cs="Times New Roman"/>
          <w:szCs w:val="24"/>
          <w:lang w:val="fr-CA"/>
        </w:rPr>
        <w:t>un lien suffisamment étroit pour fonder l</w:t>
      </w:r>
      <w:r w:rsidR="008372AA" w:rsidRPr="00403220">
        <w:rPr>
          <w:rFonts w:cs="Times New Roman"/>
          <w:szCs w:val="24"/>
          <w:lang w:val="fr-CA"/>
        </w:rPr>
        <w:t>’</w:t>
      </w:r>
      <w:r w:rsidRPr="00403220">
        <w:rPr>
          <w:rFonts w:cs="Times New Roman"/>
          <w:szCs w:val="24"/>
          <w:lang w:val="fr-CA"/>
        </w:rPr>
        <w:t xml:space="preserve">obligation de diligence revendiquée.  </w:t>
      </w:r>
      <w:r w:rsidR="00817AAD" w:rsidRPr="00403220">
        <w:rPr>
          <w:rFonts w:cs="Times New Roman"/>
          <w:szCs w:val="24"/>
          <w:lang w:val="fr-CA"/>
        </w:rPr>
        <w:t>Dans l</w:t>
      </w:r>
      <w:r w:rsidR="008372AA" w:rsidRPr="00403220">
        <w:rPr>
          <w:rFonts w:cs="Times New Roman"/>
          <w:szCs w:val="24"/>
          <w:lang w:val="fr-CA"/>
        </w:rPr>
        <w:t>’</w:t>
      </w:r>
      <w:r w:rsidR="00E64960" w:rsidRPr="00403220">
        <w:rPr>
          <w:rFonts w:cs="Times New Roman"/>
          <w:i/>
          <w:szCs w:val="24"/>
          <w:lang w:val="fr-CA"/>
        </w:rPr>
        <w:t>A</w:t>
      </w:r>
      <w:r w:rsidR="00817AAD" w:rsidRPr="00403220">
        <w:rPr>
          <w:rFonts w:cs="Times New Roman"/>
          <w:i/>
          <w:szCs w:val="24"/>
          <w:lang w:val="fr-CA"/>
        </w:rPr>
        <w:t xml:space="preserve">ffaire </w:t>
      </w:r>
      <w:r w:rsidR="00321EF3" w:rsidRPr="00403220">
        <w:rPr>
          <w:rFonts w:cs="Times New Roman"/>
          <w:i/>
          <w:szCs w:val="24"/>
          <w:lang w:val="fr-CA"/>
        </w:rPr>
        <w:t xml:space="preserve">du </w:t>
      </w:r>
      <w:r w:rsidR="00817AAD" w:rsidRPr="00403220">
        <w:rPr>
          <w:rFonts w:cs="Times New Roman"/>
          <w:i/>
          <w:szCs w:val="24"/>
          <w:lang w:val="fr-CA"/>
        </w:rPr>
        <w:t>recouvrement des coûts</w:t>
      </w:r>
      <w:r w:rsidR="007C5445" w:rsidRPr="00403220">
        <w:rPr>
          <w:rFonts w:cs="Times New Roman"/>
          <w:szCs w:val="24"/>
          <w:lang w:val="fr-CA"/>
        </w:rPr>
        <w:t>,</w:t>
      </w:r>
      <w:r w:rsidR="00817AAD" w:rsidRPr="00403220">
        <w:rPr>
          <w:rFonts w:cs="Times New Roman"/>
          <w:szCs w:val="24"/>
          <w:lang w:val="fr-CA"/>
        </w:rPr>
        <w:t xml:space="preserve"> l</w:t>
      </w:r>
      <w:r w:rsidRPr="00403220">
        <w:rPr>
          <w:rFonts w:cs="Times New Roman"/>
          <w:szCs w:val="24"/>
          <w:lang w:val="fr-CA"/>
        </w:rPr>
        <w:t>e Canada prétend aussi qu</w:t>
      </w:r>
      <w:r w:rsidR="008372AA" w:rsidRPr="00403220">
        <w:rPr>
          <w:rFonts w:cs="Times New Roman"/>
          <w:szCs w:val="24"/>
          <w:lang w:val="fr-CA"/>
        </w:rPr>
        <w:t>’</w:t>
      </w:r>
      <w:r w:rsidRPr="00403220">
        <w:rPr>
          <w:rFonts w:cs="Times New Roman"/>
          <w:szCs w:val="24"/>
          <w:lang w:val="fr-CA"/>
        </w:rPr>
        <w:t>il n</w:t>
      </w:r>
      <w:r w:rsidR="008372AA" w:rsidRPr="00403220">
        <w:rPr>
          <w:rFonts w:cs="Times New Roman"/>
          <w:szCs w:val="24"/>
          <w:lang w:val="fr-CA"/>
        </w:rPr>
        <w:t>’</w:t>
      </w:r>
      <w:r w:rsidRPr="00403220">
        <w:rPr>
          <w:rFonts w:cs="Times New Roman"/>
          <w:szCs w:val="24"/>
          <w:lang w:val="fr-CA"/>
        </w:rPr>
        <w:t xml:space="preserve">aurait pas pu raisonnablement prévoir que la législature de la </w:t>
      </w:r>
      <w:r w:rsidR="00AC4643">
        <w:rPr>
          <w:rFonts w:cs="Times New Roman"/>
          <w:szCs w:val="24"/>
          <w:lang w:val="fr-CA"/>
        </w:rPr>
        <w:t>Colombie-</w:t>
      </w:r>
      <w:r w:rsidR="00DC72B9">
        <w:rPr>
          <w:rFonts w:cs="Times New Roman"/>
          <w:szCs w:val="24"/>
          <w:lang w:val="fr-CA"/>
        </w:rPr>
        <w:t>Britannique</w:t>
      </w:r>
      <w:r w:rsidRPr="00403220">
        <w:rPr>
          <w:rFonts w:cs="Times New Roman"/>
          <w:szCs w:val="24"/>
          <w:lang w:val="fr-CA"/>
        </w:rPr>
        <w:t xml:space="preserve"> adopterait la </w:t>
      </w:r>
      <w:r w:rsidRPr="00403220">
        <w:rPr>
          <w:rFonts w:cs="Times New Roman"/>
          <w:i/>
          <w:szCs w:val="24"/>
          <w:lang w:val="fr-CA"/>
        </w:rPr>
        <w:t>CRA</w:t>
      </w:r>
      <w:r w:rsidRPr="00403220">
        <w:rPr>
          <w:rFonts w:cs="Times New Roman"/>
          <w:szCs w:val="24"/>
          <w:lang w:val="fr-CA"/>
        </w:rPr>
        <w:t>, et qu</w:t>
      </w:r>
      <w:r w:rsidR="008372AA" w:rsidRPr="00403220">
        <w:rPr>
          <w:rFonts w:cs="Times New Roman"/>
          <w:szCs w:val="24"/>
          <w:lang w:val="fr-CA"/>
        </w:rPr>
        <w:t>’</w:t>
      </w:r>
      <w:r w:rsidRPr="00403220">
        <w:rPr>
          <w:rFonts w:cs="Times New Roman"/>
          <w:szCs w:val="24"/>
          <w:lang w:val="fr-CA"/>
        </w:rPr>
        <w:t xml:space="preserve">il ne saurait donc être tenu </w:t>
      </w:r>
      <w:r w:rsidRPr="00403220">
        <w:rPr>
          <w:rFonts w:cs="Times New Roman"/>
          <w:szCs w:val="24"/>
          <w:lang w:val="fr-CA"/>
        </w:rPr>
        <w:lastRenderedPageBreak/>
        <w:t>responsable des pertes éventuelles des compagnies de</w:t>
      </w:r>
      <w:r w:rsidR="00A75E43" w:rsidRPr="00403220">
        <w:rPr>
          <w:rFonts w:cs="Times New Roman"/>
          <w:szCs w:val="24"/>
          <w:lang w:val="fr-CA"/>
        </w:rPr>
        <w:t xml:space="preserve"> tabac en application de cette L</w:t>
      </w:r>
      <w:r w:rsidRPr="00403220">
        <w:rPr>
          <w:rFonts w:cs="Times New Roman"/>
          <w:szCs w:val="24"/>
          <w:lang w:val="fr-CA"/>
        </w:rPr>
        <w:t xml:space="preserve">oi. </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Le lien </w:t>
      </w:r>
      <w:r w:rsidR="004340C3" w:rsidRPr="00403220">
        <w:rPr>
          <w:rFonts w:cs="Times New Roman"/>
          <w:szCs w:val="24"/>
          <w:lang w:val="fr-CA"/>
        </w:rPr>
        <w:t>de proximité</w:t>
      </w:r>
      <w:r w:rsidRPr="00403220">
        <w:rPr>
          <w:rFonts w:cs="Times New Roman"/>
          <w:szCs w:val="24"/>
          <w:lang w:val="fr-CA"/>
        </w:rPr>
        <w:t xml:space="preserve"> et la prévisibilité sont deux aspects d</w:t>
      </w:r>
      <w:r w:rsidR="008372AA" w:rsidRPr="00403220">
        <w:rPr>
          <w:rFonts w:cs="Times New Roman"/>
          <w:szCs w:val="24"/>
          <w:lang w:val="fr-CA"/>
        </w:rPr>
        <w:t>’</w:t>
      </w:r>
      <w:r w:rsidRPr="00403220">
        <w:rPr>
          <w:rFonts w:cs="Times New Roman"/>
          <w:szCs w:val="24"/>
          <w:lang w:val="fr-CA"/>
        </w:rPr>
        <w:t xml:space="preserve">une </w:t>
      </w:r>
      <w:r w:rsidR="004209DF" w:rsidRPr="00403220">
        <w:rPr>
          <w:rFonts w:cs="Times New Roman"/>
          <w:szCs w:val="24"/>
          <w:lang w:val="fr-CA"/>
        </w:rPr>
        <w:t xml:space="preserve">même </w:t>
      </w:r>
      <w:r w:rsidRPr="00403220">
        <w:rPr>
          <w:rFonts w:cs="Times New Roman"/>
          <w:szCs w:val="24"/>
          <w:lang w:val="fr-CA"/>
        </w:rPr>
        <w:t>analyse — celle visant à déterminer si les faits révèlent l</w:t>
      </w:r>
      <w:r w:rsidR="008372AA" w:rsidRPr="00403220">
        <w:rPr>
          <w:rFonts w:cs="Times New Roman"/>
          <w:szCs w:val="24"/>
          <w:lang w:val="fr-CA"/>
        </w:rPr>
        <w:t>’</w:t>
      </w:r>
      <w:r w:rsidRPr="00403220">
        <w:rPr>
          <w:rFonts w:cs="Times New Roman"/>
          <w:szCs w:val="24"/>
          <w:lang w:val="fr-CA"/>
        </w:rPr>
        <w:t>existence d</w:t>
      </w:r>
      <w:r w:rsidR="008372AA" w:rsidRPr="00403220">
        <w:rPr>
          <w:rFonts w:cs="Times New Roman"/>
          <w:szCs w:val="24"/>
          <w:lang w:val="fr-CA"/>
        </w:rPr>
        <w:t>’</w:t>
      </w:r>
      <w:r w:rsidRPr="00403220">
        <w:rPr>
          <w:rFonts w:cs="Times New Roman"/>
          <w:szCs w:val="24"/>
          <w:lang w:val="fr-CA"/>
        </w:rPr>
        <w:t xml:space="preserve">un lien donnant lieu à une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i/>
          <w:szCs w:val="24"/>
          <w:lang w:val="fr-CA"/>
        </w:rPr>
        <w:t xml:space="preserve"> </w:t>
      </w:r>
      <w:r w:rsidRPr="00403220">
        <w:rPr>
          <w:rFonts w:cs="Times New Roman"/>
          <w:szCs w:val="24"/>
          <w:lang w:val="fr-CA"/>
        </w:rPr>
        <w:t xml:space="preserve">en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xml:space="preserve">.  La prévisibilité est </w:t>
      </w:r>
      <w:r w:rsidR="00817AAD" w:rsidRPr="00403220">
        <w:rPr>
          <w:rFonts w:cs="Times New Roman"/>
          <w:szCs w:val="24"/>
          <w:lang w:val="fr-CA"/>
        </w:rPr>
        <w:t>l</w:t>
      </w:r>
      <w:r w:rsidR="008372AA" w:rsidRPr="00403220">
        <w:rPr>
          <w:rFonts w:cs="Times New Roman"/>
          <w:szCs w:val="24"/>
          <w:lang w:val="fr-CA"/>
        </w:rPr>
        <w:t>’</w:t>
      </w:r>
      <w:r w:rsidR="00817AAD" w:rsidRPr="00403220">
        <w:rPr>
          <w:rFonts w:cs="Times New Roman"/>
          <w:szCs w:val="24"/>
          <w:lang w:val="fr-CA"/>
        </w:rPr>
        <w:t>élément fondamental</w:t>
      </w:r>
      <w:r w:rsidRPr="00403220">
        <w:rPr>
          <w:rFonts w:cs="Times New Roman"/>
          <w:szCs w:val="24"/>
          <w:lang w:val="fr-CA"/>
        </w:rPr>
        <w:t xml:space="preserve"> du droit de la négligence.  Par contre, ce ne sont pas tou</w:t>
      </w:r>
      <w:r w:rsidR="004209DF" w:rsidRPr="00403220">
        <w:rPr>
          <w:rFonts w:cs="Times New Roman"/>
          <w:szCs w:val="24"/>
          <w:lang w:val="fr-CA"/>
        </w:rPr>
        <w:t>s les résultats</w:t>
      </w:r>
      <w:r w:rsidRPr="00403220">
        <w:rPr>
          <w:rFonts w:cs="Times New Roman"/>
          <w:szCs w:val="24"/>
          <w:lang w:val="fr-CA"/>
        </w:rPr>
        <w:t xml:space="preserve"> prévisibles qui donnent lieu à une obligation de diligence comparable.  La prévisibilité doit reposer </w:t>
      </w:r>
      <w:r w:rsidR="00817AAD" w:rsidRPr="00403220">
        <w:rPr>
          <w:rFonts w:cs="Times New Roman"/>
          <w:szCs w:val="24"/>
          <w:lang w:val="fr-CA"/>
        </w:rPr>
        <w:t xml:space="preserve">sur un lien suffisamment étroit, </w:t>
      </w:r>
      <w:r w:rsidRPr="00403220">
        <w:rPr>
          <w:rFonts w:cs="Times New Roman"/>
          <w:szCs w:val="24"/>
          <w:lang w:val="fr-CA"/>
        </w:rPr>
        <w:t>ou lien de proximité suffisant</w:t>
      </w:r>
      <w:r w:rsidR="00817AAD" w:rsidRPr="00403220">
        <w:rPr>
          <w:rFonts w:cs="Times New Roman"/>
          <w:szCs w:val="24"/>
          <w:lang w:val="fr-CA"/>
        </w:rPr>
        <w:t>,</w:t>
      </w:r>
      <w:r w:rsidRPr="00403220">
        <w:rPr>
          <w:rFonts w:cs="Times New Roman"/>
          <w:szCs w:val="24"/>
          <w:lang w:val="fr-CA"/>
        </w:rPr>
        <w:t xml:space="preserve"> pour qu</w:t>
      </w:r>
      <w:r w:rsidR="008372AA" w:rsidRPr="00403220">
        <w:rPr>
          <w:rFonts w:cs="Times New Roman"/>
          <w:szCs w:val="24"/>
          <w:lang w:val="fr-CA"/>
        </w:rPr>
        <w:t>’</w:t>
      </w:r>
      <w:r w:rsidRPr="00403220">
        <w:rPr>
          <w:rFonts w:cs="Times New Roman"/>
          <w:szCs w:val="24"/>
          <w:lang w:val="fr-CA"/>
        </w:rPr>
        <w:t>il soit juste et raisonnable d</w:t>
      </w:r>
      <w:r w:rsidR="008372AA" w:rsidRPr="00403220">
        <w:rPr>
          <w:rFonts w:cs="Times New Roman"/>
          <w:szCs w:val="24"/>
          <w:lang w:val="fr-CA"/>
        </w:rPr>
        <w:t>’</w:t>
      </w:r>
      <w:r w:rsidRPr="00403220">
        <w:rPr>
          <w:rFonts w:cs="Times New Roman"/>
          <w:szCs w:val="24"/>
          <w:lang w:val="fr-CA"/>
        </w:rPr>
        <w:t>imposer à une partie l</w:t>
      </w:r>
      <w:r w:rsidR="008372AA" w:rsidRPr="00403220">
        <w:rPr>
          <w:rFonts w:cs="Times New Roman"/>
          <w:szCs w:val="24"/>
          <w:lang w:val="fr-CA"/>
        </w:rPr>
        <w:t>’</w:t>
      </w:r>
      <w:r w:rsidRPr="00403220">
        <w:rPr>
          <w:rFonts w:cs="Times New Roman"/>
          <w:szCs w:val="24"/>
          <w:lang w:val="fr-CA"/>
        </w:rPr>
        <w:t>obligation de prendre les mesures raisonnables pour ne pas porter préjudice à l</w:t>
      </w:r>
      <w:r w:rsidR="008372AA" w:rsidRPr="00403220">
        <w:rPr>
          <w:rFonts w:cs="Times New Roman"/>
          <w:szCs w:val="24"/>
          <w:lang w:val="fr-CA"/>
        </w:rPr>
        <w:t>’</w:t>
      </w:r>
      <w:r w:rsidRPr="00403220">
        <w:rPr>
          <w:rFonts w:cs="Times New Roman"/>
          <w:szCs w:val="24"/>
          <w:lang w:val="fr-CA"/>
        </w:rPr>
        <w:t xml:space="preserve">autre.   </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On se soucie davantage du lien </w:t>
      </w:r>
      <w:r w:rsidR="004340C3" w:rsidRPr="00403220">
        <w:rPr>
          <w:rFonts w:cs="Times New Roman"/>
          <w:szCs w:val="24"/>
          <w:lang w:val="fr-CA"/>
        </w:rPr>
        <w:t xml:space="preserve">de proximité </w:t>
      </w:r>
      <w:r w:rsidRPr="00403220">
        <w:rPr>
          <w:rFonts w:cs="Times New Roman"/>
          <w:szCs w:val="24"/>
          <w:lang w:val="fr-CA"/>
        </w:rPr>
        <w:t xml:space="preserve">et de la prévisibilité dans les actions pour perte </w:t>
      </w:r>
      <w:r w:rsidR="004209DF" w:rsidRPr="00403220">
        <w:rPr>
          <w:rFonts w:cs="Times New Roman"/>
          <w:szCs w:val="24"/>
          <w:lang w:val="fr-CA"/>
        </w:rPr>
        <w:t>financière</w:t>
      </w:r>
      <w:r w:rsidRPr="00403220">
        <w:rPr>
          <w:rFonts w:cs="Times New Roman"/>
          <w:szCs w:val="24"/>
          <w:lang w:val="fr-CA"/>
        </w:rPr>
        <w:t>, comme celles pour déclaration inexacte faite par négligence</w:t>
      </w:r>
      <w:r w:rsidR="00A54DAC" w:rsidRPr="00403220">
        <w:rPr>
          <w:rFonts w:cs="Times New Roman"/>
          <w:szCs w:val="24"/>
          <w:lang w:val="fr-CA"/>
        </w:rPr>
        <w:t> :</w:t>
      </w:r>
      <w:r w:rsidRPr="00403220">
        <w:rPr>
          <w:rFonts w:cs="Times New Roman"/>
          <w:szCs w:val="24"/>
          <w:lang w:val="fr-CA"/>
        </w:rPr>
        <w:t xml:space="preserve"> voir</w:t>
      </w:r>
      <w:r w:rsidR="00A6319C" w:rsidRPr="00403220">
        <w:rPr>
          <w:rFonts w:cs="Times New Roman"/>
          <w:szCs w:val="24"/>
          <w:lang w:val="fr-CA"/>
        </w:rPr>
        <w:t>,</w:t>
      </w:r>
      <w:r w:rsidRPr="00403220">
        <w:rPr>
          <w:rFonts w:cs="Times New Roman"/>
          <w:szCs w:val="24"/>
          <w:lang w:val="fr-CA"/>
        </w:rPr>
        <w:t xml:space="preserve"> de façon générale</w:t>
      </w:r>
      <w:r w:rsidR="00A6319C" w:rsidRPr="00403220">
        <w:rPr>
          <w:rFonts w:cs="Times New Roman"/>
          <w:szCs w:val="24"/>
          <w:lang w:val="fr-CA"/>
        </w:rPr>
        <w:t>,</w:t>
      </w:r>
      <w:r w:rsidRPr="00403220">
        <w:rPr>
          <w:rFonts w:cs="Times New Roman"/>
          <w:szCs w:val="24"/>
          <w:lang w:val="fr-CA"/>
        </w:rPr>
        <w:t xml:space="preserve"> </w:t>
      </w:r>
      <w:r w:rsidRPr="00403220">
        <w:rPr>
          <w:rFonts w:cs="Times New Roman"/>
          <w:i/>
          <w:iCs/>
          <w:szCs w:val="24"/>
          <w:lang w:val="fr-CA"/>
        </w:rPr>
        <w:t xml:space="preserve">Cie des chemins de fer nationaux du Canada c. Norsk Pacific </w:t>
      </w:r>
      <w:proofErr w:type="spellStart"/>
      <w:r w:rsidRPr="00403220">
        <w:rPr>
          <w:rFonts w:cs="Times New Roman"/>
          <w:i/>
          <w:iCs/>
          <w:szCs w:val="24"/>
          <w:lang w:val="fr-CA"/>
        </w:rPr>
        <w:t>Steamship</w:t>
      </w:r>
      <w:proofErr w:type="spellEnd"/>
      <w:r w:rsidRPr="00403220">
        <w:rPr>
          <w:rFonts w:cs="Times New Roman"/>
          <w:i/>
          <w:iCs/>
          <w:szCs w:val="24"/>
          <w:lang w:val="fr-CA"/>
        </w:rPr>
        <w:t xml:space="preserve"> Co.</w:t>
      </w:r>
      <w:r w:rsidRPr="00403220">
        <w:rPr>
          <w:rFonts w:cs="Times New Roman"/>
          <w:szCs w:val="24"/>
          <w:lang w:val="fr-CA"/>
        </w:rPr>
        <w:t>, [1992] 1 R.C.S. 1021</w:t>
      </w:r>
      <w:r w:rsidR="008B6E53" w:rsidRPr="00403220">
        <w:rPr>
          <w:rFonts w:cs="Times New Roman"/>
          <w:szCs w:val="24"/>
          <w:lang w:val="fr-CA"/>
        </w:rPr>
        <w:t>;</w:t>
      </w:r>
      <w:r w:rsidRPr="00403220">
        <w:rPr>
          <w:rFonts w:cs="Times New Roman"/>
          <w:i/>
          <w:szCs w:val="24"/>
          <w:lang w:val="fr-CA"/>
        </w:rPr>
        <w:t xml:space="preserve"> </w:t>
      </w:r>
      <w:r w:rsidRPr="00403220">
        <w:rPr>
          <w:rFonts w:cs="Times New Roman"/>
          <w:i/>
          <w:iCs/>
          <w:szCs w:val="24"/>
          <w:lang w:val="fr-CA"/>
        </w:rPr>
        <w:t xml:space="preserve">Bow </w:t>
      </w:r>
      <w:proofErr w:type="spellStart"/>
      <w:r w:rsidRPr="00403220">
        <w:rPr>
          <w:rFonts w:cs="Times New Roman"/>
          <w:i/>
          <w:iCs/>
          <w:szCs w:val="24"/>
          <w:lang w:val="fr-CA"/>
        </w:rPr>
        <w:t>Valley</w:t>
      </w:r>
      <w:proofErr w:type="spellEnd"/>
      <w:r w:rsidRPr="00403220">
        <w:rPr>
          <w:rFonts w:cs="Times New Roman"/>
          <w:i/>
          <w:iCs/>
          <w:szCs w:val="24"/>
          <w:lang w:val="fr-CA"/>
        </w:rPr>
        <w:t xml:space="preserve"> Husky (Bermuda) Ltd. c. Saint John </w:t>
      </w:r>
      <w:proofErr w:type="spellStart"/>
      <w:r w:rsidRPr="00403220">
        <w:rPr>
          <w:rFonts w:cs="Times New Roman"/>
          <w:i/>
          <w:iCs/>
          <w:szCs w:val="24"/>
          <w:lang w:val="fr-CA"/>
        </w:rPr>
        <w:t>Shipbuilding</w:t>
      </w:r>
      <w:proofErr w:type="spellEnd"/>
      <w:r w:rsidRPr="00403220">
        <w:rPr>
          <w:rFonts w:cs="Times New Roman"/>
          <w:i/>
          <w:iCs/>
          <w:szCs w:val="24"/>
          <w:lang w:val="fr-CA"/>
        </w:rPr>
        <w:t xml:space="preserve"> Ltd.</w:t>
      </w:r>
      <w:r w:rsidRPr="00403220">
        <w:rPr>
          <w:rFonts w:cs="Times New Roman"/>
          <w:szCs w:val="24"/>
          <w:lang w:val="fr-CA"/>
        </w:rPr>
        <w:t>, [1997] 3 R.C.S. 1210.  Ces deux conditions d</w:t>
      </w:r>
      <w:r w:rsidR="008372AA" w:rsidRPr="00403220">
        <w:rPr>
          <w:rFonts w:cs="Times New Roman"/>
          <w:szCs w:val="24"/>
          <w:lang w:val="fr-CA"/>
        </w:rPr>
        <w:t>’</w:t>
      </w:r>
      <w:r w:rsidRPr="00403220">
        <w:rPr>
          <w:rFonts w:cs="Times New Roman"/>
          <w:szCs w:val="24"/>
          <w:lang w:val="fr-CA"/>
        </w:rPr>
        <w:t xml:space="preserve">une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szCs w:val="24"/>
          <w:lang w:val="fr-CA"/>
        </w:rPr>
        <w:t xml:space="preserve"> sont remplies dans le cadre d</w:t>
      </w:r>
      <w:r w:rsidR="008372AA" w:rsidRPr="00403220">
        <w:rPr>
          <w:rFonts w:cs="Times New Roman"/>
          <w:szCs w:val="24"/>
          <w:lang w:val="fr-CA"/>
        </w:rPr>
        <w:t>’</w:t>
      </w:r>
      <w:r w:rsidRPr="00403220">
        <w:rPr>
          <w:rFonts w:cs="Times New Roman"/>
          <w:szCs w:val="24"/>
          <w:lang w:val="fr-CA"/>
        </w:rPr>
        <w:t>une action pour déclaration inexacte faite par négligence lorsqu</w:t>
      </w:r>
      <w:r w:rsidR="008372AA" w:rsidRPr="00403220">
        <w:rPr>
          <w:rFonts w:cs="Times New Roman"/>
          <w:szCs w:val="24"/>
          <w:lang w:val="fr-CA"/>
        </w:rPr>
        <w:t>’</w:t>
      </w:r>
      <w:r w:rsidR="00856C6C" w:rsidRPr="00403220">
        <w:rPr>
          <w:rFonts w:cs="Times New Roman"/>
          <w:szCs w:val="24"/>
          <w:lang w:val="fr-CA"/>
        </w:rPr>
        <w:t>un « </w:t>
      </w:r>
      <w:r w:rsidRPr="00403220">
        <w:rPr>
          <w:rFonts w:cs="Times New Roman"/>
          <w:szCs w:val="24"/>
          <w:lang w:val="fr-CA"/>
        </w:rPr>
        <w:t>lien spécial</w:t>
      </w:r>
      <w:r w:rsidR="00856C6C" w:rsidRPr="00403220">
        <w:rPr>
          <w:rFonts w:cs="Times New Roman"/>
          <w:szCs w:val="24"/>
          <w:lang w:val="fr-CA"/>
        </w:rPr>
        <w:t> </w:t>
      </w:r>
      <w:r w:rsidRPr="00403220">
        <w:rPr>
          <w:rFonts w:cs="Times New Roman"/>
          <w:szCs w:val="24"/>
          <w:lang w:val="fr-CA"/>
        </w:rPr>
        <w:t>» unit les parties</w:t>
      </w:r>
      <w:r w:rsidR="00A54DAC" w:rsidRPr="00403220">
        <w:rPr>
          <w:rFonts w:cs="Times New Roman"/>
          <w:szCs w:val="24"/>
          <w:lang w:val="fr-CA"/>
        </w:rPr>
        <w:t> :</w:t>
      </w:r>
      <w:r w:rsidRPr="00403220">
        <w:rPr>
          <w:rFonts w:cs="Times New Roman"/>
          <w:szCs w:val="24"/>
          <w:lang w:val="fr-CA"/>
        </w:rPr>
        <w:t xml:space="preserve"> </w:t>
      </w:r>
      <w:r w:rsidRPr="00403220">
        <w:rPr>
          <w:rFonts w:cs="Times New Roman"/>
          <w:i/>
          <w:szCs w:val="24"/>
          <w:lang w:val="fr-CA"/>
        </w:rPr>
        <w:t>Hercules Management</w:t>
      </w:r>
      <w:r w:rsidR="008B6E53" w:rsidRPr="00403220">
        <w:rPr>
          <w:rFonts w:cs="Times New Roman"/>
          <w:i/>
          <w:szCs w:val="24"/>
          <w:lang w:val="fr-CA"/>
        </w:rPr>
        <w:t>s</w:t>
      </w:r>
      <w:r w:rsidRPr="00403220">
        <w:rPr>
          <w:rFonts w:cs="Times New Roman"/>
          <w:szCs w:val="24"/>
          <w:lang w:val="fr-CA"/>
        </w:rPr>
        <w:t xml:space="preserve"> </w:t>
      </w:r>
      <w:r w:rsidRPr="00403220">
        <w:rPr>
          <w:rFonts w:cs="Times New Roman"/>
          <w:i/>
          <w:iCs/>
          <w:szCs w:val="24"/>
          <w:lang w:val="fr-CA"/>
        </w:rPr>
        <w:t>Ltd. c. Ernst &amp; Young</w:t>
      </w:r>
      <w:r w:rsidRPr="00403220">
        <w:rPr>
          <w:rFonts w:cs="Times New Roman"/>
          <w:szCs w:val="24"/>
          <w:lang w:val="fr-CA"/>
        </w:rPr>
        <w:t>, [1997] 2 R.C.S. 165</w:t>
      </w:r>
      <w:r w:rsidR="00AC4643">
        <w:rPr>
          <w:rFonts w:cs="Times New Roman"/>
          <w:szCs w:val="24"/>
          <w:lang w:val="fr-CA"/>
        </w:rPr>
        <w:t>, par. 24</w:t>
      </w:r>
      <w:r w:rsidRPr="00403220">
        <w:rPr>
          <w:rFonts w:cs="Times New Roman"/>
          <w:szCs w:val="24"/>
          <w:lang w:val="fr-CA"/>
        </w:rPr>
        <w:t>.  S</w:t>
      </w:r>
      <w:r w:rsidR="008372AA" w:rsidRPr="00403220">
        <w:rPr>
          <w:rFonts w:cs="Times New Roman"/>
          <w:szCs w:val="24"/>
          <w:lang w:val="fr-CA"/>
        </w:rPr>
        <w:t>’</w:t>
      </w:r>
      <w:r w:rsidRPr="00403220">
        <w:rPr>
          <w:rFonts w:cs="Times New Roman"/>
          <w:szCs w:val="24"/>
          <w:lang w:val="fr-CA"/>
        </w:rPr>
        <w:t xml:space="preserve">exprimant au nom de la Cour dans </w:t>
      </w:r>
      <w:r w:rsidRPr="00403220">
        <w:rPr>
          <w:rFonts w:cs="Times New Roman"/>
          <w:i/>
          <w:szCs w:val="24"/>
          <w:lang w:val="fr-CA"/>
        </w:rPr>
        <w:t>Hercules Management</w:t>
      </w:r>
      <w:r w:rsidR="008B6E53" w:rsidRPr="00403220">
        <w:rPr>
          <w:rFonts w:cs="Times New Roman"/>
          <w:i/>
          <w:szCs w:val="24"/>
          <w:lang w:val="fr-CA"/>
        </w:rPr>
        <w:t>s</w:t>
      </w:r>
      <w:r w:rsidRPr="00403220">
        <w:rPr>
          <w:rFonts w:cs="Times New Roman"/>
          <w:szCs w:val="24"/>
          <w:lang w:val="fr-CA"/>
        </w:rPr>
        <w:t>, le juge La</w:t>
      </w:r>
      <w:r w:rsidR="008B6E53" w:rsidRPr="00403220">
        <w:rPr>
          <w:rFonts w:cs="Times New Roman"/>
          <w:szCs w:val="24"/>
          <w:lang w:val="fr-CA"/>
        </w:rPr>
        <w:t> </w:t>
      </w:r>
      <w:r w:rsidRPr="00403220">
        <w:rPr>
          <w:rFonts w:cs="Times New Roman"/>
          <w:szCs w:val="24"/>
          <w:lang w:val="fr-CA"/>
        </w:rPr>
        <w:t xml:space="preserve">Forest a </w:t>
      </w:r>
      <w:r w:rsidRPr="00403220">
        <w:rPr>
          <w:rFonts w:cs="Times New Roman"/>
          <w:szCs w:val="24"/>
          <w:lang w:val="fr-CA"/>
        </w:rPr>
        <w:lastRenderedPageBreak/>
        <w:t>affirmé que l</w:t>
      </w:r>
      <w:r w:rsidR="008372AA" w:rsidRPr="00403220">
        <w:rPr>
          <w:rFonts w:cs="Times New Roman"/>
          <w:szCs w:val="24"/>
          <w:lang w:val="fr-CA"/>
        </w:rPr>
        <w:t>’</w:t>
      </w:r>
      <w:r w:rsidRPr="00403220">
        <w:rPr>
          <w:rFonts w:cs="Times New Roman"/>
          <w:szCs w:val="24"/>
          <w:lang w:val="fr-CA"/>
        </w:rPr>
        <w:t>existence d</w:t>
      </w:r>
      <w:r w:rsidR="008372AA" w:rsidRPr="00403220">
        <w:rPr>
          <w:rFonts w:cs="Times New Roman"/>
          <w:szCs w:val="24"/>
          <w:lang w:val="fr-CA"/>
        </w:rPr>
        <w:t>’</w:t>
      </w:r>
      <w:r w:rsidRPr="00403220">
        <w:rPr>
          <w:rFonts w:cs="Times New Roman"/>
          <w:szCs w:val="24"/>
          <w:lang w:val="fr-CA"/>
        </w:rPr>
        <w:t>un lien spécial est établie lorsque</w:t>
      </w:r>
      <w:r w:rsidR="00A54DAC" w:rsidRPr="00403220">
        <w:rPr>
          <w:rFonts w:cs="Times New Roman"/>
          <w:szCs w:val="24"/>
          <w:lang w:val="fr-CA"/>
        </w:rPr>
        <w:t> :</w:t>
      </w:r>
      <w:r w:rsidR="00D51C1A" w:rsidRPr="00403220">
        <w:rPr>
          <w:rFonts w:cs="Times New Roman"/>
          <w:szCs w:val="24"/>
          <w:lang w:val="fr-CA"/>
        </w:rPr>
        <w:t xml:space="preserve"> (1) </w:t>
      </w:r>
      <w:r w:rsidRPr="00403220">
        <w:rPr>
          <w:rFonts w:cs="Times New Roman"/>
          <w:szCs w:val="24"/>
          <w:lang w:val="fr-CA"/>
        </w:rPr>
        <w:t>le défendeur doit raisonnablement prévoir que le demandeur se fiera à sa déclaration; et que (2)</w:t>
      </w:r>
      <w:r w:rsidR="00D51C1A" w:rsidRPr="00403220">
        <w:rPr>
          <w:rFonts w:cs="Times New Roman"/>
          <w:szCs w:val="24"/>
          <w:lang w:val="fr-CA"/>
        </w:rPr>
        <w:t> </w:t>
      </w:r>
      <w:r w:rsidRPr="00403220">
        <w:rPr>
          <w:rFonts w:cs="Times New Roman"/>
          <w:szCs w:val="24"/>
          <w:lang w:val="fr-CA"/>
        </w:rPr>
        <w:t xml:space="preserve">la confiance </w:t>
      </w:r>
      <w:r w:rsidR="00D51C1A" w:rsidRPr="00403220">
        <w:rPr>
          <w:rFonts w:cs="Times New Roman"/>
          <w:szCs w:val="24"/>
          <w:lang w:val="fr-CA"/>
        </w:rPr>
        <w:t xml:space="preserve">que le demandeur </w:t>
      </w:r>
      <w:r w:rsidRPr="00403220">
        <w:rPr>
          <w:rFonts w:cs="Times New Roman"/>
          <w:szCs w:val="24"/>
          <w:lang w:val="fr-CA"/>
        </w:rPr>
        <w:t>accord</w:t>
      </w:r>
      <w:r w:rsidR="00D51C1A" w:rsidRPr="00403220">
        <w:rPr>
          <w:rFonts w:cs="Times New Roman"/>
          <w:szCs w:val="24"/>
          <w:lang w:val="fr-CA"/>
        </w:rPr>
        <w:t>e à la déclaration</w:t>
      </w:r>
      <w:r w:rsidRPr="00403220">
        <w:rPr>
          <w:rFonts w:cs="Times New Roman"/>
          <w:szCs w:val="24"/>
          <w:lang w:val="fr-CA"/>
        </w:rPr>
        <w:t xml:space="preserve"> serait raisonnable dans les circonstances</w:t>
      </w:r>
      <w:r w:rsidR="00A6319C" w:rsidRPr="00403220">
        <w:rPr>
          <w:rFonts w:cs="Times New Roman"/>
          <w:szCs w:val="24"/>
          <w:lang w:val="fr-CA"/>
        </w:rPr>
        <w:t xml:space="preserve"> (</w:t>
      </w:r>
      <w:r w:rsidR="00AC4643" w:rsidRPr="00AC4643">
        <w:rPr>
          <w:rFonts w:cs="Times New Roman"/>
          <w:i/>
          <w:szCs w:val="24"/>
          <w:lang w:val="fr-CA"/>
        </w:rPr>
        <w:t>ibid.</w:t>
      </w:r>
      <w:r w:rsidR="00A6319C" w:rsidRPr="00403220">
        <w:rPr>
          <w:rFonts w:cs="Times New Roman"/>
          <w:szCs w:val="24"/>
          <w:lang w:val="fr-CA"/>
        </w:rPr>
        <w:t>)</w:t>
      </w:r>
      <w:r w:rsidRPr="00403220">
        <w:rPr>
          <w:rFonts w:cs="Times New Roman"/>
          <w:szCs w:val="24"/>
          <w:lang w:val="fr-CA"/>
        </w:rPr>
        <w:t xml:space="preserve">.  </w:t>
      </w:r>
      <w:r w:rsidR="00D51C1A" w:rsidRPr="00403220">
        <w:rPr>
          <w:rFonts w:cs="Times New Roman"/>
          <w:szCs w:val="24"/>
          <w:lang w:val="fr-CA"/>
        </w:rPr>
        <w:t>Si</w:t>
      </w:r>
      <w:r w:rsidRPr="00403220">
        <w:rPr>
          <w:rFonts w:cs="Times New Roman"/>
          <w:szCs w:val="24"/>
          <w:lang w:val="fr-CA"/>
        </w:rPr>
        <w:t xml:space="preserve"> pareil lien est établi, le demandeur peut être tenu responsable des pertes subies par le demandeur du fait d</w:t>
      </w:r>
      <w:r w:rsidR="008372AA" w:rsidRPr="00403220">
        <w:rPr>
          <w:rFonts w:cs="Times New Roman"/>
          <w:szCs w:val="24"/>
          <w:lang w:val="fr-CA"/>
        </w:rPr>
        <w:t>’</w:t>
      </w:r>
      <w:r w:rsidRPr="00403220">
        <w:rPr>
          <w:rFonts w:cs="Times New Roman"/>
          <w:szCs w:val="24"/>
          <w:lang w:val="fr-CA"/>
        </w:rPr>
        <w:t xml:space="preserve">une déclaration inexacte faite par négligence. </w:t>
      </w:r>
    </w:p>
    <w:p w:rsidR="0047179D" w:rsidRPr="00403220" w:rsidRDefault="0047179D" w:rsidP="005A33F7">
      <w:pPr>
        <w:pStyle w:val="ParaNoNdepar-AltN"/>
        <w:rPr>
          <w:rFonts w:cs="Times New Roman"/>
          <w:szCs w:val="24"/>
          <w:lang w:val="fr-CA"/>
        </w:rPr>
      </w:pPr>
      <w:r w:rsidRPr="00403220">
        <w:rPr>
          <w:rFonts w:cs="Times New Roman"/>
          <w:szCs w:val="24"/>
          <w:lang w:val="fr-CA"/>
        </w:rPr>
        <w:t>Un élément complique les choses</w:t>
      </w:r>
      <w:r w:rsidR="00A54DAC" w:rsidRPr="00403220">
        <w:rPr>
          <w:rFonts w:cs="Times New Roman"/>
          <w:szCs w:val="24"/>
          <w:lang w:val="fr-CA"/>
        </w:rPr>
        <w:t> :</w:t>
      </w:r>
      <w:r w:rsidRPr="00403220">
        <w:rPr>
          <w:rFonts w:cs="Times New Roman"/>
          <w:szCs w:val="24"/>
          <w:lang w:val="fr-CA"/>
        </w:rPr>
        <w:t xml:space="preserve"> la place que doit occuper la loi lorsqu</w:t>
      </w:r>
      <w:r w:rsidR="008372AA" w:rsidRPr="00403220">
        <w:rPr>
          <w:rFonts w:cs="Times New Roman"/>
          <w:szCs w:val="24"/>
          <w:lang w:val="fr-CA"/>
        </w:rPr>
        <w:t>’</w:t>
      </w:r>
      <w:r w:rsidRPr="00403220">
        <w:rPr>
          <w:rFonts w:cs="Times New Roman"/>
          <w:szCs w:val="24"/>
          <w:lang w:val="fr-CA"/>
        </w:rPr>
        <w:t xml:space="preserve">on détermine si un acteur gouvernemental avait une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szCs w:val="24"/>
          <w:lang w:val="fr-CA"/>
        </w:rPr>
        <w:t>.  Il est possible de distinguer deux situations.  Dans la première, l</w:t>
      </w:r>
      <w:r w:rsidR="008372AA" w:rsidRPr="00403220">
        <w:rPr>
          <w:rFonts w:cs="Times New Roman"/>
          <w:szCs w:val="24"/>
          <w:lang w:val="fr-CA"/>
        </w:rPr>
        <w:t>’</w:t>
      </w:r>
      <w:r w:rsidRPr="00403220">
        <w:rPr>
          <w:rFonts w:cs="Times New Roman"/>
          <w:szCs w:val="24"/>
          <w:lang w:val="fr-CA"/>
        </w:rPr>
        <w:t xml:space="preserve">obligation de diligence revendiquée découlerait explicitement ou </w:t>
      </w:r>
      <w:r w:rsidR="00D51C1A" w:rsidRPr="00403220">
        <w:rPr>
          <w:rFonts w:cs="Times New Roman"/>
          <w:szCs w:val="24"/>
          <w:lang w:val="fr-CA"/>
        </w:rPr>
        <w:t>implicitement</w:t>
      </w:r>
      <w:r w:rsidRPr="00403220">
        <w:rPr>
          <w:rFonts w:cs="Times New Roman"/>
          <w:szCs w:val="24"/>
          <w:lang w:val="fr-CA"/>
        </w:rPr>
        <w:t xml:space="preserve"> du régime législatif.  Dans la seconde, l</w:t>
      </w:r>
      <w:r w:rsidR="008372AA" w:rsidRPr="00403220">
        <w:rPr>
          <w:rFonts w:cs="Times New Roman"/>
          <w:szCs w:val="24"/>
          <w:lang w:val="fr-CA"/>
        </w:rPr>
        <w:t>’</w:t>
      </w:r>
      <w:r w:rsidRPr="00403220">
        <w:rPr>
          <w:rFonts w:cs="Times New Roman"/>
          <w:szCs w:val="24"/>
          <w:lang w:val="fr-CA"/>
        </w:rPr>
        <w:t xml:space="preserve">obligation de diligence découlerait des rapports entre </w:t>
      </w:r>
      <w:r w:rsidR="008F13D4" w:rsidRPr="00403220">
        <w:rPr>
          <w:rFonts w:cs="Times New Roman"/>
          <w:szCs w:val="24"/>
          <w:lang w:val="fr-CA"/>
        </w:rPr>
        <w:t>le demandeur et le gouvernement</w:t>
      </w:r>
      <w:r w:rsidRPr="00403220">
        <w:rPr>
          <w:rFonts w:cs="Times New Roman"/>
          <w:szCs w:val="24"/>
          <w:lang w:val="fr-CA"/>
        </w:rPr>
        <w:t xml:space="preserve"> et n</w:t>
      </w:r>
      <w:r w:rsidR="008372AA" w:rsidRPr="00403220">
        <w:rPr>
          <w:rFonts w:cs="Times New Roman"/>
          <w:szCs w:val="24"/>
          <w:lang w:val="fr-CA"/>
        </w:rPr>
        <w:t>’</w:t>
      </w:r>
      <w:r w:rsidRPr="00403220">
        <w:rPr>
          <w:rFonts w:cs="Times New Roman"/>
          <w:szCs w:val="24"/>
          <w:lang w:val="fr-CA"/>
        </w:rPr>
        <w:t>est pas exclue par la loi.</w:t>
      </w:r>
    </w:p>
    <w:p w:rsidR="0047179D" w:rsidRPr="00403220" w:rsidRDefault="008F13D4" w:rsidP="005A33F7">
      <w:pPr>
        <w:pStyle w:val="ParaNoNdepar-AltN"/>
        <w:rPr>
          <w:rFonts w:cs="Times New Roman"/>
          <w:szCs w:val="24"/>
          <w:lang w:val="fr-CA"/>
        </w:rPr>
      </w:pPr>
      <w:r w:rsidRPr="00403220">
        <w:rPr>
          <w:rFonts w:cs="Times New Roman"/>
          <w:szCs w:val="24"/>
          <w:lang w:val="fr-CA"/>
        </w:rPr>
        <w:t>Selon l</w:t>
      </w:r>
      <w:r w:rsidR="008372AA" w:rsidRPr="00403220">
        <w:rPr>
          <w:rFonts w:cs="Times New Roman"/>
          <w:szCs w:val="24"/>
          <w:lang w:val="fr-CA"/>
        </w:rPr>
        <w:t>’</w:t>
      </w:r>
      <w:r w:rsidR="0047179D" w:rsidRPr="00403220">
        <w:rPr>
          <w:rFonts w:cs="Times New Roman"/>
          <w:szCs w:val="24"/>
          <w:lang w:val="fr-CA"/>
        </w:rPr>
        <w:t>argument avancé da</w:t>
      </w:r>
      <w:r w:rsidRPr="00403220">
        <w:rPr>
          <w:rFonts w:cs="Times New Roman"/>
          <w:szCs w:val="24"/>
          <w:lang w:val="fr-CA"/>
        </w:rPr>
        <w:t xml:space="preserve">ns la première catégorie de cas, </w:t>
      </w:r>
      <w:r w:rsidR="0047179D" w:rsidRPr="00403220">
        <w:rPr>
          <w:rFonts w:cs="Times New Roman"/>
          <w:szCs w:val="24"/>
          <w:lang w:val="fr-CA"/>
        </w:rPr>
        <w:t>la loi elle</w:t>
      </w:r>
      <w:r w:rsidR="00AC4643">
        <w:rPr>
          <w:rFonts w:cs="Times New Roman"/>
          <w:szCs w:val="24"/>
          <w:lang w:val="fr-CA"/>
        </w:rPr>
        <w:t>-</w:t>
      </w:r>
      <w:r w:rsidR="0047179D" w:rsidRPr="00403220">
        <w:rPr>
          <w:rFonts w:cs="Times New Roman"/>
          <w:szCs w:val="24"/>
          <w:lang w:val="fr-CA"/>
        </w:rPr>
        <w:t xml:space="preserve">même crée un rapport de proximité </w:t>
      </w:r>
      <w:r w:rsidRPr="00403220">
        <w:rPr>
          <w:rFonts w:cs="Times New Roman"/>
          <w:szCs w:val="24"/>
          <w:lang w:val="fr-CA"/>
        </w:rPr>
        <w:t>de nature</w:t>
      </w:r>
      <w:r w:rsidR="0047179D" w:rsidRPr="00403220">
        <w:rPr>
          <w:rFonts w:cs="Times New Roman"/>
          <w:szCs w:val="24"/>
          <w:lang w:val="fr-CA"/>
        </w:rPr>
        <w:t xml:space="preserve"> privé</w:t>
      </w:r>
      <w:r w:rsidRPr="00403220">
        <w:rPr>
          <w:rFonts w:cs="Times New Roman"/>
          <w:szCs w:val="24"/>
          <w:lang w:val="fr-CA"/>
        </w:rPr>
        <w:t>e</w:t>
      </w:r>
      <w:r w:rsidR="0047179D" w:rsidRPr="00403220">
        <w:rPr>
          <w:rFonts w:cs="Times New Roman"/>
          <w:szCs w:val="24"/>
          <w:lang w:val="fr-CA"/>
        </w:rPr>
        <w:t xml:space="preserve"> qui donne lieu à une obligation de diligence </w:t>
      </w:r>
      <w:r w:rsidR="0047179D" w:rsidRPr="00403220">
        <w:rPr>
          <w:rFonts w:cs="Times New Roman"/>
          <w:i/>
          <w:szCs w:val="24"/>
          <w:lang w:val="fr-CA"/>
        </w:rPr>
        <w:t xml:space="preserve">prima </w:t>
      </w:r>
      <w:proofErr w:type="spellStart"/>
      <w:r w:rsidR="0047179D" w:rsidRPr="00403220">
        <w:rPr>
          <w:rFonts w:cs="Times New Roman"/>
          <w:i/>
          <w:szCs w:val="24"/>
          <w:lang w:val="fr-CA"/>
        </w:rPr>
        <w:t>facie</w:t>
      </w:r>
      <w:proofErr w:type="spellEnd"/>
      <w:r w:rsidR="0047179D" w:rsidRPr="00403220">
        <w:rPr>
          <w:rFonts w:cs="Times New Roman"/>
          <w:szCs w:val="24"/>
          <w:lang w:val="fr-CA"/>
        </w:rPr>
        <w:t>.  Il peut être difficile d</w:t>
      </w:r>
      <w:r w:rsidR="008372AA" w:rsidRPr="00403220">
        <w:rPr>
          <w:rFonts w:cs="Times New Roman"/>
          <w:szCs w:val="24"/>
          <w:lang w:val="fr-CA"/>
        </w:rPr>
        <w:t>’</w:t>
      </w:r>
      <w:r w:rsidR="0047179D" w:rsidRPr="00403220">
        <w:rPr>
          <w:rFonts w:cs="Times New Roman"/>
          <w:szCs w:val="24"/>
          <w:lang w:val="fr-CA"/>
        </w:rPr>
        <w:t>arriver au constat qu</w:t>
      </w:r>
      <w:r w:rsidR="008372AA" w:rsidRPr="00403220">
        <w:rPr>
          <w:rFonts w:cs="Times New Roman"/>
          <w:szCs w:val="24"/>
          <w:lang w:val="fr-CA"/>
        </w:rPr>
        <w:t>’</w:t>
      </w:r>
      <w:r w:rsidR="0047179D" w:rsidRPr="00403220">
        <w:rPr>
          <w:rFonts w:cs="Times New Roman"/>
          <w:szCs w:val="24"/>
          <w:lang w:val="fr-CA"/>
        </w:rPr>
        <w:t xml:space="preserve">une loi crée un lien suffisamment étroit pour </w:t>
      </w:r>
      <w:r w:rsidRPr="00403220">
        <w:rPr>
          <w:rFonts w:cs="Times New Roman"/>
          <w:szCs w:val="24"/>
          <w:lang w:val="fr-CA"/>
        </w:rPr>
        <w:t>donner lieu à</w:t>
      </w:r>
      <w:r w:rsidR="0047179D" w:rsidRPr="00403220">
        <w:rPr>
          <w:rFonts w:cs="Times New Roman"/>
          <w:szCs w:val="24"/>
          <w:lang w:val="fr-CA"/>
        </w:rPr>
        <w:t xml:space="preserve"> une obligation de diligence.  Certaines lois peuvent imposer à des représentants de l</w:t>
      </w:r>
      <w:r w:rsidR="008372AA" w:rsidRPr="00403220">
        <w:rPr>
          <w:rFonts w:cs="Times New Roman"/>
          <w:szCs w:val="24"/>
          <w:lang w:val="fr-CA"/>
        </w:rPr>
        <w:t>’</w:t>
      </w:r>
      <w:r w:rsidR="0047179D" w:rsidRPr="00403220">
        <w:rPr>
          <w:rFonts w:cs="Times New Roman"/>
          <w:szCs w:val="24"/>
          <w:lang w:val="fr-CA"/>
        </w:rPr>
        <w:t xml:space="preserve">État des obligations envers des demandeurs en particulier, mais </w:t>
      </w:r>
      <w:r w:rsidRPr="00403220">
        <w:rPr>
          <w:rFonts w:cs="Times New Roman"/>
          <w:szCs w:val="24"/>
          <w:lang w:val="fr-CA"/>
        </w:rPr>
        <w:t>plus souvent, les</w:t>
      </w:r>
      <w:r w:rsidR="0047179D" w:rsidRPr="00403220">
        <w:rPr>
          <w:rFonts w:cs="Times New Roman"/>
          <w:szCs w:val="24"/>
          <w:lang w:val="fr-CA"/>
        </w:rPr>
        <w:t xml:space="preserve"> lois </w:t>
      </w:r>
      <w:r w:rsidRPr="00403220">
        <w:rPr>
          <w:rFonts w:cs="Times New Roman"/>
          <w:szCs w:val="24"/>
          <w:lang w:val="fr-CA"/>
        </w:rPr>
        <w:t>visent des objectifs d</w:t>
      </w:r>
      <w:r w:rsidR="008372AA" w:rsidRPr="00403220">
        <w:rPr>
          <w:rFonts w:cs="Times New Roman"/>
          <w:szCs w:val="24"/>
          <w:lang w:val="fr-CA"/>
        </w:rPr>
        <w:t>’</w:t>
      </w:r>
      <w:r w:rsidRPr="00403220">
        <w:rPr>
          <w:rFonts w:cs="Times New Roman"/>
          <w:szCs w:val="24"/>
          <w:lang w:val="fr-CA"/>
        </w:rPr>
        <w:t>intérêt public</w:t>
      </w:r>
      <w:r w:rsidR="0047179D" w:rsidRPr="00403220">
        <w:rPr>
          <w:rFonts w:cs="Times New Roman"/>
          <w:szCs w:val="24"/>
          <w:lang w:val="fr-CA"/>
        </w:rPr>
        <w:t>, tels la réglementation d</w:t>
      </w:r>
      <w:r w:rsidR="008372AA" w:rsidRPr="00403220">
        <w:rPr>
          <w:rFonts w:cs="Times New Roman"/>
          <w:szCs w:val="24"/>
          <w:lang w:val="fr-CA"/>
        </w:rPr>
        <w:t>’</w:t>
      </w:r>
      <w:r w:rsidR="0047179D" w:rsidRPr="00403220">
        <w:rPr>
          <w:rFonts w:cs="Times New Roman"/>
          <w:szCs w:val="24"/>
          <w:lang w:val="fr-CA"/>
        </w:rPr>
        <w:t>une industrie (</w:t>
      </w:r>
      <w:r w:rsidR="0047179D" w:rsidRPr="00403220">
        <w:rPr>
          <w:rFonts w:cs="Times New Roman"/>
          <w:i/>
          <w:szCs w:val="24"/>
          <w:lang w:val="fr-CA"/>
        </w:rPr>
        <w:t>Cooper</w:t>
      </w:r>
      <w:r w:rsidR="0047179D" w:rsidRPr="00403220">
        <w:rPr>
          <w:rFonts w:cs="Times New Roman"/>
          <w:szCs w:val="24"/>
          <w:lang w:val="fr-CA"/>
        </w:rPr>
        <w:t>), ou le retrait d</w:t>
      </w:r>
      <w:r w:rsidR="008372AA" w:rsidRPr="00403220">
        <w:rPr>
          <w:rFonts w:cs="Times New Roman"/>
          <w:szCs w:val="24"/>
          <w:lang w:val="fr-CA"/>
        </w:rPr>
        <w:t>’</w:t>
      </w:r>
      <w:r w:rsidRPr="00403220">
        <w:rPr>
          <w:rFonts w:cs="Times New Roman"/>
          <w:szCs w:val="24"/>
          <w:lang w:val="fr-CA"/>
        </w:rPr>
        <w:t xml:space="preserve">un </w:t>
      </w:r>
      <w:r w:rsidR="0047179D" w:rsidRPr="00403220">
        <w:rPr>
          <w:rFonts w:cs="Times New Roman"/>
          <w:szCs w:val="24"/>
          <w:lang w:val="fr-CA"/>
        </w:rPr>
        <w:t>enfant d</w:t>
      </w:r>
      <w:r w:rsidR="007C5445" w:rsidRPr="00403220">
        <w:rPr>
          <w:rFonts w:cs="Times New Roman"/>
          <w:szCs w:val="24"/>
          <w:lang w:val="fr-CA"/>
        </w:rPr>
        <w:t>’un</w:t>
      </w:r>
      <w:r w:rsidR="0047179D" w:rsidRPr="00403220">
        <w:rPr>
          <w:rFonts w:cs="Times New Roman"/>
          <w:szCs w:val="24"/>
          <w:lang w:val="fr-CA"/>
        </w:rPr>
        <w:t xml:space="preserve"> milieu </w:t>
      </w:r>
      <w:r w:rsidRPr="00403220">
        <w:rPr>
          <w:rFonts w:cs="Times New Roman"/>
          <w:szCs w:val="24"/>
          <w:lang w:val="fr-CA"/>
        </w:rPr>
        <w:t xml:space="preserve">qui lui </w:t>
      </w:r>
      <w:r w:rsidRPr="00403220">
        <w:rPr>
          <w:rFonts w:cs="Times New Roman"/>
          <w:szCs w:val="24"/>
          <w:lang w:val="fr-CA"/>
        </w:rPr>
        <w:lastRenderedPageBreak/>
        <w:t>est préjudiciable</w:t>
      </w:r>
      <w:r w:rsidR="0047179D" w:rsidRPr="00403220">
        <w:rPr>
          <w:rFonts w:cs="Times New Roman"/>
          <w:szCs w:val="24"/>
          <w:lang w:val="fr-CA"/>
        </w:rPr>
        <w:t xml:space="preserve"> (</w:t>
      </w:r>
      <w:proofErr w:type="spellStart"/>
      <w:r w:rsidR="0047179D" w:rsidRPr="00403220">
        <w:rPr>
          <w:rFonts w:cs="Times New Roman"/>
          <w:i/>
          <w:szCs w:val="24"/>
          <w:lang w:val="fr-CA"/>
        </w:rPr>
        <w:t>Syl</w:t>
      </w:r>
      <w:proofErr w:type="spellEnd"/>
      <w:r w:rsidRPr="00403220">
        <w:rPr>
          <w:rFonts w:cs="Times New Roman"/>
          <w:i/>
          <w:szCs w:val="24"/>
          <w:lang w:val="fr-CA"/>
        </w:rPr>
        <w:t> </w:t>
      </w:r>
      <w:proofErr w:type="spellStart"/>
      <w:r w:rsidR="0047179D" w:rsidRPr="00403220">
        <w:rPr>
          <w:rFonts w:cs="Times New Roman"/>
          <w:i/>
          <w:szCs w:val="24"/>
          <w:lang w:val="fr-CA"/>
        </w:rPr>
        <w:t>Apps</w:t>
      </w:r>
      <w:proofErr w:type="spellEnd"/>
      <w:r w:rsidR="0047179D" w:rsidRPr="00403220">
        <w:rPr>
          <w:rFonts w:cs="Times New Roman"/>
          <w:szCs w:val="24"/>
          <w:lang w:val="fr-CA"/>
        </w:rPr>
        <w:t>).  Dans ces circonstances, il peut</w:t>
      </w:r>
      <w:r w:rsidRPr="00403220">
        <w:rPr>
          <w:rFonts w:cs="Times New Roman"/>
          <w:szCs w:val="24"/>
          <w:lang w:val="fr-CA"/>
        </w:rPr>
        <w:t xml:space="preserve"> être difficile d</w:t>
      </w:r>
      <w:r w:rsidR="008372AA" w:rsidRPr="00403220">
        <w:rPr>
          <w:rFonts w:cs="Times New Roman"/>
          <w:szCs w:val="24"/>
          <w:lang w:val="fr-CA"/>
        </w:rPr>
        <w:t>’</w:t>
      </w:r>
      <w:r w:rsidRPr="00403220">
        <w:rPr>
          <w:rFonts w:cs="Times New Roman"/>
          <w:szCs w:val="24"/>
          <w:lang w:val="fr-CA"/>
        </w:rPr>
        <w:t>inférer que le</w:t>
      </w:r>
      <w:r w:rsidR="0047179D" w:rsidRPr="00403220">
        <w:rPr>
          <w:rFonts w:cs="Times New Roman"/>
          <w:szCs w:val="24"/>
          <w:lang w:val="fr-CA"/>
        </w:rPr>
        <w:t xml:space="preserve"> législat</w:t>
      </w:r>
      <w:r w:rsidRPr="00403220">
        <w:rPr>
          <w:rFonts w:cs="Times New Roman"/>
          <w:szCs w:val="24"/>
          <w:lang w:val="fr-CA"/>
        </w:rPr>
        <w:t>e</w:t>
      </w:r>
      <w:r w:rsidR="0047179D" w:rsidRPr="00403220">
        <w:rPr>
          <w:rFonts w:cs="Times New Roman"/>
          <w:szCs w:val="24"/>
          <w:lang w:val="fr-CA"/>
        </w:rPr>
        <w:t>ur entendait créer des obligations de droit privé envers des demandeurs.  Il est encore plus difficile d</w:t>
      </w:r>
      <w:r w:rsidR="008372AA" w:rsidRPr="00403220">
        <w:rPr>
          <w:rFonts w:cs="Times New Roman"/>
          <w:szCs w:val="24"/>
          <w:lang w:val="fr-CA"/>
        </w:rPr>
        <w:t>’</w:t>
      </w:r>
      <w:r w:rsidR="0047179D" w:rsidRPr="00403220">
        <w:rPr>
          <w:rFonts w:cs="Times New Roman"/>
          <w:szCs w:val="24"/>
          <w:lang w:val="fr-CA"/>
        </w:rPr>
        <w:t>inférer cette intention si l</w:t>
      </w:r>
      <w:r w:rsidR="008372AA" w:rsidRPr="00403220">
        <w:rPr>
          <w:rFonts w:cs="Times New Roman"/>
          <w:szCs w:val="24"/>
          <w:lang w:val="fr-CA"/>
        </w:rPr>
        <w:t>’</w:t>
      </w:r>
      <w:r w:rsidR="0047179D" w:rsidRPr="00403220">
        <w:rPr>
          <w:rFonts w:cs="Times New Roman"/>
          <w:szCs w:val="24"/>
          <w:lang w:val="fr-CA"/>
        </w:rPr>
        <w:t>établissement d</w:t>
      </w:r>
      <w:r w:rsidR="008372AA" w:rsidRPr="00403220">
        <w:rPr>
          <w:rFonts w:cs="Times New Roman"/>
          <w:szCs w:val="24"/>
          <w:lang w:val="fr-CA"/>
        </w:rPr>
        <w:t>’</w:t>
      </w:r>
      <w:r w:rsidR="0047179D" w:rsidRPr="00403220">
        <w:rPr>
          <w:rFonts w:cs="Times New Roman"/>
          <w:szCs w:val="24"/>
          <w:lang w:val="fr-CA"/>
        </w:rPr>
        <w:t xml:space="preserve">une obligation de </w:t>
      </w:r>
      <w:r w:rsidR="00D55272" w:rsidRPr="00403220">
        <w:rPr>
          <w:rFonts w:cs="Times New Roman"/>
          <w:szCs w:val="24"/>
          <w:lang w:val="fr-CA"/>
        </w:rPr>
        <w:t>nature</w:t>
      </w:r>
      <w:r w:rsidR="0047179D" w:rsidRPr="00403220">
        <w:rPr>
          <w:rFonts w:cs="Times New Roman"/>
          <w:szCs w:val="24"/>
          <w:lang w:val="fr-CA"/>
        </w:rPr>
        <w:t xml:space="preserve"> privé</w:t>
      </w:r>
      <w:r w:rsidR="00D55272" w:rsidRPr="00403220">
        <w:rPr>
          <w:rFonts w:cs="Times New Roman"/>
          <w:szCs w:val="24"/>
          <w:lang w:val="fr-CA"/>
        </w:rPr>
        <w:t>e</w:t>
      </w:r>
      <w:r w:rsidR="0047179D" w:rsidRPr="00403220">
        <w:rPr>
          <w:rFonts w:cs="Times New Roman"/>
          <w:szCs w:val="24"/>
          <w:lang w:val="fr-CA"/>
        </w:rPr>
        <w:t xml:space="preserve"> irait à l</w:t>
      </w:r>
      <w:r w:rsidR="008372AA" w:rsidRPr="00403220">
        <w:rPr>
          <w:rFonts w:cs="Times New Roman"/>
          <w:szCs w:val="24"/>
          <w:lang w:val="fr-CA"/>
        </w:rPr>
        <w:t>’</w:t>
      </w:r>
      <w:r w:rsidR="0047179D" w:rsidRPr="00403220">
        <w:rPr>
          <w:rFonts w:cs="Times New Roman"/>
          <w:szCs w:val="24"/>
          <w:lang w:val="fr-CA"/>
        </w:rPr>
        <w:t xml:space="preserve">encontre </w:t>
      </w:r>
      <w:r w:rsidR="00D55272" w:rsidRPr="00403220">
        <w:rPr>
          <w:rFonts w:cs="Times New Roman"/>
          <w:szCs w:val="24"/>
          <w:lang w:val="fr-CA"/>
        </w:rPr>
        <w:t>des obligations</w:t>
      </w:r>
      <w:r w:rsidR="0047179D" w:rsidRPr="00403220">
        <w:rPr>
          <w:rFonts w:cs="Times New Roman"/>
          <w:szCs w:val="24"/>
          <w:lang w:val="fr-CA"/>
        </w:rPr>
        <w:t xml:space="preserve"> d</w:t>
      </w:r>
      <w:r w:rsidR="008372AA" w:rsidRPr="00403220">
        <w:rPr>
          <w:rFonts w:cs="Times New Roman"/>
          <w:szCs w:val="24"/>
          <w:lang w:val="fr-CA"/>
        </w:rPr>
        <w:t>’</w:t>
      </w:r>
      <w:r w:rsidR="0047179D" w:rsidRPr="00403220">
        <w:rPr>
          <w:rFonts w:cs="Times New Roman"/>
          <w:szCs w:val="24"/>
          <w:lang w:val="fr-CA"/>
        </w:rPr>
        <w:t>une autorité publique envers la population</w:t>
      </w:r>
      <w:r w:rsidR="00A54DAC" w:rsidRPr="00403220">
        <w:rPr>
          <w:rFonts w:cs="Times New Roman"/>
          <w:szCs w:val="24"/>
          <w:lang w:val="fr-CA"/>
        </w:rPr>
        <w:t> :</w:t>
      </w:r>
      <w:r w:rsidR="0047179D" w:rsidRPr="00403220">
        <w:rPr>
          <w:rFonts w:cs="Times New Roman"/>
          <w:szCs w:val="24"/>
          <w:lang w:val="fr-CA"/>
        </w:rPr>
        <w:t xml:space="preserve"> voir notamment </w:t>
      </w:r>
      <w:r w:rsidR="0047179D" w:rsidRPr="00403220">
        <w:rPr>
          <w:rFonts w:cs="Times New Roman"/>
          <w:i/>
          <w:szCs w:val="24"/>
          <w:lang w:val="fr-CA"/>
        </w:rPr>
        <w:t xml:space="preserve">Cooper </w:t>
      </w:r>
      <w:r w:rsidR="0047179D" w:rsidRPr="00403220">
        <w:rPr>
          <w:rFonts w:cs="Times New Roman"/>
          <w:szCs w:val="24"/>
          <w:lang w:val="fr-CA"/>
        </w:rPr>
        <w:t xml:space="preserve">et </w:t>
      </w:r>
      <w:proofErr w:type="spellStart"/>
      <w:r w:rsidR="0047179D" w:rsidRPr="00403220">
        <w:rPr>
          <w:rFonts w:cs="Times New Roman"/>
          <w:i/>
          <w:szCs w:val="24"/>
          <w:lang w:val="fr-CA"/>
        </w:rPr>
        <w:t>Syl</w:t>
      </w:r>
      <w:proofErr w:type="spellEnd"/>
      <w:r w:rsidR="0047179D" w:rsidRPr="00403220">
        <w:rPr>
          <w:rFonts w:cs="Times New Roman"/>
          <w:i/>
          <w:szCs w:val="24"/>
          <w:lang w:val="fr-CA"/>
        </w:rPr>
        <w:t> </w:t>
      </w:r>
      <w:proofErr w:type="spellStart"/>
      <w:r w:rsidR="0047179D" w:rsidRPr="00403220">
        <w:rPr>
          <w:rFonts w:cs="Times New Roman"/>
          <w:i/>
          <w:szCs w:val="24"/>
          <w:lang w:val="fr-CA"/>
        </w:rPr>
        <w:t>Apps</w:t>
      </w:r>
      <w:proofErr w:type="spellEnd"/>
      <w:r w:rsidR="0047179D" w:rsidRPr="00403220">
        <w:rPr>
          <w:rFonts w:cs="Times New Roman"/>
          <w:szCs w:val="24"/>
          <w:lang w:val="fr-CA"/>
        </w:rPr>
        <w:t>.  Tel qu</w:t>
      </w:r>
      <w:r w:rsidR="008372AA" w:rsidRPr="00403220">
        <w:rPr>
          <w:rFonts w:cs="Times New Roman"/>
          <w:szCs w:val="24"/>
          <w:lang w:val="fr-CA"/>
        </w:rPr>
        <w:t>’</w:t>
      </w:r>
      <w:r w:rsidR="0047179D" w:rsidRPr="00403220">
        <w:rPr>
          <w:rFonts w:cs="Times New Roman"/>
          <w:szCs w:val="24"/>
          <w:lang w:val="fr-CA"/>
        </w:rPr>
        <w:t xml:space="preserve">il est mentionné dans </w:t>
      </w:r>
      <w:proofErr w:type="spellStart"/>
      <w:r w:rsidR="0047179D" w:rsidRPr="00403220">
        <w:rPr>
          <w:rFonts w:cs="Times New Roman"/>
          <w:i/>
          <w:szCs w:val="24"/>
          <w:lang w:val="fr-CA"/>
        </w:rPr>
        <w:t>Syl</w:t>
      </w:r>
      <w:proofErr w:type="spellEnd"/>
      <w:r w:rsidR="0047179D" w:rsidRPr="00403220">
        <w:rPr>
          <w:rFonts w:cs="Times New Roman"/>
          <w:i/>
          <w:szCs w:val="24"/>
          <w:lang w:val="fr-CA"/>
        </w:rPr>
        <w:t xml:space="preserve"> </w:t>
      </w:r>
      <w:proofErr w:type="spellStart"/>
      <w:r w:rsidR="0047179D" w:rsidRPr="00403220">
        <w:rPr>
          <w:rFonts w:cs="Times New Roman"/>
          <w:i/>
          <w:szCs w:val="24"/>
          <w:lang w:val="fr-CA"/>
        </w:rPr>
        <w:t>Apps</w:t>
      </w:r>
      <w:proofErr w:type="spellEnd"/>
      <w:r w:rsidR="0047179D" w:rsidRPr="00403220">
        <w:rPr>
          <w:rFonts w:cs="Times New Roman"/>
          <w:szCs w:val="24"/>
          <w:lang w:val="fr-CA"/>
        </w:rPr>
        <w:t>, «</w:t>
      </w:r>
      <w:r w:rsidR="00D55272" w:rsidRPr="00403220">
        <w:rPr>
          <w:rFonts w:cs="Times New Roman"/>
          <w:szCs w:val="24"/>
          <w:lang w:val="fr-CA"/>
        </w:rPr>
        <w:t> </w:t>
      </w:r>
      <w:r w:rsidR="0047179D" w:rsidRPr="00403220">
        <w:rPr>
          <w:rFonts w:cs="Times New Roman"/>
          <w:szCs w:val="24"/>
          <w:lang w:val="fr-CA"/>
        </w:rPr>
        <w:t>[u]n conflit entre l</w:t>
      </w:r>
      <w:r w:rsidR="008372AA" w:rsidRPr="00403220">
        <w:rPr>
          <w:rFonts w:cs="Times New Roman"/>
          <w:szCs w:val="24"/>
          <w:lang w:val="fr-CA"/>
        </w:rPr>
        <w:t>’</w:t>
      </w:r>
      <w:r w:rsidR="0047179D" w:rsidRPr="00403220">
        <w:rPr>
          <w:rFonts w:cs="Times New Roman"/>
          <w:szCs w:val="24"/>
          <w:lang w:val="fr-CA"/>
        </w:rPr>
        <w:t>obligation de diligence revendiquée et une obligation primordiale de nature publique ou imposée par la loi peut constituer une raison de principe impérieuse pour refuser de conclure à la proximité</w:t>
      </w:r>
      <w:r w:rsidR="00D55272" w:rsidRPr="00403220">
        <w:rPr>
          <w:rFonts w:cs="Times New Roman"/>
          <w:szCs w:val="24"/>
          <w:lang w:val="fr-CA"/>
        </w:rPr>
        <w:t> </w:t>
      </w:r>
      <w:r w:rsidR="0047179D" w:rsidRPr="00403220">
        <w:rPr>
          <w:rFonts w:cs="Times New Roman"/>
          <w:szCs w:val="24"/>
          <w:lang w:val="fr-CA"/>
        </w:rPr>
        <w:t>»</w:t>
      </w:r>
      <w:r w:rsidR="0047179D" w:rsidRPr="00403220">
        <w:rPr>
          <w:rFonts w:cs="Times New Roman"/>
          <w:i/>
          <w:szCs w:val="24"/>
          <w:lang w:val="fr-CA"/>
        </w:rPr>
        <w:t xml:space="preserve"> </w:t>
      </w:r>
      <w:r w:rsidR="0047179D" w:rsidRPr="00403220">
        <w:rPr>
          <w:rFonts w:cs="Times New Roman"/>
          <w:szCs w:val="24"/>
          <w:lang w:val="fr-CA"/>
        </w:rPr>
        <w:t>(</w:t>
      </w:r>
      <w:r w:rsidR="00A54DAC" w:rsidRPr="00403220">
        <w:rPr>
          <w:rFonts w:cs="Times New Roman"/>
          <w:szCs w:val="24"/>
          <w:lang w:val="fr-CA"/>
        </w:rPr>
        <w:t>par. </w:t>
      </w:r>
      <w:r w:rsidR="0047179D" w:rsidRPr="00403220">
        <w:rPr>
          <w:rFonts w:cs="Times New Roman"/>
          <w:szCs w:val="24"/>
          <w:lang w:val="fr-CA"/>
        </w:rPr>
        <w:t xml:space="preserve">28; voir aussi </w:t>
      </w:r>
      <w:proofErr w:type="spellStart"/>
      <w:r w:rsidR="0047179D" w:rsidRPr="00403220">
        <w:rPr>
          <w:rFonts w:cs="Times New Roman"/>
          <w:i/>
          <w:szCs w:val="24"/>
          <w:lang w:val="fr-CA"/>
        </w:rPr>
        <w:t>Fullowka</w:t>
      </w:r>
      <w:proofErr w:type="spellEnd"/>
      <w:r w:rsidR="0047179D" w:rsidRPr="00403220">
        <w:rPr>
          <w:rFonts w:cs="Times New Roman"/>
          <w:i/>
          <w:szCs w:val="24"/>
          <w:lang w:val="fr-CA"/>
        </w:rPr>
        <w:t xml:space="preserve"> c. </w:t>
      </w:r>
      <w:proofErr w:type="spellStart"/>
      <w:r w:rsidR="0047179D" w:rsidRPr="00403220">
        <w:rPr>
          <w:rFonts w:cs="Times New Roman"/>
          <w:i/>
          <w:szCs w:val="24"/>
          <w:lang w:val="fr-CA"/>
        </w:rPr>
        <w:t>Pinkerton</w:t>
      </w:r>
      <w:r w:rsidR="008372AA" w:rsidRPr="00403220">
        <w:rPr>
          <w:rFonts w:cs="Times New Roman"/>
          <w:i/>
          <w:szCs w:val="24"/>
          <w:lang w:val="fr-CA"/>
        </w:rPr>
        <w:t>’</w:t>
      </w:r>
      <w:r w:rsidR="0047179D" w:rsidRPr="00403220">
        <w:rPr>
          <w:rFonts w:cs="Times New Roman"/>
          <w:i/>
          <w:szCs w:val="24"/>
          <w:lang w:val="fr-CA"/>
        </w:rPr>
        <w:t>s</w:t>
      </w:r>
      <w:proofErr w:type="spellEnd"/>
      <w:r w:rsidR="0047179D" w:rsidRPr="00403220">
        <w:rPr>
          <w:rFonts w:cs="Times New Roman"/>
          <w:i/>
          <w:szCs w:val="24"/>
          <w:lang w:val="fr-CA"/>
        </w:rPr>
        <w:t xml:space="preserve"> of Canada Ltd</w:t>
      </w:r>
      <w:r w:rsidR="0047179D" w:rsidRPr="00403220">
        <w:rPr>
          <w:rFonts w:cs="Times New Roman"/>
          <w:szCs w:val="24"/>
          <w:lang w:val="fr-CA"/>
        </w:rPr>
        <w:t>.,</w:t>
      </w:r>
      <w:r w:rsidR="0047179D" w:rsidRPr="00403220">
        <w:rPr>
          <w:rFonts w:cs="Times New Roman"/>
          <w:i/>
          <w:szCs w:val="24"/>
          <w:lang w:val="fr-CA"/>
        </w:rPr>
        <w:t xml:space="preserve"> </w:t>
      </w:r>
      <w:r w:rsidR="00D55272" w:rsidRPr="00403220">
        <w:rPr>
          <w:rFonts w:cs="Times New Roman"/>
          <w:szCs w:val="24"/>
          <w:lang w:val="fr-CA"/>
        </w:rPr>
        <w:t xml:space="preserve">2010 CSC 5, </w:t>
      </w:r>
      <w:r w:rsidR="0047179D" w:rsidRPr="00403220">
        <w:rPr>
          <w:rFonts w:cs="Times New Roman"/>
          <w:szCs w:val="24"/>
          <w:lang w:val="fr-CA"/>
        </w:rPr>
        <w:t xml:space="preserve">[2010] 1 R.C.S. 132, </w:t>
      </w:r>
      <w:r w:rsidR="00A54DAC" w:rsidRPr="00403220">
        <w:rPr>
          <w:rFonts w:cs="Times New Roman"/>
          <w:szCs w:val="24"/>
          <w:lang w:val="fr-CA"/>
        </w:rPr>
        <w:t>par. </w:t>
      </w:r>
      <w:r w:rsidR="0047179D" w:rsidRPr="00403220">
        <w:rPr>
          <w:rFonts w:cs="Times New Roman"/>
          <w:szCs w:val="24"/>
          <w:lang w:val="fr-CA"/>
        </w:rPr>
        <w:t>39).</w:t>
      </w:r>
      <w:r w:rsidR="0047179D" w:rsidRPr="00403220">
        <w:rPr>
          <w:rFonts w:cs="Times New Roman"/>
          <w:i/>
          <w:szCs w:val="24"/>
          <w:lang w:val="fr-CA"/>
        </w:rPr>
        <w:t xml:space="preserve"> </w:t>
      </w:r>
    </w:p>
    <w:p w:rsidR="0047179D" w:rsidRPr="00403220" w:rsidRDefault="0047179D" w:rsidP="005A33F7">
      <w:pPr>
        <w:pStyle w:val="ParaNoNdepar-AltN"/>
        <w:rPr>
          <w:rFonts w:cs="Times New Roman"/>
          <w:szCs w:val="24"/>
          <w:lang w:val="fr-CA"/>
        </w:rPr>
      </w:pPr>
      <w:r w:rsidRPr="00403220">
        <w:rPr>
          <w:rFonts w:cs="Times New Roman"/>
          <w:szCs w:val="24"/>
          <w:lang w:val="fr-CA"/>
        </w:rPr>
        <w:t>Dans la deuxième catégorie de cas, on prétend que le lien étroit essentiel à l</w:t>
      </w:r>
      <w:r w:rsidR="008372AA" w:rsidRPr="00403220">
        <w:rPr>
          <w:rFonts w:cs="Times New Roman"/>
          <w:szCs w:val="24"/>
          <w:lang w:val="fr-CA"/>
        </w:rPr>
        <w:t>’</w:t>
      </w:r>
      <w:r w:rsidRPr="00403220">
        <w:rPr>
          <w:rFonts w:cs="Times New Roman"/>
          <w:szCs w:val="24"/>
          <w:lang w:val="fr-CA"/>
        </w:rPr>
        <w:t xml:space="preserve">obligation de diligence </w:t>
      </w:r>
      <w:r w:rsidR="00273EF7" w:rsidRPr="00403220">
        <w:rPr>
          <w:rFonts w:cs="Times New Roman"/>
          <w:szCs w:val="24"/>
          <w:lang w:val="fr-CA"/>
        </w:rPr>
        <w:t>de nature</w:t>
      </w:r>
      <w:r w:rsidRPr="00403220">
        <w:rPr>
          <w:rFonts w:cs="Times New Roman"/>
          <w:szCs w:val="24"/>
          <w:lang w:val="fr-CA"/>
        </w:rPr>
        <w:t xml:space="preserve"> privé</w:t>
      </w:r>
      <w:r w:rsidR="00273EF7" w:rsidRPr="00403220">
        <w:rPr>
          <w:rFonts w:cs="Times New Roman"/>
          <w:szCs w:val="24"/>
          <w:lang w:val="fr-CA"/>
        </w:rPr>
        <w:t>e</w:t>
      </w:r>
      <w:r w:rsidRPr="00403220">
        <w:rPr>
          <w:rFonts w:cs="Times New Roman"/>
          <w:szCs w:val="24"/>
          <w:lang w:val="fr-CA"/>
        </w:rPr>
        <w:t xml:space="preserve"> tire son origine d</w:t>
      </w:r>
      <w:r w:rsidR="008372AA" w:rsidRPr="00403220">
        <w:rPr>
          <w:rFonts w:cs="Times New Roman"/>
          <w:szCs w:val="24"/>
          <w:lang w:val="fr-CA"/>
        </w:rPr>
        <w:t>’</w:t>
      </w:r>
      <w:r w:rsidRPr="00403220">
        <w:rPr>
          <w:rFonts w:cs="Times New Roman"/>
          <w:szCs w:val="24"/>
          <w:lang w:val="fr-CA"/>
        </w:rPr>
        <w:t>une série de rapports précis entre le gouvernement et le demandeur. On fait valoir dans ces cas que le gouvernement, de par sa conduite, a tissé avec le demandeur un lien suffisamment spécial pour établir la proximité nécessaire à une obligation de diligence.  Dans ces cas, les lois applicables restent pertinentes pour l</w:t>
      </w:r>
      <w:r w:rsidR="008372AA" w:rsidRPr="00403220">
        <w:rPr>
          <w:rFonts w:cs="Times New Roman"/>
          <w:szCs w:val="24"/>
          <w:lang w:val="fr-CA"/>
        </w:rPr>
        <w:t>’</w:t>
      </w:r>
      <w:r w:rsidRPr="00403220">
        <w:rPr>
          <w:rFonts w:cs="Times New Roman"/>
          <w:szCs w:val="24"/>
          <w:lang w:val="fr-CA"/>
        </w:rPr>
        <w:t>analyse.  Par exemple, si un constat de proximité irait à l</w:t>
      </w:r>
      <w:r w:rsidR="008372AA" w:rsidRPr="00403220">
        <w:rPr>
          <w:rFonts w:cs="Times New Roman"/>
          <w:szCs w:val="24"/>
          <w:lang w:val="fr-CA"/>
        </w:rPr>
        <w:t>’</w:t>
      </w:r>
      <w:r w:rsidRPr="00403220">
        <w:rPr>
          <w:rFonts w:cs="Times New Roman"/>
          <w:szCs w:val="24"/>
          <w:lang w:val="fr-CA"/>
        </w:rPr>
        <w:t>encontre du devoir général de nature publique imposé par la loi à l</w:t>
      </w:r>
      <w:r w:rsidR="008372AA" w:rsidRPr="00403220">
        <w:rPr>
          <w:rFonts w:cs="Times New Roman"/>
          <w:szCs w:val="24"/>
          <w:lang w:val="fr-CA"/>
        </w:rPr>
        <w:t>’</w:t>
      </w:r>
      <w:r w:rsidRPr="00403220">
        <w:rPr>
          <w:rFonts w:cs="Times New Roman"/>
          <w:szCs w:val="24"/>
          <w:lang w:val="fr-CA"/>
        </w:rPr>
        <w:t>État, le tribunal peut conclure que cette proximité n</w:t>
      </w:r>
      <w:r w:rsidR="008372AA" w:rsidRPr="00403220">
        <w:rPr>
          <w:rFonts w:cs="Times New Roman"/>
          <w:szCs w:val="24"/>
          <w:lang w:val="fr-CA"/>
        </w:rPr>
        <w:t>’</w:t>
      </w:r>
      <w:r w:rsidRPr="00403220">
        <w:rPr>
          <w:rFonts w:cs="Times New Roman"/>
          <w:szCs w:val="24"/>
          <w:lang w:val="fr-CA"/>
        </w:rPr>
        <w:t>existe pas</w:t>
      </w:r>
      <w:r w:rsidR="00A54DAC" w:rsidRPr="00403220">
        <w:rPr>
          <w:rFonts w:cs="Times New Roman"/>
          <w:szCs w:val="24"/>
          <w:lang w:val="fr-CA"/>
        </w:rPr>
        <w:t> :</w:t>
      </w:r>
      <w:r w:rsidRPr="00403220">
        <w:rPr>
          <w:rFonts w:cs="Times New Roman"/>
          <w:szCs w:val="24"/>
          <w:lang w:val="fr-CA"/>
        </w:rPr>
        <w:t xml:space="preserve"> </w:t>
      </w:r>
      <w:proofErr w:type="spellStart"/>
      <w:r w:rsidRPr="00403220">
        <w:rPr>
          <w:rFonts w:cs="Times New Roman"/>
          <w:i/>
          <w:szCs w:val="24"/>
          <w:lang w:val="fr-CA"/>
        </w:rPr>
        <w:t>Syl</w:t>
      </w:r>
      <w:proofErr w:type="spellEnd"/>
      <w:r w:rsidRPr="00403220">
        <w:rPr>
          <w:rFonts w:cs="Times New Roman"/>
          <w:i/>
          <w:szCs w:val="24"/>
          <w:lang w:val="fr-CA"/>
        </w:rPr>
        <w:t xml:space="preserve"> </w:t>
      </w:r>
      <w:proofErr w:type="spellStart"/>
      <w:r w:rsidRPr="00403220">
        <w:rPr>
          <w:rFonts w:cs="Times New Roman"/>
          <w:i/>
          <w:szCs w:val="24"/>
          <w:lang w:val="fr-CA"/>
        </w:rPr>
        <w:t>Apps</w:t>
      </w:r>
      <w:proofErr w:type="spellEnd"/>
      <w:r w:rsidRPr="00403220">
        <w:rPr>
          <w:rFonts w:cs="Times New Roman"/>
          <w:szCs w:val="24"/>
          <w:lang w:val="fr-CA"/>
        </w:rPr>
        <w:t xml:space="preserve">; voir aussi </w:t>
      </w:r>
      <w:proofErr w:type="spellStart"/>
      <w:r w:rsidRPr="00403220">
        <w:rPr>
          <w:rFonts w:cs="Times New Roman"/>
          <w:i/>
          <w:szCs w:val="24"/>
          <w:lang w:val="fr-CA"/>
        </w:rPr>
        <w:t>Heaslip</w:t>
      </w:r>
      <w:proofErr w:type="spellEnd"/>
      <w:r w:rsidRPr="00403220">
        <w:rPr>
          <w:rFonts w:cs="Times New Roman"/>
          <w:i/>
          <w:szCs w:val="24"/>
          <w:lang w:val="fr-CA"/>
        </w:rPr>
        <w:t xml:space="preserve"> </w:t>
      </w:r>
      <w:proofErr w:type="spellStart"/>
      <w:r w:rsidRPr="00403220">
        <w:rPr>
          <w:rFonts w:cs="Times New Roman"/>
          <w:i/>
          <w:szCs w:val="24"/>
          <w:lang w:val="fr-CA"/>
        </w:rPr>
        <w:t>Estate</w:t>
      </w:r>
      <w:proofErr w:type="spellEnd"/>
      <w:r w:rsidRPr="00403220">
        <w:rPr>
          <w:rFonts w:cs="Times New Roman"/>
          <w:i/>
          <w:szCs w:val="24"/>
          <w:lang w:val="fr-CA"/>
        </w:rPr>
        <w:t xml:space="preserve"> c. Mansfield Ski Club </w:t>
      </w:r>
      <w:r w:rsidR="00273EF7" w:rsidRPr="00403220">
        <w:rPr>
          <w:rFonts w:cs="Times New Roman"/>
          <w:i/>
          <w:szCs w:val="24"/>
          <w:lang w:val="fr-CA"/>
        </w:rPr>
        <w:t>I</w:t>
      </w:r>
      <w:r w:rsidRPr="00403220">
        <w:rPr>
          <w:rFonts w:cs="Times New Roman"/>
          <w:i/>
          <w:szCs w:val="24"/>
          <w:lang w:val="fr-CA"/>
        </w:rPr>
        <w:t>nc.</w:t>
      </w:r>
      <w:r w:rsidR="008B6E53" w:rsidRPr="00403220">
        <w:rPr>
          <w:rFonts w:cs="Times New Roman"/>
          <w:szCs w:val="24"/>
          <w:lang w:val="fr-CA"/>
        </w:rPr>
        <w:t>,</w:t>
      </w:r>
      <w:r w:rsidRPr="00403220">
        <w:rPr>
          <w:rFonts w:cs="Times New Roman"/>
          <w:szCs w:val="24"/>
          <w:lang w:val="fr-CA"/>
        </w:rPr>
        <w:t xml:space="preserve"> 2009</w:t>
      </w:r>
      <w:r w:rsidR="008B6E53" w:rsidRPr="00403220">
        <w:rPr>
          <w:rFonts w:cs="Times New Roman"/>
          <w:szCs w:val="24"/>
          <w:lang w:val="fr-CA"/>
        </w:rPr>
        <w:t xml:space="preserve"> ONCA 594</w:t>
      </w:r>
      <w:r w:rsidRPr="00403220">
        <w:rPr>
          <w:rFonts w:cs="Times New Roman"/>
          <w:szCs w:val="24"/>
          <w:lang w:val="fr-CA"/>
        </w:rPr>
        <w:t xml:space="preserve">, 96 O.R. (3d) 401.  </w:t>
      </w:r>
      <w:r w:rsidRPr="00403220">
        <w:rPr>
          <w:rFonts w:cs="Times New Roman"/>
          <w:szCs w:val="24"/>
          <w:lang w:val="fr-CA"/>
        </w:rPr>
        <w:lastRenderedPageBreak/>
        <w:t>Cependant, ce sont les rapports précis entre l</w:t>
      </w:r>
      <w:r w:rsidR="008372AA" w:rsidRPr="00403220">
        <w:rPr>
          <w:rFonts w:cs="Times New Roman"/>
          <w:szCs w:val="24"/>
          <w:lang w:val="fr-CA"/>
        </w:rPr>
        <w:t>’</w:t>
      </w:r>
      <w:r w:rsidRPr="00403220">
        <w:rPr>
          <w:rFonts w:cs="Times New Roman"/>
          <w:szCs w:val="24"/>
          <w:lang w:val="fr-CA"/>
        </w:rPr>
        <w:t xml:space="preserve">organisme gouvernemental et le demandeur qui font naître une obligation de diligence dans un cas de ce genre.  </w:t>
      </w:r>
    </w:p>
    <w:p w:rsidR="0047179D" w:rsidRPr="00403220" w:rsidRDefault="0047179D" w:rsidP="005A33F7">
      <w:pPr>
        <w:pStyle w:val="ParaNoNdepar-AltN"/>
        <w:rPr>
          <w:rFonts w:cs="Times New Roman"/>
          <w:szCs w:val="24"/>
          <w:lang w:val="fr-CA"/>
        </w:rPr>
      </w:pPr>
      <w:r w:rsidRPr="00403220">
        <w:rPr>
          <w:rFonts w:cs="Times New Roman"/>
          <w:szCs w:val="24"/>
          <w:lang w:val="fr-CA"/>
        </w:rPr>
        <w:t>Enfin, il est possible d</w:t>
      </w:r>
      <w:r w:rsidR="008372AA" w:rsidRPr="00403220">
        <w:rPr>
          <w:rFonts w:cs="Times New Roman"/>
          <w:szCs w:val="24"/>
          <w:lang w:val="fr-CA"/>
        </w:rPr>
        <w:t>’</w:t>
      </w:r>
      <w:r w:rsidRPr="00403220">
        <w:rPr>
          <w:rFonts w:cs="Times New Roman"/>
          <w:szCs w:val="24"/>
          <w:lang w:val="fr-CA"/>
        </w:rPr>
        <w:t xml:space="preserve">imaginer une action mettant en cause un lien étroit qui se fonde à la fois sur les rapports entre les parties et </w:t>
      </w:r>
      <w:r w:rsidR="00101AB7">
        <w:rPr>
          <w:rFonts w:cs="Times New Roman"/>
          <w:szCs w:val="24"/>
          <w:lang w:val="fr-CA"/>
        </w:rPr>
        <w:t xml:space="preserve">sur </w:t>
      </w:r>
      <w:r w:rsidRPr="00403220">
        <w:rPr>
          <w:rFonts w:cs="Times New Roman"/>
          <w:szCs w:val="24"/>
          <w:lang w:val="fr-CA"/>
        </w:rPr>
        <w:t>les obligations imposées au gouvernement par la loi.</w:t>
      </w:r>
    </w:p>
    <w:p w:rsidR="0047179D" w:rsidRPr="00403220" w:rsidRDefault="0047179D" w:rsidP="005A33F7">
      <w:pPr>
        <w:pStyle w:val="ParaNoNdepar-AltN"/>
        <w:rPr>
          <w:rFonts w:cs="Times New Roman"/>
          <w:szCs w:val="24"/>
          <w:lang w:val="fr-CA"/>
        </w:rPr>
      </w:pPr>
      <w:r w:rsidRPr="00403220">
        <w:rPr>
          <w:rFonts w:cs="Times New Roman"/>
          <w:szCs w:val="24"/>
          <w:lang w:val="fr-CA"/>
        </w:rPr>
        <w:t>Puisqu</w:t>
      </w:r>
      <w:r w:rsidR="008372AA" w:rsidRPr="00403220">
        <w:rPr>
          <w:rFonts w:cs="Times New Roman"/>
          <w:szCs w:val="24"/>
          <w:lang w:val="fr-CA"/>
        </w:rPr>
        <w:t>’</w:t>
      </w:r>
      <w:r w:rsidRPr="00403220">
        <w:rPr>
          <w:rFonts w:cs="Times New Roman"/>
          <w:szCs w:val="24"/>
          <w:lang w:val="fr-CA"/>
        </w:rPr>
        <w:t>il s</w:t>
      </w:r>
      <w:r w:rsidR="008372AA" w:rsidRPr="00403220">
        <w:rPr>
          <w:rFonts w:cs="Times New Roman"/>
          <w:szCs w:val="24"/>
          <w:lang w:val="fr-CA"/>
        </w:rPr>
        <w:t>’</w:t>
      </w:r>
      <w:r w:rsidRPr="00403220">
        <w:rPr>
          <w:rFonts w:cs="Times New Roman"/>
          <w:szCs w:val="24"/>
          <w:lang w:val="fr-CA"/>
        </w:rPr>
        <w:t xml:space="preserve">agit </w:t>
      </w:r>
      <w:r w:rsidR="00A934AF" w:rsidRPr="00403220">
        <w:rPr>
          <w:rFonts w:cs="Times New Roman"/>
          <w:szCs w:val="24"/>
          <w:lang w:val="fr-CA"/>
        </w:rPr>
        <w:t xml:space="preserve">en l’espèce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une requête en radiation, la question qui nous est soumise est simplement de savoir si, à supposer que les faits allégués soient vrais, il est raisonnablement possible d</w:t>
      </w:r>
      <w:r w:rsidR="007024C3" w:rsidRPr="00403220">
        <w:rPr>
          <w:rFonts w:cs="Times New Roman"/>
          <w:szCs w:val="24"/>
          <w:lang w:val="fr-CA"/>
        </w:rPr>
        <w:t xml:space="preserve">e réussir à </w:t>
      </w:r>
      <w:r w:rsidRPr="00403220">
        <w:rPr>
          <w:rFonts w:cs="Times New Roman"/>
          <w:szCs w:val="24"/>
          <w:lang w:val="fr-CA"/>
        </w:rPr>
        <w:t xml:space="preserve">établir </w:t>
      </w:r>
      <w:r w:rsidR="007024C3" w:rsidRPr="00403220">
        <w:rPr>
          <w:rFonts w:cs="Times New Roman"/>
          <w:szCs w:val="24"/>
          <w:lang w:val="fr-CA"/>
        </w:rPr>
        <w:t xml:space="preserve">la proximité </w:t>
      </w:r>
      <w:r w:rsidRPr="00403220">
        <w:rPr>
          <w:rFonts w:cs="Times New Roman"/>
          <w:szCs w:val="24"/>
          <w:lang w:val="fr-CA"/>
        </w:rPr>
        <w:t>en raison d</w:t>
      </w:r>
      <w:r w:rsidR="008372AA" w:rsidRPr="00403220">
        <w:rPr>
          <w:rFonts w:cs="Times New Roman"/>
          <w:szCs w:val="24"/>
          <w:lang w:val="fr-CA"/>
        </w:rPr>
        <w:t>’</w:t>
      </w:r>
      <w:r w:rsidRPr="00403220">
        <w:rPr>
          <w:rFonts w:cs="Times New Roman"/>
          <w:szCs w:val="24"/>
          <w:lang w:val="fr-CA"/>
        </w:rPr>
        <w:t>une loi ou d</w:t>
      </w:r>
      <w:r w:rsidR="008372AA" w:rsidRPr="00403220">
        <w:rPr>
          <w:rFonts w:cs="Times New Roman"/>
          <w:szCs w:val="24"/>
          <w:lang w:val="fr-CA"/>
        </w:rPr>
        <w:t>’</w:t>
      </w:r>
      <w:r w:rsidRPr="00403220">
        <w:rPr>
          <w:rFonts w:cs="Times New Roman"/>
          <w:szCs w:val="24"/>
          <w:lang w:val="fr-CA"/>
        </w:rPr>
        <w:t>un autre facteur</w:t>
      </w:r>
      <w:r w:rsidR="00425A55" w:rsidRPr="00403220">
        <w:rPr>
          <w:rFonts w:cs="Times New Roman"/>
          <w:szCs w:val="24"/>
          <w:lang w:val="fr-CA"/>
        </w:rPr>
        <w:t xml:space="preserve">.  </w:t>
      </w:r>
      <w:r w:rsidR="00A6319C" w:rsidRPr="00403220">
        <w:rPr>
          <w:rFonts w:cs="Times New Roman"/>
          <w:szCs w:val="24"/>
          <w:lang w:val="fr-CA"/>
        </w:rPr>
        <w:t xml:space="preserve">D’une part, dans les cas où </w:t>
      </w:r>
      <w:r w:rsidRPr="00403220">
        <w:rPr>
          <w:rFonts w:cs="Times New Roman"/>
          <w:szCs w:val="24"/>
          <w:lang w:val="fr-CA"/>
        </w:rPr>
        <w:t>on invoque uniquement la loi comme fondement du lien étroit, des obligations opposées de nature publique peuvent exclure toute possibilité d</w:t>
      </w:r>
      <w:r w:rsidR="008372AA" w:rsidRPr="00403220">
        <w:rPr>
          <w:rFonts w:cs="Times New Roman"/>
          <w:szCs w:val="24"/>
          <w:lang w:val="fr-CA"/>
        </w:rPr>
        <w:t>’</w:t>
      </w:r>
      <w:r w:rsidRPr="00403220">
        <w:rPr>
          <w:rFonts w:cs="Times New Roman"/>
          <w:szCs w:val="24"/>
          <w:lang w:val="fr-CA"/>
        </w:rPr>
        <w:t>établir ce lien sur le plan de l</w:t>
      </w:r>
      <w:r w:rsidR="008372AA" w:rsidRPr="00403220">
        <w:rPr>
          <w:rFonts w:cs="Times New Roman"/>
          <w:szCs w:val="24"/>
          <w:lang w:val="fr-CA"/>
        </w:rPr>
        <w:t>’</w:t>
      </w:r>
      <w:r w:rsidRPr="00403220">
        <w:rPr>
          <w:rFonts w:cs="Times New Roman"/>
          <w:szCs w:val="24"/>
          <w:lang w:val="fr-CA"/>
        </w:rPr>
        <w:t>interprétation législative</w:t>
      </w:r>
      <w:r w:rsidR="00A54DAC" w:rsidRPr="00403220">
        <w:rPr>
          <w:rFonts w:cs="Times New Roman"/>
          <w:szCs w:val="24"/>
          <w:lang w:val="fr-CA"/>
        </w:rPr>
        <w:t> :</w:t>
      </w:r>
      <w:r w:rsidRPr="00403220">
        <w:rPr>
          <w:rFonts w:cs="Times New Roman"/>
          <w:szCs w:val="24"/>
          <w:lang w:val="fr-CA"/>
        </w:rPr>
        <w:t xml:space="preserve"> </w:t>
      </w:r>
      <w:proofErr w:type="spellStart"/>
      <w:r w:rsidRPr="00403220">
        <w:rPr>
          <w:rFonts w:cs="Times New Roman"/>
          <w:i/>
          <w:szCs w:val="24"/>
          <w:lang w:val="fr-CA"/>
        </w:rPr>
        <w:t>Syl</w:t>
      </w:r>
      <w:proofErr w:type="spellEnd"/>
      <w:r w:rsidRPr="00403220">
        <w:rPr>
          <w:rFonts w:cs="Times New Roman"/>
          <w:i/>
          <w:szCs w:val="24"/>
          <w:lang w:val="fr-CA"/>
        </w:rPr>
        <w:t xml:space="preserve"> </w:t>
      </w:r>
      <w:proofErr w:type="spellStart"/>
      <w:r w:rsidRPr="00403220">
        <w:rPr>
          <w:rFonts w:cs="Times New Roman"/>
          <w:i/>
          <w:szCs w:val="24"/>
          <w:lang w:val="fr-CA"/>
        </w:rPr>
        <w:t>Apps</w:t>
      </w:r>
      <w:proofErr w:type="spellEnd"/>
      <w:r w:rsidRPr="00403220">
        <w:rPr>
          <w:rFonts w:cs="Times New Roman"/>
          <w:i/>
          <w:szCs w:val="24"/>
          <w:lang w:val="fr-CA"/>
        </w:rPr>
        <w:t>.</w:t>
      </w:r>
      <w:r w:rsidRPr="00403220">
        <w:rPr>
          <w:rFonts w:cs="Times New Roman"/>
          <w:szCs w:val="24"/>
          <w:lang w:val="fr-CA"/>
        </w:rPr>
        <w:t xml:space="preserve"> </w:t>
      </w:r>
      <w:r w:rsidR="00FD18C7" w:rsidRPr="00403220">
        <w:rPr>
          <w:rFonts w:cs="Times New Roman"/>
          <w:szCs w:val="24"/>
          <w:lang w:val="fr-CA"/>
        </w:rPr>
        <w:t xml:space="preserve"> </w:t>
      </w:r>
      <w:r w:rsidR="00A6319C" w:rsidRPr="00403220">
        <w:rPr>
          <w:rFonts w:cs="Times New Roman"/>
          <w:szCs w:val="24"/>
          <w:lang w:val="fr-CA"/>
        </w:rPr>
        <w:t>D’autre part, dans les cas où on</w:t>
      </w:r>
      <w:r w:rsidRPr="00403220">
        <w:rPr>
          <w:rFonts w:cs="Times New Roman"/>
          <w:szCs w:val="24"/>
          <w:lang w:val="fr-CA"/>
        </w:rPr>
        <w:t xml:space="preserve"> affirme que le lien étroit repose sur un acte et des rapports précis, il peut être difficile de rejeter une action à ce stade.  Tant qu</w:t>
      </w:r>
      <w:r w:rsidR="008372AA" w:rsidRPr="00403220">
        <w:rPr>
          <w:rFonts w:cs="Times New Roman"/>
          <w:szCs w:val="24"/>
          <w:lang w:val="fr-CA"/>
        </w:rPr>
        <w:t>’</w:t>
      </w:r>
      <w:r w:rsidRPr="00403220">
        <w:rPr>
          <w:rFonts w:cs="Times New Roman"/>
          <w:szCs w:val="24"/>
          <w:lang w:val="fr-CA"/>
        </w:rPr>
        <w:t>il est raisonnablement possible que les rapports allégués, s</w:t>
      </w:r>
      <w:r w:rsidR="008372AA" w:rsidRPr="00403220">
        <w:rPr>
          <w:rFonts w:cs="Times New Roman"/>
          <w:szCs w:val="24"/>
          <w:lang w:val="fr-CA"/>
        </w:rPr>
        <w:t>’</w:t>
      </w:r>
      <w:r w:rsidRPr="00403220">
        <w:rPr>
          <w:rFonts w:cs="Times New Roman"/>
          <w:szCs w:val="24"/>
          <w:lang w:val="fr-CA"/>
        </w:rPr>
        <w:t>ils sont vrais, amènent à conclure à l</w:t>
      </w:r>
      <w:r w:rsidR="008372AA" w:rsidRPr="00403220">
        <w:rPr>
          <w:rFonts w:cs="Times New Roman"/>
          <w:szCs w:val="24"/>
          <w:lang w:val="fr-CA"/>
        </w:rPr>
        <w:t>’</w:t>
      </w:r>
      <w:r w:rsidRPr="00403220">
        <w:rPr>
          <w:rFonts w:cs="Times New Roman"/>
          <w:szCs w:val="24"/>
          <w:lang w:val="fr-CA"/>
        </w:rPr>
        <w:t>existence d</w:t>
      </w:r>
      <w:r w:rsidR="008372AA" w:rsidRPr="00403220">
        <w:rPr>
          <w:rFonts w:cs="Times New Roman"/>
          <w:szCs w:val="24"/>
          <w:lang w:val="fr-CA"/>
        </w:rPr>
        <w:t>’</w:t>
      </w:r>
      <w:r w:rsidRPr="00403220">
        <w:rPr>
          <w:rFonts w:cs="Times New Roman"/>
          <w:szCs w:val="24"/>
          <w:lang w:val="fr-CA"/>
        </w:rPr>
        <w:t>un lien suffisamment étroit, et que la loi n</w:t>
      </w:r>
      <w:r w:rsidR="008372AA" w:rsidRPr="00403220">
        <w:rPr>
          <w:rFonts w:cs="Times New Roman"/>
          <w:szCs w:val="24"/>
          <w:lang w:val="fr-CA"/>
        </w:rPr>
        <w:t>’</w:t>
      </w:r>
      <w:r w:rsidRPr="00403220">
        <w:rPr>
          <w:rFonts w:cs="Times New Roman"/>
          <w:szCs w:val="24"/>
          <w:lang w:val="fr-CA"/>
        </w:rPr>
        <w:t xml:space="preserve">exclut pas clairement cette possibilité, </w:t>
      </w:r>
      <w:r w:rsidR="00425A55" w:rsidRPr="00403220">
        <w:rPr>
          <w:rFonts w:cs="Times New Roman"/>
          <w:szCs w:val="24"/>
          <w:lang w:val="fr-CA"/>
        </w:rPr>
        <w:t xml:space="preserve">il faut permettre que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 xml:space="preserve">affaire </w:t>
      </w:r>
      <w:r w:rsidR="00425A55" w:rsidRPr="00403220">
        <w:rPr>
          <w:rFonts w:cs="Times New Roman"/>
          <w:szCs w:val="24"/>
          <w:lang w:val="fr-CA"/>
        </w:rPr>
        <w:t>soit</w:t>
      </w:r>
      <w:r w:rsidRPr="00403220">
        <w:rPr>
          <w:rFonts w:cs="Times New Roman"/>
          <w:szCs w:val="24"/>
          <w:lang w:val="fr-CA"/>
        </w:rPr>
        <w:t xml:space="preserve"> instruite</w:t>
      </w:r>
      <w:r w:rsidR="009A4DEB" w:rsidRPr="00403220">
        <w:rPr>
          <w:rFonts w:cs="Times New Roman"/>
          <w:szCs w:val="24"/>
          <w:lang w:val="fr-CA"/>
        </w:rPr>
        <w:t xml:space="preserve">, sous réserve de l’existence de quelque considération de politique générale susceptible d’écarter l’obligation de diligence </w:t>
      </w:r>
      <w:r w:rsidR="009A4DEB" w:rsidRPr="00403220">
        <w:rPr>
          <w:rFonts w:cs="Times New Roman"/>
          <w:i/>
          <w:szCs w:val="24"/>
          <w:lang w:val="fr-CA"/>
        </w:rPr>
        <w:t xml:space="preserve">prima </w:t>
      </w:r>
      <w:proofErr w:type="spellStart"/>
      <w:r w:rsidR="009A4DEB" w:rsidRPr="00403220">
        <w:rPr>
          <w:rFonts w:cs="Times New Roman"/>
          <w:i/>
          <w:szCs w:val="24"/>
          <w:lang w:val="fr-CA"/>
        </w:rPr>
        <w:t>facie</w:t>
      </w:r>
      <w:proofErr w:type="spellEnd"/>
      <w:r w:rsidR="00A6319C" w:rsidRPr="00403220">
        <w:rPr>
          <w:rFonts w:cs="Times New Roman"/>
          <w:i/>
          <w:szCs w:val="24"/>
          <w:lang w:val="fr-CA"/>
        </w:rPr>
        <w:t xml:space="preserve"> </w:t>
      </w:r>
      <w:r w:rsidR="00A6319C" w:rsidRPr="00403220">
        <w:rPr>
          <w:rFonts w:cs="Times New Roman"/>
          <w:szCs w:val="24"/>
          <w:lang w:val="fr-CA"/>
        </w:rPr>
        <w:t>à la deuxième étape de l’analyse</w:t>
      </w:r>
      <w:r w:rsidRPr="00403220">
        <w:rPr>
          <w:rFonts w:cs="Times New Roman"/>
          <w:szCs w:val="24"/>
          <w:lang w:val="fr-CA"/>
        </w:rPr>
        <w:t xml:space="preserve">. </w:t>
      </w:r>
    </w:p>
    <w:p w:rsidR="0047179D" w:rsidRPr="00403220" w:rsidRDefault="00425A55" w:rsidP="005A33F7">
      <w:pPr>
        <w:pStyle w:val="ParaNoNdepar-AltN"/>
        <w:rPr>
          <w:rFonts w:cs="Times New Roman"/>
          <w:szCs w:val="24"/>
          <w:lang w:val="fr-CA"/>
        </w:rPr>
      </w:pPr>
      <w:r w:rsidRPr="00403220">
        <w:rPr>
          <w:rFonts w:cs="Times New Roman"/>
          <w:szCs w:val="24"/>
          <w:lang w:val="fr-CA"/>
        </w:rPr>
        <w:lastRenderedPageBreak/>
        <w:t>Comme je l</w:t>
      </w:r>
      <w:r w:rsidR="008372AA" w:rsidRPr="00403220">
        <w:rPr>
          <w:rFonts w:cs="Times New Roman"/>
          <w:szCs w:val="24"/>
          <w:lang w:val="fr-CA"/>
        </w:rPr>
        <w:t>’</w:t>
      </w:r>
      <w:r w:rsidRPr="00403220">
        <w:rPr>
          <w:rFonts w:cs="Times New Roman"/>
          <w:szCs w:val="24"/>
          <w:lang w:val="fr-CA"/>
        </w:rPr>
        <w:t>ai déjà mentionné, l</w:t>
      </w:r>
      <w:r w:rsidR="0047179D" w:rsidRPr="00403220">
        <w:rPr>
          <w:rFonts w:cs="Times New Roman"/>
          <w:szCs w:val="24"/>
          <w:lang w:val="fr-CA"/>
        </w:rPr>
        <w:t xml:space="preserve">es allégations </w:t>
      </w:r>
      <w:r w:rsidRPr="00403220">
        <w:rPr>
          <w:rFonts w:cs="Times New Roman"/>
          <w:szCs w:val="24"/>
          <w:lang w:val="fr-CA"/>
        </w:rPr>
        <w:t>en l</w:t>
      </w:r>
      <w:r w:rsidR="008372AA" w:rsidRPr="00403220">
        <w:rPr>
          <w:rFonts w:cs="Times New Roman"/>
          <w:szCs w:val="24"/>
          <w:lang w:val="fr-CA"/>
        </w:rPr>
        <w:t>’</w:t>
      </w:r>
      <w:r w:rsidRPr="00403220">
        <w:rPr>
          <w:rFonts w:cs="Times New Roman"/>
          <w:szCs w:val="24"/>
          <w:lang w:val="fr-CA"/>
        </w:rPr>
        <w:t xml:space="preserve">espèce </w:t>
      </w:r>
      <w:r w:rsidR="0047179D" w:rsidRPr="00403220">
        <w:rPr>
          <w:rFonts w:cs="Times New Roman"/>
          <w:szCs w:val="24"/>
          <w:lang w:val="fr-CA"/>
        </w:rPr>
        <w:t>mettent en cause deux liens</w:t>
      </w:r>
      <w:r w:rsidR="00A54DAC" w:rsidRPr="00403220">
        <w:rPr>
          <w:rFonts w:cs="Times New Roman"/>
          <w:szCs w:val="24"/>
          <w:lang w:val="fr-CA"/>
        </w:rPr>
        <w:t> :</w:t>
      </w:r>
      <w:r w:rsidR="0047179D" w:rsidRPr="00403220">
        <w:rPr>
          <w:rFonts w:cs="Times New Roman"/>
          <w:szCs w:val="24"/>
          <w:lang w:val="fr-CA"/>
        </w:rPr>
        <w:t xml:space="preserve"> celui entre le Canada et les consommateurs (</w:t>
      </w:r>
      <w:r w:rsidRPr="00403220">
        <w:rPr>
          <w:rFonts w:cs="Times New Roman"/>
          <w:szCs w:val="24"/>
          <w:lang w:val="fr-CA"/>
        </w:rPr>
        <w:t xml:space="preserve">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47179D" w:rsidRPr="00403220">
        <w:rPr>
          <w:rFonts w:cs="Times New Roman"/>
          <w:szCs w:val="24"/>
          <w:lang w:val="fr-CA"/>
        </w:rPr>
        <w:t>), et celui entre le Canada et les compagnies de tabac (dans les deux affaires).  La question qui se pose à ce stade est de savoir s</w:t>
      </w:r>
      <w:r w:rsidR="008372AA" w:rsidRPr="00403220">
        <w:rPr>
          <w:rFonts w:cs="Times New Roman"/>
          <w:szCs w:val="24"/>
          <w:lang w:val="fr-CA"/>
        </w:rPr>
        <w:t>’</w:t>
      </w:r>
      <w:r w:rsidR="0047179D" w:rsidRPr="00403220">
        <w:rPr>
          <w:rFonts w:cs="Times New Roman"/>
          <w:szCs w:val="24"/>
          <w:lang w:val="fr-CA"/>
        </w:rPr>
        <w:t xml:space="preserve">il </w:t>
      </w:r>
      <w:r w:rsidRPr="00403220">
        <w:rPr>
          <w:rFonts w:cs="Times New Roman"/>
          <w:szCs w:val="24"/>
          <w:lang w:val="fr-CA"/>
        </w:rPr>
        <w:t>existe</w:t>
      </w:r>
      <w:r w:rsidR="0047179D" w:rsidRPr="00403220">
        <w:rPr>
          <w:rFonts w:cs="Times New Roman"/>
          <w:szCs w:val="24"/>
          <w:lang w:val="fr-CA"/>
        </w:rPr>
        <w:t xml:space="preserve"> une obligation de diligence </w:t>
      </w:r>
      <w:r w:rsidR="0047179D" w:rsidRPr="00403220">
        <w:rPr>
          <w:rFonts w:cs="Times New Roman"/>
          <w:i/>
          <w:szCs w:val="24"/>
          <w:lang w:val="fr-CA"/>
        </w:rPr>
        <w:t xml:space="preserve">prima </w:t>
      </w:r>
      <w:proofErr w:type="spellStart"/>
      <w:r w:rsidR="0047179D" w:rsidRPr="00403220">
        <w:rPr>
          <w:rFonts w:cs="Times New Roman"/>
          <w:i/>
          <w:szCs w:val="24"/>
          <w:lang w:val="fr-CA"/>
        </w:rPr>
        <w:t>facie</w:t>
      </w:r>
      <w:proofErr w:type="spellEnd"/>
      <w:r w:rsidR="0047179D" w:rsidRPr="00403220">
        <w:rPr>
          <w:rFonts w:cs="Times New Roman"/>
          <w:i/>
          <w:szCs w:val="24"/>
          <w:lang w:val="fr-CA"/>
        </w:rPr>
        <w:t xml:space="preserve"> </w:t>
      </w:r>
      <w:r w:rsidR="0047179D" w:rsidRPr="00403220">
        <w:rPr>
          <w:rFonts w:cs="Times New Roman"/>
          <w:szCs w:val="24"/>
          <w:lang w:val="fr-CA"/>
        </w:rPr>
        <w:t>dans l</w:t>
      </w:r>
      <w:r w:rsidR="008372AA" w:rsidRPr="00403220">
        <w:rPr>
          <w:rFonts w:cs="Times New Roman"/>
          <w:szCs w:val="24"/>
          <w:lang w:val="fr-CA"/>
        </w:rPr>
        <w:t>’</w:t>
      </w:r>
      <w:r w:rsidR="0047179D" w:rsidRPr="00403220">
        <w:rPr>
          <w:rFonts w:cs="Times New Roman"/>
          <w:szCs w:val="24"/>
          <w:lang w:val="fr-CA"/>
        </w:rPr>
        <w:t>un ou l</w:t>
      </w:r>
      <w:r w:rsidR="008372AA" w:rsidRPr="00403220">
        <w:rPr>
          <w:rFonts w:cs="Times New Roman"/>
          <w:szCs w:val="24"/>
          <w:lang w:val="fr-CA"/>
        </w:rPr>
        <w:t>’</w:t>
      </w:r>
      <w:r w:rsidR="0047179D" w:rsidRPr="00403220">
        <w:rPr>
          <w:rFonts w:cs="Times New Roman"/>
          <w:szCs w:val="24"/>
          <w:lang w:val="fr-CA"/>
        </w:rPr>
        <w:t>autre de ces liens.  À mon sens, compte tenu des fait</w:t>
      </w:r>
      <w:r w:rsidRPr="00403220">
        <w:rPr>
          <w:rFonts w:cs="Times New Roman"/>
          <w:szCs w:val="24"/>
          <w:lang w:val="fr-CA"/>
        </w:rPr>
        <w:t>s</w:t>
      </w:r>
      <w:r w:rsidR="0047179D" w:rsidRPr="00403220">
        <w:rPr>
          <w:rFonts w:cs="Times New Roman"/>
          <w:szCs w:val="24"/>
          <w:lang w:val="fr-CA"/>
        </w:rPr>
        <w:t xml:space="preserve"> allégués, le Canada n</w:t>
      </w:r>
      <w:r w:rsidR="008372AA" w:rsidRPr="00403220">
        <w:rPr>
          <w:rFonts w:cs="Times New Roman"/>
          <w:szCs w:val="24"/>
          <w:lang w:val="fr-CA"/>
        </w:rPr>
        <w:t>’</w:t>
      </w:r>
      <w:r w:rsidR="0047179D" w:rsidRPr="00403220">
        <w:rPr>
          <w:rFonts w:cs="Times New Roman"/>
          <w:szCs w:val="24"/>
          <w:lang w:val="fr-CA"/>
        </w:rPr>
        <w:t>avait pas d</w:t>
      </w:r>
      <w:r w:rsidR="008372AA" w:rsidRPr="00403220">
        <w:rPr>
          <w:rFonts w:cs="Times New Roman"/>
          <w:szCs w:val="24"/>
          <w:lang w:val="fr-CA"/>
        </w:rPr>
        <w:t>’</w:t>
      </w:r>
      <w:r w:rsidR="0047179D" w:rsidRPr="00403220">
        <w:rPr>
          <w:rFonts w:cs="Times New Roman"/>
          <w:szCs w:val="24"/>
          <w:lang w:val="fr-CA"/>
        </w:rPr>
        <w:t>obligation de ce genre envers les consommateurs, mais il en avait une envers les compagnies de tabac.</w:t>
      </w:r>
    </w:p>
    <w:p w:rsidR="0047179D" w:rsidRPr="00403220" w:rsidRDefault="0047179D" w:rsidP="005A33F7">
      <w:pPr>
        <w:pStyle w:val="ParaNoNdepar-AltN"/>
        <w:rPr>
          <w:rFonts w:cs="Times New Roman"/>
          <w:szCs w:val="24"/>
          <w:lang w:val="fr-CA"/>
        </w:rPr>
      </w:pPr>
      <w:r w:rsidRPr="00403220">
        <w:rPr>
          <w:rFonts w:cs="Times New Roman"/>
          <w:szCs w:val="24"/>
          <w:lang w:val="fr-CA"/>
        </w:rPr>
        <w:t>Les faits allégués dans l</w:t>
      </w:r>
      <w:r w:rsidR="008372AA" w:rsidRPr="00403220">
        <w:rPr>
          <w:rFonts w:cs="Times New Roman"/>
          <w:szCs w:val="24"/>
          <w:lang w:val="fr-CA"/>
        </w:rPr>
        <w:t>’</w:t>
      </w:r>
      <w:r w:rsidRPr="00403220">
        <w:rPr>
          <w:rFonts w:cs="Times New Roman"/>
          <w:szCs w:val="24"/>
          <w:lang w:val="fr-CA"/>
        </w:rPr>
        <w:t>avis de mise en cause d</w:t>
      </w:r>
      <w:r w:rsidR="008372AA" w:rsidRPr="00403220">
        <w:rPr>
          <w:rFonts w:cs="Times New Roman"/>
          <w:szCs w:val="24"/>
          <w:lang w:val="fr-CA"/>
        </w:rPr>
        <w:t>’</w:t>
      </w:r>
      <w:r w:rsidR="00847C22" w:rsidRPr="00403220">
        <w:rPr>
          <w:rFonts w:cs="Times New Roman"/>
          <w:szCs w:val="24"/>
          <w:lang w:val="fr-CA"/>
        </w:rPr>
        <w:t xml:space="preserve">Imperial </w:t>
      </w:r>
      <w:r w:rsidRPr="00403220">
        <w:rPr>
          <w:rFonts w:cs="Times New Roman"/>
          <w:szCs w:val="24"/>
          <w:lang w:val="fr-CA"/>
        </w:rPr>
        <w:t>dans</w:t>
      </w:r>
      <w:r w:rsidR="00B647BB" w:rsidRPr="00403220">
        <w:rPr>
          <w:rFonts w:cs="Times New Roman"/>
          <w:szCs w:val="24"/>
          <w:lang w:val="fr-CA"/>
        </w:rPr>
        <w:t xml:space="preserve">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xml:space="preserve"> n</w:t>
      </w:r>
      <w:r w:rsidR="008372AA" w:rsidRPr="00403220">
        <w:rPr>
          <w:rFonts w:cs="Times New Roman"/>
          <w:szCs w:val="24"/>
          <w:lang w:val="fr-CA"/>
        </w:rPr>
        <w:t>’</w:t>
      </w:r>
      <w:r w:rsidRPr="00403220">
        <w:rPr>
          <w:rFonts w:cs="Times New Roman"/>
          <w:szCs w:val="24"/>
          <w:lang w:val="fr-CA"/>
        </w:rPr>
        <w:t xml:space="preserve">établissent aucun lien direct entre le Canada et les </w:t>
      </w:r>
      <w:r w:rsidR="003C3FC0" w:rsidRPr="00403220">
        <w:rPr>
          <w:rFonts w:cs="Times New Roman"/>
          <w:szCs w:val="24"/>
          <w:lang w:val="fr-CA"/>
        </w:rPr>
        <w:t>consommateurs</w:t>
      </w:r>
      <w:r w:rsidRPr="00403220">
        <w:rPr>
          <w:rFonts w:cs="Times New Roman"/>
          <w:szCs w:val="24"/>
          <w:lang w:val="fr-CA"/>
        </w:rPr>
        <w:t xml:space="preserve"> de cigarettes légères.  Le lien </w:t>
      </w:r>
      <w:r w:rsidR="003C3FC0" w:rsidRPr="00403220">
        <w:rPr>
          <w:rFonts w:cs="Times New Roman"/>
          <w:szCs w:val="24"/>
          <w:lang w:val="fr-CA"/>
        </w:rPr>
        <w:t>dans ce cas</w:t>
      </w:r>
      <w:r w:rsidRPr="00403220">
        <w:rPr>
          <w:rFonts w:cs="Times New Roman"/>
          <w:szCs w:val="24"/>
          <w:lang w:val="fr-CA"/>
        </w:rPr>
        <w:t xml:space="preserve"> se limitait aux déclarations du Canada adressées au grand public selon lesquelles les cigarettes à faible teneur en goudron sont moins dangereuses pour la santé.  Le Canada n</w:t>
      </w:r>
      <w:r w:rsidR="008372AA" w:rsidRPr="00403220">
        <w:rPr>
          <w:rFonts w:cs="Times New Roman"/>
          <w:szCs w:val="24"/>
          <w:lang w:val="fr-CA"/>
        </w:rPr>
        <w:t>’</w:t>
      </w:r>
      <w:r w:rsidRPr="00403220">
        <w:rPr>
          <w:rFonts w:cs="Times New Roman"/>
          <w:szCs w:val="24"/>
          <w:lang w:val="fr-CA"/>
        </w:rPr>
        <w:t>entretenait pas de rapports spéciaux avec les membres du groupe.</w:t>
      </w:r>
      <w:r w:rsidR="00CF5CFD" w:rsidRPr="00403220">
        <w:rPr>
          <w:rFonts w:cs="Times New Roman"/>
          <w:szCs w:val="24"/>
          <w:lang w:val="fr-CA"/>
        </w:rPr>
        <w:t xml:space="preserve"> </w:t>
      </w:r>
      <w:r w:rsidRPr="00403220">
        <w:rPr>
          <w:rFonts w:cs="Times New Roman"/>
          <w:szCs w:val="24"/>
          <w:lang w:val="fr-CA"/>
        </w:rPr>
        <w:t xml:space="preserve"> Par conséquent, le constat qu</w:t>
      </w:r>
      <w:r w:rsidR="008372AA" w:rsidRPr="00403220">
        <w:rPr>
          <w:rFonts w:cs="Times New Roman"/>
          <w:szCs w:val="24"/>
          <w:lang w:val="fr-CA"/>
        </w:rPr>
        <w:t>’</w:t>
      </w:r>
      <w:r w:rsidRPr="00403220">
        <w:rPr>
          <w:rFonts w:cs="Times New Roman"/>
          <w:szCs w:val="24"/>
          <w:lang w:val="fr-CA"/>
        </w:rPr>
        <w:t>il s</w:t>
      </w:r>
      <w:r w:rsidR="008372AA" w:rsidRPr="00403220">
        <w:rPr>
          <w:rFonts w:cs="Times New Roman"/>
          <w:szCs w:val="24"/>
          <w:lang w:val="fr-CA"/>
        </w:rPr>
        <w:t>’</w:t>
      </w:r>
      <w:r w:rsidRPr="00403220">
        <w:rPr>
          <w:rFonts w:cs="Times New Roman"/>
          <w:szCs w:val="24"/>
          <w:lang w:val="fr-CA"/>
        </w:rPr>
        <w:t>agit d</w:t>
      </w:r>
      <w:r w:rsidR="008372AA" w:rsidRPr="00403220">
        <w:rPr>
          <w:rFonts w:cs="Times New Roman"/>
          <w:szCs w:val="24"/>
          <w:lang w:val="fr-CA"/>
        </w:rPr>
        <w:t>’</w:t>
      </w:r>
      <w:r w:rsidRPr="00403220">
        <w:rPr>
          <w:rFonts w:cs="Times New Roman"/>
          <w:szCs w:val="24"/>
          <w:lang w:val="fr-CA"/>
        </w:rPr>
        <w:t xml:space="preserve">un lien </w:t>
      </w:r>
      <w:r w:rsidR="00604A41" w:rsidRPr="00403220">
        <w:rPr>
          <w:rFonts w:cs="Times New Roman"/>
          <w:szCs w:val="24"/>
          <w:lang w:val="fr-CA"/>
        </w:rPr>
        <w:t xml:space="preserve">suffisamment </w:t>
      </w:r>
      <w:r w:rsidRPr="00403220">
        <w:rPr>
          <w:rFonts w:cs="Times New Roman"/>
          <w:szCs w:val="24"/>
          <w:lang w:val="fr-CA"/>
        </w:rPr>
        <w:t>étroit doit découler des lois applicables</w:t>
      </w:r>
      <w:r w:rsidR="00A54DAC" w:rsidRPr="00403220">
        <w:rPr>
          <w:rFonts w:cs="Times New Roman"/>
          <w:szCs w:val="24"/>
          <w:lang w:val="fr-CA"/>
        </w:rPr>
        <w:t> :</w:t>
      </w:r>
      <w:r w:rsidR="00CF5CFD" w:rsidRPr="00403220">
        <w:rPr>
          <w:rFonts w:cs="Times New Roman"/>
          <w:szCs w:val="24"/>
          <w:lang w:val="fr-CA"/>
        </w:rPr>
        <w:t xml:space="preserve"> </w:t>
      </w:r>
      <w:r w:rsidRPr="00403220">
        <w:rPr>
          <w:rFonts w:cs="Times New Roman"/>
          <w:i/>
          <w:szCs w:val="24"/>
          <w:lang w:val="fr-CA"/>
        </w:rPr>
        <w:t>Cooper</w:t>
      </w:r>
      <w:r w:rsidRPr="00403220">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 xml:space="preserve">43. </w:t>
      </w:r>
    </w:p>
    <w:p w:rsidR="0047179D" w:rsidRPr="00403220" w:rsidRDefault="0047179D" w:rsidP="008A225C">
      <w:pPr>
        <w:pStyle w:val="ParaNoNdepar-AltN"/>
        <w:rPr>
          <w:rFonts w:cs="Times New Roman"/>
          <w:szCs w:val="24"/>
          <w:lang w:val="fr-CA"/>
        </w:rPr>
      </w:pPr>
      <w:r w:rsidRPr="00403220">
        <w:rPr>
          <w:rFonts w:cs="Times New Roman"/>
          <w:szCs w:val="24"/>
          <w:lang w:val="fr-CA"/>
        </w:rPr>
        <w:t>Les lois pertinentes n</w:t>
      </w:r>
      <w:r w:rsidR="008372AA" w:rsidRPr="00403220">
        <w:rPr>
          <w:rFonts w:cs="Times New Roman"/>
          <w:szCs w:val="24"/>
          <w:lang w:val="fr-CA"/>
        </w:rPr>
        <w:t>’</w:t>
      </w:r>
      <w:r w:rsidRPr="00403220">
        <w:rPr>
          <w:rFonts w:cs="Times New Roman"/>
          <w:szCs w:val="24"/>
          <w:lang w:val="fr-CA"/>
        </w:rPr>
        <w:t xml:space="preserve">établissent que des obligations générales envers le public, et non des obligations de </w:t>
      </w:r>
      <w:r w:rsidR="003C3FC0" w:rsidRPr="00403220">
        <w:rPr>
          <w:rFonts w:cs="Times New Roman"/>
          <w:szCs w:val="24"/>
          <w:lang w:val="fr-CA"/>
        </w:rPr>
        <w:t>nature</w:t>
      </w:r>
      <w:r w:rsidRPr="00403220">
        <w:rPr>
          <w:rFonts w:cs="Times New Roman"/>
          <w:szCs w:val="24"/>
          <w:lang w:val="fr-CA"/>
        </w:rPr>
        <w:t xml:space="preserve"> privé</w:t>
      </w:r>
      <w:r w:rsidR="003C3FC0" w:rsidRPr="00403220">
        <w:rPr>
          <w:rFonts w:cs="Times New Roman"/>
          <w:szCs w:val="24"/>
          <w:lang w:val="fr-CA"/>
        </w:rPr>
        <w:t>e</w:t>
      </w:r>
      <w:r w:rsidRPr="00403220">
        <w:rPr>
          <w:rFonts w:cs="Times New Roman"/>
          <w:szCs w:val="24"/>
          <w:lang w:val="fr-CA"/>
        </w:rPr>
        <w:t xml:space="preserve"> envers les consommateurs.  Selon la </w:t>
      </w:r>
      <w:r w:rsidRPr="00403220">
        <w:rPr>
          <w:rFonts w:cs="Times New Roman"/>
          <w:i/>
          <w:szCs w:val="24"/>
          <w:lang w:val="fr-CA"/>
        </w:rPr>
        <w:t>Loi sur le ministère de la Santé</w:t>
      </w:r>
      <w:r w:rsidRPr="00403220">
        <w:rPr>
          <w:rFonts w:cs="Times New Roman"/>
          <w:szCs w:val="24"/>
          <w:lang w:val="fr-CA"/>
        </w:rPr>
        <w:t xml:space="preserve">, L.C. 1996, </w:t>
      </w:r>
      <w:r w:rsidR="00A54DAC" w:rsidRPr="00403220">
        <w:rPr>
          <w:rFonts w:cs="Times New Roman"/>
          <w:szCs w:val="24"/>
          <w:lang w:val="fr-CA"/>
        </w:rPr>
        <w:t>ch. </w:t>
      </w:r>
      <w:r w:rsidRPr="00403220">
        <w:rPr>
          <w:rFonts w:cs="Times New Roman"/>
          <w:szCs w:val="24"/>
          <w:lang w:val="fr-CA"/>
        </w:rPr>
        <w:t xml:space="preserve">8, les obligations du ministre de la Santé ont trait à </w:t>
      </w:r>
      <w:r w:rsidR="00856C6C" w:rsidRPr="00403220">
        <w:rPr>
          <w:rFonts w:cs="Times New Roman"/>
          <w:szCs w:val="24"/>
          <w:lang w:val="fr-CA"/>
        </w:rPr>
        <w:t>« </w:t>
      </w:r>
      <w:r w:rsidRPr="00403220">
        <w:rPr>
          <w:rFonts w:cs="Times New Roman"/>
          <w:szCs w:val="24"/>
          <w:lang w:val="fr-CA"/>
        </w:rPr>
        <w:t>la promotion et au maintien de la santé de la population</w:t>
      </w:r>
      <w:r w:rsidR="00856C6C" w:rsidRPr="00403220">
        <w:rPr>
          <w:rFonts w:cs="Times New Roman"/>
          <w:szCs w:val="24"/>
          <w:lang w:val="fr-CA"/>
        </w:rPr>
        <w:t> </w:t>
      </w:r>
      <w:r w:rsidRPr="00403220">
        <w:rPr>
          <w:rFonts w:cs="Times New Roman"/>
          <w:szCs w:val="24"/>
          <w:lang w:val="fr-CA"/>
        </w:rPr>
        <w:t>»</w:t>
      </w:r>
      <w:r w:rsidR="00A54DAC" w:rsidRPr="00403220">
        <w:rPr>
          <w:rFonts w:cs="Times New Roman"/>
          <w:szCs w:val="24"/>
          <w:lang w:val="fr-CA"/>
        </w:rPr>
        <w:t> :</w:t>
      </w:r>
      <w:r w:rsidRPr="00403220">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4(1).  Dans la même veine,</w:t>
      </w:r>
      <w:r w:rsidR="003C3FC0" w:rsidRPr="00403220">
        <w:rPr>
          <w:rFonts w:cs="Times New Roman"/>
          <w:szCs w:val="24"/>
          <w:lang w:val="fr-CA"/>
        </w:rPr>
        <w:t xml:space="preserve"> l</w:t>
      </w:r>
      <w:r w:rsidR="008372AA" w:rsidRPr="00403220">
        <w:rPr>
          <w:rFonts w:cs="Times New Roman"/>
          <w:szCs w:val="24"/>
          <w:lang w:val="fr-CA"/>
        </w:rPr>
        <w:t>’</w:t>
      </w:r>
      <w:r w:rsidR="00A54DAC" w:rsidRPr="00403220">
        <w:rPr>
          <w:rFonts w:cs="Times New Roman"/>
          <w:szCs w:val="24"/>
          <w:lang w:val="fr-CA"/>
        </w:rPr>
        <w:t>art. </w:t>
      </w:r>
      <w:r w:rsidR="003C3FC0" w:rsidRPr="00403220">
        <w:rPr>
          <w:rFonts w:cs="Times New Roman"/>
          <w:szCs w:val="24"/>
          <w:lang w:val="fr-CA"/>
        </w:rPr>
        <w:t>4</w:t>
      </w:r>
      <w:r w:rsidRPr="00403220">
        <w:rPr>
          <w:rFonts w:cs="Times New Roman"/>
          <w:szCs w:val="24"/>
          <w:lang w:val="fr-CA"/>
        </w:rPr>
        <w:t xml:space="preserve"> </w:t>
      </w:r>
      <w:r w:rsidR="003C3FC0" w:rsidRPr="00403220">
        <w:rPr>
          <w:rFonts w:cs="Times New Roman"/>
          <w:szCs w:val="24"/>
          <w:lang w:val="fr-CA"/>
        </w:rPr>
        <w:t xml:space="preserve">de </w:t>
      </w:r>
      <w:r w:rsidRPr="00403220">
        <w:rPr>
          <w:rFonts w:cs="Times New Roman"/>
          <w:szCs w:val="24"/>
          <w:lang w:val="fr-CA"/>
        </w:rPr>
        <w:t xml:space="preserve">la </w:t>
      </w:r>
      <w:r w:rsidRPr="00403220">
        <w:rPr>
          <w:rFonts w:cs="Times New Roman"/>
          <w:i/>
          <w:szCs w:val="24"/>
          <w:lang w:val="fr-CA"/>
        </w:rPr>
        <w:t>Loi sur le ministère de l</w:t>
      </w:r>
      <w:r w:rsidR="008372AA" w:rsidRPr="00403220">
        <w:rPr>
          <w:rFonts w:cs="Times New Roman"/>
          <w:i/>
          <w:szCs w:val="24"/>
          <w:lang w:val="fr-CA"/>
        </w:rPr>
        <w:t>’</w:t>
      </w:r>
      <w:r w:rsidRPr="00403220">
        <w:rPr>
          <w:rFonts w:cs="Times New Roman"/>
          <w:i/>
          <w:szCs w:val="24"/>
          <w:lang w:val="fr-CA"/>
        </w:rPr>
        <w:t xml:space="preserve">Agriculture et </w:t>
      </w:r>
      <w:r w:rsidRPr="00403220">
        <w:rPr>
          <w:rFonts w:cs="Times New Roman"/>
          <w:i/>
          <w:szCs w:val="24"/>
          <w:lang w:val="fr-CA"/>
        </w:rPr>
        <w:lastRenderedPageBreak/>
        <w:t>de l</w:t>
      </w:r>
      <w:r w:rsidR="008372AA" w:rsidRPr="00403220">
        <w:rPr>
          <w:rFonts w:cs="Times New Roman"/>
          <w:i/>
          <w:szCs w:val="24"/>
          <w:lang w:val="fr-CA"/>
        </w:rPr>
        <w:t>’</w:t>
      </w:r>
      <w:r w:rsidRPr="00403220">
        <w:rPr>
          <w:rFonts w:cs="Times New Roman"/>
          <w:i/>
          <w:szCs w:val="24"/>
          <w:lang w:val="fr-CA"/>
        </w:rPr>
        <w:t>Agroalimentaire</w:t>
      </w:r>
      <w:r w:rsidRPr="00403220">
        <w:rPr>
          <w:rFonts w:cs="Times New Roman"/>
          <w:szCs w:val="24"/>
          <w:lang w:val="fr-CA"/>
        </w:rPr>
        <w:t xml:space="preserve">, L.R.C. 1985, </w:t>
      </w:r>
      <w:r w:rsidR="00A54DAC" w:rsidRPr="00403220">
        <w:rPr>
          <w:rFonts w:cs="Times New Roman"/>
          <w:szCs w:val="24"/>
          <w:lang w:val="fr-CA"/>
        </w:rPr>
        <w:t>ch. </w:t>
      </w:r>
      <w:r w:rsidRPr="00403220">
        <w:rPr>
          <w:rFonts w:cs="Times New Roman"/>
          <w:szCs w:val="24"/>
          <w:lang w:val="fr-CA"/>
        </w:rPr>
        <w:t>A</w:t>
      </w:r>
      <w:r w:rsidR="00A54DAC" w:rsidRPr="00403220">
        <w:rPr>
          <w:rFonts w:cs="Times New Roman"/>
          <w:szCs w:val="24"/>
          <w:lang w:val="fr-CA"/>
        </w:rPr>
        <w:noBreakHyphen/>
      </w:r>
      <w:r w:rsidRPr="00403220">
        <w:rPr>
          <w:rFonts w:cs="Times New Roman"/>
          <w:szCs w:val="24"/>
          <w:lang w:val="fr-CA"/>
        </w:rPr>
        <w:t xml:space="preserve">9, </w:t>
      </w:r>
      <w:r w:rsidR="003C3FC0" w:rsidRPr="00403220">
        <w:rPr>
          <w:rFonts w:cs="Times New Roman"/>
          <w:szCs w:val="24"/>
          <w:lang w:val="fr-CA"/>
        </w:rPr>
        <w:t>l</w:t>
      </w:r>
      <w:r w:rsidR="008372AA" w:rsidRPr="00403220">
        <w:rPr>
          <w:rFonts w:cs="Times New Roman"/>
          <w:szCs w:val="24"/>
          <w:lang w:val="fr-CA"/>
        </w:rPr>
        <w:t>’</w:t>
      </w:r>
      <w:r w:rsidR="00A54DAC" w:rsidRPr="00403220">
        <w:rPr>
          <w:rFonts w:cs="Times New Roman"/>
          <w:szCs w:val="24"/>
          <w:lang w:val="fr-CA"/>
        </w:rPr>
        <w:t>art. </w:t>
      </w:r>
      <w:r w:rsidR="003C3FC0" w:rsidRPr="00403220">
        <w:rPr>
          <w:rFonts w:cs="Times New Roman"/>
          <w:szCs w:val="24"/>
          <w:lang w:val="fr-CA"/>
        </w:rPr>
        <w:t>4 de</w:t>
      </w:r>
      <w:r w:rsidRPr="00403220">
        <w:rPr>
          <w:rFonts w:cs="Times New Roman"/>
          <w:szCs w:val="24"/>
          <w:lang w:val="fr-CA"/>
        </w:rPr>
        <w:t xml:space="preserve"> la </w:t>
      </w:r>
      <w:r w:rsidRPr="00403220">
        <w:rPr>
          <w:rFonts w:cs="Times New Roman"/>
          <w:i/>
          <w:szCs w:val="24"/>
          <w:lang w:val="fr-CA"/>
        </w:rPr>
        <w:t>Loi sur le tabac</w:t>
      </w:r>
      <w:r w:rsidRPr="00403220">
        <w:rPr>
          <w:rFonts w:cs="Times New Roman"/>
          <w:szCs w:val="24"/>
          <w:lang w:val="fr-CA"/>
        </w:rPr>
        <w:t xml:space="preserve">, L.C. 1997, </w:t>
      </w:r>
      <w:r w:rsidR="00A54DAC" w:rsidRPr="00403220">
        <w:rPr>
          <w:rFonts w:cs="Times New Roman"/>
          <w:szCs w:val="24"/>
          <w:lang w:val="fr-CA"/>
        </w:rPr>
        <w:t>ch. </w:t>
      </w:r>
      <w:r w:rsidRPr="00403220">
        <w:rPr>
          <w:rFonts w:cs="Times New Roman"/>
          <w:szCs w:val="24"/>
          <w:lang w:val="fr-CA"/>
        </w:rPr>
        <w:t>13, et</w:t>
      </w:r>
      <w:r w:rsidR="003C3FC0" w:rsidRPr="00403220">
        <w:rPr>
          <w:rFonts w:cs="Times New Roman"/>
          <w:szCs w:val="24"/>
          <w:lang w:val="fr-CA"/>
        </w:rPr>
        <w:t xml:space="preserve"> l</w:t>
      </w:r>
      <w:r w:rsidR="008372AA" w:rsidRPr="00403220">
        <w:rPr>
          <w:rFonts w:cs="Times New Roman"/>
          <w:szCs w:val="24"/>
          <w:lang w:val="fr-CA"/>
        </w:rPr>
        <w:t>’</w:t>
      </w:r>
      <w:r w:rsidR="00A54DAC" w:rsidRPr="00403220">
        <w:rPr>
          <w:rFonts w:cs="Times New Roman"/>
          <w:szCs w:val="24"/>
          <w:lang w:val="fr-CA"/>
        </w:rPr>
        <w:t>art. </w:t>
      </w:r>
      <w:r w:rsidR="003C3FC0" w:rsidRPr="00403220">
        <w:rPr>
          <w:rFonts w:cs="Times New Roman"/>
          <w:szCs w:val="24"/>
          <w:lang w:val="fr-CA"/>
        </w:rPr>
        <w:t>3 de</w:t>
      </w:r>
      <w:r w:rsidRPr="00403220">
        <w:rPr>
          <w:rFonts w:cs="Times New Roman"/>
          <w:szCs w:val="24"/>
          <w:lang w:val="fr-CA"/>
        </w:rPr>
        <w:t xml:space="preserve"> la </w:t>
      </w:r>
      <w:r w:rsidRPr="00403220">
        <w:rPr>
          <w:rFonts w:cs="Times New Roman"/>
          <w:i/>
          <w:szCs w:val="24"/>
          <w:lang w:val="fr-CA"/>
        </w:rPr>
        <w:t>Loi réglementant les produits</w:t>
      </w:r>
      <w:r w:rsidRPr="00403220">
        <w:rPr>
          <w:rFonts w:cs="Times New Roman"/>
          <w:szCs w:val="24"/>
          <w:lang w:val="fr-CA"/>
        </w:rPr>
        <w:t xml:space="preserve"> </w:t>
      </w:r>
      <w:r w:rsidRPr="00403220">
        <w:rPr>
          <w:rFonts w:cs="Times New Roman"/>
          <w:i/>
          <w:szCs w:val="24"/>
          <w:lang w:val="fr-CA"/>
        </w:rPr>
        <w:t>du tabac</w:t>
      </w:r>
      <w:r w:rsidRPr="00403220">
        <w:rPr>
          <w:rFonts w:cs="Times New Roman"/>
          <w:szCs w:val="24"/>
          <w:lang w:val="fr-CA"/>
        </w:rPr>
        <w:t>, L.</w:t>
      </w:r>
      <w:r w:rsidR="00891AB5">
        <w:rPr>
          <w:rFonts w:cs="Times New Roman"/>
          <w:szCs w:val="24"/>
          <w:lang w:val="fr-CA"/>
        </w:rPr>
        <w:t>R.</w:t>
      </w:r>
      <w:r w:rsidRPr="00403220">
        <w:rPr>
          <w:rFonts w:cs="Times New Roman"/>
          <w:szCs w:val="24"/>
          <w:lang w:val="fr-CA"/>
        </w:rPr>
        <w:t>C. 198</w:t>
      </w:r>
      <w:r w:rsidR="00891AB5">
        <w:rPr>
          <w:rFonts w:cs="Times New Roman"/>
          <w:szCs w:val="24"/>
          <w:lang w:val="fr-CA"/>
        </w:rPr>
        <w:t>5</w:t>
      </w:r>
      <w:r w:rsidRPr="00403220">
        <w:rPr>
          <w:rFonts w:cs="Times New Roman"/>
          <w:szCs w:val="24"/>
          <w:lang w:val="fr-CA"/>
        </w:rPr>
        <w:t xml:space="preserve">, </w:t>
      </w:r>
      <w:r w:rsidR="00A54DAC" w:rsidRPr="00403220">
        <w:rPr>
          <w:rFonts w:cs="Times New Roman"/>
          <w:szCs w:val="24"/>
          <w:lang w:val="fr-CA"/>
        </w:rPr>
        <w:t>ch. </w:t>
      </w:r>
      <w:r w:rsidR="00891AB5">
        <w:rPr>
          <w:rFonts w:cs="Times New Roman"/>
          <w:szCs w:val="24"/>
          <w:lang w:val="fr-CA"/>
        </w:rPr>
        <w:t>14 (4</w:t>
      </w:r>
      <w:r w:rsidR="00891AB5" w:rsidRPr="00891AB5">
        <w:rPr>
          <w:rFonts w:cs="Times New Roman"/>
          <w:szCs w:val="24"/>
          <w:vertAlign w:val="superscript"/>
          <w:lang w:val="fr-CA"/>
        </w:rPr>
        <w:t>e</w:t>
      </w:r>
      <w:r w:rsidR="00891AB5">
        <w:rPr>
          <w:rFonts w:cs="Times New Roman"/>
          <w:szCs w:val="24"/>
          <w:lang w:val="fr-CA"/>
        </w:rPr>
        <w:t xml:space="preserve"> suppl.), art. 3 [</w:t>
      </w:r>
      <w:proofErr w:type="spellStart"/>
      <w:r w:rsidR="00891AB5">
        <w:rPr>
          <w:rFonts w:cs="Times New Roman"/>
          <w:szCs w:val="24"/>
          <w:lang w:val="fr-CA"/>
        </w:rPr>
        <w:t>abr</w:t>
      </w:r>
      <w:proofErr w:type="spellEnd"/>
      <w:r w:rsidR="00891AB5">
        <w:rPr>
          <w:rFonts w:cs="Times New Roman"/>
          <w:szCs w:val="24"/>
          <w:lang w:val="fr-CA"/>
        </w:rPr>
        <w:t>. 1997, ch. 13, art. 64]</w:t>
      </w:r>
      <w:r w:rsidRPr="00403220">
        <w:rPr>
          <w:rFonts w:cs="Times New Roman"/>
          <w:szCs w:val="24"/>
          <w:lang w:val="fr-CA"/>
        </w:rPr>
        <w:t xml:space="preserve">, ne prévoient </w:t>
      </w:r>
      <w:r w:rsidR="003C3FC0" w:rsidRPr="00403220">
        <w:rPr>
          <w:rFonts w:cs="Times New Roman"/>
          <w:szCs w:val="24"/>
          <w:lang w:val="fr-CA"/>
        </w:rPr>
        <w:t>eux</w:t>
      </w:r>
      <w:r w:rsidRPr="00403220">
        <w:rPr>
          <w:rFonts w:cs="Times New Roman"/>
          <w:szCs w:val="24"/>
          <w:lang w:val="fr-CA"/>
        </w:rPr>
        <w:t xml:space="preserve"> aussi que des obligations envers le grand public.  Ces obligations générales envers le public n</w:t>
      </w:r>
      <w:r w:rsidR="008372AA" w:rsidRPr="00403220">
        <w:rPr>
          <w:rFonts w:cs="Times New Roman"/>
          <w:szCs w:val="24"/>
          <w:lang w:val="fr-CA"/>
        </w:rPr>
        <w:t>’</w:t>
      </w:r>
      <w:r w:rsidRPr="00403220">
        <w:rPr>
          <w:rFonts w:cs="Times New Roman"/>
          <w:szCs w:val="24"/>
          <w:lang w:val="fr-CA"/>
        </w:rPr>
        <w:t>entraînent pas d</w:t>
      </w:r>
      <w:r w:rsidR="008372AA" w:rsidRPr="00403220">
        <w:rPr>
          <w:rFonts w:cs="Times New Roman"/>
          <w:szCs w:val="24"/>
          <w:lang w:val="fr-CA"/>
        </w:rPr>
        <w:t>’</w:t>
      </w:r>
      <w:r w:rsidRPr="00403220">
        <w:rPr>
          <w:rFonts w:cs="Times New Roman"/>
          <w:szCs w:val="24"/>
          <w:lang w:val="fr-CA"/>
        </w:rPr>
        <w:t xml:space="preserve">obligation de diligence de droit privé envers des personnes en particulier.  </w:t>
      </w:r>
      <w:r w:rsidR="00A6319C" w:rsidRPr="00403220">
        <w:rPr>
          <w:rFonts w:cs="Times New Roman"/>
          <w:szCs w:val="24"/>
          <w:lang w:val="fr-CA"/>
        </w:rPr>
        <w:t>Pour reprendre les termes utilisés par</w:t>
      </w:r>
      <w:r w:rsidRPr="00403220">
        <w:rPr>
          <w:rFonts w:cs="Times New Roman"/>
          <w:szCs w:val="24"/>
          <w:lang w:val="fr-CA"/>
        </w:rPr>
        <w:t xml:space="preserve"> </w:t>
      </w:r>
      <w:r w:rsidR="00941A1E">
        <w:rPr>
          <w:rFonts w:cs="Times New Roman"/>
          <w:szCs w:val="24"/>
          <w:lang w:val="fr-CA"/>
        </w:rPr>
        <w:t xml:space="preserve">le </w:t>
      </w:r>
      <w:r w:rsidR="008A225C" w:rsidRPr="00403220">
        <w:rPr>
          <w:rFonts w:cs="Times New Roman"/>
          <w:szCs w:val="24"/>
          <w:lang w:val="fr-CA"/>
        </w:rPr>
        <w:t xml:space="preserve">juge Sharpe de </w:t>
      </w:r>
      <w:r w:rsidRPr="00403220">
        <w:rPr>
          <w:rFonts w:cs="Times New Roman"/>
          <w:szCs w:val="24"/>
          <w:lang w:val="fr-CA"/>
        </w:rPr>
        <w:t>la Cour d</w:t>
      </w:r>
      <w:r w:rsidR="008372AA" w:rsidRPr="00403220">
        <w:rPr>
          <w:rFonts w:cs="Times New Roman"/>
          <w:szCs w:val="24"/>
          <w:lang w:val="fr-CA"/>
        </w:rPr>
        <w:t>’</w:t>
      </w:r>
      <w:r w:rsidRPr="00403220">
        <w:rPr>
          <w:rFonts w:cs="Times New Roman"/>
          <w:szCs w:val="24"/>
          <w:lang w:val="fr-CA"/>
        </w:rPr>
        <w:t>appel de l</w:t>
      </w:r>
      <w:r w:rsidR="008372AA" w:rsidRPr="00403220">
        <w:rPr>
          <w:rFonts w:cs="Times New Roman"/>
          <w:szCs w:val="24"/>
          <w:lang w:val="fr-CA"/>
        </w:rPr>
        <w:t>’</w:t>
      </w:r>
      <w:r w:rsidRPr="00403220">
        <w:rPr>
          <w:rFonts w:cs="Times New Roman"/>
          <w:szCs w:val="24"/>
          <w:lang w:val="fr-CA"/>
        </w:rPr>
        <w:t xml:space="preserve">Ontario dans </w:t>
      </w:r>
      <w:proofErr w:type="spellStart"/>
      <w:r w:rsidRPr="00403220">
        <w:rPr>
          <w:rFonts w:cs="Times New Roman"/>
          <w:bCs/>
          <w:i/>
          <w:szCs w:val="24"/>
          <w:lang w:val="fr-CA"/>
        </w:rPr>
        <w:t>Eliopoulos</w:t>
      </w:r>
      <w:proofErr w:type="spellEnd"/>
      <w:r w:rsidRPr="00403220">
        <w:rPr>
          <w:rFonts w:cs="Times New Roman"/>
          <w:bCs/>
          <w:i/>
          <w:szCs w:val="24"/>
          <w:lang w:val="fr-CA"/>
        </w:rPr>
        <w:t xml:space="preserve"> </w:t>
      </w:r>
      <w:proofErr w:type="spellStart"/>
      <w:r w:rsidRPr="00403220">
        <w:rPr>
          <w:rFonts w:cs="Times New Roman"/>
          <w:bCs/>
          <w:i/>
          <w:szCs w:val="24"/>
          <w:lang w:val="fr-CA"/>
        </w:rPr>
        <w:t>Estate</w:t>
      </w:r>
      <w:proofErr w:type="spellEnd"/>
      <w:r w:rsidRPr="00403220">
        <w:rPr>
          <w:rFonts w:cs="Times New Roman"/>
          <w:bCs/>
          <w:i/>
          <w:szCs w:val="24"/>
          <w:lang w:val="fr-CA"/>
        </w:rPr>
        <w:t xml:space="preserve"> c. Ontario (</w:t>
      </w:r>
      <w:proofErr w:type="spellStart"/>
      <w:r w:rsidRPr="00403220">
        <w:rPr>
          <w:rFonts w:cs="Times New Roman"/>
          <w:bCs/>
          <w:i/>
          <w:szCs w:val="24"/>
          <w:lang w:val="fr-CA"/>
        </w:rPr>
        <w:t>Minister</w:t>
      </w:r>
      <w:proofErr w:type="spellEnd"/>
      <w:r w:rsidRPr="00403220">
        <w:rPr>
          <w:rFonts w:cs="Times New Roman"/>
          <w:bCs/>
          <w:i/>
          <w:szCs w:val="24"/>
          <w:lang w:val="fr-CA"/>
        </w:rPr>
        <w:t xml:space="preserve"> of </w:t>
      </w:r>
      <w:proofErr w:type="spellStart"/>
      <w:r w:rsidRPr="00403220">
        <w:rPr>
          <w:rFonts w:cs="Times New Roman"/>
          <w:bCs/>
          <w:i/>
          <w:szCs w:val="24"/>
          <w:lang w:val="fr-CA"/>
        </w:rPr>
        <w:t>Health</w:t>
      </w:r>
      <w:proofErr w:type="spellEnd"/>
      <w:r w:rsidRPr="00403220">
        <w:rPr>
          <w:rFonts w:cs="Times New Roman"/>
          <w:bCs/>
          <w:i/>
          <w:szCs w:val="24"/>
          <w:lang w:val="fr-CA"/>
        </w:rPr>
        <w:t xml:space="preserve"> and Long</w:t>
      </w:r>
      <w:r w:rsidR="00AC4643">
        <w:rPr>
          <w:rFonts w:cs="Times New Roman"/>
          <w:bCs/>
          <w:i/>
          <w:szCs w:val="24"/>
          <w:lang w:val="fr-CA"/>
        </w:rPr>
        <w:t>-</w:t>
      </w:r>
      <w:proofErr w:type="spellStart"/>
      <w:r w:rsidRPr="00403220">
        <w:rPr>
          <w:rFonts w:cs="Times New Roman"/>
          <w:bCs/>
          <w:i/>
          <w:szCs w:val="24"/>
          <w:lang w:val="fr-CA"/>
        </w:rPr>
        <w:t>Term</w:t>
      </w:r>
      <w:proofErr w:type="spellEnd"/>
      <w:r w:rsidRPr="00403220">
        <w:rPr>
          <w:rFonts w:cs="Times New Roman"/>
          <w:bCs/>
          <w:i/>
          <w:szCs w:val="24"/>
          <w:lang w:val="fr-CA"/>
        </w:rPr>
        <w:t xml:space="preserve"> Care)</w:t>
      </w:r>
      <w:r w:rsidRPr="00403220">
        <w:rPr>
          <w:rFonts w:cs="Times New Roman"/>
          <w:bCs/>
          <w:szCs w:val="24"/>
          <w:lang w:val="fr-CA"/>
        </w:rPr>
        <w:t xml:space="preserve"> (2006), </w:t>
      </w:r>
      <w:r w:rsidRPr="00403220">
        <w:rPr>
          <w:rStyle w:val="canliicitation"/>
          <w:rFonts w:cs="Times New Roman"/>
          <w:szCs w:val="24"/>
          <w:lang w:val="fr-CA"/>
        </w:rPr>
        <w:t>276 D.L.R. (4th) 411</w:t>
      </w:r>
      <w:r w:rsidRPr="00403220">
        <w:rPr>
          <w:rFonts w:cs="Times New Roman"/>
          <w:szCs w:val="24"/>
          <w:lang w:val="fr-CA"/>
        </w:rPr>
        <w:t>, [</w:t>
      </w:r>
      <w:r w:rsidRPr="00403220">
        <w:rPr>
          <w:rFonts w:cs="Times New Roman"/>
          <w:smallCaps/>
          <w:szCs w:val="24"/>
          <w:lang w:val="fr-CA"/>
        </w:rPr>
        <w:t>traduction</w:t>
      </w:r>
      <w:r w:rsidRPr="00403220">
        <w:rPr>
          <w:rFonts w:cs="Times New Roman"/>
          <w:szCs w:val="24"/>
          <w:lang w:val="fr-CA"/>
        </w:rPr>
        <w:t>] «</w:t>
      </w:r>
      <w:r w:rsidR="003C3FC0" w:rsidRPr="00403220">
        <w:rPr>
          <w:rFonts w:cs="Times New Roman"/>
          <w:szCs w:val="24"/>
          <w:lang w:val="fr-CA"/>
        </w:rPr>
        <w:t> [</w:t>
      </w:r>
      <w:r w:rsidRPr="00403220">
        <w:rPr>
          <w:rFonts w:cs="Times New Roman"/>
          <w:szCs w:val="24"/>
          <w:lang w:val="fr-CA"/>
        </w:rPr>
        <w:t>j</w:t>
      </w:r>
      <w:r w:rsidR="003C3FC0" w:rsidRPr="00403220">
        <w:rPr>
          <w:rFonts w:cs="Times New Roman"/>
          <w:szCs w:val="24"/>
          <w:lang w:val="fr-CA"/>
        </w:rPr>
        <w:t>]</w:t>
      </w:r>
      <w:r w:rsidRPr="00403220">
        <w:rPr>
          <w:rFonts w:cs="Times New Roman"/>
          <w:szCs w:val="24"/>
          <w:lang w:val="fr-CA"/>
        </w:rPr>
        <w:t>e ne vois pas en quoi il serait possible de transformer l</w:t>
      </w:r>
      <w:r w:rsidR="008372AA" w:rsidRPr="00403220">
        <w:rPr>
          <w:rFonts w:cs="Times New Roman"/>
          <w:szCs w:val="24"/>
          <w:lang w:val="fr-CA"/>
        </w:rPr>
        <w:t>’</w:t>
      </w:r>
      <w:r w:rsidRPr="00403220">
        <w:rPr>
          <w:rFonts w:cs="Times New Roman"/>
          <w:szCs w:val="24"/>
          <w:lang w:val="fr-CA"/>
        </w:rPr>
        <w:t>un des pouvoirs discrétionnaires de droit public du ministre</w:t>
      </w:r>
      <w:r w:rsidR="003C3FC0" w:rsidRPr="00403220">
        <w:rPr>
          <w:rFonts w:cs="Times New Roman"/>
          <w:szCs w:val="24"/>
          <w:lang w:val="fr-CA"/>
        </w:rPr>
        <w:t>,</w:t>
      </w:r>
      <w:r w:rsidRPr="00403220">
        <w:rPr>
          <w:rFonts w:cs="Times New Roman"/>
          <w:szCs w:val="24"/>
          <w:lang w:val="fr-CA"/>
        </w:rPr>
        <w:t xml:space="preserve"> qui doivent être exercés dans l</w:t>
      </w:r>
      <w:r w:rsidR="008372AA" w:rsidRPr="00403220">
        <w:rPr>
          <w:rFonts w:cs="Times New Roman"/>
          <w:szCs w:val="24"/>
          <w:lang w:val="fr-CA"/>
        </w:rPr>
        <w:t>’</w:t>
      </w:r>
      <w:r w:rsidRPr="00403220">
        <w:rPr>
          <w:rFonts w:cs="Times New Roman"/>
          <w:szCs w:val="24"/>
          <w:lang w:val="fr-CA"/>
        </w:rPr>
        <w:t>intérêt public</w:t>
      </w:r>
      <w:r w:rsidR="003C3FC0" w:rsidRPr="00403220">
        <w:rPr>
          <w:rFonts w:cs="Times New Roman"/>
          <w:szCs w:val="24"/>
          <w:lang w:val="fr-CA"/>
        </w:rPr>
        <w:t>,</w:t>
      </w:r>
      <w:r w:rsidRPr="00403220">
        <w:rPr>
          <w:rFonts w:cs="Times New Roman"/>
          <w:szCs w:val="24"/>
          <w:lang w:val="fr-CA"/>
        </w:rPr>
        <w:t xml:space="preserve"> en obligations de droit privé envers des personnes </w:t>
      </w:r>
      <w:r w:rsidR="006603C4" w:rsidRPr="00403220">
        <w:rPr>
          <w:rFonts w:cs="Times New Roman"/>
          <w:szCs w:val="24"/>
          <w:lang w:val="fr-CA"/>
        </w:rPr>
        <w:t>en particulier </w:t>
      </w:r>
      <w:r w:rsidRPr="00403220">
        <w:rPr>
          <w:rFonts w:cs="Times New Roman"/>
          <w:szCs w:val="24"/>
          <w:lang w:val="fr-CA"/>
        </w:rPr>
        <w:t>»</w:t>
      </w:r>
      <w:r w:rsidR="00A54DAC" w:rsidRPr="00403220">
        <w:rPr>
          <w:rFonts w:cs="Times New Roman"/>
          <w:szCs w:val="24"/>
          <w:lang w:val="fr-CA"/>
        </w:rPr>
        <w:t> :</w:t>
      </w:r>
      <w:r w:rsidRPr="00403220">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17.  Par contre, les lois applicables n</w:t>
      </w:r>
      <w:r w:rsidR="008372AA" w:rsidRPr="00403220">
        <w:rPr>
          <w:rFonts w:cs="Times New Roman"/>
          <w:szCs w:val="24"/>
          <w:lang w:val="fr-CA"/>
        </w:rPr>
        <w:t>’</w:t>
      </w:r>
      <w:r w:rsidRPr="00403220">
        <w:rPr>
          <w:rFonts w:cs="Times New Roman"/>
          <w:szCs w:val="24"/>
          <w:lang w:val="fr-CA"/>
        </w:rPr>
        <w:t>excluent pas la possibilité de reconnaître une obligation de diligence envers les compagnies de tabac.  Le fait d</w:t>
      </w:r>
      <w:r w:rsidR="008372AA" w:rsidRPr="00403220">
        <w:rPr>
          <w:rFonts w:cs="Times New Roman"/>
          <w:szCs w:val="24"/>
          <w:lang w:val="fr-CA"/>
        </w:rPr>
        <w:t>’</w:t>
      </w:r>
      <w:r w:rsidRPr="00403220">
        <w:rPr>
          <w:rFonts w:cs="Times New Roman"/>
          <w:szCs w:val="24"/>
          <w:lang w:val="fr-CA"/>
        </w:rPr>
        <w:t>imposer au gouvernement une obligation de diligence lorsqu</w:t>
      </w:r>
      <w:r w:rsidR="008372AA" w:rsidRPr="00403220">
        <w:rPr>
          <w:rFonts w:cs="Times New Roman"/>
          <w:szCs w:val="24"/>
          <w:lang w:val="fr-CA"/>
        </w:rPr>
        <w:t>’</w:t>
      </w:r>
      <w:r w:rsidRPr="00403220">
        <w:rPr>
          <w:rFonts w:cs="Times New Roman"/>
          <w:szCs w:val="24"/>
          <w:lang w:val="fr-CA"/>
        </w:rPr>
        <w:t>il fait</w:t>
      </w:r>
      <w:r w:rsidR="00A6319C" w:rsidRPr="00403220">
        <w:rPr>
          <w:rFonts w:cs="Times New Roman"/>
          <w:szCs w:val="24"/>
          <w:lang w:val="fr-CA"/>
        </w:rPr>
        <w:t xml:space="preserve">, à ces compagnies, </w:t>
      </w:r>
      <w:r w:rsidRPr="00403220">
        <w:rPr>
          <w:rFonts w:cs="Times New Roman"/>
          <w:szCs w:val="24"/>
          <w:lang w:val="fr-CA"/>
        </w:rPr>
        <w:t xml:space="preserve">des déclarations relativement aux effets des souches de tabac sur la santé </w:t>
      </w:r>
      <w:r w:rsidR="00A6319C" w:rsidRPr="00403220">
        <w:rPr>
          <w:rFonts w:cs="Times New Roman"/>
          <w:szCs w:val="24"/>
          <w:lang w:val="fr-CA"/>
        </w:rPr>
        <w:t>ne serait pas incompatible avec</w:t>
      </w:r>
      <w:r w:rsidRPr="00403220">
        <w:rPr>
          <w:rFonts w:cs="Times New Roman"/>
          <w:szCs w:val="24"/>
          <w:lang w:val="fr-CA"/>
        </w:rPr>
        <w:t xml:space="preserve"> son obligation générale de protéger la santé de la population.</w:t>
      </w:r>
    </w:p>
    <w:p w:rsidR="007B5ED0" w:rsidRPr="00403220" w:rsidRDefault="0047179D" w:rsidP="005A33F7">
      <w:pPr>
        <w:pStyle w:val="ParaNoNdepar-AltN"/>
        <w:rPr>
          <w:rFonts w:cs="Times New Roman"/>
          <w:szCs w:val="24"/>
          <w:lang w:val="fr-CA"/>
        </w:rPr>
      </w:pPr>
      <w:r w:rsidRPr="00403220">
        <w:rPr>
          <w:rFonts w:cs="Times New Roman"/>
          <w:szCs w:val="24"/>
          <w:lang w:val="fr-CA"/>
        </w:rPr>
        <w:t>Passons au lien entre le Canada et les compagnies de tabac qui est en litige dans les deux affaires soumises à la Cour.  Selon les compagnies de tabac, les opérations qu</w:t>
      </w:r>
      <w:r w:rsidR="008372AA" w:rsidRPr="00403220">
        <w:rPr>
          <w:rFonts w:cs="Times New Roman"/>
          <w:szCs w:val="24"/>
          <w:lang w:val="fr-CA"/>
        </w:rPr>
        <w:t>’</w:t>
      </w:r>
      <w:r w:rsidRPr="00403220">
        <w:rPr>
          <w:rFonts w:cs="Times New Roman"/>
          <w:szCs w:val="24"/>
          <w:lang w:val="fr-CA"/>
        </w:rPr>
        <w:t>elles ont conclues avec le Canada au fil des ans ont imposé une obligation de diligence au Canada.  D</w:t>
      </w:r>
      <w:r w:rsidR="008372AA" w:rsidRPr="00403220">
        <w:rPr>
          <w:rFonts w:cs="Times New Roman"/>
          <w:szCs w:val="24"/>
          <w:lang w:val="fr-CA"/>
        </w:rPr>
        <w:t>’</w:t>
      </w:r>
      <w:r w:rsidRPr="00403220">
        <w:rPr>
          <w:rFonts w:cs="Times New Roman"/>
          <w:szCs w:val="24"/>
          <w:lang w:val="fr-CA"/>
        </w:rPr>
        <w:t xml:space="preserve">après elles, le Canada a dépassé les limites de </w:t>
      </w:r>
      <w:r w:rsidRPr="00403220">
        <w:rPr>
          <w:rFonts w:cs="Times New Roman"/>
          <w:szCs w:val="24"/>
          <w:lang w:val="fr-CA"/>
        </w:rPr>
        <w:lastRenderedPageBreak/>
        <w:t>son rôle comme autorité de réglementation des membres de l</w:t>
      </w:r>
      <w:r w:rsidR="008372AA" w:rsidRPr="00403220">
        <w:rPr>
          <w:rFonts w:cs="Times New Roman"/>
          <w:szCs w:val="24"/>
          <w:lang w:val="fr-CA"/>
        </w:rPr>
        <w:t>’</w:t>
      </w:r>
      <w:r w:rsidRPr="00403220">
        <w:rPr>
          <w:rFonts w:cs="Times New Roman"/>
          <w:szCs w:val="24"/>
          <w:lang w:val="fr-CA"/>
        </w:rPr>
        <w:t xml:space="preserve">industrie et a entretenu des rapports avec les compagnies de tabac en les conseillant et en les aidant à réduire le préjudice causé </w:t>
      </w:r>
      <w:r w:rsidR="002162BC" w:rsidRPr="00403220">
        <w:rPr>
          <w:rFonts w:cs="Times New Roman"/>
          <w:szCs w:val="24"/>
          <w:lang w:val="fr-CA"/>
        </w:rPr>
        <w:t>aux consommateurs de leurs produits</w:t>
      </w:r>
      <w:r w:rsidRPr="00403220">
        <w:rPr>
          <w:rFonts w:cs="Times New Roman"/>
          <w:szCs w:val="24"/>
          <w:lang w:val="fr-CA"/>
        </w:rPr>
        <w:t>.  Les compagnies de tabac espèrent démontrer que le Canada leur a donné des renseignements et des conseils erronés en sachant qu</w:t>
      </w:r>
      <w:r w:rsidR="008372AA" w:rsidRPr="00403220">
        <w:rPr>
          <w:rFonts w:cs="Times New Roman"/>
          <w:szCs w:val="24"/>
          <w:lang w:val="fr-CA"/>
        </w:rPr>
        <w:t>’</w:t>
      </w:r>
      <w:r w:rsidRPr="00403220">
        <w:rPr>
          <w:rFonts w:cs="Times New Roman"/>
          <w:szCs w:val="24"/>
          <w:lang w:val="fr-CA"/>
        </w:rPr>
        <w:t>elles s</w:t>
      </w:r>
      <w:r w:rsidR="008372AA" w:rsidRPr="00403220">
        <w:rPr>
          <w:rFonts w:cs="Times New Roman"/>
          <w:szCs w:val="24"/>
          <w:lang w:val="fr-CA"/>
        </w:rPr>
        <w:t>’</w:t>
      </w:r>
      <w:r w:rsidRPr="00403220">
        <w:rPr>
          <w:rFonts w:cs="Times New Roman"/>
          <w:szCs w:val="24"/>
          <w:lang w:val="fr-CA"/>
        </w:rPr>
        <w:t>y fieraient, ce qu</w:t>
      </w:r>
      <w:r w:rsidR="008372AA" w:rsidRPr="00403220">
        <w:rPr>
          <w:rFonts w:cs="Times New Roman"/>
          <w:szCs w:val="24"/>
          <w:lang w:val="fr-CA"/>
        </w:rPr>
        <w:t>’</w:t>
      </w:r>
      <w:r w:rsidRPr="00403220">
        <w:rPr>
          <w:rFonts w:cs="Times New Roman"/>
          <w:szCs w:val="24"/>
          <w:lang w:val="fr-CA"/>
        </w:rPr>
        <w:t>elles ont d</w:t>
      </w:r>
      <w:r w:rsidR="008372AA" w:rsidRPr="00403220">
        <w:rPr>
          <w:rFonts w:cs="Times New Roman"/>
          <w:szCs w:val="24"/>
          <w:lang w:val="fr-CA"/>
        </w:rPr>
        <w:t>’</w:t>
      </w:r>
      <w:r w:rsidRPr="00403220">
        <w:rPr>
          <w:rFonts w:cs="Times New Roman"/>
          <w:szCs w:val="24"/>
          <w:lang w:val="fr-CA"/>
        </w:rPr>
        <w:t xml:space="preserve">ailleurs fait.  </w:t>
      </w:r>
    </w:p>
    <w:p w:rsidR="0047179D" w:rsidRPr="00403220" w:rsidRDefault="0047179D" w:rsidP="005A33F7">
      <w:pPr>
        <w:pStyle w:val="ParaNoNdepar-AltN"/>
        <w:rPr>
          <w:rFonts w:cs="Times New Roman"/>
          <w:szCs w:val="24"/>
          <w:lang w:val="fr-CA"/>
        </w:rPr>
      </w:pPr>
      <w:r w:rsidRPr="00403220">
        <w:rPr>
          <w:rFonts w:cs="Times New Roman"/>
          <w:szCs w:val="24"/>
          <w:lang w:val="fr-CA"/>
        </w:rPr>
        <w:t>Il s</w:t>
      </w:r>
      <w:r w:rsidR="008372AA" w:rsidRPr="00403220">
        <w:rPr>
          <w:rFonts w:cs="Times New Roman"/>
          <w:szCs w:val="24"/>
          <w:lang w:val="fr-CA"/>
        </w:rPr>
        <w:t>’</w:t>
      </w:r>
      <w:r w:rsidRPr="00403220">
        <w:rPr>
          <w:rFonts w:cs="Times New Roman"/>
          <w:szCs w:val="24"/>
          <w:lang w:val="fr-CA"/>
        </w:rPr>
        <w:t xml:space="preserve">agit de déterminer si les actes de procédure mentionnés </w:t>
      </w:r>
      <w:proofErr w:type="spellStart"/>
      <w:r w:rsidRPr="00403220">
        <w:rPr>
          <w:rFonts w:cs="Times New Roman"/>
          <w:szCs w:val="24"/>
          <w:lang w:val="fr-CA"/>
        </w:rPr>
        <w:t>ci</w:t>
      </w:r>
      <w:r w:rsidR="00A54DAC" w:rsidRPr="00403220">
        <w:rPr>
          <w:rFonts w:cs="Times New Roman"/>
          <w:szCs w:val="24"/>
          <w:lang w:val="fr-CA"/>
        </w:rPr>
        <w:noBreakHyphen/>
      </w:r>
      <w:r w:rsidRPr="00403220">
        <w:rPr>
          <w:rFonts w:cs="Times New Roman"/>
          <w:szCs w:val="24"/>
          <w:lang w:val="fr-CA"/>
        </w:rPr>
        <w:t>dessus</w:t>
      </w:r>
      <w:proofErr w:type="spellEnd"/>
      <w:r w:rsidRPr="00403220">
        <w:rPr>
          <w:rFonts w:cs="Times New Roman"/>
          <w:szCs w:val="24"/>
          <w:lang w:val="fr-CA"/>
        </w:rPr>
        <w:t xml:space="preserve"> font en sorte que les compagnies de tabac répondent aux conditions d</w:t>
      </w:r>
      <w:r w:rsidR="008372AA" w:rsidRPr="00403220">
        <w:rPr>
          <w:rFonts w:cs="Times New Roman"/>
          <w:szCs w:val="24"/>
          <w:lang w:val="fr-CA"/>
        </w:rPr>
        <w:t>’</w:t>
      </w:r>
      <w:r w:rsidRPr="00403220">
        <w:rPr>
          <w:rFonts w:cs="Times New Roman"/>
          <w:szCs w:val="24"/>
          <w:lang w:val="fr-CA"/>
        </w:rPr>
        <w:t xml:space="preserve">un lien spécial </w:t>
      </w:r>
      <w:r w:rsidR="008E61EA" w:rsidRPr="00403220">
        <w:rPr>
          <w:rFonts w:cs="Times New Roman"/>
          <w:szCs w:val="24"/>
          <w:lang w:val="fr-CA"/>
        </w:rPr>
        <w:t>selon le</w:t>
      </w:r>
      <w:r w:rsidRPr="00403220">
        <w:rPr>
          <w:rFonts w:cs="Times New Roman"/>
          <w:szCs w:val="24"/>
          <w:lang w:val="fr-CA"/>
        </w:rPr>
        <w:t xml:space="preserve"> droit </w:t>
      </w:r>
      <w:r w:rsidR="008E61EA" w:rsidRPr="00403220">
        <w:rPr>
          <w:rFonts w:cs="Times New Roman"/>
          <w:szCs w:val="24"/>
          <w:lang w:val="fr-CA"/>
        </w:rPr>
        <w:t>en matière de</w:t>
      </w:r>
      <w:r w:rsidRPr="00403220">
        <w:rPr>
          <w:rFonts w:cs="Times New Roman"/>
          <w:szCs w:val="24"/>
          <w:lang w:val="fr-CA"/>
        </w:rPr>
        <w:t xml:space="preserve"> déclaration inexacte faite par négligence qui sont énoncées dans </w:t>
      </w:r>
      <w:r w:rsidRPr="00403220">
        <w:rPr>
          <w:rFonts w:cs="Times New Roman"/>
          <w:i/>
          <w:szCs w:val="24"/>
          <w:lang w:val="fr-CA"/>
        </w:rPr>
        <w:t>Hercules Management</w:t>
      </w:r>
      <w:r w:rsidR="008B6E53" w:rsidRPr="00403220">
        <w:rPr>
          <w:rFonts w:cs="Times New Roman"/>
          <w:i/>
          <w:szCs w:val="24"/>
          <w:lang w:val="fr-CA"/>
        </w:rPr>
        <w:t>s</w:t>
      </w:r>
      <w:r w:rsidRPr="00403220">
        <w:rPr>
          <w:rFonts w:cs="Times New Roman"/>
          <w:szCs w:val="24"/>
          <w:lang w:val="fr-CA"/>
        </w:rPr>
        <w:t>.  Comme je l</w:t>
      </w:r>
      <w:r w:rsidR="008372AA" w:rsidRPr="00403220">
        <w:rPr>
          <w:rFonts w:cs="Times New Roman"/>
          <w:szCs w:val="24"/>
          <w:lang w:val="fr-CA"/>
        </w:rPr>
        <w:t>’</w:t>
      </w:r>
      <w:r w:rsidRPr="00403220">
        <w:rPr>
          <w:rFonts w:cs="Times New Roman"/>
          <w:szCs w:val="24"/>
          <w:lang w:val="fr-CA"/>
        </w:rPr>
        <w:t>ai mentionné, un lien spécial est établi lorsque (1)</w:t>
      </w:r>
      <w:r w:rsidR="007118A3" w:rsidRPr="00403220">
        <w:rPr>
          <w:rFonts w:cs="Times New Roman"/>
          <w:szCs w:val="24"/>
          <w:lang w:val="fr-CA"/>
        </w:rPr>
        <w:t> </w:t>
      </w:r>
      <w:r w:rsidRPr="00403220">
        <w:rPr>
          <w:rFonts w:cs="Times New Roman"/>
          <w:szCs w:val="24"/>
          <w:lang w:val="fr-CA"/>
        </w:rPr>
        <w:t>le défendeur doit raisonnablement prévoir que le demandeur se fie</w:t>
      </w:r>
      <w:r w:rsidR="007118A3" w:rsidRPr="00403220">
        <w:rPr>
          <w:rFonts w:cs="Times New Roman"/>
          <w:szCs w:val="24"/>
          <w:lang w:val="fr-CA"/>
        </w:rPr>
        <w:t>ra à sa déclaration, et que (2) </w:t>
      </w:r>
      <w:r w:rsidRPr="00403220">
        <w:rPr>
          <w:rFonts w:cs="Times New Roman"/>
          <w:szCs w:val="24"/>
          <w:lang w:val="fr-CA"/>
        </w:rPr>
        <w:t>la confiance accordée par le demandeur serait raisonnable dans les circonstances.  En l</w:t>
      </w:r>
      <w:r w:rsidR="008372AA" w:rsidRPr="00403220">
        <w:rPr>
          <w:rFonts w:cs="Times New Roman"/>
          <w:szCs w:val="24"/>
          <w:lang w:val="fr-CA"/>
        </w:rPr>
        <w:t>’</w:t>
      </w:r>
      <w:r w:rsidRPr="00403220">
        <w:rPr>
          <w:rFonts w:cs="Times New Roman"/>
          <w:szCs w:val="24"/>
          <w:lang w:val="fr-CA"/>
        </w:rPr>
        <w:t xml:space="preserve">espèce, les faits allégués révèlent </w:t>
      </w:r>
      <w:r w:rsidR="003C3FC0" w:rsidRPr="00403220">
        <w:rPr>
          <w:rFonts w:cs="Times New Roman"/>
          <w:szCs w:val="24"/>
          <w:lang w:val="fr-CA"/>
        </w:rPr>
        <w:t xml:space="preserve">que le Canada et les compagnies de tabac entretiennent depuis longtemps </w:t>
      </w:r>
      <w:r w:rsidRPr="00403220">
        <w:rPr>
          <w:rFonts w:cs="Times New Roman"/>
          <w:szCs w:val="24"/>
          <w:lang w:val="fr-CA"/>
        </w:rPr>
        <w:t xml:space="preserve">des rapports qui </w:t>
      </w:r>
      <w:r w:rsidR="003C3FC0" w:rsidRPr="00403220">
        <w:rPr>
          <w:rFonts w:cs="Times New Roman"/>
          <w:szCs w:val="24"/>
          <w:lang w:val="fr-CA"/>
        </w:rPr>
        <w:t>peuvent remplir ces conditions.</w:t>
      </w:r>
    </w:p>
    <w:p w:rsidR="0047179D" w:rsidRPr="00403220" w:rsidRDefault="0047179D" w:rsidP="005A33F7">
      <w:pPr>
        <w:pStyle w:val="ParaNoNdepar-AltN"/>
        <w:rPr>
          <w:rFonts w:cs="Times New Roman"/>
          <w:szCs w:val="24"/>
          <w:lang w:val="fr-CA"/>
        </w:rPr>
      </w:pPr>
      <w:r w:rsidRPr="00403220">
        <w:rPr>
          <w:rFonts w:cs="Times New Roman"/>
          <w:szCs w:val="24"/>
          <w:lang w:val="fr-CA"/>
        </w:rPr>
        <w:t>Ce qu</w:t>
      </w:r>
      <w:r w:rsidR="008372AA" w:rsidRPr="00403220">
        <w:rPr>
          <w:rFonts w:cs="Times New Roman"/>
          <w:szCs w:val="24"/>
          <w:lang w:val="fr-CA"/>
        </w:rPr>
        <w:t>’</w:t>
      </w:r>
      <w:r w:rsidRPr="00403220">
        <w:rPr>
          <w:rFonts w:cs="Times New Roman"/>
          <w:szCs w:val="24"/>
          <w:lang w:val="fr-CA"/>
        </w:rPr>
        <w:t>on reproche au Canada, c</w:t>
      </w:r>
      <w:r w:rsidR="008372AA" w:rsidRPr="00403220">
        <w:rPr>
          <w:rFonts w:cs="Times New Roman"/>
          <w:szCs w:val="24"/>
          <w:lang w:val="fr-CA"/>
        </w:rPr>
        <w:t>’</w:t>
      </w:r>
      <w:r w:rsidRPr="00403220">
        <w:rPr>
          <w:rFonts w:cs="Times New Roman"/>
          <w:szCs w:val="24"/>
          <w:lang w:val="fr-CA"/>
        </w:rPr>
        <w:t>est que Santé Canada a exercé des fonctions distinctes de celles prévues par sa loi habilitante, y compris de</w:t>
      </w:r>
      <w:r w:rsidR="003C3FC0" w:rsidRPr="00403220">
        <w:rPr>
          <w:rFonts w:cs="Times New Roman"/>
          <w:szCs w:val="24"/>
          <w:lang w:val="fr-CA"/>
        </w:rPr>
        <w:t>s</w:t>
      </w:r>
      <w:r w:rsidRPr="00403220">
        <w:rPr>
          <w:rFonts w:cs="Times New Roman"/>
          <w:szCs w:val="24"/>
          <w:lang w:val="fr-CA"/>
        </w:rPr>
        <w:t xml:space="preserve"> recherche</w:t>
      </w:r>
      <w:r w:rsidR="003C3FC0" w:rsidRPr="00403220">
        <w:rPr>
          <w:rFonts w:cs="Times New Roman"/>
          <w:szCs w:val="24"/>
          <w:lang w:val="fr-CA"/>
        </w:rPr>
        <w:t>s</w:t>
      </w:r>
      <w:r w:rsidRPr="00403220">
        <w:rPr>
          <w:rFonts w:cs="Times New Roman"/>
          <w:szCs w:val="24"/>
          <w:lang w:val="fr-CA"/>
        </w:rPr>
        <w:t xml:space="preserve"> sur le tabac et de</w:t>
      </w:r>
      <w:r w:rsidR="003C3FC0" w:rsidRPr="00403220">
        <w:rPr>
          <w:rFonts w:cs="Times New Roman"/>
          <w:szCs w:val="24"/>
          <w:lang w:val="fr-CA"/>
        </w:rPr>
        <w:t>s produits du tabac ainsi que la</w:t>
      </w:r>
      <w:r w:rsidRPr="00403220">
        <w:rPr>
          <w:rFonts w:cs="Times New Roman"/>
          <w:szCs w:val="24"/>
          <w:lang w:val="fr-CA"/>
        </w:rPr>
        <w:t xml:space="preserve"> conception et l</w:t>
      </w:r>
      <w:r w:rsidR="003C3FC0" w:rsidRPr="00403220">
        <w:rPr>
          <w:rFonts w:cs="Times New Roman"/>
          <w:szCs w:val="24"/>
          <w:lang w:val="fr-CA"/>
        </w:rPr>
        <w:t>a</w:t>
      </w:r>
      <w:r w:rsidRPr="00403220">
        <w:rPr>
          <w:rFonts w:cs="Times New Roman"/>
          <w:szCs w:val="24"/>
          <w:lang w:val="fr-CA"/>
        </w:rPr>
        <w:t xml:space="preserve"> promotion</w:t>
      </w:r>
      <w:r w:rsidR="003C3FC0" w:rsidRPr="00403220">
        <w:rPr>
          <w:rFonts w:cs="Times New Roman"/>
          <w:szCs w:val="24"/>
          <w:lang w:val="fr-CA"/>
        </w:rPr>
        <w:t xml:space="preserve"> du tabac et des produits du tabac</w:t>
      </w:r>
      <w:r w:rsidRPr="00403220">
        <w:rPr>
          <w:rFonts w:cs="Times New Roman"/>
          <w:szCs w:val="24"/>
          <w:lang w:val="fr-CA"/>
        </w:rPr>
        <w:t xml:space="preserve"> (déclaration de mise en cause </w:t>
      </w:r>
      <w:r w:rsidR="00CA1DB0" w:rsidRPr="00403220">
        <w:rPr>
          <w:rFonts w:cs="Times New Roman"/>
          <w:szCs w:val="24"/>
          <w:lang w:val="fr-CA"/>
        </w:rPr>
        <w:t>d’</w:t>
      </w:r>
      <w:r w:rsidR="00847C22" w:rsidRPr="00403220">
        <w:rPr>
          <w:rFonts w:cs="Times New Roman"/>
          <w:szCs w:val="24"/>
          <w:lang w:val="fr-CA"/>
        </w:rPr>
        <w:t xml:space="preserve">Imperial </w:t>
      </w:r>
      <w:r w:rsidR="00CA1DB0" w:rsidRPr="00403220">
        <w:rPr>
          <w:rFonts w:cs="Times New Roman"/>
          <w:szCs w:val="24"/>
          <w:lang w:val="fr-CA"/>
        </w:rPr>
        <w:t>dans l’</w:t>
      </w:r>
      <w:r w:rsidR="00CA1DB0" w:rsidRPr="00403220">
        <w:rPr>
          <w:rFonts w:cs="Times New Roman"/>
          <w:i/>
          <w:szCs w:val="24"/>
          <w:lang w:val="fr-CA"/>
        </w:rPr>
        <w:t>Affaire du recouvrement des coûts</w:t>
      </w:r>
      <w:r w:rsidRPr="00403220">
        <w:rPr>
          <w:rFonts w:cs="Times New Roman"/>
          <w:szCs w:val="24"/>
          <w:lang w:val="fr-CA"/>
        </w:rPr>
        <w:t>, d.a.</w:t>
      </w:r>
      <w:r w:rsidR="00CA1DB0" w:rsidRPr="00403220">
        <w:rPr>
          <w:rFonts w:cs="Times New Roman"/>
          <w:szCs w:val="24"/>
          <w:lang w:val="fr-CA"/>
        </w:rPr>
        <w:t>, vol</w:t>
      </w:r>
      <w:r w:rsidR="00B21DC2">
        <w:rPr>
          <w:rFonts w:cs="Times New Roman"/>
          <w:szCs w:val="24"/>
          <w:lang w:val="fr-CA"/>
        </w:rPr>
        <w:t>. II</w:t>
      </w:r>
      <w:r w:rsidRPr="00403220">
        <w:rPr>
          <w:rFonts w:cs="Times New Roman"/>
          <w:szCs w:val="24"/>
          <w:lang w:val="fr-CA"/>
        </w:rPr>
        <w:t xml:space="preserve">, </w:t>
      </w:r>
      <w:r w:rsidR="00A54DAC" w:rsidRPr="00403220">
        <w:rPr>
          <w:rFonts w:cs="Times New Roman"/>
          <w:szCs w:val="24"/>
          <w:lang w:val="fr-CA"/>
        </w:rPr>
        <w:t>p. </w:t>
      </w:r>
      <w:r w:rsidRPr="00403220">
        <w:rPr>
          <w:rFonts w:cs="Times New Roman"/>
          <w:szCs w:val="24"/>
          <w:lang w:val="fr-CA"/>
        </w:rPr>
        <w:t>66).  Il est aussi allégué qu</w:t>
      </w:r>
      <w:r w:rsidR="008372AA" w:rsidRPr="00403220">
        <w:rPr>
          <w:rFonts w:cs="Times New Roman"/>
          <w:szCs w:val="24"/>
          <w:lang w:val="fr-CA"/>
        </w:rPr>
        <w:t>’</w:t>
      </w:r>
      <w:r w:rsidRPr="00403220">
        <w:rPr>
          <w:rFonts w:cs="Times New Roman"/>
          <w:szCs w:val="24"/>
          <w:lang w:val="fr-CA"/>
        </w:rPr>
        <w:t xml:space="preserve">Agriculture </w:t>
      </w:r>
      <w:r w:rsidRPr="00403220">
        <w:rPr>
          <w:rFonts w:cs="Times New Roman"/>
          <w:szCs w:val="24"/>
          <w:lang w:val="fr-CA"/>
        </w:rPr>
        <w:lastRenderedPageBreak/>
        <w:t xml:space="preserve">Canada a mis en œuvre un programme de coopération et de soutien destiné aux producteurs de tabac et aux fabricants de cigarettes, notamment en avisant ces derniers de la teneur en nicotine que devrait avoir </w:t>
      </w:r>
      <w:r w:rsidR="008E61EA" w:rsidRPr="00403220">
        <w:rPr>
          <w:rFonts w:cs="Times New Roman"/>
          <w:szCs w:val="24"/>
          <w:lang w:val="fr-CA"/>
        </w:rPr>
        <w:t xml:space="preserve">le tabac utilisé pour la fabrication des </w:t>
      </w:r>
      <w:r w:rsidRPr="00403220">
        <w:rPr>
          <w:rFonts w:cs="Times New Roman"/>
          <w:szCs w:val="24"/>
          <w:lang w:val="fr-CA"/>
        </w:rPr>
        <w:t>produits du tabac.  On allègue que des fonctionnaires ont fait appel à leurs connaissances et à leur expertise dans les domaines de l</w:t>
      </w:r>
      <w:r w:rsidR="008372AA" w:rsidRPr="00403220">
        <w:rPr>
          <w:rFonts w:cs="Times New Roman"/>
          <w:szCs w:val="24"/>
          <w:lang w:val="fr-CA"/>
        </w:rPr>
        <w:t>’</w:t>
      </w:r>
      <w:r w:rsidRPr="00403220">
        <w:rPr>
          <w:rFonts w:cs="Times New Roman"/>
          <w:szCs w:val="24"/>
          <w:lang w:val="fr-CA"/>
        </w:rPr>
        <w:t xml:space="preserve">usage du tabac et de la santé pour fournir à la fois des avis et des instructions aux fabricants, en les avisant </w:t>
      </w:r>
      <w:r w:rsidR="003C3FC0" w:rsidRPr="00403220">
        <w:rPr>
          <w:rFonts w:cs="Times New Roman"/>
          <w:szCs w:val="24"/>
          <w:lang w:val="fr-CA"/>
        </w:rPr>
        <w:t>notamment</w:t>
      </w:r>
      <w:r w:rsidRPr="00403220">
        <w:rPr>
          <w:rFonts w:cs="Times New Roman"/>
          <w:szCs w:val="24"/>
          <w:lang w:val="fr-CA"/>
        </w:rPr>
        <w:t xml:space="preserve"> que les souches de tabac conçues et </w:t>
      </w:r>
      <w:r w:rsidR="008E61EA" w:rsidRPr="00403220">
        <w:rPr>
          <w:rFonts w:cs="Times New Roman"/>
          <w:szCs w:val="24"/>
          <w:lang w:val="fr-CA"/>
        </w:rPr>
        <w:t>mises au point</w:t>
      </w:r>
      <w:r w:rsidRPr="00403220">
        <w:rPr>
          <w:rFonts w:cs="Times New Roman"/>
          <w:szCs w:val="24"/>
          <w:lang w:val="fr-CA"/>
        </w:rPr>
        <w:t xml:space="preserve"> par des fonctionnaires d</w:t>
      </w:r>
      <w:r w:rsidR="008372AA" w:rsidRPr="00403220">
        <w:rPr>
          <w:rFonts w:cs="Times New Roman"/>
          <w:szCs w:val="24"/>
          <w:lang w:val="fr-CA"/>
        </w:rPr>
        <w:t>’</w:t>
      </w:r>
      <w:r w:rsidRPr="00403220">
        <w:rPr>
          <w:rFonts w:cs="Times New Roman"/>
          <w:szCs w:val="24"/>
          <w:lang w:val="fr-CA"/>
        </w:rPr>
        <w:t xml:space="preserve">Agriculture </w:t>
      </w:r>
      <w:r w:rsidR="008E61EA" w:rsidRPr="00403220">
        <w:rPr>
          <w:rFonts w:cs="Times New Roman"/>
          <w:szCs w:val="24"/>
          <w:lang w:val="fr-CA"/>
        </w:rPr>
        <w:t>Canada,</w:t>
      </w:r>
      <w:r w:rsidRPr="00403220">
        <w:rPr>
          <w:rFonts w:cs="Times New Roman"/>
          <w:szCs w:val="24"/>
          <w:lang w:val="fr-CA"/>
        </w:rPr>
        <w:t xml:space="preserve"> qui leur ont été vendues ou pour lesquelles des licences leur ont été octroyées</w:t>
      </w:r>
      <w:r w:rsidR="008E61EA" w:rsidRPr="00403220">
        <w:rPr>
          <w:rFonts w:cs="Times New Roman"/>
          <w:szCs w:val="24"/>
          <w:lang w:val="fr-CA"/>
        </w:rPr>
        <w:t xml:space="preserve">, </w:t>
      </w:r>
      <w:r w:rsidRPr="00403220">
        <w:rPr>
          <w:rFonts w:cs="Times New Roman"/>
          <w:szCs w:val="24"/>
          <w:lang w:val="fr-CA"/>
        </w:rPr>
        <w:t>n</w:t>
      </w:r>
      <w:r w:rsidR="008372AA" w:rsidRPr="00403220">
        <w:rPr>
          <w:rFonts w:cs="Times New Roman"/>
          <w:szCs w:val="24"/>
          <w:lang w:val="fr-CA"/>
        </w:rPr>
        <w:t>’</w:t>
      </w:r>
      <w:r w:rsidRPr="00403220">
        <w:rPr>
          <w:rFonts w:cs="Times New Roman"/>
          <w:szCs w:val="24"/>
          <w:lang w:val="fr-CA"/>
        </w:rPr>
        <w:t>exposeraient pas les consommateurs à des dangers accrus pour leur santé, ni ne leur seraient autrement néfastes (</w:t>
      </w:r>
      <w:r w:rsidR="00B21DC2" w:rsidRPr="00B21DC2">
        <w:rPr>
          <w:rFonts w:cs="Times New Roman"/>
          <w:i/>
          <w:szCs w:val="24"/>
          <w:lang w:val="fr-CA"/>
        </w:rPr>
        <w:t>ibid.</w:t>
      </w:r>
      <w:r w:rsidR="00B21DC2">
        <w:rPr>
          <w:rFonts w:cs="Times New Roman"/>
          <w:szCs w:val="24"/>
          <w:lang w:val="fr-CA"/>
        </w:rPr>
        <w:t xml:space="preserve">, </w:t>
      </w:r>
      <w:r w:rsidR="00A54DAC" w:rsidRPr="00403220">
        <w:rPr>
          <w:rFonts w:cs="Times New Roman"/>
          <w:szCs w:val="24"/>
          <w:lang w:val="fr-CA"/>
        </w:rPr>
        <w:t>p. </w:t>
      </w:r>
      <w:r w:rsidRPr="00403220">
        <w:rPr>
          <w:rFonts w:cs="Times New Roman"/>
          <w:szCs w:val="24"/>
          <w:lang w:val="fr-CA"/>
        </w:rPr>
        <w:t>1</w:t>
      </w:r>
      <w:r w:rsidR="007B5ED0" w:rsidRPr="00403220">
        <w:rPr>
          <w:rFonts w:cs="Times New Roman"/>
          <w:szCs w:val="24"/>
          <w:lang w:val="fr-CA"/>
        </w:rPr>
        <w:t>09</w:t>
      </w:r>
      <w:r w:rsidR="00891AB5">
        <w:rPr>
          <w:rFonts w:cs="Times New Roman"/>
          <w:szCs w:val="24"/>
          <w:lang w:val="fr-CA"/>
        </w:rPr>
        <w:t>-</w:t>
      </w:r>
      <w:r w:rsidR="007B5ED0" w:rsidRPr="00403220">
        <w:rPr>
          <w:rFonts w:cs="Times New Roman"/>
          <w:szCs w:val="24"/>
          <w:lang w:val="fr-CA"/>
        </w:rPr>
        <w:t>110</w:t>
      </w:r>
      <w:r w:rsidRPr="00403220">
        <w:rPr>
          <w:rFonts w:cs="Times New Roman"/>
          <w:szCs w:val="24"/>
          <w:lang w:val="fr-CA"/>
        </w:rPr>
        <w:t>).  Par conséquent, on allègue non seulement que l</w:t>
      </w:r>
      <w:r w:rsidR="008372AA" w:rsidRPr="00403220">
        <w:rPr>
          <w:rFonts w:cs="Times New Roman"/>
          <w:szCs w:val="24"/>
          <w:lang w:val="fr-CA"/>
        </w:rPr>
        <w:t>’</w:t>
      </w:r>
      <w:r w:rsidRPr="00403220">
        <w:rPr>
          <w:rFonts w:cs="Times New Roman"/>
          <w:szCs w:val="24"/>
          <w:lang w:val="fr-CA"/>
        </w:rPr>
        <w:t>exercice de larges pouvoirs de réglementation a eu des répercussions sur l</w:t>
      </w:r>
      <w:r w:rsidR="008372AA" w:rsidRPr="00403220">
        <w:rPr>
          <w:rFonts w:cs="Times New Roman"/>
          <w:szCs w:val="24"/>
          <w:lang w:val="fr-CA"/>
        </w:rPr>
        <w:t>’</w:t>
      </w:r>
      <w:r w:rsidRPr="00403220">
        <w:rPr>
          <w:rFonts w:cs="Times New Roman"/>
          <w:szCs w:val="24"/>
          <w:lang w:val="fr-CA"/>
        </w:rPr>
        <w:t>industrie du tabac, mais aussi que le Canada a joué un rôle de conseiller auprès d</w:t>
      </w:r>
      <w:r w:rsidR="008372AA" w:rsidRPr="00403220">
        <w:rPr>
          <w:rFonts w:cs="Times New Roman"/>
          <w:szCs w:val="24"/>
          <w:lang w:val="fr-CA"/>
        </w:rPr>
        <w:t>’</w:t>
      </w:r>
      <w:r w:rsidRPr="00403220">
        <w:rPr>
          <w:rFonts w:cs="Times New Roman"/>
          <w:szCs w:val="24"/>
          <w:lang w:val="fr-CA"/>
        </w:rPr>
        <w:t>un nombre déterminé de fabricants et a entretenu des rapports commerciaux avec les société</w:t>
      </w:r>
      <w:r w:rsidR="005B0C09" w:rsidRPr="00403220">
        <w:rPr>
          <w:rFonts w:cs="Times New Roman"/>
          <w:szCs w:val="24"/>
          <w:lang w:val="fr-CA"/>
        </w:rPr>
        <w:t>s</w:t>
      </w:r>
      <w:r w:rsidRPr="00403220">
        <w:rPr>
          <w:rFonts w:cs="Times New Roman"/>
          <w:szCs w:val="24"/>
          <w:lang w:val="fr-CA"/>
        </w:rPr>
        <w:t xml:space="preserve"> en cause compte tenu, en partie, des avis fournis à ces dernières par des fonctionnaires.</w:t>
      </w:r>
    </w:p>
    <w:p w:rsidR="007B5ED0" w:rsidRPr="00403220" w:rsidRDefault="005760DE" w:rsidP="005A33F7">
      <w:pPr>
        <w:pStyle w:val="ParaNoNdepar-AltN"/>
        <w:rPr>
          <w:rFonts w:cs="Times New Roman"/>
          <w:szCs w:val="24"/>
          <w:lang w:val="fr-CA"/>
        </w:rPr>
      </w:pPr>
      <w:r w:rsidRPr="00403220">
        <w:rPr>
          <w:rFonts w:cs="Times New Roman"/>
          <w:szCs w:val="24"/>
          <w:lang w:val="fr-CA"/>
        </w:rPr>
        <w:t>Les allégations relatives aux</w:t>
      </w:r>
      <w:r w:rsidR="0047179D" w:rsidRPr="00403220">
        <w:rPr>
          <w:rFonts w:cs="Times New Roman"/>
          <w:szCs w:val="24"/>
          <w:lang w:val="fr-CA"/>
        </w:rPr>
        <w:t xml:space="preserve"> rapports entre le Canada et les fabricants v</w:t>
      </w:r>
      <w:r w:rsidRPr="00403220">
        <w:rPr>
          <w:rFonts w:cs="Times New Roman"/>
          <w:szCs w:val="24"/>
          <w:lang w:val="fr-CA"/>
        </w:rPr>
        <w:t>ont</w:t>
      </w:r>
      <w:r w:rsidR="0047179D" w:rsidRPr="00403220">
        <w:rPr>
          <w:rFonts w:cs="Times New Roman"/>
          <w:szCs w:val="24"/>
          <w:lang w:val="fr-CA"/>
        </w:rPr>
        <w:t xml:space="preserve"> bien </w:t>
      </w:r>
      <w:proofErr w:type="spellStart"/>
      <w:r w:rsidR="0047179D" w:rsidRPr="00403220">
        <w:rPr>
          <w:rFonts w:cs="Times New Roman"/>
          <w:szCs w:val="24"/>
          <w:lang w:val="fr-CA"/>
        </w:rPr>
        <w:t>au</w:t>
      </w:r>
      <w:r w:rsidR="00A54DAC" w:rsidRPr="00403220">
        <w:rPr>
          <w:rFonts w:cs="Times New Roman"/>
          <w:szCs w:val="24"/>
          <w:lang w:val="fr-CA"/>
        </w:rPr>
        <w:noBreakHyphen/>
      </w:r>
      <w:r w:rsidR="0047179D" w:rsidRPr="00403220">
        <w:rPr>
          <w:rFonts w:cs="Times New Roman"/>
          <w:szCs w:val="24"/>
          <w:lang w:val="fr-CA"/>
        </w:rPr>
        <w:t>delà</w:t>
      </w:r>
      <w:proofErr w:type="spellEnd"/>
      <w:r w:rsidR="0047179D" w:rsidRPr="00403220">
        <w:rPr>
          <w:rFonts w:cs="Times New Roman"/>
          <w:szCs w:val="24"/>
          <w:lang w:val="fr-CA"/>
        </w:rPr>
        <w:t xml:space="preserve"> de</w:t>
      </w:r>
      <w:r w:rsidRPr="00403220">
        <w:rPr>
          <w:rFonts w:cs="Times New Roman"/>
          <w:szCs w:val="24"/>
          <w:lang w:val="fr-CA"/>
        </w:rPr>
        <w:t>s</w:t>
      </w:r>
      <w:r w:rsidR="0047179D" w:rsidRPr="00403220">
        <w:rPr>
          <w:rFonts w:cs="Times New Roman"/>
          <w:szCs w:val="24"/>
          <w:lang w:val="fr-CA"/>
        </w:rPr>
        <w:t xml:space="preserve"> déclaration</w:t>
      </w:r>
      <w:r w:rsidRPr="00403220">
        <w:rPr>
          <w:rFonts w:cs="Times New Roman"/>
          <w:szCs w:val="24"/>
          <w:lang w:val="fr-CA"/>
        </w:rPr>
        <w:t>s</w:t>
      </w:r>
      <w:r w:rsidR="0047179D" w:rsidRPr="00403220">
        <w:rPr>
          <w:rFonts w:cs="Times New Roman"/>
          <w:szCs w:val="24"/>
          <w:lang w:val="fr-CA"/>
        </w:rPr>
        <w:t xml:space="preserve"> que fait le Canada au grand public.  Les rapports précis qu</w:t>
      </w:r>
      <w:r w:rsidR="008372AA" w:rsidRPr="00403220">
        <w:rPr>
          <w:rFonts w:cs="Times New Roman"/>
          <w:szCs w:val="24"/>
          <w:lang w:val="fr-CA"/>
        </w:rPr>
        <w:t>’</w:t>
      </w:r>
      <w:r w:rsidR="0047179D" w:rsidRPr="00403220">
        <w:rPr>
          <w:rFonts w:cs="Times New Roman"/>
          <w:szCs w:val="24"/>
          <w:lang w:val="fr-CA"/>
        </w:rPr>
        <w:t>aurait entretenus le Canada avec les fabricants se distinguent de l</w:t>
      </w:r>
      <w:r w:rsidR="008372AA" w:rsidRPr="00403220">
        <w:rPr>
          <w:rFonts w:cs="Times New Roman"/>
          <w:szCs w:val="24"/>
          <w:lang w:val="fr-CA"/>
        </w:rPr>
        <w:t>’</w:t>
      </w:r>
      <w:r w:rsidR="0047179D" w:rsidRPr="00403220">
        <w:rPr>
          <w:rFonts w:cs="Times New Roman"/>
          <w:szCs w:val="24"/>
          <w:lang w:val="fr-CA"/>
        </w:rPr>
        <w:t xml:space="preserve">absence de pareils rapports entre le Canada et les membres du groupe.  Alors que les allégations relatives aux consommateurs doivent reposer sur un cadre législatif </w:t>
      </w:r>
      <w:r w:rsidR="0047179D" w:rsidRPr="00403220">
        <w:rPr>
          <w:rFonts w:cs="Times New Roman"/>
          <w:szCs w:val="24"/>
          <w:lang w:val="fr-CA"/>
        </w:rPr>
        <w:lastRenderedPageBreak/>
        <w:t>établissant des obligations fort générales envers le public, les allégations visant les fabricants découleraient principalement</w:t>
      </w:r>
      <w:r w:rsidR="00DB0E7C" w:rsidRPr="00403220">
        <w:rPr>
          <w:rFonts w:cs="Times New Roman"/>
          <w:szCs w:val="24"/>
          <w:lang w:val="fr-CA"/>
        </w:rPr>
        <w:t>,</w:t>
      </w:r>
      <w:r w:rsidR="0047179D" w:rsidRPr="00403220">
        <w:rPr>
          <w:rFonts w:cs="Times New Roman"/>
          <w:szCs w:val="24"/>
          <w:lang w:val="fr-CA"/>
        </w:rPr>
        <w:t xml:space="preserve"> non pas de tels obligations et pouvoirs généraux de réglementation, mais des fonctions exercées spécifiquement à l</w:t>
      </w:r>
      <w:r w:rsidR="008372AA" w:rsidRPr="00403220">
        <w:rPr>
          <w:rFonts w:cs="Times New Roman"/>
          <w:szCs w:val="24"/>
          <w:lang w:val="fr-CA"/>
        </w:rPr>
        <w:t>’</w:t>
      </w:r>
      <w:r w:rsidR="0047179D" w:rsidRPr="00403220">
        <w:rPr>
          <w:rFonts w:cs="Times New Roman"/>
          <w:szCs w:val="24"/>
          <w:lang w:val="fr-CA"/>
        </w:rPr>
        <w:t>égard des fabricants par le Canada, et ce, indépendamment de ses obligations légales.  Il s</w:t>
      </w:r>
      <w:r w:rsidR="008372AA" w:rsidRPr="00403220">
        <w:rPr>
          <w:rFonts w:cs="Times New Roman"/>
          <w:szCs w:val="24"/>
          <w:lang w:val="fr-CA"/>
        </w:rPr>
        <w:t>’</w:t>
      </w:r>
      <w:r w:rsidR="0047179D" w:rsidRPr="00403220">
        <w:rPr>
          <w:rFonts w:cs="Times New Roman"/>
          <w:szCs w:val="24"/>
          <w:lang w:val="fr-CA"/>
        </w:rPr>
        <w:t>agit en l</w:t>
      </w:r>
      <w:r w:rsidR="008372AA" w:rsidRPr="00403220">
        <w:rPr>
          <w:rFonts w:cs="Times New Roman"/>
          <w:szCs w:val="24"/>
          <w:lang w:val="fr-CA"/>
        </w:rPr>
        <w:t>’</w:t>
      </w:r>
      <w:r w:rsidR="0047179D" w:rsidRPr="00403220">
        <w:rPr>
          <w:rFonts w:cs="Times New Roman"/>
          <w:szCs w:val="24"/>
          <w:lang w:val="fr-CA"/>
        </w:rPr>
        <w:t>occurrence de ses fonctions de concepteur, d</w:t>
      </w:r>
      <w:r w:rsidR="008372AA" w:rsidRPr="00403220">
        <w:rPr>
          <w:rFonts w:cs="Times New Roman"/>
          <w:szCs w:val="24"/>
          <w:lang w:val="fr-CA"/>
        </w:rPr>
        <w:t>’</w:t>
      </w:r>
      <w:r w:rsidR="0047179D" w:rsidRPr="00403220">
        <w:rPr>
          <w:rFonts w:cs="Times New Roman"/>
          <w:szCs w:val="24"/>
          <w:lang w:val="fr-CA"/>
        </w:rPr>
        <w:t>inventeur</w:t>
      </w:r>
      <w:r w:rsidR="00CA1DB0" w:rsidRPr="00403220">
        <w:rPr>
          <w:rFonts w:cs="Times New Roman"/>
          <w:szCs w:val="24"/>
          <w:lang w:val="fr-CA"/>
        </w:rPr>
        <w:t>,</w:t>
      </w:r>
      <w:r w:rsidR="0047179D" w:rsidRPr="00403220">
        <w:rPr>
          <w:rFonts w:cs="Times New Roman"/>
          <w:szCs w:val="24"/>
          <w:lang w:val="fr-CA"/>
        </w:rPr>
        <w:t xml:space="preserve"> et de promoteur de souches de tabac ainsi que de concédant de licence à l</w:t>
      </w:r>
      <w:r w:rsidR="008372AA" w:rsidRPr="00403220">
        <w:rPr>
          <w:rFonts w:cs="Times New Roman"/>
          <w:szCs w:val="24"/>
          <w:lang w:val="fr-CA"/>
        </w:rPr>
        <w:t>’</w:t>
      </w:r>
      <w:r w:rsidR="0047179D" w:rsidRPr="00403220">
        <w:rPr>
          <w:rFonts w:cs="Times New Roman"/>
          <w:szCs w:val="24"/>
          <w:lang w:val="fr-CA"/>
        </w:rPr>
        <w:t>égard de ces souches.  Pour ce qui est de la confiance raisonnable, les pouvoirs de réglementation du Canada envers les fabricants</w:t>
      </w:r>
      <w:r w:rsidR="00DB0E7C" w:rsidRPr="00403220">
        <w:rPr>
          <w:rFonts w:cs="Times New Roman"/>
          <w:szCs w:val="24"/>
          <w:lang w:val="fr-CA"/>
        </w:rPr>
        <w:t>,</w:t>
      </w:r>
      <w:r w:rsidR="0047179D" w:rsidRPr="00403220">
        <w:rPr>
          <w:rFonts w:cs="Times New Roman"/>
          <w:szCs w:val="24"/>
          <w:lang w:val="fr-CA"/>
        </w:rPr>
        <w:t xml:space="preserve"> conjugués aux avis précis qu</w:t>
      </w:r>
      <w:r w:rsidR="008372AA" w:rsidRPr="00403220">
        <w:rPr>
          <w:rFonts w:cs="Times New Roman"/>
          <w:szCs w:val="24"/>
          <w:lang w:val="fr-CA"/>
        </w:rPr>
        <w:t>’</w:t>
      </w:r>
      <w:r w:rsidR="0047179D" w:rsidRPr="00403220">
        <w:rPr>
          <w:rFonts w:cs="Times New Roman"/>
          <w:szCs w:val="24"/>
          <w:lang w:val="fr-CA"/>
        </w:rPr>
        <w:t>il a donnés et à sa participation à des activités commerciales</w:t>
      </w:r>
      <w:r w:rsidR="00DB0E7C" w:rsidRPr="00403220">
        <w:rPr>
          <w:rFonts w:cs="Times New Roman"/>
          <w:szCs w:val="24"/>
          <w:lang w:val="fr-CA"/>
        </w:rPr>
        <w:t>,</w:t>
      </w:r>
      <w:r w:rsidR="0047179D" w:rsidRPr="00403220">
        <w:rPr>
          <w:rFonts w:cs="Times New Roman"/>
          <w:szCs w:val="24"/>
          <w:lang w:val="fr-CA"/>
        </w:rPr>
        <w:t xml:space="preserve"> pourraient être considérés comme étayant la conclusion que la confiance accordée était raisonnable dans les circonstances alléguées.  </w:t>
      </w:r>
    </w:p>
    <w:p w:rsidR="0047179D" w:rsidRPr="00403220" w:rsidRDefault="0047179D" w:rsidP="007B5ED0">
      <w:pPr>
        <w:pStyle w:val="ParaNoNdepar-AltN"/>
        <w:rPr>
          <w:rFonts w:cs="Times New Roman"/>
          <w:szCs w:val="24"/>
          <w:lang w:val="fr-CA"/>
        </w:rPr>
      </w:pPr>
      <w:r w:rsidRPr="00403220">
        <w:rPr>
          <w:rFonts w:cs="Times New Roman"/>
          <w:szCs w:val="24"/>
          <w:lang w:val="fr-CA"/>
        </w:rPr>
        <w:t xml:space="preserve">Il se peut que les indices de proximité énoncés dans </w:t>
      </w:r>
      <w:r w:rsidRPr="00403220">
        <w:rPr>
          <w:rFonts w:cs="Times New Roman"/>
          <w:i/>
          <w:szCs w:val="24"/>
          <w:lang w:val="fr-CA"/>
        </w:rPr>
        <w:t>Hercules Management</w:t>
      </w:r>
      <w:r w:rsidR="007B5ED0" w:rsidRPr="00403220">
        <w:rPr>
          <w:rFonts w:cs="Times New Roman"/>
          <w:i/>
          <w:szCs w:val="24"/>
          <w:lang w:val="fr-CA"/>
        </w:rPr>
        <w:t>s</w:t>
      </w:r>
      <w:r w:rsidRPr="00403220">
        <w:rPr>
          <w:rFonts w:cs="Times New Roman"/>
          <w:i/>
          <w:szCs w:val="24"/>
          <w:lang w:val="fr-CA"/>
        </w:rPr>
        <w:t xml:space="preserve"> </w:t>
      </w:r>
      <w:r w:rsidRPr="00403220">
        <w:rPr>
          <w:rFonts w:cs="Times New Roman"/>
          <w:szCs w:val="24"/>
          <w:lang w:val="fr-CA"/>
        </w:rPr>
        <w:t>dans le cas d</w:t>
      </w:r>
      <w:r w:rsidR="008372AA" w:rsidRPr="00403220">
        <w:rPr>
          <w:rFonts w:cs="Times New Roman"/>
          <w:szCs w:val="24"/>
          <w:lang w:val="fr-CA"/>
        </w:rPr>
        <w:t>’</w:t>
      </w:r>
      <w:r w:rsidRPr="00403220">
        <w:rPr>
          <w:rFonts w:cs="Times New Roman"/>
          <w:szCs w:val="24"/>
          <w:lang w:val="fr-CA"/>
        </w:rPr>
        <w:t xml:space="preserve">un lien spécial (intérêt financier direct, aptitudes ou connaissances professionnelles, avis donné dans le cours normal des affaires, délibérément ou en réponse à une demande précise) ne soient pas très utiles dans le contexte de déclarations </w:t>
      </w:r>
      <w:r w:rsidR="002C6E7C" w:rsidRPr="00403220">
        <w:rPr>
          <w:rFonts w:cs="Times New Roman"/>
          <w:szCs w:val="24"/>
          <w:lang w:val="fr-CA"/>
        </w:rPr>
        <w:t>inexact</w:t>
      </w:r>
      <w:r w:rsidRPr="00403220">
        <w:rPr>
          <w:rFonts w:cs="Times New Roman"/>
          <w:szCs w:val="24"/>
          <w:lang w:val="fr-CA"/>
        </w:rPr>
        <w:t>es que le gouvernement aurait faites par néglige</w:t>
      </w:r>
      <w:r w:rsidR="002C6E7C" w:rsidRPr="00403220">
        <w:rPr>
          <w:rFonts w:cs="Times New Roman"/>
          <w:szCs w:val="24"/>
          <w:lang w:val="fr-CA"/>
        </w:rPr>
        <w:t>nce.  Je signale toutefois que c</w:t>
      </w:r>
      <w:r w:rsidRPr="00403220">
        <w:rPr>
          <w:rFonts w:cs="Times New Roman"/>
          <w:szCs w:val="24"/>
          <w:lang w:val="fr-CA"/>
        </w:rPr>
        <w:t xml:space="preserve">es déclarations auraient été faites dans le cours des activités de réglementation et </w:t>
      </w:r>
      <w:r w:rsidR="0052025C" w:rsidRPr="00403220">
        <w:rPr>
          <w:rFonts w:cs="Times New Roman"/>
          <w:szCs w:val="24"/>
          <w:lang w:val="fr-CA"/>
        </w:rPr>
        <w:t xml:space="preserve">des </w:t>
      </w:r>
      <w:r w:rsidRPr="00403220">
        <w:rPr>
          <w:rFonts w:cs="Times New Roman"/>
          <w:szCs w:val="24"/>
          <w:lang w:val="fr-CA"/>
        </w:rPr>
        <w:t xml:space="preserve">autres activités de Santé Canada, et non dans le cadre de rapports informels.  </w:t>
      </w:r>
      <w:r w:rsidR="002C6E7C" w:rsidRPr="00403220">
        <w:rPr>
          <w:rFonts w:cs="Times New Roman"/>
          <w:szCs w:val="24"/>
          <w:lang w:val="fr-CA"/>
        </w:rPr>
        <w:t>Elles</w:t>
      </w:r>
      <w:r w:rsidRPr="00403220">
        <w:rPr>
          <w:rFonts w:cs="Times New Roman"/>
          <w:szCs w:val="24"/>
          <w:lang w:val="fr-CA"/>
        </w:rPr>
        <w:t xml:space="preserve"> </w:t>
      </w:r>
      <w:r w:rsidR="0052025C" w:rsidRPr="00403220">
        <w:rPr>
          <w:rFonts w:cs="Times New Roman"/>
          <w:szCs w:val="24"/>
          <w:lang w:val="fr-CA"/>
        </w:rPr>
        <w:t xml:space="preserve">ont </w:t>
      </w:r>
      <w:r w:rsidRPr="00403220">
        <w:rPr>
          <w:rFonts w:cs="Times New Roman"/>
          <w:szCs w:val="24"/>
          <w:lang w:val="fr-CA"/>
        </w:rPr>
        <w:t>été faite</w:t>
      </w:r>
      <w:r w:rsidR="0052025C" w:rsidRPr="00403220">
        <w:rPr>
          <w:rFonts w:cs="Times New Roman"/>
          <w:szCs w:val="24"/>
          <w:lang w:val="fr-CA"/>
        </w:rPr>
        <w:t>s</w:t>
      </w:r>
      <w:r w:rsidRPr="00403220">
        <w:rPr>
          <w:rFonts w:cs="Times New Roman"/>
          <w:szCs w:val="24"/>
          <w:lang w:val="fr-CA"/>
        </w:rPr>
        <w:t xml:space="preserve"> précisément aux fabricants assujettis aux pouvoirs de réglementation de Santé Canada</w:t>
      </w:r>
      <w:r w:rsidR="0052025C" w:rsidRPr="00403220">
        <w:rPr>
          <w:rFonts w:cs="Times New Roman"/>
          <w:szCs w:val="24"/>
          <w:lang w:val="fr-CA"/>
        </w:rPr>
        <w:t>,</w:t>
      </w:r>
      <w:r w:rsidRPr="00403220">
        <w:rPr>
          <w:rFonts w:cs="Times New Roman"/>
          <w:szCs w:val="24"/>
          <w:lang w:val="fr-CA"/>
        </w:rPr>
        <w:t xml:space="preserve"> par des fonctionnaires </w:t>
      </w:r>
      <w:r w:rsidR="0052025C" w:rsidRPr="00403220">
        <w:rPr>
          <w:rFonts w:cs="Times New Roman"/>
          <w:szCs w:val="24"/>
          <w:lang w:val="fr-CA"/>
        </w:rPr>
        <w:t xml:space="preserve">prétendument </w:t>
      </w:r>
      <w:r w:rsidRPr="00403220">
        <w:rPr>
          <w:rFonts w:cs="Times New Roman"/>
          <w:szCs w:val="24"/>
          <w:lang w:val="fr-CA"/>
        </w:rPr>
        <w:t>dotés d</w:t>
      </w:r>
      <w:r w:rsidR="008372AA" w:rsidRPr="00403220">
        <w:rPr>
          <w:rFonts w:cs="Times New Roman"/>
          <w:szCs w:val="24"/>
          <w:lang w:val="fr-CA"/>
        </w:rPr>
        <w:t>’</w:t>
      </w:r>
      <w:r w:rsidRPr="00403220">
        <w:rPr>
          <w:rFonts w:cs="Times New Roman"/>
          <w:szCs w:val="24"/>
          <w:lang w:val="fr-CA"/>
        </w:rPr>
        <w:t>aptitudes, d</w:t>
      </w:r>
      <w:r w:rsidR="008372AA" w:rsidRPr="00403220">
        <w:rPr>
          <w:rFonts w:cs="Times New Roman"/>
          <w:szCs w:val="24"/>
          <w:lang w:val="fr-CA"/>
        </w:rPr>
        <w:t>’</w:t>
      </w:r>
      <w:r w:rsidRPr="00403220">
        <w:rPr>
          <w:rFonts w:cs="Times New Roman"/>
          <w:szCs w:val="24"/>
          <w:lang w:val="fr-CA"/>
        </w:rPr>
        <w:t xml:space="preserve">une capacité de discernement </w:t>
      </w:r>
      <w:r w:rsidR="0052025C" w:rsidRPr="00403220">
        <w:rPr>
          <w:rFonts w:cs="Times New Roman"/>
          <w:szCs w:val="24"/>
          <w:lang w:val="fr-CA"/>
        </w:rPr>
        <w:t>et</w:t>
      </w:r>
      <w:r w:rsidRPr="00403220">
        <w:rPr>
          <w:rFonts w:cs="Times New Roman"/>
          <w:szCs w:val="24"/>
          <w:lang w:val="fr-CA"/>
        </w:rPr>
        <w:t xml:space="preserve"> de connaissances particulières.</w:t>
      </w:r>
    </w:p>
    <w:p w:rsidR="0047179D" w:rsidRPr="00403220" w:rsidRDefault="0047179D" w:rsidP="005A33F7">
      <w:pPr>
        <w:pStyle w:val="ParaNoNdepar-AltN"/>
        <w:rPr>
          <w:rFonts w:cs="Times New Roman"/>
          <w:szCs w:val="24"/>
          <w:lang w:val="fr-CA"/>
        </w:rPr>
      </w:pPr>
      <w:r w:rsidRPr="00403220">
        <w:rPr>
          <w:rFonts w:cs="Times New Roman"/>
          <w:szCs w:val="24"/>
          <w:lang w:val="fr-CA"/>
        </w:rPr>
        <w:lastRenderedPageBreak/>
        <w:t xml:space="preserve">Il faut </w:t>
      </w:r>
      <w:r w:rsidR="0052025C" w:rsidRPr="00403220">
        <w:rPr>
          <w:rFonts w:cs="Times New Roman"/>
          <w:szCs w:val="24"/>
          <w:lang w:val="fr-CA"/>
        </w:rPr>
        <w:t>examiner</w:t>
      </w:r>
      <w:r w:rsidRPr="00403220">
        <w:rPr>
          <w:rFonts w:cs="Times New Roman"/>
          <w:szCs w:val="24"/>
          <w:lang w:val="fr-CA"/>
        </w:rPr>
        <w:t xml:space="preserve"> deux autres arguments avant de passer à une autre question.  Premièrement,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 xml:space="preserve">ffaire </w:t>
      </w:r>
      <w:r w:rsidR="00321EF3" w:rsidRPr="00403220">
        <w:rPr>
          <w:rFonts w:cs="Times New Roman"/>
          <w:i/>
          <w:szCs w:val="24"/>
          <w:lang w:val="fr-CA"/>
        </w:rPr>
        <w:t xml:space="preserve">du </w:t>
      </w:r>
      <w:r w:rsidRPr="00403220">
        <w:rPr>
          <w:rFonts w:cs="Times New Roman"/>
          <w:i/>
          <w:szCs w:val="24"/>
          <w:lang w:val="fr-CA"/>
        </w:rPr>
        <w:t>recouvrement des coûts</w:t>
      </w:r>
      <w:r w:rsidRPr="00403220">
        <w:rPr>
          <w:rFonts w:cs="Times New Roman"/>
          <w:szCs w:val="24"/>
          <w:lang w:val="fr-CA"/>
        </w:rPr>
        <w:t>, le Canada soutient ne pas avoir d</w:t>
      </w:r>
      <w:r w:rsidR="008372AA" w:rsidRPr="00403220">
        <w:rPr>
          <w:rFonts w:cs="Times New Roman"/>
          <w:szCs w:val="24"/>
          <w:lang w:val="fr-CA"/>
        </w:rPr>
        <w:t>’</w:t>
      </w:r>
      <w:r w:rsidRPr="00403220">
        <w:rPr>
          <w:rFonts w:cs="Times New Roman"/>
          <w:szCs w:val="24"/>
          <w:lang w:val="fr-CA"/>
        </w:rPr>
        <w:t xml:space="preserve">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i/>
          <w:szCs w:val="24"/>
          <w:lang w:val="fr-CA"/>
        </w:rPr>
        <w:t xml:space="preserve"> </w:t>
      </w:r>
      <w:r w:rsidRPr="00403220">
        <w:rPr>
          <w:rFonts w:cs="Times New Roman"/>
          <w:szCs w:val="24"/>
          <w:lang w:val="fr-CA"/>
        </w:rPr>
        <w:t xml:space="preserve">envers les compagnies de tabac parce que les dommages que peuvent subir les compagnies de tabac au titre de la </w:t>
      </w:r>
      <w:r w:rsidRPr="00403220">
        <w:rPr>
          <w:rFonts w:cs="Times New Roman"/>
          <w:i/>
          <w:szCs w:val="24"/>
          <w:lang w:val="fr-CA"/>
        </w:rPr>
        <w:t>CRA</w:t>
      </w:r>
      <w:r w:rsidRPr="00403220">
        <w:rPr>
          <w:rFonts w:cs="Times New Roman"/>
          <w:szCs w:val="24"/>
          <w:lang w:val="fr-CA"/>
        </w:rPr>
        <w:t xml:space="preserve"> n</w:t>
      </w:r>
      <w:r w:rsidR="008372AA" w:rsidRPr="00403220">
        <w:rPr>
          <w:rFonts w:cs="Times New Roman"/>
          <w:szCs w:val="24"/>
          <w:lang w:val="fr-CA"/>
        </w:rPr>
        <w:t>’</w:t>
      </w:r>
      <w:r w:rsidRPr="00403220">
        <w:rPr>
          <w:rFonts w:cs="Times New Roman"/>
          <w:szCs w:val="24"/>
          <w:lang w:val="fr-CA"/>
        </w:rPr>
        <w:t>étaient pas prévisibles.  En outre, [</w:t>
      </w:r>
      <w:r w:rsidRPr="00403220">
        <w:rPr>
          <w:rFonts w:cs="Times New Roman"/>
          <w:smallCaps/>
          <w:szCs w:val="24"/>
          <w:lang w:val="fr-CA"/>
        </w:rPr>
        <w:t>traduction</w:t>
      </w:r>
      <w:r w:rsidRPr="00403220">
        <w:rPr>
          <w:rFonts w:cs="Times New Roman"/>
          <w:szCs w:val="24"/>
          <w:lang w:val="fr-CA"/>
        </w:rPr>
        <w:t xml:space="preserve">] </w:t>
      </w:r>
      <w:r w:rsidR="00856C6C" w:rsidRPr="00403220">
        <w:rPr>
          <w:rFonts w:cs="Times New Roman"/>
          <w:szCs w:val="24"/>
          <w:lang w:val="fr-CA"/>
        </w:rPr>
        <w:t>« </w:t>
      </w:r>
      <w:r w:rsidR="00891AB5">
        <w:rPr>
          <w:rFonts w:cs="Times New Roman"/>
          <w:szCs w:val="24"/>
          <w:lang w:val="fr-CA"/>
        </w:rPr>
        <w:t>[</w:t>
      </w:r>
      <w:r w:rsidRPr="00403220">
        <w:rPr>
          <w:rFonts w:cs="Times New Roman"/>
          <w:szCs w:val="24"/>
          <w:lang w:val="fr-CA"/>
        </w:rPr>
        <w:t>l</w:t>
      </w:r>
      <w:r w:rsidR="00891AB5">
        <w:rPr>
          <w:rFonts w:cs="Times New Roman"/>
          <w:szCs w:val="24"/>
          <w:lang w:val="fr-CA"/>
        </w:rPr>
        <w:t>]</w:t>
      </w:r>
      <w:r w:rsidRPr="00403220">
        <w:rPr>
          <w:rFonts w:cs="Times New Roman"/>
          <w:szCs w:val="24"/>
          <w:lang w:val="fr-CA"/>
        </w:rPr>
        <w:t>e Canada ne pouvait pas raisonnablement s</w:t>
      </w:r>
      <w:r w:rsidR="008372AA" w:rsidRPr="00403220">
        <w:rPr>
          <w:rFonts w:cs="Times New Roman"/>
          <w:szCs w:val="24"/>
          <w:lang w:val="fr-CA"/>
        </w:rPr>
        <w:t>’</w:t>
      </w:r>
      <w:r w:rsidRPr="00403220">
        <w:rPr>
          <w:rFonts w:cs="Times New Roman"/>
          <w:szCs w:val="24"/>
          <w:lang w:val="fr-CA"/>
        </w:rPr>
        <w:t xml:space="preserve">attendre à ce </w:t>
      </w:r>
      <w:r w:rsidR="0052025C" w:rsidRPr="00403220">
        <w:rPr>
          <w:rFonts w:cs="Times New Roman"/>
          <w:szCs w:val="24"/>
          <w:lang w:val="fr-CA"/>
        </w:rPr>
        <w:t xml:space="preserve">qu’un </w:t>
      </w:r>
      <w:r w:rsidRPr="00403220">
        <w:rPr>
          <w:rFonts w:cs="Times New Roman"/>
          <w:szCs w:val="24"/>
          <w:lang w:val="fr-CA"/>
        </w:rPr>
        <w:t>gouvernement d</w:t>
      </w:r>
      <w:r w:rsidR="008372AA" w:rsidRPr="00403220">
        <w:rPr>
          <w:rFonts w:cs="Times New Roman"/>
          <w:szCs w:val="24"/>
          <w:lang w:val="fr-CA"/>
        </w:rPr>
        <w:t>’</w:t>
      </w:r>
      <w:r w:rsidRPr="00403220">
        <w:rPr>
          <w:rFonts w:cs="Times New Roman"/>
          <w:szCs w:val="24"/>
          <w:lang w:val="fr-CA"/>
        </w:rPr>
        <w:t>une province puisse créer une obligation de droit civil entièrement nouvelle pour rembourser les coûts engagés par un régime provincial de soins de santé au titre des fautes d</w:t>
      </w:r>
      <w:r w:rsidR="008372AA" w:rsidRPr="00403220">
        <w:rPr>
          <w:rFonts w:cs="Times New Roman"/>
          <w:szCs w:val="24"/>
          <w:lang w:val="fr-CA"/>
        </w:rPr>
        <w:t>’</w:t>
      </w:r>
      <w:r w:rsidRPr="00403220">
        <w:rPr>
          <w:rFonts w:cs="Times New Roman"/>
          <w:szCs w:val="24"/>
          <w:lang w:val="fr-CA"/>
        </w:rPr>
        <w:t xml:space="preserve">un fabricant </w:t>
      </w:r>
      <w:r w:rsidR="001C7AB2" w:rsidRPr="00403220">
        <w:rPr>
          <w:rFonts w:cs="Times New Roman"/>
          <w:szCs w:val="24"/>
          <w:lang w:val="fr-CA"/>
        </w:rPr>
        <w:t xml:space="preserve">définies dans une loi </w:t>
      </w:r>
      <w:r w:rsidRPr="00403220">
        <w:rPr>
          <w:rFonts w:cs="Times New Roman"/>
          <w:szCs w:val="24"/>
          <w:lang w:val="fr-CA"/>
        </w:rPr>
        <w:t>et qu</w:t>
      </w:r>
      <w:r w:rsidR="008372AA" w:rsidRPr="00403220">
        <w:rPr>
          <w:rFonts w:cs="Times New Roman"/>
          <w:szCs w:val="24"/>
          <w:lang w:val="fr-CA"/>
        </w:rPr>
        <w:t>’</w:t>
      </w:r>
      <w:r w:rsidRPr="00403220">
        <w:rPr>
          <w:rFonts w:cs="Times New Roman"/>
          <w:szCs w:val="24"/>
          <w:lang w:val="fr-CA"/>
        </w:rPr>
        <w:t xml:space="preserve">il confère à cette obligation une portée rétroactive et prospective </w:t>
      </w:r>
      <w:r w:rsidR="006603C4" w:rsidRPr="00403220">
        <w:rPr>
          <w:rFonts w:cs="Times New Roman"/>
          <w:szCs w:val="24"/>
          <w:lang w:val="fr-CA"/>
        </w:rPr>
        <w:t>illimitée </w:t>
      </w:r>
      <w:r w:rsidRPr="00403220">
        <w:rPr>
          <w:rFonts w:cs="Times New Roman"/>
          <w:szCs w:val="24"/>
          <w:lang w:val="fr-CA"/>
        </w:rPr>
        <w:t>» (</w:t>
      </w:r>
      <w:r w:rsidR="00A242DE">
        <w:rPr>
          <w:rFonts w:cs="Times New Roman"/>
          <w:szCs w:val="24"/>
          <w:lang w:val="fr-CA"/>
        </w:rPr>
        <w:t>m.</w:t>
      </w:r>
      <w:r w:rsidR="001C7AB2" w:rsidRPr="00403220">
        <w:rPr>
          <w:rFonts w:cs="Times New Roman"/>
          <w:szCs w:val="24"/>
          <w:lang w:val="fr-CA"/>
        </w:rPr>
        <w:t xml:space="preserve">a., </w:t>
      </w:r>
      <w:r w:rsidR="00A54DAC" w:rsidRPr="00403220">
        <w:rPr>
          <w:rFonts w:cs="Times New Roman"/>
          <w:szCs w:val="24"/>
          <w:lang w:val="fr-CA"/>
        </w:rPr>
        <w:t>par. </w:t>
      </w:r>
      <w:r w:rsidR="007118A3" w:rsidRPr="00403220">
        <w:rPr>
          <w:rFonts w:cs="Times New Roman"/>
          <w:szCs w:val="24"/>
          <w:lang w:val="fr-CA"/>
        </w:rPr>
        <w:t>36).</w:t>
      </w:r>
    </w:p>
    <w:p w:rsidR="0047179D" w:rsidRPr="00403220" w:rsidRDefault="0047179D" w:rsidP="005A33F7">
      <w:pPr>
        <w:pStyle w:val="ParaNoNdepar-AltN"/>
        <w:rPr>
          <w:rFonts w:cs="Times New Roman"/>
          <w:szCs w:val="24"/>
          <w:lang w:val="fr-CA"/>
        </w:rPr>
      </w:pPr>
      <w:r w:rsidRPr="00403220">
        <w:rPr>
          <w:rFonts w:cs="Times New Roman"/>
          <w:szCs w:val="24"/>
          <w:lang w:val="fr-CA"/>
        </w:rPr>
        <w:t>À mon sens, les juges majoritaires de la Cour d</w:t>
      </w:r>
      <w:r w:rsidR="008372AA" w:rsidRPr="00403220">
        <w:rPr>
          <w:rFonts w:cs="Times New Roman"/>
          <w:szCs w:val="24"/>
          <w:lang w:val="fr-CA"/>
        </w:rPr>
        <w:t>’</w:t>
      </w:r>
      <w:r w:rsidRPr="00403220">
        <w:rPr>
          <w:rFonts w:cs="Times New Roman"/>
          <w:szCs w:val="24"/>
          <w:lang w:val="fr-CA"/>
        </w:rPr>
        <w:t xml:space="preserve">appel ont </w:t>
      </w:r>
      <w:r w:rsidR="0052025C" w:rsidRPr="00403220">
        <w:rPr>
          <w:rFonts w:cs="Times New Roman"/>
          <w:szCs w:val="24"/>
          <w:lang w:val="fr-CA"/>
        </w:rPr>
        <w:t>e</w:t>
      </w:r>
      <w:r w:rsidR="00DD7D7F" w:rsidRPr="00403220">
        <w:rPr>
          <w:rFonts w:cs="Times New Roman"/>
          <w:szCs w:val="24"/>
          <w:lang w:val="fr-CA"/>
        </w:rPr>
        <w:t>u</w:t>
      </w:r>
      <w:r w:rsidR="0052025C" w:rsidRPr="00403220">
        <w:rPr>
          <w:rFonts w:cs="Times New Roman"/>
          <w:szCs w:val="24"/>
          <w:lang w:val="fr-CA"/>
        </w:rPr>
        <w:t xml:space="preserve"> raison de rejeter</w:t>
      </w:r>
      <w:r w:rsidRPr="00403220">
        <w:rPr>
          <w:rFonts w:cs="Times New Roman"/>
          <w:szCs w:val="24"/>
          <w:lang w:val="fr-CA"/>
        </w:rPr>
        <w:t xml:space="preserve"> l</w:t>
      </w:r>
      <w:r w:rsidR="008372AA" w:rsidRPr="00403220">
        <w:rPr>
          <w:rFonts w:cs="Times New Roman"/>
          <w:szCs w:val="24"/>
          <w:lang w:val="fr-CA"/>
        </w:rPr>
        <w:t>’</w:t>
      </w:r>
      <w:r w:rsidRPr="00403220">
        <w:rPr>
          <w:rFonts w:cs="Times New Roman"/>
          <w:szCs w:val="24"/>
          <w:lang w:val="fr-CA"/>
        </w:rPr>
        <w:t>argument du Canada.  Le Canada n</w:t>
      </w:r>
      <w:r w:rsidR="008372AA" w:rsidRPr="00403220">
        <w:rPr>
          <w:rFonts w:cs="Times New Roman"/>
          <w:szCs w:val="24"/>
          <w:lang w:val="fr-CA"/>
        </w:rPr>
        <w:t>’</w:t>
      </w:r>
      <w:r w:rsidRPr="00403220">
        <w:rPr>
          <w:rFonts w:cs="Times New Roman"/>
          <w:szCs w:val="24"/>
          <w:lang w:val="fr-CA"/>
        </w:rPr>
        <w:t>a</w:t>
      </w:r>
      <w:r w:rsidR="002C6E7C" w:rsidRPr="00403220">
        <w:rPr>
          <w:rFonts w:cs="Times New Roman"/>
          <w:szCs w:val="24"/>
          <w:lang w:val="fr-CA"/>
        </w:rPr>
        <w:t>vait</w:t>
      </w:r>
      <w:r w:rsidRPr="00403220">
        <w:rPr>
          <w:rFonts w:cs="Times New Roman"/>
          <w:szCs w:val="24"/>
          <w:lang w:val="fr-CA"/>
        </w:rPr>
        <w:t xml:space="preserve"> pas à prévoir la mesure législative précise qui engagerait la responsabilité </w:t>
      </w:r>
      <w:r w:rsidR="002C6E7C" w:rsidRPr="00403220">
        <w:rPr>
          <w:rFonts w:cs="Times New Roman"/>
          <w:szCs w:val="24"/>
          <w:lang w:val="fr-CA"/>
        </w:rPr>
        <w:t>des compagnies de tabac</w:t>
      </w:r>
      <w:r w:rsidRPr="00403220">
        <w:rPr>
          <w:rFonts w:cs="Times New Roman"/>
          <w:szCs w:val="24"/>
          <w:lang w:val="fr-CA"/>
        </w:rPr>
        <w:t xml:space="preserve">.  Il </w:t>
      </w:r>
      <w:r w:rsidR="0052025C" w:rsidRPr="00403220">
        <w:rPr>
          <w:rFonts w:cs="Times New Roman"/>
          <w:szCs w:val="24"/>
          <w:lang w:val="fr-CA"/>
        </w:rPr>
        <w:t xml:space="preserve">suffit qu’il ait été </w:t>
      </w:r>
      <w:r w:rsidRPr="00403220">
        <w:rPr>
          <w:rFonts w:cs="Times New Roman"/>
          <w:szCs w:val="24"/>
          <w:lang w:val="fr-CA"/>
        </w:rPr>
        <w:t>à même de prévoir que ses déclarations inexactes faites par négligence cause</w:t>
      </w:r>
      <w:r w:rsidR="00911EF9" w:rsidRPr="00403220">
        <w:rPr>
          <w:rFonts w:cs="Times New Roman"/>
          <w:szCs w:val="24"/>
          <w:lang w:val="fr-CA"/>
        </w:rPr>
        <w:t>raie</w:t>
      </w:r>
      <w:r w:rsidRPr="00403220">
        <w:rPr>
          <w:rFonts w:cs="Times New Roman"/>
          <w:szCs w:val="24"/>
          <w:lang w:val="fr-CA"/>
        </w:rPr>
        <w:t xml:space="preserve">nt un quelconque préjudice </w:t>
      </w:r>
      <w:r w:rsidR="00911EF9" w:rsidRPr="00403220">
        <w:rPr>
          <w:rFonts w:cs="Times New Roman"/>
          <w:szCs w:val="24"/>
          <w:lang w:val="fr-CA"/>
        </w:rPr>
        <w:t xml:space="preserve">à ces </w:t>
      </w:r>
      <w:r w:rsidRPr="00403220">
        <w:rPr>
          <w:rFonts w:cs="Times New Roman"/>
          <w:szCs w:val="24"/>
          <w:lang w:val="fr-CA"/>
        </w:rPr>
        <w:t>compagnies</w:t>
      </w:r>
      <w:r w:rsidR="00A54DAC" w:rsidRPr="00403220">
        <w:rPr>
          <w:rFonts w:cs="Times New Roman"/>
          <w:szCs w:val="24"/>
          <w:lang w:val="fr-CA"/>
        </w:rPr>
        <w:t> :</w:t>
      </w:r>
      <w:r w:rsidRPr="00403220">
        <w:rPr>
          <w:rFonts w:cs="Times New Roman"/>
          <w:szCs w:val="24"/>
          <w:lang w:val="fr-CA"/>
        </w:rPr>
        <w:t xml:space="preserve"> </w:t>
      </w:r>
      <w:r w:rsidRPr="00403220">
        <w:rPr>
          <w:rFonts w:cs="Times New Roman"/>
          <w:i/>
          <w:szCs w:val="24"/>
          <w:lang w:val="fr-CA"/>
        </w:rPr>
        <w:t>Hercules Management</w:t>
      </w:r>
      <w:r w:rsidR="001C7AB2" w:rsidRPr="00403220">
        <w:rPr>
          <w:rFonts w:cs="Times New Roman"/>
          <w:i/>
          <w:szCs w:val="24"/>
          <w:lang w:val="fr-CA"/>
        </w:rPr>
        <w:t>s</w:t>
      </w:r>
      <w:r w:rsidRPr="00403220">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25</w:t>
      </w:r>
      <w:r w:rsidR="00891AB5">
        <w:rPr>
          <w:rFonts w:cs="Times New Roman"/>
          <w:szCs w:val="24"/>
          <w:lang w:val="fr-CA"/>
        </w:rPr>
        <w:t>-</w:t>
      </w:r>
      <w:r w:rsidRPr="00403220">
        <w:rPr>
          <w:rFonts w:cs="Times New Roman"/>
          <w:szCs w:val="24"/>
          <w:lang w:val="fr-CA"/>
        </w:rPr>
        <w:t>26 et 42.  Compte tenu des faits allégués, il n</w:t>
      </w:r>
      <w:r w:rsidR="008372AA" w:rsidRPr="00403220">
        <w:rPr>
          <w:rFonts w:cs="Times New Roman"/>
          <w:szCs w:val="24"/>
          <w:lang w:val="fr-CA"/>
        </w:rPr>
        <w:t>’</w:t>
      </w:r>
      <w:r w:rsidRPr="00403220">
        <w:rPr>
          <w:rFonts w:cs="Times New Roman"/>
          <w:szCs w:val="24"/>
          <w:lang w:val="fr-CA"/>
        </w:rPr>
        <w:t>est pas exclu que les compagnies de tabac réussissent à prouver que le Canada s</w:t>
      </w:r>
      <w:r w:rsidR="008372AA" w:rsidRPr="00403220">
        <w:rPr>
          <w:rFonts w:cs="Times New Roman"/>
          <w:szCs w:val="24"/>
          <w:lang w:val="fr-CA"/>
        </w:rPr>
        <w:t>’</w:t>
      </w:r>
      <w:r w:rsidRPr="00403220">
        <w:rPr>
          <w:rFonts w:cs="Times New Roman"/>
          <w:szCs w:val="24"/>
          <w:lang w:val="fr-CA"/>
        </w:rPr>
        <w:t>attendait à ce que l</w:t>
      </w:r>
      <w:r w:rsidR="008372AA" w:rsidRPr="00403220">
        <w:rPr>
          <w:rFonts w:cs="Times New Roman"/>
          <w:szCs w:val="24"/>
          <w:lang w:val="fr-CA"/>
        </w:rPr>
        <w:t>’</w:t>
      </w:r>
      <w:r w:rsidRPr="00403220">
        <w:rPr>
          <w:rFonts w:cs="Times New Roman"/>
          <w:szCs w:val="24"/>
          <w:lang w:val="fr-CA"/>
        </w:rPr>
        <w:t xml:space="preserve">industrie du tabac </w:t>
      </w:r>
      <w:r w:rsidR="0052025C" w:rsidRPr="00403220">
        <w:rPr>
          <w:rFonts w:cs="Times New Roman"/>
          <w:szCs w:val="24"/>
          <w:lang w:val="fr-CA"/>
        </w:rPr>
        <w:t xml:space="preserve">soit pénalisée </w:t>
      </w:r>
      <w:r w:rsidRPr="00403220">
        <w:rPr>
          <w:rFonts w:cs="Times New Roman"/>
          <w:szCs w:val="24"/>
          <w:lang w:val="fr-CA"/>
        </w:rPr>
        <w:t xml:space="preserve">de </w:t>
      </w:r>
      <w:r w:rsidR="0052025C" w:rsidRPr="00403220">
        <w:rPr>
          <w:rFonts w:cs="Times New Roman"/>
          <w:szCs w:val="24"/>
          <w:lang w:val="fr-CA"/>
        </w:rPr>
        <w:t xml:space="preserve">la sorte </w:t>
      </w:r>
      <w:r w:rsidR="00DB0E7C" w:rsidRPr="00403220">
        <w:rPr>
          <w:rFonts w:cs="Times New Roman"/>
          <w:szCs w:val="24"/>
          <w:lang w:val="fr-CA"/>
        </w:rPr>
        <w:t xml:space="preserve">pour </w:t>
      </w:r>
      <w:r w:rsidRPr="00403220">
        <w:rPr>
          <w:rFonts w:cs="Times New Roman"/>
          <w:szCs w:val="24"/>
          <w:lang w:val="fr-CA"/>
        </w:rPr>
        <w:t xml:space="preserve">avoir vendu un produit </w:t>
      </w:r>
      <w:r w:rsidR="0052025C" w:rsidRPr="00403220">
        <w:rPr>
          <w:rFonts w:cs="Times New Roman"/>
          <w:szCs w:val="24"/>
          <w:lang w:val="fr-CA"/>
        </w:rPr>
        <w:t xml:space="preserve">plus </w:t>
      </w:r>
      <w:r w:rsidRPr="00403220">
        <w:rPr>
          <w:rFonts w:cs="Times New Roman"/>
          <w:szCs w:val="24"/>
          <w:lang w:val="fr-CA"/>
        </w:rPr>
        <w:t>dangereux.  Comme l</w:t>
      </w:r>
      <w:r w:rsidR="008372AA" w:rsidRPr="00403220">
        <w:rPr>
          <w:rFonts w:cs="Times New Roman"/>
          <w:szCs w:val="24"/>
          <w:lang w:val="fr-CA"/>
        </w:rPr>
        <w:t>’</w:t>
      </w:r>
      <w:r w:rsidRPr="00403220">
        <w:rPr>
          <w:rFonts w:cs="Times New Roman"/>
          <w:szCs w:val="24"/>
          <w:lang w:val="fr-CA"/>
        </w:rPr>
        <w:t xml:space="preserve">a mentionné le juge </w:t>
      </w:r>
      <w:proofErr w:type="spellStart"/>
      <w:r w:rsidRPr="00403220">
        <w:rPr>
          <w:rFonts w:cs="Times New Roman"/>
          <w:szCs w:val="24"/>
          <w:lang w:val="fr-CA"/>
        </w:rPr>
        <w:t>Tysoe</w:t>
      </w:r>
      <w:proofErr w:type="spellEnd"/>
      <w:r w:rsidRPr="00403220">
        <w:rPr>
          <w:rFonts w:cs="Times New Roman"/>
          <w:szCs w:val="24"/>
          <w:lang w:val="fr-CA"/>
        </w:rPr>
        <w:t>, le Canada n</w:t>
      </w:r>
      <w:r w:rsidR="008372AA" w:rsidRPr="00403220">
        <w:rPr>
          <w:rFonts w:cs="Times New Roman"/>
          <w:szCs w:val="24"/>
          <w:lang w:val="fr-CA"/>
        </w:rPr>
        <w:t>’</w:t>
      </w:r>
      <w:r w:rsidRPr="00403220">
        <w:rPr>
          <w:rFonts w:cs="Times New Roman"/>
          <w:szCs w:val="24"/>
          <w:lang w:val="fr-CA"/>
        </w:rPr>
        <w:t>a</w:t>
      </w:r>
      <w:r w:rsidR="00911EF9" w:rsidRPr="00403220">
        <w:rPr>
          <w:rFonts w:cs="Times New Roman"/>
          <w:szCs w:val="24"/>
          <w:lang w:val="fr-CA"/>
        </w:rPr>
        <w:t>vait</w:t>
      </w:r>
      <w:r w:rsidRPr="00403220">
        <w:rPr>
          <w:rFonts w:cs="Times New Roman"/>
          <w:szCs w:val="24"/>
          <w:lang w:val="fr-CA"/>
        </w:rPr>
        <w:t xml:space="preserve"> pas à prévoir que la responsabilité vise</w:t>
      </w:r>
      <w:r w:rsidR="00911EF9" w:rsidRPr="00403220">
        <w:rPr>
          <w:rFonts w:cs="Times New Roman"/>
          <w:szCs w:val="24"/>
          <w:lang w:val="fr-CA"/>
        </w:rPr>
        <w:t>rait</w:t>
      </w:r>
      <w:r w:rsidRPr="00403220">
        <w:rPr>
          <w:rFonts w:cs="Times New Roman"/>
          <w:szCs w:val="24"/>
          <w:lang w:val="fr-CA"/>
        </w:rPr>
        <w:t xml:space="preserve"> précisément les coûts des soins de santé, ou que des provinces crée</w:t>
      </w:r>
      <w:r w:rsidR="00911EF9" w:rsidRPr="00403220">
        <w:rPr>
          <w:rFonts w:cs="Times New Roman"/>
          <w:szCs w:val="24"/>
          <w:lang w:val="fr-CA"/>
        </w:rPr>
        <w:t>raie</w:t>
      </w:r>
      <w:r w:rsidRPr="00403220">
        <w:rPr>
          <w:rFonts w:cs="Times New Roman"/>
          <w:szCs w:val="24"/>
          <w:lang w:val="fr-CA"/>
        </w:rPr>
        <w:t xml:space="preserve">nt un droit </w:t>
      </w:r>
      <w:r w:rsidRPr="00403220">
        <w:rPr>
          <w:rFonts w:cs="Times New Roman"/>
          <w:szCs w:val="24"/>
          <w:lang w:val="fr-CA"/>
        </w:rPr>
        <w:lastRenderedPageBreak/>
        <w:t>d</w:t>
      </w:r>
      <w:r w:rsidR="008372AA" w:rsidRPr="00403220">
        <w:rPr>
          <w:rFonts w:cs="Times New Roman"/>
          <w:szCs w:val="24"/>
          <w:lang w:val="fr-CA"/>
        </w:rPr>
        <w:t>’</w:t>
      </w:r>
      <w:r w:rsidRPr="00403220">
        <w:rPr>
          <w:rFonts w:cs="Times New Roman"/>
          <w:szCs w:val="24"/>
          <w:lang w:val="fr-CA"/>
        </w:rPr>
        <w:t>action d</w:t>
      </w:r>
      <w:r w:rsidR="008372AA" w:rsidRPr="00403220">
        <w:rPr>
          <w:rFonts w:cs="Times New Roman"/>
          <w:szCs w:val="24"/>
          <w:lang w:val="fr-CA"/>
        </w:rPr>
        <w:t>’</w:t>
      </w:r>
      <w:r w:rsidRPr="00403220">
        <w:rPr>
          <w:rFonts w:cs="Times New Roman"/>
          <w:szCs w:val="24"/>
          <w:lang w:val="fr-CA"/>
        </w:rPr>
        <w:t>origine législative pour recouvr</w:t>
      </w:r>
      <w:r w:rsidR="0052025C" w:rsidRPr="00403220">
        <w:rPr>
          <w:rFonts w:cs="Times New Roman"/>
          <w:szCs w:val="24"/>
          <w:lang w:val="fr-CA"/>
        </w:rPr>
        <w:t>e</w:t>
      </w:r>
      <w:r w:rsidRPr="00403220">
        <w:rPr>
          <w:rFonts w:cs="Times New Roman"/>
          <w:szCs w:val="24"/>
          <w:lang w:val="fr-CA"/>
        </w:rPr>
        <w:t>r ces coûts.  [</w:t>
      </w:r>
      <w:r w:rsidR="006603C4" w:rsidRPr="00403220">
        <w:rPr>
          <w:rFonts w:cs="Times New Roman"/>
          <w:smallCaps/>
          <w:szCs w:val="24"/>
          <w:lang w:val="fr-CA"/>
        </w:rPr>
        <w:t>Traduction</w:t>
      </w:r>
      <w:r w:rsidRPr="00403220">
        <w:rPr>
          <w:rFonts w:cs="Times New Roman"/>
          <w:szCs w:val="24"/>
          <w:lang w:val="fr-CA"/>
        </w:rPr>
        <w:t>] « </w:t>
      </w:r>
      <w:r w:rsidR="00DD7D7F" w:rsidRPr="00403220">
        <w:rPr>
          <w:rFonts w:cs="Times New Roman"/>
          <w:szCs w:val="24"/>
          <w:lang w:val="fr-CA"/>
        </w:rPr>
        <w:t>I</w:t>
      </w:r>
      <w:r w:rsidRPr="00403220">
        <w:rPr>
          <w:rFonts w:cs="Times New Roman"/>
          <w:szCs w:val="24"/>
          <w:lang w:val="fr-CA"/>
        </w:rPr>
        <w:t>l suffit que le Canada ait pu raisonnablement prévoir de façon générale que les appelantes subiraient un préjudice si les cigarettes légères et douces étaient plus néfastes pour la santé des fumeurs que les cigarettes ordinaires</w:t>
      </w:r>
      <w:r w:rsidR="00FE3D41" w:rsidRPr="00403220">
        <w:rPr>
          <w:rFonts w:cs="Times New Roman"/>
          <w:szCs w:val="24"/>
          <w:lang w:val="fr-CA"/>
        </w:rPr>
        <w:t> </w:t>
      </w:r>
      <w:r w:rsidRPr="00403220">
        <w:rPr>
          <w:rFonts w:cs="Times New Roman"/>
          <w:szCs w:val="24"/>
          <w:lang w:val="fr-CA"/>
        </w:rPr>
        <w:t>» (</w:t>
      </w:r>
      <w:r w:rsidR="00B21DC2" w:rsidRPr="00B21DC2">
        <w:rPr>
          <w:rFonts w:cs="Times New Roman"/>
          <w:szCs w:val="24"/>
          <w:lang w:val="fr-CA"/>
        </w:rPr>
        <w:t>l’</w:t>
      </w:r>
      <w:r w:rsidR="00B21DC2" w:rsidRPr="00B21DC2">
        <w:rPr>
          <w:rFonts w:cs="Times New Roman"/>
          <w:i/>
          <w:szCs w:val="24"/>
          <w:lang w:val="fr-CA"/>
        </w:rPr>
        <w:t>Affaire du recouvrement des coûts</w:t>
      </w:r>
      <w:r w:rsidR="00B21DC2">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78)</w:t>
      </w:r>
      <w:r w:rsidR="001C7AB2" w:rsidRPr="00403220">
        <w:rPr>
          <w:rFonts w:cs="Times New Roman"/>
          <w:szCs w:val="24"/>
          <w:lang w:val="fr-CA"/>
        </w:rPr>
        <w:t>.</w:t>
      </w:r>
    </w:p>
    <w:p w:rsidR="0047179D" w:rsidRPr="00403220" w:rsidRDefault="0047179D" w:rsidP="005A33F7">
      <w:pPr>
        <w:pStyle w:val="ParaNoNdepar-AltN"/>
        <w:rPr>
          <w:rFonts w:cs="Times New Roman"/>
          <w:szCs w:val="24"/>
          <w:lang w:val="fr-CA"/>
        </w:rPr>
      </w:pPr>
      <w:r w:rsidRPr="00403220">
        <w:rPr>
          <w:rFonts w:cs="Times New Roman"/>
          <w:szCs w:val="24"/>
          <w:lang w:val="fr-CA"/>
        </w:rPr>
        <w:t>Deuxièmement, le Canada fait valoir que le lien en l</w:t>
      </w:r>
      <w:r w:rsidR="008372AA" w:rsidRPr="00403220">
        <w:rPr>
          <w:rFonts w:cs="Times New Roman"/>
          <w:szCs w:val="24"/>
          <w:lang w:val="fr-CA"/>
        </w:rPr>
        <w:t>’</w:t>
      </w:r>
      <w:r w:rsidRPr="00403220">
        <w:rPr>
          <w:rFonts w:cs="Times New Roman"/>
          <w:szCs w:val="24"/>
          <w:lang w:val="fr-CA"/>
        </w:rPr>
        <w:t xml:space="preserve">espèce ne </w:t>
      </w:r>
      <w:r w:rsidR="00FE3D41" w:rsidRPr="00403220">
        <w:rPr>
          <w:rFonts w:cs="Times New Roman"/>
          <w:szCs w:val="24"/>
          <w:lang w:val="fr-CA"/>
        </w:rPr>
        <w:t xml:space="preserve">satisfait </w:t>
      </w:r>
      <w:r w:rsidRPr="00403220">
        <w:rPr>
          <w:rFonts w:cs="Times New Roman"/>
          <w:szCs w:val="24"/>
          <w:lang w:val="fr-CA"/>
        </w:rPr>
        <w:t xml:space="preserve">pas à la condition de la confiance raisonnable </w:t>
      </w:r>
      <w:r w:rsidR="00FE3D41" w:rsidRPr="00403220">
        <w:rPr>
          <w:rFonts w:cs="Times New Roman"/>
          <w:szCs w:val="24"/>
          <w:lang w:val="fr-CA"/>
        </w:rPr>
        <w:t xml:space="preserve">parce </w:t>
      </w:r>
      <w:r w:rsidR="00B21DC2">
        <w:rPr>
          <w:rFonts w:cs="Times New Roman"/>
          <w:szCs w:val="24"/>
          <w:lang w:val="fr-CA"/>
        </w:rPr>
        <w:t>que le Canada agissait</w:t>
      </w:r>
      <w:r w:rsidRPr="00403220">
        <w:rPr>
          <w:rFonts w:cs="Times New Roman"/>
          <w:szCs w:val="24"/>
          <w:lang w:val="fr-CA"/>
        </w:rPr>
        <w:t xml:space="preserve"> non pas comme une entreprise commerciale, mais plutôt comme une autorité de réglementation d</w:t>
      </w:r>
      <w:r w:rsidR="008372AA" w:rsidRPr="00403220">
        <w:rPr>
          <w:rFonts w:cs="Times New Roman"/>
          <w:szCs w:val="24"/>
          <w:lang w:val="fr-CA"/>
        </w:rPr>
        <w:t>’</w:t>
      </w:r>
      <w:r w:rsidRPr="00403220">
        <w:rPr>
          <w:rFonts w:cs="Times New Roman"/>
          <w:szCs w:val="24"/>
          <w:lang w:val="fr-CA"/>
        </w:rPr>
        <w:t>une industrie.  Il n</w:t>
      </w:r>
      <w:r w:rsidR="008372AA" w:rsidRPr="00403220">
        <w:rPr>
          <w:rFonts w:cs="Times New Roman"/>
          <w:szCs w:val="24"/>
          <w:lang w:val="fr-CA"/>
        </w:rPr>
        <w:t>’</w:t>
      </w:r>
      <w:r w:rsidRPr="00403220">
        <w:rPr>
          <w:rFonts w:cs="Times New Roman"/>
          <w:szCs w:val="24"/>
          <w:lang w:val="fr-CA"/>
        </w:rPr>
        <w:t>était donc pas raisonnable, selon le Canada, que les compagnies de tabac se soient fiées à lui en qualité de conseiller.  Le juge Hall, dissident, a souscrit à cette opinion, concluant que [</w:t>
      </w:r>
      <w:r w:rsidRPr="00403220">
        <w:rPr>
          <w:rFonts w:cs="Times New Roman"/>
          <w:smallCaps/>
          <w:szCs w:val="24"/>
          <w:lang w:val="fr-CA"/>
        </w:rPr>
        <w:t>traduction</w:t>
      </w:r>
      <w:r w:rsidR="00856C6C" w:rsidRPr="00403220">
        <w:rPr>
          <w:rFonts w:cs="Times New Roman"/>
          <w:szCs w:val="24"/>
          <w:lang w:val="fr-CA"/>
        </w:rPr>
        <w:t>] « </w:t>
      </w:r>
      <w:r w:rsidRPr="00403220">
        <w:rPr>
          <w:rFonts w:cs="Times New Roman"/>
          <w:szCs w:val="24"/>
          <w:lang w:val="fr-CA"/>
        </w:rPr>
        <w:t>les appelantes n</w:t>
      </w:r>
      <w:r w:rsidR="008372AA" w:rsidRPr="00403220">
        <w:rPr>
          <w:rFonts w:cs="Times New Roman"/>
          <w:szCs w:val="24"/>
          <w:lang w:val="fr-CA"/>
        </w:rPr>
        <w:t>’</w:t>
      </w:r>
      <w:r w:rsidRPr="00403220">
        <w:rPr>
          <w:rFonts w:cs="Times New Roman"/>
          <w:szCs w:val="24"/>
          <w:lang w:val="fr-CA"/>
        </w:rPr>
        <w:t>auraient jamais pu croire que le Canada prenait la r</w:t>
      </w:r>
      <w:r w:rsidR="00856C6C" w:rsidRPr="00403220">
        <w:rPr>
          <w:rFonts w:cs="Times New Roman"/>
          <w:szCs w:val="24"/>
          <w:lang w:val="fr-CA"/>
        </w:rPr>
        <w:t>esponsabilité de leurs intérêts </w:t>
      </w:r>
      <w:r w:rsidRPr="00403220">
        <w:rPr>
          <w:rFonts w:cs="Times New Roman"/>
          <w:szCs w:val="24"/>
          <w:lang w:val="fr-CA"/>
        </w:rPr>
        <w:t>» (</w:t>
      </w:r>
      <w:r w:rsidR="001C7AB2" w:rsidRPr="00403220">
        <w:rPr>
          <w:rFonts w:cs="Times New Roman"/>
          <w:szCs w:val="24"/>
          <w:lang w:val="fr-CA"/>
        </w:rPr>
        <w:t>l’</w:t>
      </w:r>
      <w:r w:rsidR="001C7AB2" w:rsidRPr="00403220">
        <w:rPr>
          <w:rFonts w:cs="Times New Roman"/>
          <w:i/>
          <w:szCs w:val="24"/>
          <w:lang w:val="fr-CA"/>
        </w:rPr>
        <w:t xml:space="preserve">Affaire </w:t>
      </w:r>
      <w:r w:rsidR="00321EF3" w:rsidRPr="00403220">
        <w:rPr>
          <w:rFonts w:cs="Times New Roman"/>
          <w:i/>
          <w:szCs w:val="24"/>
          <w:lang w:val="fr-CA"/>
        </w:rPr>
        <w:t xml:space="preserve">du </w:t>
      </w:r>
      <w:r w:rsidR="001C7AB2" w:rsidRPr="00403220">
        <w:rPr>
          <w:rFonts w:cs="Times New Roman"/>
          <w:i/>
          <w:szCs w:val="24"/>
          <w:lang w:val="fr-CA"/>
        </w:rPr>
        <w:t>recouvrement des coûts</w:t>
      </w:r>
      <w:r w:rsidR="001C7AB2" w:rsidRPr="00403220">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 xml:space="preserve">51). </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À mon avis, cet argument dénature la confiance nécessaire en cas de déclaration inexacte faite par négligence selon le critère établi dans </w:t>
      </w:r>
      <w:r w:rsidRPr="00403220">
        <w:rPr>
          <w:rFonts w:cs="Times New Roman"/>
          <w:i/>
          <w:szCs w:val="24"/>
          <w:lang w:val="fr-CA"/>
        </w:rPr>
        <w:t>Hercules Management</w:t>
      </w:r>
      <w:r w:rsidR="001C7AB2" w:rsidRPr="00403220">
        <w:rPr>
          <w:rFonts w:cs="Times New Roman"/>
          <w:i/>
          <w:szCs w:val="24"/>
          <w:lang w:val="fr-CA"/>
        </w:rPr>
        <w:t>s</w:t>
      </w:r>
      <w:r w:rsidRPr="00403220">
        <w:rPr>
          <w:rFonts w:cs="Times New Roman"/>
          <w:i/>
          <w:szCs w:val="24"/>
          <w:lang w:val="fr-CA"/>
        </w:rPr>
        <w:t>.</w:t>
      </w:r>
      <w:r w:rsidRPr="00403220">
        <w:rPr>
          <w:rFonts w:cs="Times New Roman"/>
          <w:szCs w:val="24"/>
          <w:lang w:val="fr-CA"/>
        </w:rPr>
        <w:t xml:space="preserve">  Lors</w:t>
      </w:r>
      <w:r w:rsidR="00856C6C" w:rsidRPr="00403220">
        <w:rPr>
          <w:rFonts w:cs="Times New Roman"/>
          <w:szCs w:val="24"/>
          <w:lang w:val="fr-CA"/>
        </w:rPr>
        <w:t>que la jurisprudence parle de « </w:t>
      </w:r>
      <w:r w:rsidRPr="00403220">
        <w:rPr>
          <w:rFonts w:cs="Times New Roman"/>
          <w:szCs w:val="24"/>
          <w:lang w:val="fr-CA"/>
        </w:rPr>
        <w:t>confiance raisonnable » dans le contexte d</w:t>
      </w:r>
      <w:r w:rsidR="008372AA" w:rsidRPr="00403220">
        <w:rPr>
          <w:rFonts w:cs="Times New Roman"/>
          <w:szCs w:val="24"/>
          <w:lang w:val="fr-CA"/>
        </w:rPr>
        <w:t>’</w:t>
      </w:r>
      <w:r w:rsidRPr="00403220">
        <w:rPr>
          <w:rFonts w:cs="Times New Roman"/>
          <w:szCs w:val="24"/>
          <w:lang w:val="fr-CA"/>
        </w:rPr>
        <w:t>une déclaration inexacte faite par négligence, elle pose la question de savoir s</w:t>
      </w:r>
      <w:r w:rsidR="008372AA" w:rsidRPr="00403220">
        <w:rPr>
          <w:rFonts w:cs="Times New Roman"/>
          <w:szCs w:val="24"/>
          <w:lang w:val="fr-CA"/>
        </w:rPr>
        <w:t>’</w:t>
      </w:r>
      <w:r w:rsidRPr="00403220">
        <w:rPr>
          <w:rFonts w:cs="Times New Roman"/>
          <w:szCs w:val="24"/>
          <w:lang w:val="fr-CA"/>
        </w:rPr>
        <w:t>il était raisonnable pour l</w:t>
      </w:r>
      <w:r w:rsidR="008372AA" w:rsidRPr="00403220">
        <w:rPr>
          <w:rFonts w:cs="Times New Roman"/>
          <w:szCs w:val="24"/>
          <w:lang w:val="fr-CA"/>
        </w:rPr>
        <w:t>’</w:t>
      </w:r>
      <w:r w:rsidRPr="00403220">
        <w:rPr>
          <w:rFonts w:cs="Times New Roman"/>
          <w:szCs w:val="24"/>
          <w:lang w:val="fr-CA"/>
        </w:rPr>
        <w:t>interlocuteur de se fier à l</w:t>
      </w:r>
      <w:r w:rsidR="008372AA" w:rsidRPr="00403220">
        <w:rPr>
          <w:rFonts w:cs="Times New Roman"/>
          <w:szCs w:val="24"/>
          <w:lang w:val="fr-CA"/>
        </w:rPr>
        <w:t>’</w:t>
      </w:r>
      <w:r w:rsidRPr="00403220">
        <w:rPr>
          <w:rFonts w:cs="Times New Roman"/>
          <w:szCs w:val="24"/>
          <w:lang w:val="fr-CA"/>
        </w:rPr>
        <w:t>exactitude de la déclaration, et non pas celle de savoir s</w:t>
      </w:r>
      <w:r w:rsidR="008372AA" w:rsidRPr="00403220">
        <w:rPr>
          <w:rFonts w:cs="Times New Roman"/>
          <w:szCs w:val="24"/>
          <w:lang w:val="fr-CA"/>
        </w:rPr>
        <w:t>’</w:t>
      </w:r>
      <w:r w:rsidRPr="00403220">
        <w:rPr>
          <w:rFonts w:cs="Times New Roman"/>
          <w:szCs w:val="24"/>
          <w:lang w:val="fr-CA"/>
        </w:rPr>
        <w:t>il était raisonnable de croire que l</w:t>
      </w:r>
      <w:r w:rsidR="008372AA" w:rsidRPr="00403220">
        <w:rPr>
          <w:rFonts w:cs="Times New Roman"/>
          <w:szCs w:val="24"/>
          <w:lang w:val="fr-CA"/>
        </w:rPr>
        <w:t>’</w:t>
      </w:r>
      <w:r w:rsidRPr="00403220">
        <w:rPr>
          <w:rFonts w:cs="Times New Roman"/>
          <w:szCs w:val="24"/>
          <w:lang w:val="fr-CA"/>
        </w:rPr>
        <w:t xml:space="preserve">auteur de la </w:t>
      </w:r>
      <w:r w:rsidRPr="00403220">
        <w:rPr>
          <w:rFonts w:cs="Times New Roman"/>
          <w:szCs w:val="24"/>
          <w:lang w:val="fr-CA"/>
        </w:rPr>
        <w:lastRenderedPageBreak/>
        <w:t>déclaration</w:t>
      </w:r>
      <w:r w:rsidR="00FE3D41" w:rsidRPr="00403220">
        <w:rPr>
          <w:rFonts w:cs="Times New Roman"/>
          <w:szCs w:val="24"/>
          <w:lang w:val="fr-CA"/>
        </w:rPr>
        <w:t xml:space="preserve"> garantissait</w:t>
      </w:r>
      <w:r w:rsidRPr="00403220">
        <w:rPr>
          <w:rFonts w:cs="Times New Roman"/>
          <w:szCs w:val="24"/>
          <w:lang w:val="fr-CA"/>
        </w:rPr>
        <w:t xml:space="preserve"> l</w:t>
      </w:r>
      <w:r w:rsidR="008372AA" w:rsidRPr="00403220">
        <w:rPr>
          <w:rFonts w:cs="Times New Roman"/>
          <w:szCs w:val="24"/>
          <w:lang w:val="fr-CA"/>
        </w:rPr>
        <w:t>’</w:t>
      </w:r>
      <w:r w:rsidRPr="00403220">
        <w:rPr>
          <w:rFonts w:cs="Times New Roman"/>
          <w:szCs w:val="24"/>
          <w:lang w:val="fr-CA"/>
        </w:rPr>
        <w:t xml:space="preserve">exactitude de </w:t>
      </w:r>
      <w:proofErr w:type="spellStart"/>
      <w:r w:rsidRPr="00403220">
        <w:rPr>
          <w:rFonts w:cs="Times New Roman"/>
          <w:szCs w:val="24"/>
          <w:lang w:val="fr-CA"/>
        </w:rPr>
        <w:t>celle</w:t>
      </w:r>
      <w:r w:rsidR="00A54DAC" w:rsidRPr="00403220">
        <w:rPr>
          <w:rFonts w:cs="Times New Roman"/>
          <w:szCs w:val="24"/>
          <w:lang w:val="fr-CA"/>
        </w:rPr>
        <w:noBreakHyphen/>
      </w:r>
      <w:r w:rsidRPr="00403220">
        <w:rPr>
          <w:rFonts w:cs="Times New Roman"/>
          <w:szCs w:val="24"/>
          <w:lang w:val="fr-CA"/>
        </w:rPr>
        <w:t>ci</w:t>
      </w:r>
      <w:proofErr w:type="spellEnd"/>
      <w:r w:rsidRPr="00403220">
        <w:rPr>
          <w:rFonts w:cs="Times New Roman"/>
          <w:szCs w:val="24"/>
          <w:lang w:val="fr-CA"/>
        </w:rPr>
        <w:t>.  Il n</w:t>
      </w:r>
      <w:r w:rsidR="008372AA" w:rsidRPr="00403220">
        <w:rPr>
          <w:rFonts w:cs="Times New Roman"/>
          <w:szCs w:val="24"/>
          <w:lang w:val="fr-CA"/>
        </w:rPr>
        <w:t>’</w:t>
      </w:r>
      <w:r w:rsidRPr="00403220">
        <w:rPr>
          <w:rFonts w:cs="Times New Roman"/>
          <w:szCs w:val="24"/>
          <w:lang w:val="fr-CA"/>
        </w:rPr>
        <w:t xml:space="preserve">est pas manifeste et évident que les compagnies de tabac se sont fiées de manière déraisonnable aux déclarations du Canada </w:t>
      </w:r>
      <w:r w:rsidR="00FE3D41" w:rsidRPr="00403220">
        <w:rPr>
          <w:rFonts w:cs="Times New Roman"/>
          <w:szCs w:val="24"/>
          <w:lang w:val="fr-CA"/>
        </w:rPr>
        <w:t xml:space="preserve">relatives aux </w:t>
      </w:r>
      <w:r w:rsidRPr="00403220">
        <w:rPr>
          <w:rFonts w:cs="Times New Roman"/>
          <w:szCs w:val="24"/>
          <w:lang w:val="fr-CA"/>
        </w:rPr>
        <w:t>avantages des cigarettes légères ou douces.  J</w:t>
      </w:r>
      <w:r w:rsidR="008372AA" w:rsidRPr="00403220">
        <w:rPr>
          <w:rFonts w:cs="Times New Roman"/>
          <w:szCs w:val="24"/>
          <w:lang w:val="fr-CA"/>
        </w:rPr>
        <w:t>’</w:t>
      </w:r>
      <w:r w:rsidRPr="00403220">
        <w:rPr>
          <w:rFonts w:cs="Times New Roman"/>
          <w:szCs w:val="24"/>
          <w:lang w:val="fr-CA"/>
        </w:rPr>
        <w:t>estime que l</w:t>
      </w:r>
      <w:r w:rsidR="008372AA" w:rsidRPr="00403220">
        <w:rPr>
          <w:rFonts w:cs="Times New Roman"/>
          <w:szCs w:val="24"/>
          <w:lang w:val="fr-CA"/>
        </w:rPr>
        <w:t>’</w:t>
      </w:r>
      <w:r w:rsidRPr="00403220">
        <w:rPr>
          <w:rFonts w:cs="Times New Roman"/>
          <w:szCs w:val="24"/>
          <w:lang w:val="fr-CA"/>
        </w:rPr>
        <w:t>argument du Canada selon lequel il agissait en qualité d</w:t>
      </w:r>
      <w:r w:rsidR="008372AA" w:rsidRPr="00403220">
        <w:rPr>
          <w:rFonts w:cs="Times New Roman"/>
          <w:szCs w:val="24"/>
          <w:lang w:val="fr-CA"/>
        </w:rPr>
        <w:t>’</w:t>
      </w:r>
      <w:r w:rsidRPr="00403220">
        <w:rPr>
          <w:rFonts w:cs="Times New Roman"/>
          <w:szCs w:val="24"/>
          <w:lang w:val="fr-CA"/>
        </w:rPr>
        <w:t>autorité de réglementation n</w:t>
      </w:r>
      <w:r w:rsidR="008372AA" w:rsidRPr="00403220">
        <w:rPr>
          <w:rFonts w:cs="Times New Roman"/>
          <w:szCs w:val="24"/>
          <w:lang w:val="fr-CA"/>
        </w:rPr>
        <w:t>’</w:t>
      </w:r>
      <w:r w:rsidRPr="00403220">
        <w:rPr>
          <w:rFonts w:cs="Times New Roman"/>
          <w:szCs w:val="24"/>
          <w:lang w:val="fr-CA"/>
        </w:rPr>
        <w:t xml:space="preserve">a rien à voir avec la confiance raisonnable, mais il fait ressortir des considérations </w:t>
      </w:r>
      <w:r w:rsidR="00FE3D41" w:rsidRPr="00403220">
        <w:rPr>
          <w:rFonts w:cs="Times New Roman"/>
          <w:szCs w:val="24"/>
          <w:lang w:val="fr-CA"/>
        </w:rPr>
        <w:t xml:space="preserve">de politique générale </w:t>
      </w:r>
      <w:r w:rsidRPr="00403220">
        <w:rPr>
          <w:rFonts w:cs="Times New Roman"/>
          <w:szCs w:val="24"/>
          <w:lang w:val="fr-CA"/>
        </w:rPr>
        <w:t xml:space="preserve">qui doivent être examinées au deuxième volet du critère établi dans les arrêts </w:t>
      </w:r>
      <w:proofErr w:type="spellStart"/>
      <w:r w:rsidRPr="00403220">
        <w:rPr>
          <w:rFonts w:cs="Times New Roman"/>
          <w:i/>
          <w:szCs w:val="24"/>
          <w:lang w:val="fr-CA"/>
        </w:rPr>
        <w:t>Anns</w:t>
      </w:r>
      <w:proofErr w:type="spellEnd"/>
      <w:r w:rsidRPr="00403220">
        <w:rPr>
          <w:rFonts w:cs="Times New Roman"/>
          <w:i/>
          <w:szCs w:val="24"/>
          <w:lang w:val="fr-CA"/>
        </w:rPr>
        <w:t xml:space="preserve"> </w:t>
      </w:r>
      <w:r w:rsidRPr="00403220">
        <w:rPr>
          <w:rFonts w:cs="Times New Roman"/>
          <w:szCs w:val="24"/>
          <w:lang w:val="fr-CA"/>
        </w:rPr>
        <w:t xml:space="preserve">et </w:t>
      </w:r>
      <w:r w:rsidRPr="00403220">
        <w:rPr>
          <w:rFonts w:cs="Times New Roman"/>
          <w:i/>
          <w:szCs w:val="24"/>
          <w:lang w:val="fr-CA"/>
        </w:rPr>
        <w:t>Cooper</w:t>
      </w:r>
      <w:r w:rsidR="00A54DAC" w:rsidRPr="00403220">
        <w:rPr>
          <w:rFonts w:cs="Times New Roman"/>
          <w:i/>
          <w:szCs w:val="24"/>
          <w:lang w:val="fr-CA"/>
        </w:rPr>
        <w:t> </w:t>
      </w:r>
      <w:r w:rsidR="00A54DAC" w:rsidRPr="00B21DC2">
        <w:rPr>
          <w:rFonts w:cs="Times New Roman"/>
          <w:szCs w:val="24"/>
          <w:lang w:val="fr-CA"/>
        </w:rPr>
        <w:t>:</w:t>
      </w:r>
      <w:r w:rsidRPr="00403220">
        <w:rPr>
          <w:rFonts w:cs="Times New Roman"/>
          <w:szCs w:val="24"/>
          <w:lang w:val="fr-CA"/>
        </w:rPr>
        <w:t xml:space="preserve"> </w:t>
      </w:r>
      <w:r w:rsidRPr="00403220">
        <w:rPr>
          <w:rFonts w:cs="Times New Roman"/>
          <w:i/>
          <w:szCs w:val="24"/>
          <w:lang w:val="fr-CA"/>
        </w:rPr>
        <w:t>Hercules Management</w:t>
      </w:r>
      <w:r w:rsidR="001C7AB2" w:rsidRPr="00403220">
        <w:rPr>
          <w:rFonts w:cs="Times New Roman"/>
          <w:i/>
          <w:szCs w:val="24"/>
          <w:lang w:val="fr-CA"/>
        </w:rPr>
        <w:t>s</w:t>
      </w:r>
      <w:r w:rsidRPr="00403220">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41.</w:t>
      </w:r>
    </w:p>
    <w:p w:rsidR="0056013A" w:rsidRDefault="00911EF9" w:rsidP="0056013A">
      <w:pPr>
        <w:pStyle w:val="ParaNoNdepar-AltN"/>
        <w:tabs>
          <w:tab w:val="clear" w:pos="1152"/>
          <w:tab w:val="left" w:pos="1170"/>
        </w:tabs>
        <w:rPr>
          <w:rFonts w:cs="Times New Roman"/>
          <w:szCs w:val="24"/>
          <w:lang w:val="fr-CA"/>
        </w:rPr>
      </w:pPr>
      <w:r w:rsidRPr="00403220">
        <w:rPr>
          <w:rFonts w:cs="Times New Roman"/>
          <w:szCs w:val="24"/>
          <w:lang w:val="fr-CA"/>
        </w:rPr>
        <w:t>En résumé, j</w:t>
      </w:r>
      <w:r w:rsidR="0047179D" w:rsidRPr="00403220">
        <w:rPr>
          <w:rFonts w:cs="Times New Roman"/>
          <w:szCs w:val="24"/>
          <w:lang w:val="fr-CA"/>
        </w:rPr>
        <w:t xml:space="preserve">e conclus que les allégations visant les compagnies de tabac et le Canada ne doivent </w:t>
      </w:r>
      <w:r w:rsidR="00E50F1B" w:rsidRPr="00403220">
        <w:rPr>
          <w:rFonts w:cs="Times New Roman"/>
          <w:szCs w:val="24"/>
          <w:lang w:val="fr-CA"/>
        </w:rPr>
        <w:t xml:space="preserve">pas </w:t>
      </w:r>
      <w:r w:rsidR="0047179D" w:rsidRPr="00403220">
        <w:rPr>
          <w:rFonts w:cs="Times New Roman"/>
          <w:szCs w:val="24"/>
          <w:lang w:val="fr-CA"/>
        </w:rPr>
        <w:t>être radiées à la première étape de l</w:t>
      </w:r>
      <w:r w:rsidR="008372AA" w:rsidRPr="00403220">
        <w:rPr>
          <w:rFonts w:cs="Times New Roman"/>
          <w:szCs w:val="24"/>
          <w:lang w:val="fr-CA"/>
        </w:rPr>
        <w:t>’</w:t>
      </w:r>
      <w:r w:rsidR="0047179D" w:rsidRPr="00403220">
        <w:rPr>
          <w:rFonts w:cs="Times New Roman"/>
          <w:szCs w:val="24"/>
          <w:lang w:val="fr-CA"/>
        </w:rPr>
        <w:t>analyse.  À supposer qu</w:t>
      </w:r>
      <w:r w:rsidR="008372AA" w:rsidRPr="00403220">
        <w:rPr>
          <w:rFonts w:cs="Times New Roman"/>
          <w:szCs w:val="24"/>
          <w:lang w:val="fr-CA"/>
        </w:rPr>
        <w:t>’</w:t>
      </w:r>
      <w:r w:rsidR="0047179D" w:rsidRPr="00403220">
        <w:rPr>
          <w:rFonts w:cs="Times New Roman"/>
          <w:szCs w:val="24"/>
          <w:lang w:val="fr-CA"/>
        </w:rPr>
        <w:t>ils soient exacts, les actes de procédure révèlent l</w:t>
      </w:r>
      <w:r w:rsidR="008372AA" w:rsidRPr="00403220">
        <w:rPr>
          <w:rFonts w:cs="Times New Roman"/>
          <w:szCs w:val="24"/>
          <w:lang w:val="fr-CA"/>
        </w:rPr>
        <w:t>’</w:t>
      </w:r>
      <w:r w:rsidR="0047179D" w:rsidRPr="00403220">
        <w:rPr>
          <w:rFonts w:cs="Times New Roman"/>
          <w:szCs w:val="24"/>
          <w:lang w:val="fr-CA"/>
        </w:rPr>
        <w:t>existence d</w:t>
      </w:r>
      <w:r w:rsidR="008372AA" w:rsidRPr="00403220">
        <w:rPr>
          <w:rFonts w:cs="Times New Roman"/>
          <w:szCs w:val="24"/>
          <w:lang w:val="fr-CA"/>
        </w:rPr>
        <w:t>’</w:t>
      </w:r>
      <w:r w:rsidR="0047179D" w:rsidRPr="00403220">
        <w:rPr>
          <w:rFonts w:cs="Times New Roman"/>
          <w:szCs w:val="24"/>
          <w:lang w:val="fr-CA"/>
        </w:rPr>
        <w:t xml:space="preserve">une obligation de diligence </w:t>
      </w:r>
      <w:r w:rsidR="0047179D" w:rsidRPr="00403220">
        <w:rPr>
          <w:rFonts w:cs="Times New Roman"/>
          <w:i/>
          <w:szCs w:val="24"/>
          <w:lang w:val="fr-CA"/>
        </w:rPr>
        <w:t>prima </w:t>
      </w:r>
      <w:proofErr w:type="spellStart"/>
      <w:r w:rsidR="0047179D" w:rsidRPr="00403220">
        <w:rPr>
          <w:rFonts w:cs="Times New Roman"/>
          <w:i/>
          <w:szCs w:val="24"/>
          <w:lang w:val="fr-CA"/>
        </w:rPr>
        <w:t>facie</w:t>
      </w:r>
      <w:proofErr w:type="spellEnd"/>
      <w:r w:rsidR="0047179D" w:rsidRPr="00403220">
        <w:rPr>
          <w:rFonts w:cs="Times New Roman"/>
          <w:szCs w:val="24"/>
          <w:lang w:val="fr-CA"/>
        </w:rPr>
        <w:t xml:space="preserve"> d</w:t>
      </w:r>
      <w:r w:rsidR="008372AA" w:rsidRPr="00403220">
        <w:rPr>
          <w:rFonts w:cs="Times New Roman"/>
          <w:szCs w:val="24"/>
          <w:lang w:val="fr-CA"/>
        </w:rPr>
        <w:t>’</w:t>
      </w:r>
      <w:r w:rsidR="0047179D" w:rsidRPr="00403220">
        <w:rPr>
          <w:rFonts w:cs="Times New Roman"/>
          <w:szCs w:val="24"/>
          <w:lang w:val="fr-CA"/>
        </w:rPr>
        <w:t>éviter les déclarations inexactes faites par négligence.</w:t>
      </w:r>
      <w:r w:rsidR="000B4CD8" w:rsidRPr="00403220">
        <w:rPr>
          <w:rFonts w:cs="Times New Roman"/>
          <w:szCs w:val="24"/>
          <w:lang w:val="fr-CA"/>
        </w:rPr>
        <w:t xml:space="preserve">  Toutefois, les faits, tels qu’ils ont été plaidés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0B4CD8" w:rsidRPr="00403220">
        <w:rPr>
          <w:rFonts w:cs="Times New Roman"/>
          <w:szCs w:val="24"/>
          <w:lang w:val="fr-CA"/>
        </w:rPr>
        <w:t>, ne démontrent pas l’existence, entre le Canada et les consommateurs, d’une relation qui donnerait naissance à une obligation de diligence.  Cette allégation doit donc être radiée à cette étape de l’analyse</w:t>
      </w:r>
      <w:r w:rsidR="00D11969" w:rsidRPr="00403220">
        <w:rPr>
          <w:rFonts w:cs="Times New Roman"/>
          <w:szCs w:val="24"/>
          <w:lang w:val="fr-CA"/>
        </w:rPr>
        <w:t>.</w:t>
      </w:r>
      <w:r w:rsidR="000B4CD8" w:rsidRPr="00403220">
        <w:rPr>
          <w:rFonts w:cs="Times New Roman"/>
          <w:szCs w:val="24"/>
          <w:lang w:val="fr-CA"/>
        </w:rPr>
        <w:t xml:space="preserve"> </w:t>
      </w:r>
    </w:p>
    <w:p w:rsidR="0047179D" w:rsidRPr="0056013A" w:rsidRDefault="0056013A" w:rsidP="00C27023">
      <w:pPr>
        <w:pStyle w:val="TitleTitre-AltT"/>
        <w:tabs>
          <w:tab w:val="clear" w:pos="360"/>
          <w:tab w:val="left" w:pos="1260"/>
        </w:tabs>
        <w:spacing w:after="720"/>
        <w:ind w:left="1800" w:hanging="1800"/>
        <w:rPr>
          <w:lang w:val="fr-CA"/>
        </w:rPr>
      </w:pPr>
      <w:r>
        <w:rPr>
          <w:lang w:val="fr-CA"/>
        </w:rPr>
        <w:tab/>
      </w:r>
      <w:bookmarkStart w:id="13" w:name="_Toc314735115"/>
      <w:r w:rsidR="001C7AB2" w:rsidRPr="0056013A">
        <w:rPr>
          <w:lang w:val="fr-CA"/>
        </w:rPr>
        <w:t>(2</w:t>
      </w:r>
      <w:r w:rsidR="00427A77" w:rsidRPr="0056013A">
        <w:rPr>
          <w:lang w:val="fr-CA"/>
        </w:rPr>
        <w:t>)</w:t>
      </w:r>
      <w:r w:rsidR="00427A77" w:rsidRPr="0056013A">
        <w:rPr>
          <w:lang w:val="fr-CA"/>
        </w:rPr>
        <w:tab/>
      </w:r>
      <w:r w:rsidR="0047179D" w:rsidRPr="00C27023">
        <w:rPr>
          <w:u w:val="single"/>
          <w:lang w:val="fr-CA"/>
        </w:rPr>
        <w:t>Deuxième étape de l</w:t>
      </w:r>
      <w:r w:rsidR="008372AA" w:rsidRPr="00C27023">
        <w:rPr>
          <w:u w:val="single"/>
          <w:lang w:val="fr-CA"/>
        </w:rPr>
        <w:t>’</w:t>
      </w:r>
      <w:r w:rsidR="0047179D" w:rsidRPr="00C27023">
        <w:rPr>
          <w:u w:val="single"/>
          <w:lang w:val="fr-CA"/>
        </w:rPr>
        <w:t>analyse</w:t>
      </w:r>
      <w:r w:rsidR="00A54DAC" w:rsidRPr="00C27023">
        <w:rPr>
          <w:u w:val="single"/>
          <w:lang w:val="fr-CA"/>
        </w:rPr>
        <w:t> :</w:t>
      </w:r>
      <w:r w:rsidR="002D4FA3" w:rsidRPr="00C27023">
        <w:rPr>
          <w:u w:val="single"/>
          <w:lang w:val="fr-CA"/>
        </w:rPr>
        <w:t xml:space="preserve"> c</w:t>
      </w:r>
      <w:r w:rsidR="0047179D" w:rsidRPr="00C27023">
        <w:rPr>
          <w:u w:val="single"/>
          <w:lang w:val="fr-CA"/>
        </w:rPr>
        <w:t xml:space="preserve">onsidérations </w:t>
      </w:r>
      <w:r w:rsidR="00E50F1B" w:rsidRPr="00C27023">
        <w:rPr>
          <w:u w:val="single"/>
          <w:lang w:val="fr-CA"/>
        </w:rPr>
        <w:t>de politique</w:t>
      </w:r>
      <w:r w:rsidR="0047179D" w:rsidRPr="00C27023">
        <w:rPr>
          <w:u w:val="single"/>
          <w:lang w:val="fr-CA"/>
        </w:rPr>
        <w:t xml:space="preserve"> </w:t>
      </w:r>
      <w:r w:rsidR="00E50F1B" w:rsidRPr="00C27023">
        <w:rPr>
          <w:u w:val="single"/>
          <w:lang w:val="fr-CA"/>
        </w:rPr>
        <w:t>générale o</w:t>
      </w:r>
      <w:r w:rsidR="0047179D" w:rsidRPr="00C27023">
        <w:rPr>
          <w:u w:val="single"/>
          <w:lang w:val="fr-CA"/>
        </w:rPr>
        <w:t>pposées</w:t>
      </w:r>
      <w:bookmarkEnd w:id="13"/>
    </w:p>
    <w:p w:rsidR="0047179D" w:rsidRPr="00403220" w:rsidRDefault="0047179D" w:rsidP="005A33F7">
      <w:pPr>
        <w:pStyle w:val="ParaNoNdepar-AltN"/>
        <w:rPr>
          <w:rFonts w:cs="Times New Roman"/>
          <w:szCs w:val="24"/>
          <w:lang w:val="fr-CA"/>
        </w:rPr>
      </w:pPr>
      <w:r w:rsidRPr="00403220">
        <w:rPr>
          <w:rFonts w:cs="Times New Roman"/>
          <w:szCs w:val="24"/>
          <w:lang w:val="fr-CA"/>
        </w:rPr>
        <w:lastRenderedPageBreak/>
        <w:t>Le Canada fait valoir qu</w:t>
      </w:r>
      <w:r w:rsidR="008372AA" w:rsidRPr="00403220">
        <w:rPr>
          <w:rFonts w:cs="Times New Roman"/>
          <w:szCs w:val="24"/>
          <w:lang w:val="fr-CA"/>
        </w:rPr>
        <w:t>’</w:t>
      </w:r>
      <w:r w:rsidRPr="00403220">
        <w:rPr>
          <w:rFonts w:cs="Times New Roman"/>
          <w:szCs w:val="24"/>
          <w:lang w:val="fr-CA"/>
        </w:rPr>
        <w:t>il ne peut y avoir d</w:t>
      </w:r>
      <w:r w:rsidR="008372AA" w:rsidRPr="00403220">
        <w:rPr>
          <w:rFonts w:cs="Times New Roman"/>
          <w:szCs w:val="24"/>
          <w:lang w:val="fr-CA"/>
        </w:rPr>
        <w:t>’</w:t>
      </w:r>
      <w:r w:rsidRPr="00403220">
        <w:rPr>
          <w:rFonts w:cs="Times New Roman"/>
          <w:szCs w:val="24"/>
          <w:lang w:val="fr-CA"/>
        </w:rPr>
        <w:t xml:space="preserve">obligation de diligence dans les présentes affaires en raison des considérations </w:t>
      </w:r>
      <w:r w:rsidR="00E50F1B" w:rsidRPr="00403220">
        <w:rPr>
          <w:rFonts w:cs="Times New Roman"/>
          <w:szCs w:val="24"/>
          <w:lang w:val="fr-CA"/>
        </w:rPr>
        <w:t xml:space="preserve">de </w:t>
      </w:r>
      <w:r w:rsidRPr="00403220">
        <w:rPr>
          <w:rFonts w:cs="Times New Roman"/>
          <w:szCs w:val="24"/>
          <w:lang w:val="fr-CA"/>
        </w:rPr>
        <w:t xml:space="preserve">politique </w:t>
      </w:r>
      <w:r w:rsidR="00E50F1B" w:rsidRPr="00403220">
        <w:rPr>
          <w:rFonts w:cs="Times New Roman"/>
          <w:szCs w:val="24"/>
          <w:lang w:val="fr-CA"/>
        </w:rPr>
        <w:t xml:space="preserve">générale </w:t>
      </w:r>
      <w:r w:rsidRPr="00403220">
        <w:rPr>
          <w:rFonts w:cs="Times New Roman"/>
          <w:szCs w:val="24"/>
          <w:lang w:val="fr-CA"/>
        </w:rPr>
        <w:t>qui entrent en jeu à la deuxième étape de l</w:t>
      </w:r>
      <w:r w:rsidR="008372AA" w:rsidRPr="00403220">
        <w:rPr>
          <w:rFonts w:cs="Times New Roman"/>
          <w:szCs w:val="24"/>
          <w:lang w:val="fr-CA"/>
        </w:rPr>
        <w:t>’</w:t>
      </w:r>
      <w:r w:rsidRPr="00403220">
        <w:rPr>
          <w:rFonts w:cs="Times New Roman"/>
          <w:szCs w:val="24"/>
          <w:lang w:val="fr-CA"/>
        </w:rPr>
        <w:t>analyse.  Le Canada</w:t>
      </w:r>
      <w:r w:rsidR="0098269F" w:rsidRPr="00403220">
        <w:rPr>
          <w:rFonts w:cs="Times New Roman"/>
          <w:szCs w:val="24"/>
          <w:lang w:val="fr-CA"/>
        </w:rPr>
        <w:t xml:space="preserve"> invoque à cet égard</w:t>
      </w:r>
      <w:r w:rsidRPr="00403220">
        <w:rPr>
          <w:rFonts w:cs="Times New Roman"/>
          <w:szCs w:val="24"/>
          <w:lang w:val="fr-CA"/>
        </w:rPr>
        <w:t xml:space="preserve"> quatre </w:t>
      </w:r>
      <w:r w:rsidR="0098269F" w:rsidRPr="00403220">
        <w:rPr>
          <w:rFonts w:cs="Times New Roman"/>
          <w:szCs w:val="24"/>
          <w:lang w:val="fr-CA"/>
        </w:rPr>
        <w:t>considérations de cette nature</w:t>
      </w:r>
      <w:r w:rsidR="00A54DAC" w:rsidRPr="00403220">
        <w:rPr>
          <w:rFonts w:cs="Times New Roman"/>
          <w:szCs w:val="24"/>
          <w:lang w:val="fr-CA"/>
        </w:rPr>
        <w:t> :</w:t>
      </w:r>
      <w:r w:rsidRPr="00403220">
        <w:rPr>
          <w:rFonts w:cs="Times New Roman"/>
          <w:szCs w:val="24"/>
          <w:lang w:val="fr-CA"/>
        </w:rPr>
        <w:t xml:space="preserve"> </w:t>
      </w:r>
      <w:r w:rsidR="00B21DC2">
        <w:rPr>
          <w:rFonts w:cs="Times New Roman"/>
          <w:szCs w:val="24"/>
          <w:lang w:val="fr-CA"/>
        </w:rPr>
        <w:t>(</w:t>
      </w:r>
      <w:r w:rsidRPr="00403220">
        <w:rPr>
          <w:rFonts w:cs="Times New Roman"/>
          <w:szCs w:val="24"/>
          <w:lang w:val="fr-CA"/>
        </w:rPr>
        <w:t>1)</w:t>
      </w:r>
      <w:r w:rsidR="00E50F1B" w:rsidRPr="00403220">
        <w:rPr>
          <w:rFonts w:cs="Times New Roman"/>
          <w:szCs w:val="24"/>
          <w:lang w:val="fr-CA"/>
        </w:rPr>
        <w:t> </w:t>
      </w:r>
      <w:r w:rsidRPr="00403220">
        <w:rPr>
          <w:rFonts w:cs="Times New Roman"/>
          <w:szCs w:val="24"/>
          <w:lang w:val="fr-CA"/>
        </w:rPr>
        <w:t xml:space="preserve">les prétendues déclarations inexactes constituaient des décisions de politique </w:t>
      </w:r>
      <w:r w:rsidR="004D09DD" w:rsidRPr="00403220">
        <w:rPr>
          <w:rFonts w:cs="Times New Roman"/>
          <w:szCs w:val="24"/>
          <w:lang w:val="fr-CA"/>
        </w:rPr>
        <w:t xml:space="preserve">générale </w:t>
      </w:r>
      <w:r w:rsidRPr="00403220">
        <w:rPr>
          <w:rFonts w:cs="Times New Roman"/>
          <w:szCs w:val="24"/>
          <w:lang w:val="fr-CA"/>
        </w:rPr>
        <w:t xml:space="preserve">du gouvernement; </w:t>
      </w:r>
      <w:r w:rsidR="00B21DC2">
        <w:rPr>
          <w:rFonts w:cs="Times New Roman"/>
          <w:szCs w:val="24"/>
          <w:lang w:val="fr-CA"/>
        </w:rPr>
        <w:t>(</w:t>
      </w:r>
      <w:r w:rsidRPr="00403220">
        <w:rPr>
          <w:rFonts w:cs="Times New Roman"/>
          <w:szCs w:val="24"/>
          <w:lang w:val="fr-CA"/>
        </w:rPr>
        <w:t>2)</w:t>
      </w:r>
      <w:r w:rsidR="00E50F1B" w:rsidRPr="00403220">
        <w:rPr>
          <w:rFonts w:cs="Times New Roman"/>
          <w:szCs w:val="24"/>
          <w:lang w:val="fr-CA"/>
        </w:rPr>
        <w:t xml:space="preserve"> la reconnaissance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une obligation de diligence entraînerait la création d</w:t>
      </w:r>
      <w:r w:rsidR="008372AA" w:rsidRPr="00403220">
        <w:rPr>
          <w:rFonts w:cs="Times New Roman"/>
          <w:szCs w:val="24"/>
          <w:lang w:val="fr-CA"/>
        </w:rPr>
        <w:t>’</w:t>
      </w:r>
      <w:r w:rsidRPr="00403220">
        <w:rPr>
          <w:rFonts w:cs="Times New Roman"/>
          <w:szCs w:val="24"/>
          <w:lang w:val="fr-CA"/>
        </w:rPr>
        <w:t>une responsabilité indéterminée envers une catégorie indéterminée</w:t>
      </w:r>
      <w:r w:rsidR="00715571" w:rsidRPr="00403220">
        <w:rPr>
          <w:rFonts w:cs="Times New Roman"/>
          <w:szCs w:val="24"/>
          <w:lang w:val="fr-CA"/>
        </w:rPr>
        <w:t xml:space="preserve"> de personnes</w:t>
      </w:r>
      <w:r w:rsidRPr="00403220">
        <w:rPr>
          <w:rFonts w:cs="Times New Roman"/>
          <w:szCs w:val="24"/>
          <w:lang w:val="fr-CA"/>
        </w:rPr>
        <w:t xml:space="preserve">; </w:t>
      </w:r>
      <w:r w:rsidR="00B21DC2">
        <w:rPr>
          <w:rFonts w:cs="Times New Roman"/>
          <w:szCs w:val="24"/>
          <w:lang w:val="fr-CA"/>
        </w:rPr>
        <w:t>(</w:t>
      </w:r>
      <w:r w:rsidRPr="00403220">
        <w:rPr>
          <w:rFonts w:cs="Times New Roman"/>
          <w:szCs w:val="24"/>
          <w:lang w:val="fr-CA"/>
        </w:rPr>
        <w:t>3)</w:t>
      </w:r>
      <w:r w:rsidR="00E50F1B" w:rsidRPr="00403220">
        <w:rPr>
          <w:rFonts w:cs="Times New Roman"/>
          <w:szCs w:val="24"/>
          <w:lang w:val="fr-CA"/>
        </w:rPr>
        <w:t xml:space="preserve"> la reconnaissance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une telle obligation aurait pour effet i</w:t>
      </w:r>
      <w:r w:rsidR="00715571" w:rsidRPr="00403220">
        <w:rPr>
          <w:rFonts w:cs="Times New Roman"/>
          <w:szCs w:val="24"/>
          <w:lang w:val="fr-CA"/>
        </w:rPr>
        <w:t>mprévu</w:t>
      </w:r>
      <w:r w:rsidRPr="00403220">
        <w:rPr>
          <w:rFonts w:cs="Times New Roman"/>
          <w:szCs w:val="24"/>
          <w:lang w:val="fr-CA"/>
        </w:rPr>
        <w:t xml:space="preserve"> d</w:t>
      </w:r>
      <w:r w:rsidR="008372AA" w:rsidRPr="00403220">
        <w:rPr>
          <w:rFonts w:cs="Times New Roman"/>
          <w:szCs w:val="24"/>
          <w:lang w:val="fr-CA"/>
        </w:rPr>
        <w:t>’</w:t>
      </w:r>
      <w:r w:rsidRPr="00403220">
        <w:rPr>
          <w:rFonts w:cs="Times New Roman"/>
          <w:szCs w:val="24"/>
          <w:lang w:val="fr-CA"/>
        </w:rPr>
        <w:t>instaurer un régime d</w:t>
      </w:r>
      <w:r w:rsidR="008372AA" w:rsidRPr="00403220">
        <w:rPr>
          <w:rFonts w:cs="Times New Roman"/>
          <w:szCs w:val="24"/>
          <w:lang w:val="fr-CA"/>
        </w:rPr>
        <w:t>’</w:t>
      </w:r>
      <w:r w:rsidRPr="00403220">
        <w:rPr>
          <w:rFonts w:cs="Times New Roman"/>
          <w:szCs w:val="24"/>
          <w:lang w:val="fr-CA"/>
        </w:rPr>
        <w:t>assurance; et</w:t>
      </w:r>
      <w:r w:rsidR="00E50F1B" w:rsidRPr="00403220">
        <w:rPr>
          <w:rFonts w:cs="Times New Roman"/>
          <w:szCs w:val="24"/>
          <w:lang w:val="fr-CA"/>
        </w:rPr>
        <w:t xml:space="preserve"> </w:t>
      </w:r>
      <w:r w:rsidR="00B21DC2">
        <w:rPr>
          <w:rFonts w:cs="Times New Roman"/>
          <w:szCs w:val="24"/>
          <w:lang w:val="fr-CA"/>
        </w:rPr>
        <w:t>(</w:t>
      </w:r>
      <w:r w:rsidR="00E50F1B" w:rsidRPr="00403220">
        <w:rPr>
          <w:rFonts w:cs="Times New Roman"/>
          <w:szCs w:val="24"/>
          <w:lang w:val="fr-CA"/>
        </w:rPr>
        <w:t>4) </w:t>
      </w:r>
      <w:r w:rsidRPr="00403220">
        <w:rPr>
          <w:rFonts w:cs="Times New Roman"/>
          <w:szCs w:val="24"/>
          <w:lang w:val="fr-CA"/>
        </w:rPr>
        <w:t>si l</w:t>
      </w:r>
      <w:r w:rsidR="008372AA" w:rsidRPr="00403220">
        <w:rPr>
          <w:rFonts w:cs="Times New Roman"/>
          <w:szCs w:val="24"/>
          <w:lang w:val="fr-CA"/>
        </w:rPr>
        <w:t>’</w:t>
      </w:r>
      <w:r w:rsidRPr="00403220">
        <w:rPr>
          <w:rFonts w:cs="Times New Roman"/>
          <w:szCs w:val="24"/>
          <w:lang w:val="fr-CA"/>
        </w:rPr>
        <w:t>on fait droit à la demande d</w:t>
      </w:r>
      <w:r w:rsidR="008372AA" w:rsidRPr="00403220">
        <w:rPr>
          <w:rFonts w:cs="Times New Roman"/>
          <w:szCs w:val="24"/>
          <w:lang w:val="fr-CA"/>
        </w:rPr>
        <w:t>’</w:t>
      </w:r>
      <w:r w:rsidR="00847C22" w:rsidRPr="00403220">
        <w:rPr>
          <w:rFonts w:cs="Times New Roman"/>
          <w:szCs w:val="24"/>
          <w:lang w:val="fr-CA"/>
        </w:rPr>
        <w:t>Imperial</w:t>
      </w:r>
      <w:r w:rsidRPr="00403220">
        <w:rPr>
          <w:rFonts w:cs="Times New Roman"/>
          <w:szCs w:val="24"/>
          <w:lang w:val="fr-CA"/>
        </w:rPr>
        <w:t xml:space="preserve">, la responsabilité </w:t>
      </w:r>
      <w:r w:rsidR="00E50F1B" w:rsidRPr="00403220">
        <w:rPr>
          <w:rFonts w:cs="Times New Roman"/>
          <w:szCs w:val="24"/>
          <w:lang w:val="fr-CA"/>
        </w:rPr>
        <w:t xml:space="preserve">à l’égard </w:t>
      </w:r>
      <w:r w:rsidRPr="00403220">
        <w:rPr>
          <w:rFonts w:cs="Times New Roman"/>
          <w:szCs w:val="24"/>
          <w:lang w:val="fr-CA"/>
        </w:rPr>
        <w:t>des produits du tabac passerait du fabricant au gouvernement, et le fabricant [</w:t>
      </w:r>
      <w:r w:rsidRPr="00403220">
        <w:rPr>
          <w:rFonts w:cs="Times New Roman"/>
          <w:smallCaps/>
          <w:szCs w:val="24"/>
          <w:lang w:val="fr-CA"/>
        </w:rPr>
        <w:t>traduction</w:t>
      </w:r>
      <w:r w:rsidRPr="00403220">
        <w:rPr>
          <w:rFonts w:cs="Times New Roman"/>
          <w:szCs w:val="24"/>
          <w:lang w:val="fr-CA"/>
        </w:rPr>
        <w:t xml:space="preserve">] « est le mieux </w:t>
      </w:r>
      <w:r w:rsidR="00E50F1B" w:rsidRPr="00403220">
        <w:rPr>
          <w:rFonts w:cs="Times New Roman"/>
          <w:szCs w:val="24"/>
          <w:lang w:val="fr-CA"/>
        </w:rPr>
        <w:t>en mesure d’</w:t>
      </w:r>
      <w:r w:rsidRPr="00403220">
        <w:rPr>
          <w:rFonts w:cs="Times New Roman"/>
          <w:szCs w:val="24"/>
          <w:lang w:val="fr-CA"/>
        </w:rPr>
        <w:t>assume</w:t>
      </w:r>
      <w:r w:rsidR="00715571" w:rsidRPr="00403220">
        <w:rPr>
          <w:rFonts w:cs="Times New Roman"/>
          <w:szCs w:val="24"/>
          <w:lang w:val="fr-CA"/>
        </w:rPr>
        <w:t>r la responsabilité des pertes financières </w:t>
      </w:r>
      <w:r w:rsidRPr="00403220">
        <w:rPr>
          <w:rFonts w:cs="Times New Roman"/>
          <w:szCs w:val="24"/>
          <w:lang w:val="fr-CA"/>
        </w:rPr>
        <w:t>»</w:t>
      </w:r>
      <w:r w:rsidR="001C7AB2" w:rsidRPr="00403220">
        <w:rPr>
          <w:rFonts w:cs="Times New Roman"/>
          <w:szCs w:val="24"/>
          <w:lang w:val="fr-CA"/>
        </w:rPr>
        <w:t xml:space="preserve"> (m.a., </w:t>
      </w:r>
      <w:r w:rsidR="00A54DAC" w:rsidRPr="00403220">
        <w:rPr>
          <w:rFonts w:cs="Times New Roman"/>
          <w:szCs w:val="24"/>
          <w:lang w:val="fr-CA"/>
        </w:rPr>
        <w:t>par. </w:t>
      </w:r>
      <w:r w:rsidR="001C7AB2" w:rsidRPr="00403220">
        <w:rPr>
          <w:rFonts w:cs="Times New Roman"/>
          <w:szCs w:val="24"/>
          <w:lang w:val="fr-CA"/>
        </w:rPr>
        <w:t>72)</w:t>
      </w:r>
      <w:r w:rsidRPr="00403220">
        <w:rPr>
          <w:rFonts w:cs="Times New Roman"/>
          <w:szCs w:val="24"/>
          <w:lang w:val="fr-CA"/>
        </w:rPr>
        <w:t xml:space="preserve">. </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Pour les motifs exposés </w:t>
      </w:r>
      <w:proofErr w:type="spellStart"/>
      <w:r w:rsidRPr="00403220">
        <w:rPr>
          <w:rFonts w:cs="Times New Roman"/>
          <w:szCs w:val="24"/>
          <w:lang w:val="fr-CA"/>
        </w:rPr>
        <w:t>ci</w:t>
      </w:r>
      <w:r w:rsidR="00A54DAC" w:rsidRPr="00403220">
        <w:rPr>
          <w:rFonts w:cs="Times New Roman"/>
          <w:szCs w:val="24"/>
          <w:lang w:val="fr-CA"/>
        </w:rPr>
        <w:noBreakHyphen/>
      </w:r>
      <w:r w:rsidRPr="00403220">
        <w:rPr>
          <w:rFonts w:cs="Times New Roman"/>
          <w:szCs w:val="24"/>
          <w:lang w:val="fr-CA"/>
        </w:rPr>
        <w:t>après</w:t>
      </w:r>
      <w:proofErr w:type="spellEnd"/>
      <w:r w:rsidRPr="00403220">
        <w:rPr>
          <w:rFonts w:cs="Times New Roman"/>
          <w:szCs w:val="24"/>
          <w:lang w:val="fr-CA"/>
        </w:rPr>
        <w:t>, je retiens la prétention du Canada selon laquelle les déclarations inexactes qu</w:t>
      </w:r>
      <w:r w:rsidR="008372AA" w:rsidRPr="00403220">
        <w:rPr>
          <w:rFonts w:cs="Times New Roman"/>
          <w:szCs w:val="24"/>
          <w:lang w:val="fr-CA"/>
        </w:rPr>
        <w:t>’</w:t>
      </w:r>
      <w:r w:rsidRPr="00403220">
        <w:rPr>
          <w:rFonts w:cs="Times New Roman"/>
          <w:szCs w:val="24"/>
          <w:lang w:val="fr-CA"/>
        </w:rPr>
        <w:t>il aurait faites par négligence à l</w:t>
      </w:r>
      <w:r w:rsidR="008372AA" w:rsidRPr="00403220">
        <w:rPr>
          <w:rFonts w:cs="Times New Roman"/>
          <w:szCs w:val="24"/>
          <w:lang w:val="fr-CA"/>
        </w:rPr>
        <w:t>’</w:t>
      </w:r>
      <w:r w:rsidRPr="00403220">
        <w:rPr>
          <w:rFonts w:cs="Times New Roman"/>
          <w:szCs w:val="24"/>
          <w:lang w:val="fr-CA"/>
        </w:rPr>
        <w:t xml:space="preserve">industrie du tabac dans les deux affaires ne doivent pas engager sa responsabilité délictuelle en raison des considérations </w:t>
      </w:r>
      <w:r w:rsidR="00E50F1B" w:rsidRPr="00403220">
        <w:rPr>
          <w:rFonts w:cs="Times New Roman"/>
          <w:szCs w:val="24"/>
          <w:lang w:val="fr-CA"/>
        </w:rPr>
        <w:t>de politique</w:t>
      </w:r>
      <w:r w:rsidRPr="00403220">
        <w:rPr>
          <w:rFonts w:cs="Times New Roman"/>
          <w:szCs w:val="24"/>
          <w:lang w:val="fr-CA"/>
        </w:rPr>
        <w:t xml:space="preserve"> </w:t>
      </w:r>
      <w:r w:rsidR="00E50F1B" w:rsidRPr="00403220">
        <w:rPr>
          <w:rFonts w:cs="Times New Roman"/>
          <w:szCs w:val="24"/>
          <w:lang w:val="fr-CA"/>
        </w:rPr>
        <w:t xml:space="preserve">générale </w:t>
      </w:r>
      <w:r w:rsidRPr="00403220">
        <w:rPr>
          <w:rFonts w:cs="Times New Roman"/>
          <w:szCs w:val="24"/>
          <w:lang w:val="fr-CA"/>
        </w:rPr>
        <w:t>qui entrent en jeu à la deuxième étape de l</w:t>
      </w:r>
      <w:r w:rsidR="008372AA" w:rsidRPr="00403220">
        <w:rPr>
          <w:rFonts w:cs="Times New Roman"/>
          <w:szCs w:val="24"/>
          <w:lang w:val="fr-CA"/>
        </w:rPr>
        <w:t>’</w:t>
      </w:r>
      <w:r w:rsidRPr="00403220">
        <w:rPr>
          <w:rFonts w:cs="Times New Roman"/>
          <w:szCs w:val="24"/>
          <w:lang w:val="fr-CA"/>
        </w:rPr>
        <w:t xml:space="preserve">analyse. </w:t>
      </w:r>
      <w:r w:rsidR="007118A3" w:rsidRPr="00403220">
        <w:rPr>
          <w:rFonts w:cs="Times New Roman"/>
          <w:szCs w:val="24"/>
          <w:lang w:val="fr-CA"/>
        </w:rPr>
        <w:t xml:space="preserve">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 xml:space="preserve">abord, les déclarations alléguées sont des expressions protégées de politique </w:t>
      </w:r>
      <w:r w:rsidR="0098269F" w:rsidRPr="00403220">
        <w:rPr>
          <w:rFonts w:cs="Times New Roman"/>
          <w:szCs w:val="24"/>
          <w:lang w:val="fr-CA"/>
        </w:rPr>
        <w:t xml:space="preserve">générale </w:t>
      </w:r>
      <w:r w:rsidRPr="00403220">
        <w:rPr>
          <w:rFonts w:cs="Times New Roman"/>
          <w:szCs w:val="24"/>
          <w:lang w:val="fr-CA"/>
        </w:rPr>
        <w:t xml:space="preserve">du gouvernement.  Ensuite, </w:t>
      </w:r>
      <w:r w:rsidR="00E50F1B" w:rsidRPr="00403220">
        <w:rPr>
          <w:rFonts w:cs="Times New Roman"/>
          <w:szCs w:val="24"/>
          <w:lang w:val="fr-CA"/>
        </w:rPr>
        <w:t xml:space="preserve">la reconnaissance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 xml:space="preserve">une obligation de diligence exposerait le Canada à une responsabilité indéterminée.  </w:t>
      </w:r>
    </w:p>
    <w:p w:rsidR="0047179D" w:rsidRPr="00403220" w:rsidRDefault="001C7AB2" w:rsidP="0086265E">
      <w:pPr>
        <w:pStyle w:val="TitleTitre-AltT"/>
        <w:keepNext/>
        <w:tabs>
          <w:tab w:val="clear" w:pos="360"/>
        </w:tabs>
        <w:spacing w:after="720"/>
        <w:ind w:left="1526"/>
        <w:rPr>
          <w:rFonts w:cs="Times New Roman"/>
          <w:szCs w:val="24"/>
          <w:lang w:val="fr-CA"/>
        </w:rPr>
      </w:pPr>
      <w:bookmarkStart w:id="14" w:name="_Toc314735116"/>
      <w:r w:rsidRPr="00403220">
        <w:rPr>
          <w:rFonts w:cs="Times New Roman"/>
          <w:szCs w:val="24"/>
          <w:lang w:val="fr-CA"/>
        </w:rPr>
        <w:lastRenderedPageBreak/>
        <w:t>a)</w:t>
      </w:r>
      <w:r w:rsidR="0086265E" w:rsidRPr="00403220">
        <w:rPr>
          <w:rFonts w:cs="Times New Roman"/>
          <w:szCs w:val="24"/>
          <w:lang w:val="fr-CA"/>
        </w:rPr>
        <w:tab/>
      </w:r>
      <w:r w:rsidR="0047179D" w:rsidRPr="00403220">
        <w:rPr>
          <w:rFonts w:cs="Times New Roman"/>
          <w:i/>
          <w:szCs w:val="24"/>
          <w:lang w:val="fr-CA"/>
        </w:rPr>
        <w:t xml:space="preserve">Décisions de politique </w:t>
      </w:r>
      <w:r w:rsidR="0098269F" w:rsidRPr="00403220">
        <w:rPr>
          <w:rFonts w:cs="Times New Roman"/>
          <w:i/>
          <w:szCs w:val="24"/>
          <w:lang w:val="fr-CA"/>
        </w:rPr>
        <w:t xml:space="preserve">générale </w:t>
      </w:r>
      <w:r w:rsidR="0047179D" w:rsidRPr="00403220">
        <w:rPr>
          <w:rFonts w:cs="Times New Roman"/>
          <w:i/>
          <w:szCs w:val="24"/>
          <w:lang w:val="fr-CA"/>
        </w:rPr>
        <w:t>du gouvernement</w:t>
      </w:r>
      <w:bookmarkEnd w:id="14"/>
    </w:p>
    <w:p w:rsidR="0047179D" w:rsidRPr="00403220" w:rsidRDefault="0047179D" w:rsidP="005A33F7">
      <w:pPr>
        <w:pStyle w:val="ParaNoNdepar-AltN"/>
        <w:rPr>
          <w:rFonts w:cs="Times New Roman"/>
          <w:szCs w:val="24"/>
          <w:lang w:val="fr-CA"/>
        </w:rPr>
      </w:pPr>
      <w:r w:rsidRPr="00403220">
        <w:rPr>
          <w:rFonts w:cs="Times New Roman"/>
          <w:szCs w:val="24"/>
          <w:lang w:val="fr-CA"/>
        </w:rPr>
        <w:t>Le Canada prétend qu</w:t>
      </w:r>
      <w:r w:rsidR="008372AA" w:rsidRPr="00403220">
        <w:rPr>
          <w:rFonts w:cs="Times New Roman"/>
          <w:szCs w:val="24"/>
          <w:lang w:val="fr-CA"/>
        </w:rPr>
        <w:t>’</w:t>
      </w:r>
      <w:r w:rsidRPr="00403220">
        <w:rPr>
          <w:rFonts w:cs="Times New Roman"/>
          <w:szCs w:val="24"/>
          <w:lang w:val="fr-CA"/>
        </w:rPr>
        <w:t xml:space="preserve">il avait pour politique </w:t>
      </w:r>
      <w:r w:rsidR="00A4754D" w:rsidRPr="00403220">
        <w:rPr>
          <w:rFonts w:cs="Times New Roman"/>
          <w:szCs w:val="24"/>
          <w:lang w:val="fr-CA"/>
        </w:rPr>
        <w:t xml:space="preserve">générale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 xml:space="preserve">encourager les fumeurs à </w:t>
      </w:r>
      <w:r w:rsidR="00217708" w:rsidRPr="00403220">
        <w:rPr>
          <w:rFonts w:cs="Times New Roman"/>
          <w:szCs w:val="24"/>
          <w:lang w:val="fr-CA"/>
        </w:rPr>
        <w:t>consommer</w:t>
      </w:r>
      <w:r w:rsidRPr="00403220">
        <w:rPr>
          <w:rFonts w:cs="Times New Roman"/>
          <w:szCs w:val="24"/>
          <w:lang w:val="fr-CA"/>
        </w:rPr>
        <w:t xml:space="preserve"> des cigarettes à faible teneur en goudron, et qu</w:t>
      </w:r>
      <w:r w:rsidR="008372AA" w:rsidRPr="00403220">
        <w:rPr>
          <w:rFonts w:cs="Times New Roman"/>
          <w:szCs w:val="24"/>
          <w:lang w:val="fr-CA"/>
        </w:rPr>
        <w:t>’</w:t>
      </w:r>
      <w:r w:rsidRPr="00403220">
        <w:rPr>
          <w:rFonts w:cs="Times New Roman"/>
          <w:szCs w:val="24"/>
          <w:lang w:val="fr-CA"/>
        </w:rPr>
        <w:t xml:space="preserve">il a promu ce type de cigarette et développé des souches de tabac </w:t>
      </w:r>
      <w:r w:rsidR="0098269F" w:rsidRPr="00403220">
        <w:rPr>
          <w:rFonts w:cs="Times New Roman"/>
          <w:szCs w:val="24"/>
          <w:lang w:val="fr-CA"/>
        </w:rPr>
        <w:t xml:space="preserve">à faible teneur en goudron </w:t>
      </w:r>
      <w:r w:rsidRPr="00403220">
        <w:rPr>
          <w:rFonts w:cs="Times New Roman"/>
          <w:szCs w:val="24"/>
          <w:lang w:val="fr-CA"/>
        </w:rPr>
        <w:t xml:space="preserve">conformément à cette politique.  Il ajoute que les déclarations faites en application de cette politique </w:t>
      </w:r>
      <w:r w:rsidR="00A4754D" w:rsidRPr="00403220">
        <w:rPr>
          <w:rFonts w:cs="Times New Roman"/>
          <w:szCs w:val="24"/>
          <w:lang w:val="fr-CA"/>
        </w:rPr>
        <w:t xml:space="preserve">générale </w:t>
      </w:r>
      <w:r w:rsidRPr="00403220">
        <w:rPr>
          <w:rFonts w:cs="Times New Roman"/>
          <w:szCs w:val="24"/>
          <w:lang w:val="fr-CA"/>
        </w:rPr>
        <w:t>ne sauraient fonder une responsabilité délictuelle.  Il s</w:t>
      </w:r>
      <w:r w:rsidR="008372AA" w:rsidRPr="00403220">
        <w:rPr>
          <w:rFonts w:cs="Times New Roman"/>
          <w:szCs w:val="24"/>
          <w:lang w:val="fr-CA"/>
        </w:rPr>
        <w:t>’</w:t>
      </w:r>
      <w:r w:rsidRPr="00403220">
        <w:rPr>
          <w:rFonts w:cs="Times New Roman"/>
          <w:szCs w:val="24"/>
          <w:lang w:val="fr-CA"/>
        </w:rPr>
        <w:t xml:space="preserve">appuie sur les propos suivants tenus par le juge Cory dans </w:t>
      </w:r>
      <w:r w:rsidRPr="00403220">
        <w:rPr>
          <w:rFonts w:cs="Times New Roman"/>
          <w:i/>
          <w:iCs/>
          <w:szCs w:val="24"/>
          <w:lang w:val="fr-CA"/>
        </w:rPr>
        <w:t xml:space="preserve">Just c. </w:t>
      </w:r>
      <w:proofErr w:type="spellStart"/>
      <w:r w:rsidRPr="00403220">
        <w:rPr>
          <w:rFonts w:cs="Times New Roman"/>
          <w:i/>
          <w:iCs/>
          <w:szCs w:val="24"/>
          <w:lang w:val="fr-CA"/>
        </w:rPr>
        <w:t>Colombie</w:t>
      </w:r>
      <w:r w:rsidR="00A54DAC" w:rsidRPr="00403220">
        <w:rPr>
          <w:rFonts w:cs="Times New Roman"/>
          <w:i/>
          <w:iCs/>
          <w:szCs w:val="24"/>
          <w:lang w:val="fr-CA"/>
        </w:rPr>
        <w:noBreakHyphen/>
      </w:r>
      <w:r w:rsidRPr="00403220">
        <w:rPr>
          <w:rFonts w:cs="Times New Roman"/>
          <w:i/>
          <w:iCs/>
          <w:szCs w:val="24"/>
          <w:lang w:val="fr-CA"/>
        </w:rPr>
        <w:t>Britannique</w:t>
      </w:r>
      <w:proofErr w:type="spellEnd"/>
      <w:r w:rsidRPr="00403220">
        <w:rPr>
          <w:rFonts w:cs="Times New Roman"/>
          <w:szCs w:val="24"/>
          <w:lang w:val="fr-CA"/>
        </w:rPr>
        <w:t>, [1989] 2 R.C.S. 1228</w:t>
      </w:r>
      <w:r w:rsidR="00A54DAC" w:rsidRPr="00403220">
        <w:rPr>
          <w:rFonts w:cs="Times New Roman"/>
          <w:szCs w:val="24"/>
          <w:lang w:val="fr-CA"/>
        </w:rPr>
        <w:t> :</w:t>
      </w:r>
      <w:r w:rsidR="0086265E" w:rsidRPr="00403220">
        <w:rPr>
          <w:rFonts w:cs="Times New Roman"/>
          <w:szCs w:val="24"/>
          <w:lang w:val="fr-CA"/>
        </w:rPr>
        <w:t xml:space="preserve"> « </w:t>
      </w:r>
      <w:r w:rsidR="00B21DC2">
        <w:rPr>
          <w:rFonts w:cs="Times New Roman"/>
          <w:szCs w:val="24"/>
          <w:lang w:val="fr-CA"/>
        </w:rPr>
        <w:t>L</w:t>
      </w:r>
      <w:r w:rsidRPr="00403220">
        <w:rPr>
          <w:rFonts w:cs="Times New Roman"/>
          <w:szCs w:val="24"/>
          <w:lang w:val="fr-CA"/>
        </w:rPr>
        <w:t>es véritables décisions de politique</w:t>
      </w:r>
      <w:r w:rsidRPr="00403220">
        <w:rPr>
          <w:rFonts w:cs="Times New Roman"/>
          <w:i/>
          <w:szCs w:val="24"/>
          <w:lang w:val="fr-CA"/>
        </w:rPr>
        <w:t xml:space="preserve"> </w:t>
      </w:r>
      <w:r w:rsidRPr="00403220">
        <w:rPr>
          <w:rFonts w:cs="Times New Roman"/>
          <w:szCs w:val="24"/>
          <w:lang w:val="fr-CA"/>
        </w:rPr>
        <w:t>devraient être à l</w:t>
      </w:r>
      <w:r w:rsidR="008372AA" w:rsidRPr="00403220">
        <w:rPr>
          <w:rFonts w:cs="Times New Roman"/>
          <w:szCs w:val="24"/>
          <w:lang w:val="fr-CA"/>
        </w:rPr>
        <w:t>’</w:t>
      </w:r>
      <w:r w:rsidRPr="00403220">
        <w:rPr>
          <w:rFonts w:cs="Times New Roman"/>
          <w:szCs w:val="24"/>
          <w:lang w:val="fr-CA"/>
        </w:rPr>
        <w:t>abri des poursuites en responsabilité délictuelle, de sorte que les gouvernements soient libres de prendre leurs décisions en fonction de facteurs soc</w:t>
      </w:r>
      <w:r w:rsidR="0086265E" w:rsidRPr="00403220">
        <w:rPr>
          <w:rFonts w:cs="Times New Roman"/>
          <w:szCs w:val="24"/>
          <w:lang w:val="fr-CA"/>
        </w:rPr>
        <w:t>iaux, politiques ou économiques </w:t>
      </w:r>
      <w:r w:rsidRPr="00403220">
        <w:rPr>
          <w:rFonts w:cs="Times New Roman"/>
          <w:szCs w:val="24"/>
          <w:lang w:val="fr-CA"/>
        </w:rPr>
        <w:t>» (</w:t>
      </w:r>
      <w:r w:rsidR="00A54DAC" w:rsidRPr="00403220">
        <w:rPr>
          <w:rFonts w:cs="Times New Roman"/>
          <w:szCs w:val="24"/>
          <w:lang w:val="fr-CA"/>
        </w:rPr>
        <w:t>p. </w:t>
      </w:r>
      <w:r w:rsidRPr="00403220">
        <w:rPr>
          <w:rFonts w:cs="Times New Roman"/>
          <w:szCs w:val="24"/>
          <w:lang w:val="fr-CA"/>
        </w:rPr>
        <w:t>1240</w:t>
      </w:r>
      <w:r w:rsidR="00502FF7">
        <w:rPr>
          <w:rFonts w:cs="Times New Roman"/>
          <w:szCs w:val="24"/>
          <w:lang w:val="fr-CA"/>
        </w:rPr>
        <w:t>-</w:t>
      </w:r>
      <w:r w:rsidRPr="00403220">
        <w:rPr>
          <w:rFonts w:cs="Times New Roman"/>
          <w:szCs w:val="24"/>
          <w:lang w:val="fr-CA"/>
        </w:rPr>
        <w:t>1241).</w:t>
      </w:r>
    </w:p>
    <w:p w:rsidR="0047179D" w:rsidRPr="00403220" w:rsidRDefault="0047179D" w:rsidP="005A33F7">
      <w:pPr>
        <w:pStyle w:val="ParaNoNdepar-AltN"/>
        <w:rPr>
          <w:rFonts w:cs="Times New Roman"/>
          <w:szCs w:val="24"/>
          <w:lang w:val="fr-CA"/>
        </w:rPr>
      </w:pPr>
      <w:r w:rsidRPr="00403220">
        <w:rPr>
          <w:rFonts w:cs="Times New Roman"/>
          <w:szCs w:val="24"/>
          <w:lang w:val="fr-CA"/>
        </w:rPr>
        <w:t>Pour leur part, les compagnies de tabac prétendent que les actes du Canada ne relevaient pas de la politique</w:t>
      </w:r>
      <w:r w:rsidR="00A4754D" w:rsidRPr="00403220">
        <w:rPr>
          <w:rFonts w:cs="Times New Roman"/>
          <w:szCs w:val="24"/>
          <w:lang w:val="fr-CA"/>
        </w:rPr>
        <w:t xml:space="preserve"> générale</w:t>
      </w:r>
      <w:r w:rsidRPr="00403220">
        <w:rPr>
          <w:rFonts w:cs="Times New Roman"/>
          <w:szCs w:val="24"/>
          <w:lang w:val="fr-CA"/>
        </w:rPr>
        <w:t>; il s</w:t>
      </w:r>
      <w:r w:rsidR="008372AA" w:rsidRPr="00403220">
        <w:rPr>
          <w:rFonts w:cs="Times New Roman"/>
          <w:szCs w:val="24"/>
          <w:lang w:val="fr-CA"/>
        </w:rPr>
        <w:t>’</w:t>
      </w:r>
      <w:r w:rsidRPr="00403220">
        <w:rPr>
          <w:rFonts w:cs="Times New Roman"/>
          <w:szCs w:val="24"/>
          <w:lang w:val="fr-CA"/>
        </w:rPr>
        <w:t>agissait plutôt d</w:t>
      </w:r>
      <w:r w:rsidR="008372AA" w:rsidRPr="00403220">
        <w:rPr>
          <w:rFonts w:cs="Times New Roman"/>
          <w:szCs w:val="24"/>
          <w:lang w:val="fr-CA"/>
        </w:rPr>
        <w:t>’</w:t>
      </w:r>
      <w:r w:rsidRPr="00403220">
        <w:rPr>
          <w:rFonts w:cs="Times New Roman"/>
          <w:szCs w:val="24"/>
          <w:lang w:val="fr-CA"/>
        </w:rPr>
        <w:t>actes de mise en œuvre d</w:t>
      </w:r>
      <w:r w:rsidR="008372AA" w:rsidRPr="00403220">
        <w:rPr>
          <w:rFonts w:cs="Times New Roman"/>
          <w:szCs w:val="24"/>
          <w:lang w:val="fr-CA"/>
        </w:rPr>
        <w:t>’</w:t>
      </w:r>
      <w:r w:rsidRPr="00403220">
        <w:rPr>
          <w:rFonts w:cs="Times New Roman"/>
          <w:szCs w:val="24"/>
          <w:lang w:val="fr-CA"/>
        </w:rPr>
        <w:t xml:space="preserve">une politique </w:t>
      </w:r>
      <w:r w:rsidR="00A4754D" w:rsidRPr="00403220">
        <w:rPr>
          <w:rFonts w:cs="Times New Roman"/>
          <w:szCs w:val="24"/>
          <w:lang w:val="fr-CA"/>
        </w:rPr>
        <w:t xml:space="preserve">générale </w:t>
      </w:r>
      <w:r w:rsidRPr="00403220">
        <w:rPr>
          <w:rFonts w:cs="Times New Roman"/>
          <w:szCs w:val="24"/>
          <w:lang w:val="fr-CA"/>
        </w:rPr>
        <w:t>qui engagent pour cette raison la responsabilité délictuelle du Canada.  Selon elles, l</w:t>
      </w:r>
      <w:r w:rsidR="008372AA" w:rsidRPr="00403220">
        <w:rPr>
          <w:rFonts w:cs="Times New Roman"/>
          <w:szCs w:val="24"/>
          <w:lang w:val="fr-CA"/>
        </w:rPr>
        <w:t>’</w:t>
      </w:r>
      <w:r w:rsidRPr="00403220">
        <w:rPr>
          <w:rFonts w:cs="Times New Roman"/>
          <w:szCs w:val="24"/>
          <w:lang w:val="fr-CA"/>
        </w:rPr>
        <w:t xml:space="preserve">argument du Canada ne tient pas compte des </w:t>
      </w:r>
      <w:r w:rsidR="00856C6C" w:rsidRPr="00403220">
        <w:rPr>
          <w:rFonts w:cs="Times New Roman"/>
          <w:szCs w:val="24"/>
          <w:lang w:val="fr-CA"/>
        </w:rPr>
        <w:t>« faits </w:t>
      </w:r>
      <w:r w:rsidRPr="00403220">
        <w:rPr>
          <w:rFonts w:cs="Times New Roman"/>
          <w:szCs w:val="24"/>
          <w:lang w:val="fr-CA"/>
        </w:rPr>
        <w:t xml:space="preserve">» allégués dans les avis de mise en cause, </w:t>
      </w:r>
      <w:r w:rsidR="00E50F1B" w:rsidRPr="00403220">
        <w:rPr>
          <w:rFonts w:cs="Times New Roman"/>
          <w:szCs w:val="24"/>
          <w:lang w:val="fr-CA"/>
        </w:rPr>
        <w:t xml:space="preserve">soit </w:t>
      </w:r>
      <w:r w:rsidRPr="00403220">
        <w:rPr>
          <w:rFonts w:cs="Times New Roman"/>
          <w:szCs w:val="24"/>
          <w:lang w:val="fr-CA"/>
        </w:rPr>
        <w:t>que le Canada exerçait une fonction opérationnelle en tant que membre de l</w:t>
      </w:r>
      <w:r w:rsidR="008372AA" w:rsidRPr="00403220">
        <w:rPr>
          <w:rFonts w:cs="Times New Roman"/>
          <w:szCs w:val="24"/>
          <w:lang w:val="fr-CA"/>
        </w:rPr>
        <w:t>’</w:t>
      </w:r>
      <w:r w:rsidRPr="00403220">
        <w:rPr>
          <w:rFonts w:cs="Times New Roman"/>
          <w:szCs w:val="24"/>
          <w:lang w:val="fr-CA"/>
        </w:rPr>
        <w:t>industrie du tabac.  Les compagnies de tabac prétendent aussi qu</w:t>
      </w:r>
      <w:r w:rsidR="008372AA" w:rsidRPr="00403220">
        <w:rPr>
          <w:rFonts w:cs="Times New Roman"/>
          <w:szCs w:val="24"/>
          <w:lang w:val="fr-CA"/>
        </w:rPr>
        <w:t>’</w:t>
      </w:r>
      <w:r w:rsidRPr="00403220">
        <w:rPr>
          <w:rFonts w:cs="Times New Roman"/>
          <w:szCs w:val="24"/>
          <w:lang w:val="fr-CA"/>
        </w:rPr>
        <w:t>il faut plus d</w:t>
      </w:r>
      <w:r w:rsidR="008372AA" w:rsidRPr="00403220">
        <w:rPr>
          <w:rFonts w:cs="Times New Roman"/>
          <w:szCs w:val="24"/>
          <w:lang w:val="fr-CA"/>
        </w:rPr>
        <w:t>’</w:t>
      </w:r>
      <w:r w:rsidRPr="00403220">
        <w:rPr>
          <w:rFonts w:cs="Times New Roman"/>
          <w:szCs w:val="24"/>
          <w:lang w:val="fr-CA"/>
        </w:rPr>
        <w:t xml:space="preserve">éléments de preuve pour décider si les actes </w:t>
      </w:r>
      <w:r w:rsidRPr="00403220">
        <w:rPr>
          <w:rFonts w:cs="Times New Roman"/>
          <w:szCs w:val="24"/>
          <w:lang w:val="fr-CA"/>
        </w:rPr>
        <w:lastRenderedPageBreak/>
        <w:t>du gouvernement étaient de nature opérationnelle ou conformes à une politique</w:t>
      </w:r>
      <w:r w:rsidR="00A4754D" w:rsidRPr="00403220">
        <w:rPr>
          <w:rFonts w:cs="Times New Roman"/>
          <w:szCs w:val="24"/>
          <w:lang w:val="fr-CA"/>
        </w:rPr>
        <w:t xml:space="preserve"> générale</w:t>
      </w:r>
      <w:r w:rsidRPr="00403220">
        <w:rPr>
          <w:rFonts w:cs="Times New Roman"/>
          <w:szCs w:val="24"/>
          <w:lang w:val="fr-CA"/>
        </w:rPr>
        <w:t>, et que l</w:t>
      </w:r>
      <w:r w:rsidR="008372AA" w:rsidRPr="00403220">
        <w:rPr>
          <w:rFonts w:cs="Times New Roman"/>
          <w:szCs w:val="24"/>
          <w:lang w:val="fr-CA"/>
        </w:rPr>
        <w:t>’</w:t>
      </w:r>
      <w:r w:rsidRPr="00403220">
        <w:rPr>
          <w:rFonts w:cs="Times New Roman"/>
          <w:szCs w:val="24"/>
          <w:lang w:val="fr-CA"/>
        </w:rPr>
        <w:t xml:space="preserve">affaire doit être instruite pour cette raison. </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les juges majoritaires de la Cour d</w:t>
      </w:r>
      <w:r w:rsidR="008372AA" w:rsidRPr="00403220">
        <w:rPr>
          <w:rFonts w:cs="Times New Roman"/>
          <w:szCs w:val="24"/>
          <w:lang w:val="fr-CA"/>
        </w:rPr>
        <w:t>’</w:t>
      </w:r>
      <w:r w:rsidRPr="00403220">
        <w:rPr>
          <w:rFonts w:cs="Times New Roman"/>
          <w:szCs w:val="24"/>
          <w:lang w:val="fr-CA"/>
        </w:rPr>
        <w:t xml:space="preserve">appel, sous la plume du juge </w:t>
      </w:r>
      <w:proofErr w:type="spellStart"/>
      <w:r w:rsidRPr="00403220">
        <w:rPr>
          <w:rFonts w:cs="Times New Roman"/>
          <w:szCs w:val="24"/>
          <w:lang w:val="fr-CA"/>
        </w:rPr>
        <w:t>Tysoe</w:t>
      </w:r>
      <w:proofErr w:type="spellEnd"/>
      <w:r w:rsidRPr="00403220">
        <w:rPr>
          <w:rFonts w:cs="Times New Roman"/>
          <w:szCs w:val="24"/>
          <w:lang w:val="fr-CA"/>
        </w:rPr>
        <w:t>, ont souscrit aux prétentions d</w:t>
      </w:r>
      <w:r w:rsidR="008372AA" w:rsidRPr="00403220">
        <w:rPr>
          <w:rFonts w:cs="Times New Roman"/>
          <w:szCs w:val="24"/>
          <w:lang w:val="fr-CA"/>
        </w:rPr>
        <w:t>’</w:t>
      </w:r>
      <w:r w:rsidR="00847C22" w:rsidRPr="00403220">
        <w:rPr>
          <w:rFonts w:cs="Times New Roman"/>
          <w:szCs w:val="24"/>
          <w:lang w:val="fr-CA"/>
        </w:rPr>
        <w:t>Imperial</w:t>
      </w:r>
      <w:r w:rsidRPr="00403220">
        <w:rPr>
          <w:rFonts w:cs="Times New Roman"/>
          <w:szCs w:val="24"/>
          <w:lang w:val="fr-CA"/>
        </w:rPr>
        <w:t xml:space="preserve">, affirmant </w:t>
      </w:r>
      <w:proofErr w:type="gramStart"/>
      <w:r w:rsidRPr="00403220">
        <w:rPr>
          <w:rFonts w:cs="Times New Roman"/>
          <w:szCs w:val="24"/>
          <w:lang w:val="fr-CA"/>
        </w:rPr>
        <w:t>qu</w:t>
      </w:r>
      <w:r w:rsidR="008372AA" w:rsidRPr="00403220">
        <w:rPr>
          <w:rFonts w:cs="Times New Roman"/>
          <w:szCs w:val="24"/>
          <w:lang w:val="fr-CA"/>
        </w:rPr>
        <w:t>’</w:t>
      </w:r>
      <w:r w:rsidRPr="00403220">
        <w:rPr>
          <w:rFonts w:cs="Times New Roman"/>
          <w:smallCaps/>
          <w:szCs w:val="24"/>
          <w:lang w:val="fr-CA"/>
        </w:rPr>
        <w:t>[</w:t>
      </w:r>
      <w:proofErr w:type="gramEnd"/>
      <w:r w:rsidRPr="00403220">
        <w:rPr>
          <w:rFonts w:cs="Times New Roman"/>
          <w:smallCaps/>
          <w:szCs w:val="24"/>
          <w:lang w:val="fr-CA"/>
        </w:rPr>
        <w:t>traduction</w:t>
      </w:r>
      <w:r w:rsidR="00856C6C" w:rsidRPr="00403220">
        <w:rPr>
          <w:rFonts w:cs="Times New Roman"/>
          <w:szCs w:val="24"/>
          <w:lang w:val="fr-CA"/>
        </w:rPr>
        <w:t>] « </w:t>
      </w:r>
      <w:r w:rsidRPr="00403220">
        <w:rPr>
          <w:rFonts w:cs="Times New Roman"/>
          <w:szCs w:val="24"/>
          <w:lang w:val="fr-CA"/>
        </w:rPr>
        <w:t>une preuve est nécessaire pour déterminer lesquels des actes et déclarations du Canada en l</w:t>
      </w:r>
      <w:r w:rsidR="008372AA" w:rsidRPr="00403220">
        <w:rPr>
          <w:rFonts w:cs="Times New Roman"/>
          <w:szCs w:val="24"/>
          <w:lang w:val="fr-CA"/>
        </w:rPr>
        <w:t>’</w:t>
      </w:r>
      <w:r w:rsidRPr="00403220">
        <w:rPr>
          <w:rFonts w:cs="Times New Roman"/>
          <w:szCs w:val="24"/>
          <w:lang w:val="fr-CA"/>
        </w:rPr>
        <w:t xml:space="preserve">espèce constituaient des décisions de politique </w:t>
      </w:r>
      <w:r w:rsidR="00A4754D" w:rsidRPr="00403220">
        <w:rPr>
          <w:rFonts w:cs="Times New Roman"/>
          <w:szCs w:val="24"/>
          <w:lang w:val="fr-CA"/>
        </w:rPr>
        <w:t xml:space="preserve">générale </w:t>
      </w:r>
      <w:r w:rsidRPr="00403220">
        <w:rPr>
          <w:rFonts w:cs="Times New Roman"/>
          <w:szCs w:val="24"/>
          <w:lang w:val="fr-CA"/>
        </w:rPr>
        <w:t>et lesquels étaien</w:t>
      </w:r>
      <w:r w:rsidR="00856C6C" w:rsidRPr="00403220">
        <w:rPr>
          <w:rFonts w:cs="Times New Roman"/>
          <w:szCs w:val="24"/>
          <w:lang w:val="fr-CA"/>
        </w:rPr>
        <w:t>t des décisions opérationnelles </w:t>
      </w:r>
      <w:r w:rsidRPr="00403220">
        <w:rPr>
          <w:rFonts w:cs="Times New Roman"/>
          <w:szCs w:val="24"/>
          <w:lang w:val="fr-CA"/>
        </w:rPr>
        <w:t>» (</w:t>
      </w:r>
      <w:r w:rsidR="00A54DAC" w:rsidRPr="00403220">
        <w:rPr>
          <w:rFonts w:cs="Times New Roman"/>
          <w:szCs w:val="24"/>
          <w:lang w:val="fr-CA"/>
        </w:rPr>
        <w:t>par. </w:t>
      </w:r>
      <w:r w:rsidRPr="00403220">
        <w:rPr>
          <w:rFonts w:cs="Times New Roman"/>
          <w:szCs w:val="24"/>
          <w:lang w:val="fr-CA"/>
        </w:rPr>
        <w:t xml:space="preserve">52).  Le juge Hall était dissident; à son avis, toutes les initiatives du Canada relevaient manifestement de la politique </w:t>
      </w:r>
      <w:r w:rsidR="00A4754D" w:rsidRPr="00403220">
        <w:rPr>
          <w:rFonts w:cs="Times New Roman"/>
          <w:szCs w:val="24"/>
          <w:lang w:val="fr-CA"/>
        </w:rPr>
        <w:t xml:space="preserve">générale </w:t>
      </w:r>
      <w:r w:rsidRPr="00403220">
        <w:rPr>
          <w:rFonts w:cs="Times New Roman"/>
          <w:szCs w:val="24"/>
          <w:lang w:val="fr-CA"/>
        </w:rPr>
        <w:t>du gouvernement</w:t>
      </w:r>
      <w:r w:rsidR="00A54DAC" w:rsidRPr="00403220">
        <w:rPr>
          <w:rFonts w:cs="Times New Roman"/>
          <w:szCs w:val="24"/>
          <w:lang w:val="fr-CA"/>
        </w:rPr>
        <w:t> :</w:t>
      </w:r>
      <w:r w:rsidRPr="00403220">
        <w:rPr>
          <w:rFonts w:cs="Times New Roman"/>
          <w:szCs w:val="24"/>
          <w:lang w:val="fr-CA"/>
        </w:rPr>
        <w:t xml:space="preserve"> </w:t>
      </w:r>
    </w:p>
    <w:p w:rsidR="0047179D" w:rsidRPr="00403220" w:rsidRDefault="00BA4F6F" w:rsidP="00BA4F6F">
      <w:pPr>
        <w:pStyle w:val="Citation-AltC"/>
        <w:ind w:hanging="1166"/>
        <w:rPr>
          <w:szCs w:val="24"/>
          <w:lang w:val="fr-CA"/>
        </w:rPr>
      </w:pPr>
      <w:r w:rsidRPr="00403220">
        <w:rPr>
          <w:szCs w:val="24"/>
          <w:lang w:val="fr-CA"/>
        </w:rPr>
        <w:tab/>
      </w:r>
      <w:r w:rsidR="00B21DC2" w:rsidRPr="00403220">
        <w:rPr>
          <w:smallCaps/>
          <w:szCs w:val="24"/>
          <w:lang w:val="fr-CA"/>
        </w:rPr>
        <w:t>[traduction]</w:t>
      </w:r>
      <w:r w:rsidR="00B21DC2">
        <w:rPr>
          <w:smallCaps/>
          <w:szCs w:val="24"/>
          <w:lang w:val="fr-CA"/>
        </w:rPr>
        <w:t xml:space="preserve"> </w:t>
      </w:r>
      <w:r w:rsidR="00A4754D" w:rsidRPr="00403220">
        <w:rPr>
          <w:szCs w:val="24"/>
          <w:lang w:val="fr-CA"/>
        </w:rPr>
        <w:t>T</w:t>
      </w:r>
      <w:r w:rsidR="0047179D" w:rsidRPr="00403220">
        <w:rPr>
          <w:szCs w:val="24"/>
          <w:lang w:val="fr-CA"/>
        </w:rPr>
        <w:t>el qu</w:t>
      </w:r>
      <w:r w:rsidR="008372AA" w:rsidRPr="00403220">
        <w:rPr>
          <w:szCs w:val="24"/>
          <w:lang w:val="fr-CA"/>
        </w:rPr>
        <w:t>’</w:t>
      </w:r>
      <w:r w:rsidR="0047179D" w:rsidRPr="00403220">
        <w:rPr>
          <w:szCs w:val="24"/>
          <w:lang w:val="fr-CA"/>
        </w:rPr>
        <w:t>il est allégué dans l</w:t>
      </w:r>
      <w:r w:rsidR="008372AA" w:rsidRPr="00403220">
        <w:rPr>
          <w:szCs w:val="24"/>
          <w:lang w:val="fr-CA"/>
        </w:rPr>
        <w:t>’</w:t>
      </w:r>
      <w:r w:rsidR="0047179D" w:rsidRPr="00403220">
        <w:rPr>
          <w:szCs w:val="24"/>
          <w:lang w:val="fr-CA"/>
        </w:rPr>
        <w:t>avis de mise en cause, [le Canada] avait la responsabilité de protéger la santé de la population canadienne, y compris les fumeurs.  Toutes les mesures qu</w:t>
      </w:r>
      <w:r w:rsidR="008372AA" w:rsidRPr="00403220">
        <w:rPr>
          <w:szCs w:val="24"/>
          <w:lang w:val="fr-CA"/>
        </w:rPr>
        <w:t>’</w:t>
      </w:r>
      <w:r w:rsidR="0047179D" w:rsidRPr="00403220">
        <w:rPr>
          <w:szCs w:val="24"/>
          <w:lang w:val="fr-CA"/>
        </w:rPr>
        <w:t>il a prises pour développer des souches de tabac moins dangereuses, ou pour rendre publiques les teneurs en goudron et en nicotine de différentes marques de cigarette</w:t>
      </w:r>
      <w:r w:rsidR="00B21DC2">
        <w:rPr>
          <w:szCs w:val="24"/>
          <w:lang w:val="fr-CA"/>
        </w:rPr>
        <w:t>s</w:t>
      </w:r>
      <w:r w:rsidR="0047179D" w:rsidRPr="00403220">
        <w:rPr>
          <w:szCs w:val="24"/>
          <w:lang w:val="fr-CA"/>
        </w:rPr>
        <w:t>, visaient cet objectif.  Bien qu</w:t>
      </w:r>
      <w:r w:rsidR="008372AA" w:rsidRPr="00403220">
        <w:rPr>
          <w:szCs w:val="24"/>
          <w:lang w:val="fr-CA"/>
        </w:rPr>
        <w:t>’</w:t>
      </w:r>
      <w:r w:rsidR="0047179D" w:rsidRPr="00403220">
        <w:rPr>
          <w:szCs w:val="24"/>
          <w:lang w:val="fr-CA"/>
        </w:rPr>
        <w:t>Agriculture Canada ait participé au développement de nouvelles souches de tabac, j</w:t>
      </w:r>
      <w:r w:rsidR="008372AA" w:rsidRPr="00403220">
        <w:rPr>
          <w:szCs w:val="24"/>
          <w:lang w:val="fr-CA"/>
        </w:rPr>
        <w:t>’</w:t>
      </w:r>
      <w:r w:rsidR="0047179D" w:rsidRPr="00403220">
        <w:rPr>
          <w:szCs w:val="24"/>
          <w:lang w:val="fr-CA"/>
        </w:rPr>
        <w:t>estime que le gouvernement s</w:t>
      </w:r>
      <w:r w:rsidR="008372AA" w:rsidRPr="00403220">
        <w:rPr>
          <w:szCs w:val="24"/>
          <w:lang w:val="fr-CA"/>
        </w:rPr>
        <w:t>’</w:t>
      </w:r>
      <w:r w:rsidR="0047179D" w:rsidRPr="00403220">
        <w:rPr>
          <w:szCs w:val="24"/>
          <w:lang w:val="fr-CA"/>
        </w:rPr>
        <w:t>est livré à pareilles activités en qualité d</w:t>
      </w:r>
      <w:r w:rsidR="008372AA" w:rsidRPr="00403220">
        <w:rPr>
          <w:szCs w:val="24"/>
          <w:lang w:val="fr-CA"/>
        </w:rPr>
        <w:t>’</w:t>
      </w:r>
      <w:r w:rsidR="0047179D" w:rsidRPr="00403220">
        <w:rPr>
          <w:szCs w:val="24"/>
          <w:lang w:val="fr-CA"/>
        </w:rPr>
        <w:t>autorité de réglementation de l</w:t>
      </w:r>
      <w:r w:rsidR="008372AA" w:rsidRPr="00403220">
        <w:rPr>
          <w:szCs w:val="24"/>
          <w:lang w:val="fr-CA"/>
        </w:rPr>
        <w:t>’</w:t>
      </w:r>
      <w:r w:rsidR="006603C4" w:rsidRPr="00403220">
        <w:rPr>
          <w:szCs w:val="24"/>
          <w:lang w:val="fr-CA"/>
        </w:rPr>
        <w:t xml:space="preserve">industrie </w:t>
      </w:r>
      <w:r w:rsidR="0047179D" w:rsidRPr="00403220">
        <w:rPr>
          <w:szCs w:val="24"/>
          <w:lang w:val="fr-CA"/>
        </w:rPr>
        <w:t>du tabac dans le but de protéger la santé</w:t>
      </w:r>
      <w:r w:rsidR="00A4754D" w:rsidRPr="00403220">
        <w:rPr>
          <w:szCs w:val="24"/>
          <w:lang w:val="fr-CA"/>
        </w:rPr>
        <w:t xml:space="preserve"> de la population canadienne.  D</w:t>
      </w:r>
      <w:r w:rsidR="0047179D" w:rsidRPr="00403220">
        <w:rPr>
          <w:szCs w:val="24"/>
          <w:lang w:val="fr-CA"/>
        </w:rPr>
        <w:t xml:space="preserve">es considérations </w:t>
      </w:r>
      <w:r w:rsidR="00E50F1B" w:rsidRPr="00403220">
        <w:rPr>
          <w:szCs w:val="24"/>
          <w:lang w:val="fr-CA"/>
        </w:rPr>
        <w:t xml:space="preserve">de </w:t>
      </w:r>
      <w:r w:rsidR="0047179D" w:rsidRPr="00403220">
        <w:rPr>
          <w:szCs w:val="24"/>
          <w:lang w:val="fr-CA"/>
        </w:rPr>
        <w:t xml:space="preserve">politique </w:t>
      </w:r>
      <w:r w:rsidR="00E50F1B" w:rsidRPr="00403220">
        <w:rPr>
          <w:szCs w:val="24"/>
          <w:lang w:val="fr-CA"/>
        </w:rPr>
        <w:t xml:space="preserve">générale </w:t>
      </w:r>
      <w:r w:rsidR="0047179D" w:rsidRPr="00403220">
        <w:rPr>
          <w:szCs w:val="24"/>
          <w:lang w:val="fr-CA"/>
        </w:rPr>
        <w:t>sous</w:t>
      </w:r>
      <w:r w:rsidR="00B21DC2">
        <w:rPr>
          <w:szCs w:val="24"/>
          <w:lang w:val="fr-CA"/>
        </w:rPr>
        <w:t>-</w:t>
      </w:r>
      <w:r w:rsidR="0047179D" w:rsidRPr="00403220">
        <w:rPr>
          <w:szCs w:val="24"/>
          <w:lang w:val="fr-CA"/>
        </w:rPr>
        <w:t>tend</w:t>
      </w:r>
      <w:r w:rsidR="00E50F1B" w:rsidRPr="00403220">
        <w:rPr>
          <w:szCs w:val="24"/>
          <w:lang w:val="fr-CA"/>
        </w:rPr>
        <w:t>aie</w:t>
      </w:r>
      <w:r w:rsidR="0047179D" w:rsidRPr="00403220">
        <w:rPr>
          <w:szCs w:val="24"/>
          <w:lang w:val="fr-CA"/>
        </w:rPr>
        <w:t>nt l</w:t>
      </w:r>
      <w:r w:rsidR="008372AA" w:rsidRPr="00403220">
        <w:rPr>
          <w:szCs w:val="24"/>
          <w:lang w:val="fr-CA"/>
        </w:rPr>
        <w:t>’</w:t>
      </w:r>
      <w:r w:rsidR="0047179D" w:rsidRPr="00403220">
        <w:rPr>
          <w:szCs w:val="24"/>
          <w:lang w:val="fr-CA"/>
        </w:rPr>
        <w:t xml:space="preserve">ensemble des </w:t>
      </w:r>
      <w:r w:rsidR="00E50F1B" w:rsidRPr="00403220">
        <w:rPr>
          <w:szCs w:val="24"/>
          <w:lang w:val="fr-CA"/>
        </w:rPr>
        <w:t xml:space="preserve">diverses </w:t>
      </w:r>
      <w:r w:rsidR="0047179D" w:rsidRPr="00403220">
        <w:rPr>
          <w:szCs w:val="24"/>
          <w:lang w:val="fr-CA"/>
        </w:rPr>
        <w:t xml:space="preserve">activités susmentionnées </w:t>
      </w:r>
      <w:r w:rsidR="00E50F1B" w:rsidRPr="00403220">
        <w:rPr>
          <w:szCs w:val="24"/>
          <w:lang w:val="fr-CA"/>
        </w:rPr>
        <w:t xml:space="preserve">entreprises par </w:t>
      </w:r>
      <w:r w:rsidR="0047179D" w:rsidRPr="00403220">
        <w:rPr>
          <w:szCs w:val="24"/>
          <w:lang w:val="fr-CA"/>
        </w:rPr>
        <w:t>les ministères fédéraux.</w:t>
      </w:r>
      <w:r w:rsidRPr="00403220">
        <w:rPr>
          <w:szCs w:val="24"/>
          <w:lang w:val="fr-CA"/>
        </w:rPr>
        <w:t xml:space="preserve"> </w:t>
      </w:r>
      <w:r w:rsidR="0047179D" w:rsidRPr="00403220">
        <w:rPr>
          <w:szCs w:val="24"/>
          <w:lang w:val="fr-CA"/>
        </w:rPr>
        <w:t xml:space="preserve"> </w:t>
      </w:r>
      <w:r w:rsidR="004B02A1" w:rsidRPr="00403220">
        <w:rPr>
          <w:szCs w:val="24"/>
          <w:lang w:val="fr-CA"/>
        </w:rPr>
        <w:t>[</w:t>
      </w:r>
      <w:proofErr w:type="gramStart"/>
      <w:r w:rsidR="00A54DAC" w:rsidRPr="00403220">
        <w:rPr>
          <w:szCs w:val="24"/>
          <w:lang w:val="fr-CA"/>
        </w:rPr>
        <w:t>par</w:t>
      </w:r>
      <w:proofErr w:type="gramEnd"/>
      <w:r w:rsidR="00A54DAC" w:rsidRPr="00403220">
        <w:rPr>
          <w:szCs w:val="24"/>
          <w:lang w:val="fr-CA"/>
        </w:rPr>
        <w:t>. </w:t>
      </w:r>
      <w:r w:rsidR="0047179D" w:rsidRPr="00403220">
        <w:rPr>
          <w:szCs w:val="24"/>
          <w:lang w:val="fr-CA"/>
        </w:rPr>
        <w:t>100</w:t>
      </w:r>
      <w:r w:rsidR="004B02A1" w:rsidRPr="00403220">
        <w:rPr>
          <w:szCs w:val="24"/>
          <w:lang w:val="fr-CA"/>
        </w:rPr>
        <w:t>]</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Pour régler la question de </w:t>
      </w:r>
      <w:r w:rsidR="00856C6C" w:rsidRPr="00403220">
        <w:rPr>
          <w:rFonts w:cs="Times New Roman"/>
          <w:szCs w:val="24"/>
          <w:lang w:val="fr-CA"/>
        </w:rPr>
        <w:t>savoir si la nature censément « </w:t>
      </w:r>
      <w:r w:rsidRPr="00403220">
        <w:rPr>
          <w:rFonts w:cs="Times New Roman"/>
          <w:szCs w:val="24"/>
          <w:lang w:val="fr-CA"/>
        </w:rPr>
        <w:t>politique » de la conduite du Canada a pour effet d</w:t>
      </w:r>
      <w:r w:rsidR="008372AA" w:rsidRPr="00403220">
        <w:rPr>
          <w:rFonts w:cs="Times New Roman"/>
          <w:szCs w:val="24"/>
          <w:lang w:val="fr-CA"/>
        </w:rPr>
        <w:t>’</w:t>
      </w:r>
      <w:r w:rsidRPr="00403220">
        <w:rPr>
          <w:rFonts w:cs="Times New Roman"/>
          <w:szCs w:val="24"/>
          <w:lang w:val="fr-CA"/>
        </w:rPr>
        <w:t>écarter l</w:t>
      </w:r>
      <w:r w:rsidR="008372AA" w:rsidRPr="00403220">
        <w:rPr>
          <w:rFonts w:cs="Times New Roman"/>
          <w:szCs w:val="24"/>
          <w:lang w:val="fr-CA"/>
        </w:rPr>
        <w:t>’</w:t>
      </w:r>
      <w:r w:rsidRPr="00403220">
        <w:rPr>
          <w:rFonts w:cs="Times New Roman"/>
          <w:szCs w:val="24"/>
          <w:lang w:val="fr-CA"/>
        </w:rPr>
        <w:t xml:space="preserve">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001744DF" w:rsidRPr="00403220">
        <w:rPr>
          <w:rFonts w:cs="Times New Roman"/>
          <w:szCs w:val="24"/>
          <w:lang w:val="fr-CA"/>
        </w:rPr>
        <w:t xml:space="preserve"> en </w:t>
      </w:r>
      <w:r w:rsidR="001744DF" w:rsidRPr="00403220">
        <w:rPr>
          <w:rFonts w:cs="Times New Roman"/>
          <w:szCs w:val="24"/>
          <w:lang w:val="fr-CA"/>
        </w:rPr>
        <w:lastRenderedPageBreak/>
        <w:t>matière de</w:t>
      </w:r>
      <w:r w:rsidRPr="00403220">
        <w:rPr>
          <w:rFonts w:cs="Times New Roman"/>
          <w:szCs w:val="24"/>
          <w:lang w:val="fr-CA"/>
        </w:rPr>
        <w:t xml:space="preserve"> déclarations inexactes faites par négligence, </w:t>
      </w:r>
      <w:r w:rsidR="002B5231" w:rsidRPr="00403220">
        <w:rPr>
          <w:rFonts w:cs="Times New Roman"/>
          <w:szCs w:val="24"/>
          <w:lang w:val="fr-CA"/>
        </w:rPr>
        <w:t xml:space="preserve">une </w:t>
      </w:r>
      <w:r w:rsidRPr="00403220">
        <w:rPr>
          <w:rFonts w:cs="Times New Roman"/>
          <w:szCs w:val="24"/>
          <w:lang w:val="fr-CA"/>
        </w:rPr>
        <w:t>obligation dont l</w:t>
      </w:r>
      <w:r w:rsidR="008372AA" w:rsidRPr="00403220">
        <w:rPr>
          <w:rFonts w:cs="Times New Roman"/>
          <w:szCs w:val="24"/>
          <w:lang w:val="fr-CA"/>
        </w:rPr>
        <w:t>’</w:t>
      </w:r>
      <w:r w:rsidRPr="00403220">
        <w:rPr>
          <w:rFonts w:cs="Times New Roman"/>
          <w:szCs w:val="24"/>
          <w:lang w:val="fr-CA"/>
        </w:rPr>
        <w:t>existence a été établie à la première étape de l</w:t>
      </w:r>
      <w:r w:rsidR="008372AA" w:rsidRPr="00403220">
        <w:rPr>
          <w:rFonts w:cs="Times New Roman"/>
          <w:szCs w:val="24"/>
          <w:lang w:val="fr-CA"/>
        </w:rPr>
        <w:t>’</w:t>
      </w:r>
      <w:r w:rsidRPr="00403220">
        <w:rPr>
          <w:rFonts w:cs="Times New Roman"/>
          <w:szCs w:val="24"/>
          <w:lang w:val="fr-CA"/>
        </w:rPr>
        <w:t>analyse, il faut d</w:t>
      </w:r>
      <w:r w:rsidR="008372AA" w:rsidRPr="00403220">
        <w:rPr>
          <w:rFonts w:cs="Times New Roman"/>
          <w:szCs w:val="24"/>
          <w:lang w:val="fr-CA"/>
        </w:rPr>
        <w:t>’</w:t>
      </w:r>
      <w:r w:rsidRPr="00403220">
        <w:rPr>
          <w:rFonts w:cs="Times New Roman"/>
          <w:szCs w:val="24"/>
          <w:lang w:val="fr-CA"/>
        </w:rPr>
        <w:t xml:space="preserve">abord </w:t>
      </w:r>
      <w:r w:rsidR="002B5231" w:rsidRPr="00403220">
        <w:rPr>
          <w:rFonts w:cs="Times New Roman"/>
          <w:szCs w:val="24"/>
          <w:lang w:val="fr-CA"/>
        </w:rPr>
        <w:t xml:space="preserve">examiner </w:t>
      </w:r>
      <w:r w:rsidRPr="00403220">
        <w:rPr>
          <w:rFonts w:cs="Times New Roman"/>
          <w:szCs w:val="24"/>
          <w:lang w:val="fr-CA"/>
        </w:rPr>
        <w:t xml:space="preserve">plusieurs questions préliminaires.  </w:t>
      </w:r>
    </w:p>
    <w:p w:rsidR="0047179D" w:rsidRPr="00403220" w:rsidRDefault="00B21DC2" w:rsidP="00A80A95">
      <w:pPr>
        <w:pStyle w:val="TitleTitre-AltT"/>
        <w:keepNext/>
        <w:tabs>
          <w:tab w:val="clear" w:pos="360"/>
          <w:tab w:val="left" w:pos="1170"/>
        </w:tabs>
        <w:spacing w:after="720"/>
        <w:ind w:left="1620" w:hanging="1620"/>
        <w:rPr>
          <w:rFonts w:cs="Times New Roman"/>
          <w:szCs w:val="24"/>
          <w:lang w:val="fr-CA"/>
        </w:rPr>
      </w:pPr>
      <w:r>
        <w:rPr>
          <w:rFonts w:cs="Times New Roman"/>
          <w:szCs w:val="24"/>
          <w:lang w:val="fr-CA"/>
        </w:rPr>
        <w:tab/>
      </w:r>
      <w:bookmarkStart w:id="15" w:name="_Toc314735117"/>
      <w:r w:rsidR="0047179D" w:rsidRPr="00403220">
        <w:rPr>
          <w:rFonts w:cs="Times New Roman"/>
          <w:szCs w:val="24"/>
          <w:lang w:val="fr-CA"/>
        </w:rPr>
        <w:t>(i)</w:t>
      </w:r>
      <w:r w:rsidR="0047179D" w:rsidRPr="00403220">
        <w:rPr>
          <w:rFonts w:cs="Times New Roman"/>
          <w:szCs w:val="24"/>
          <w:lang w:val="fr-CA"/>
        </w:rPr>
        <w:tab/>
      </w:r>
      <w:r w:rsidR="002E6A65" w:rsidRPr="00403220">
        <w:rPr>
          <w:rFonts w:cs="Times New Roman"/>
          <w:szCs w:val="24"/>
          <w:u w:val="single"/>
          <w:lang w:val="fr-CA"/>
        </w:rPr>
        <w:t>La c</w:t>
      </w:r>
      <w:r w:rsidR="0047179D" w:rsidRPr="00403220">
        <w:rPr>
          <w:rFonts w:cs="Times New Roman"/>
          <w:szCs w:val="24"/>
          <w:u w:val="single"/>
          <w:lang w:val="fr-CA"/>
        </w:rPr>
        <w:t>onduite en cause</w:t>
      </w:r>
      <w:bookmarkEnd w:id="15"/>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La conduite en cause est la première question préliminaire à examiner dans le cadre de la présente analyse.  Les avis de mise en cause traitent de deux types </w:t>
      </w:r>
      <w:r w:rsidR="001744DF" w:rsidRPr="00403220">
        <w:rPr>
          <w:rFonts w:cs="Times New Roman"/>
          <w:szCs w:val="24"/>
          <w:lang w:val="fr-CA"/>
        </w:rPr>
        <w:t xml:space="preserve">distincts </w:t>
      </w:r>
      <w:r w:rsidRPr="00403220">
        <w:rPr>
          <w:rFonts w:cs="Times New Roman"/>
          <w:szCs w:val="24"/>
          <w:lang w:val="fr-CA"/>
        </w:rPr>
        <w:t>de conduite</w:t>
      </w:r>
      <w:r w:rsidR="00A54DAC" w:rsidRPr="00403220">
        <w:rPr>
          <w:rFonts w:cs="Times New Roman"/>
          <w:szCs w:val="24"/>
          <w:lang w:val="fr-CA"/>
        </w:rPr>
        <w:t> :</w:t>
      </w:r>
      <w:r w:rsidRPr="00403220">
        <w:rPr>
          <w:rFonts w:cs="Times New Roman"/>
          <w:szCs w:val="24"/>
          <w:lang w:val="fr-CA"/>
        </w:rPr>
        <w:t xml:space="preserve"> la conduite visée par l</w:t>
      </w:r>
      <w:r w:rsidR="008372AA" w:rsidRPr="00403220">
        <w:rPr>
          <w:rFonts w:cs="Times New Roman"/>
          <w:szCs w:val="24"/>
          <w:lang w:val="fr-CA"/>
        </w:rPr>
        <w:t>’</w:t>
      </w:r>
      <w:r w:rsidRPr="00403220">
        <w:rPr>
          <w:rFonts w:cs="Times New Roman"/>
          <w:szCs w:val="24"/>
          <w:lang w:val="fr-CA"/>
        </w:rPr>
        <w:t xml:space="preserve">allégation de déclaration inexacte faite par négligence et la conduite non visée par cette allégation.  La première </w:t>
      </w:r>
      <w:r w:rsidR="002E6A65" w:rsidRPr="00403220">
        <w:rPr>
          <w:rFonts w:cs="Times New Roman"/>
          <w:szCs w:val="24"/>
          <w:lang w:val="fr-CA"/>
        </w:rPr>
        <w:t xml:space="preserve">a trait </w:t>
      </w:r>
      <w:r w:rsidRPr="00403220">
        <w:rPr>
          <w:rFonts w:cs="Times New Roman"/>
          <w:szCs w:val="24"/>
          <w:lang w:val="fr-CA"/>
        </w:rPr>
        <w:t>aux déclarations du Canada selon lesquelles les cigarettes à faible teneur en goudron et les cigarettes légères étaient moins nuisibles pour la santé que les autres cigarettes.  La deuxième conduite a trait au rôle joué par Agriculture Canada dans le développement et la culture d</w:t>
      </w:r>
      <w:r w:rsidR="008372AA" w:rsidRPr="00403220">
        <w:rPr>
          <w:rFonts w:cs="Times New Roman"/>
          <w:szCs w:val="24"/>
          <w:lang w:val="fr-CA"/>
        </w:rPr>
        <w:t>’</w:t>
      </w:r>
      <w:r w:rsidRPr="00403220">
        <w:rPr>
          <w:rFonts w:cs="Times New Roman"/>
          <w:szCs w:val="24"/>
          <w:lang w:val="fr-CA"/>
        </w:rPr>
        <w:t xml:space="preserve">une souche de tabac à faible teneur en goudron ainsi que dans la perception des redevances sur le produit.  Les compagnies de tabac ont fusionné les deux types de conduite dans leur plaidoirie, </w:t>
      </w:r>
      <w:r w:rsidR="002E6A65" w:rsidRPr="00403220">
        <w:rPr>
          <w:rFonts w:cs="Times New Roman"/>
          <w:szCs w:val="24"/>
          <w:lang w:val="fr-CA"/>
        </w:rPr>
        <w:t xml:space="preserve">en faisant ressortir </w:t>
      </w:r>
      <w:r w:rsidRPr="00403220">
        <w:rPr>
          <w:rFonts w:cs="Times New Roman"/>
          <w:szCs w:val="24"/>
          <w:lang w:val="fr-CA"/>
        </w:rPr>
        <w:t xml:space="preserve">des éléments qui </w:t>
      </w:r>
      <w:r w:rsidR="002E6A65" w:rsidRPr="00403220">
        <w:rPr>
          <w:rFonts w:cs="Times New Roman"/>
          <w:szCs w:val="24"/>
          <w:lang w:val="fr-CA"/>
        </w:rPr>
        <w:t xml:space="preserve">campent </w:t>
      </w:r>
      <w:r w:rsidRPr="00403220">
        <w:rPr>
          <w:rFonts w:cs="Times New Roman"/>
          <w:szCs w:val="24"/>
          <w:lang w:val="fr-CA"/>
        </w:rPr>
        <w:t xml:space="preserve">le Canada </w:t>
      </w:r>
      <w:r w:rsidR="002E6A65" w:rsidRPr="00403220">
        <w:rPr>
          <w:rFonts w:cs="Times New Roman"/>
          <w:szCs w:val="24"/>
          <w:lang w:val="fr-CA"/>
        </w:rPr>
        <w:t xml:space="preserve">dans un rôle de commerçant dans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industrie du tabac.  Toutefois, dans l</w:t>
      </w:r>
      <w:r w:rsidR="008372AA" w:rsidRPr="00403220">
        <w:rPr>
          <w:rFonts w:cs="Times New Roman"/>
          <w:szCs w:val="24"/>
          <w:lang w:val="fr-CA"/>
        </w:rPr>
        <w:t>’</w:t>
      </w:r>
      <w:r w:rsidRPr="00403220">
        <w:rPr>
          <w:rFonts w:cs="Times New Roman"/>
          <w:szCs w:val="24"/>
          <w:lang w:val="fr-CA"/>
        </w:rPr>
        <w:t xml:space="preserve">analyse </w:t>
      </w:r>
      <w:r w:rsidR="00902059">
        <w:rPr>
          <w:rFonts w:cs="Times New Roman"/>
          <w:szCs w:val="24"/>
          <w:lang w:val="fr-CA"/>
        </w:rPr>
        <w:t>des</w:t>
      </w:r>
      <w:r w:rsidRPr="00403220">
        <w:rPr>
          <w:rFonts w:cs="Times New Roman"/>
          <w:szCs w:val="24"/>
          <w:lang w:val="fr-CA"/>
        </w:rPr>
        <w:t xml:space="preserve"> déclaration</w:t>
      </w:r>
      <w:r w:rsidR="00902059">
        <w:rPr>
          <w:rFonts w:cs="Times New Roman"/>
          <w:szCs w:val="24"/>
          <w:lang w:val="fr-CA"/>
        </w:rPr>
        <w:t>s</w:t>
      </w:r>
      <w:r w:rsidRPr="00403220">
        <w:rPr>
          <w:rFonts w:cs="Times New Roman"/>
          <w:szCs w:val="24"/>
          <w:lang w:val="fr-CA"/>
        </w:rPr>
        <w:t xml:space="preserve"> inexacte</w:t>
      </w:r>
      <w:r w:rsidR="00856C00">
        <w:rPr>
          <w:rFonts w:cs="Times New Roman"/>
          <w:szCs w:val="24"/>
          <w:lang w:val="fr-CA"/>
        </w:rPr>
        <w:t>s</w:t>
      </w:r>
      <w:r w:rsidRPr="00403220">
        <w:rPr>
          <w:rFonts w:cs="Times New Roman"/>
          <w:szCs w:val="24"/>
          <w:lang w:val="fr-CA"/>
        </w:rPr>
        <w:t xml:space="preserve"> faite</w:t>
      </w:r>
      <w:r w:rsidR="00856C00">
        <w:rPr>
          <w:rFonts w:cs="Times New Roman"/>
          <w:szCs w:val="24"/>
          <w:lang w:val="fr-CA"/>
        </w:rPr>
        <w:t>s</w:t>
      </w:r>
      <w:r w:rsidRPr="00403220">
        <w:rPr>
          <w:rFonts w:cs="Times New Roman"/>
          <w:szCs w:val="24"/>
          <w:lang w:val="fr-CA"/>
        </w:rPr>
        <w:t xml:space="preserve"> par négligence, seul </w:t>
      </w:r>
      <w:r w:rsidR="002E6A65" w:rsidRPr="00403220">
        <w:rPr>
          <w:rFonts w:cs="Times New Roman"/>
          <w:szCs w:val="24"/>
          <w:lang w:val="fr-CA"/>
        </w:rPr>
        <w:t xml:space="preserve">est en cause </w:t>
      </w:r>
      <w:r w:rsidRPr="00403220">
        <w:rPr>
          <w:rFonts w:cs="Times New Roman"/>
          <w:szCs w:val="24"/>
          <w:lang w:val="fr-CA"/>
        </w:rPr>
        <w:t>le premier type de conduite</w:t>
      </w:r>
      <w:r w:rsidR="002E6A65" w:rsidRPr="00403220">
        <w:rPr>
          <w:rFonts w:cs="Times New Roman"/>
          <w:szCs w:val="24"/>
          <w:lang w:val="fr-CA"/>
        </w:rPr>
        <w:t>,</w:t>
      </w:r>
      <w:r w:rsidRPr="00403220">
        <w:rPr>
          <w:rFonts w:cs="Times New Roman"/>
          <w:szCs w:val="24"/>
          <w:lang w:val="fr-CA"/>
        </w:rPr>
        <w:t xml:space="preserve"> celui relatif aux déclarations du </w:t>
      </w:r>
      <w:r w:rsidR="002E6A65" w:rsidRPr="00403220">
        <w:rPr>
          <w:rFonts w:cs="Times New Roman"/>
          <w:szCs w:val="24"/>
          <w:lang w:val="fr-CA"/>
        </w:rPr>
        <w:t>Canada</w:t>
      </w:r>
      <w:r w:rsidRPr="00403220">
        <w:rPr>
          <w:rFonts w:cs="Times New Roman"/>
          <w:szCs w:val="24"/>
          <w:lang w:val="fr-CA"/>
        </w:rPr>
        <w:t>.</w:t>
      </w:r>
    </w:p>
    <w:p w:rsidR="0047179D" w:rsidRPr="00403220" w:rsidRDefault="00E81D7E" w:rsidP="00773C48">
      <w:pPr>
        <w:pStyle w:val="TitleTitre-AltT"/>
        <w:keepNext/>
        <w:tabs>
          <w:tab w:val="clear" w:pos="360"/>
          <w:tab w:val="left" w:pos="1170"/>
          <w:tab w:val="left" w:pos="1800"/>
        </w:tabs>
        <w:spacing w:after="720"/>
        <w:ind w:left="1800" w:hanging="1800"/>
        <w:rPr>
          <w:rFonts w:cs="Times New Roman"/>
          <w:szCs w:val="24"/>
          <w:lang w:val="fr-CA"/>
        </w:rPr>
      </w:pPr>
      <w:r>
        <w:rPr>
          <w:rFonts w:cs="Times New Roman"/>
          <w:szCs w:val="24"/>
          <w:lang w:val="fr-CA"/>
        </w:rPr>
        <w:lastRenderedPageBreak/>
        <w:tab/>
      </w:r>
      <w:bookmarkStart w:id="16" w:name="_Toc314735118"/>
      <w:r w:rsidR="0047179D" w:rsidRPr="00403220">
        <w:rPr>
          <w:rFonts w:cs="Times New Roman"/>
          <w:szCs w:val="24"/>
          <w:lang w:val="fr-CA"/>
        </w:rPr>
        <w:t>(i</w:t>
      </w:r>
      <w:r w:rsidR="004B02A1" w:rsidRPr="00403220">
        <w:rPr>
          <w:rFonts w:cs="Times New Roman"/>
          <w:szCs w:val="24"/>
          <w:lang w:val="fr-CA"/>
        </w:rPr>
        <w:t>i</w:t>
      </w:r>
      <w:r w:rsidR="0047179D" w:rsidRPr="00403220">
        <w:rPr>
          <w:rFonts w:cs="Times New Roman"/>
          <w:szCs w:val="24"/>
          <w:lang w:val="fr-CA"/>
        </w:rPr>
        <w:t>)</w:t>
      </w:r>
      <w:r w:rsidR="0047179D" w:rsidRPr="00403220">
        <w:rPr>
          <w:rFonts w:cs="Times New Roman"/>
          <w:szCs w:val="24"/>
          <w:lang w:val="fr-CA"/>
        </w:rPr>
        <w:tab/>
      </w:r>
      <w:r w:rsidR="002E6A65" w:rsidRPr="00403220">
        <w:rPr>
          <w:rFonts w:cs="Times New Roman"/>
          <w:szCs w:val="24"/>
          <w:u w:val="single"/>
          <w:lang w:val="fr-CA"/>
        </w:rPr>
        <w:t>La p</w:t>
      </w:r>
      <w:r w:rsidR="0047179D" w:rsidRPr="00403220">
        <w:rPr>
          <w:rFonts w:cs="Times New Roman"/>
          <w:szCs w:val="24"/>
          <w:u w:val="single"/>
          <w:lang w:val="fr-CA"/>
        </w:rPr>
        <w:t>ertinence de la preuve</w:t>
      </w:r>
      <w:bookmarkEnd w:id="16"/>
    </w:p>
    <w:p w:rsidR="0047179D" w:rsidRPr="00403220" w:rsidRDefault="0047179D" w:rsidP="005A33F7">
      <w:pPr>
        <w:pStyle w:val="ParaNoNdepar-AltN"/>
        <w:rPr>
          <w:rFonts w:cs="Times New Roman"/>
          <w:szCs w:val="24"/>
          <w:lang w:val="fr-CA"/>
        </w:rPr>
      </w:pPr>
      <w:r w:rsidRPr="00403220">
        <w:rPr>
          <w:rFonts w:cs="Times New Roman"/>
          <w:szCs w:val="24"/>
          <w:lang w:val="fr-CA"/>
        </w:rPr>
        <w:t>Cela nous amène à la deuxième question préliminaire connexe</w:t>
      </w:r>
      <w:r w:rsidR="00A54DAC" w:rsidRPr="00403220">
        <w:rPr>
          <w:rFonts w:cs="Times New Roman"/>
          <w:szCs w:val="24"/>
          <w:lang w:val="fr-CA"/>
        </w:rPr>
        <w:t> :</w:t>
      </w:r>
      <w:r w:rsidRPr="00403220">
        <w:rPr>
          <w:rFonts w:cs="Times New Roman"/>
          <w:szCs w:val="24"/>
          <w:lang w:val="fr-CA"/>
        </w:rPr>
        <w:t xml:space="preserve"> l</w:t>
      </w:r>
      <w:r w:rsidR="008372AA" w:rsidRPr="00403220">
        <w:rPr>
          <w:rFonts w:cs="Times New Roman"/>
          <w:szCs w:val="24"/>
          <w:lang w:val="fr-CA"/>
        </w:rPr>
        <w:t>’</w:t>
      </w:r>
      <w:r w:rsidRPr="00403220">
        <w:rPr>
          <w:rFonts w:cs="Times New Roman"/>
          <w:szCs w:val="24"/>
          <w:lang w:val="fr-CA"/>
        </w:rPr>
        <w:t>utilité de la preuve pour déterminer s</w:t>
      </w:r>
      <w:r w:rsidR="008372AA" w:rsidRPr="00403220">
        <w:rPr>
          <w:rFonts w:cs="Times New Roman"/>
          <w:szCs w:val="24"/>
          <w:lang w:val="fr-CA"/>
        </w:rPr>
        <w:t>’</w:t>
      </w:r>
      <w:r w:rsidR="0098269F" w:rsidRPr="00403220">
        <w:rPr>
          <w:rFonts w:cs="Times New Roman"/>
          <w:szCs w:val="24"/>
          <w:lang w:val="fr-CA"/>
        </w:rPr>
        <w:t>il convient de radier les</w:t>
      </w:r>
      <w:r w:rsidRPr="00403220">
        <w:rPr>
          <w:rFonts w:cs="Times New Roman"/>
          <w:szCs w:val="24"/>
          <w:lang w:val="fr-CA"/>
        </w:rPr>
        <w:t xml:space="preserve"> demande</w:t>
      </w:r>
      <w:r w:rsidR="0098269F" w:rsidRPr="00403220">
        <w:rPr>
          <w:rFonts w:cs="Times New Roman"/>
          <w:szCs w:val="24"/>
          <w:lang w:val="fr-CA"/>
        </w:rPr>
        <w:t>s</w:t>
      </w:r>
      <w:r w:rsidRPr="00403220">
        <w:rPr>
          <w:rFonts w:cs="Times New Roman"/>
          <w:szCs w:val="24"/>
          <w:lang w:val="fr-CA"/>
        </w:rPr>
        <w:t xml:space="preserve"> de mise en cause fondée</w:t>
      </w:r>
      <w:r w:rsidR="0098269F" w:rsidRPr="00403220">
        <w:rPr>
          <w:rFonts w:cs="Times New Roman"/>
          <w:szCs w:val="24"/>
          <w:lang w:val="fr-CA"/>
        </w:rPr>
        <w:t>s</w:t>
      </w:r>
      <w:r w:rsidRPr="00403220">
        <w:rPr>
          <w:rFonts w:cs="Times New Roman"/>
          <w:szCs w:val="24"/>
          <w:lang w:val="fr-CA"/>
        </w:rPr>
        <w:t xml:space="preserve"> sur </w:t>
      </w:r>
      <w:r w:rsidR="00A4754D" w:rsidRPr="00403220">
        <w:rPr>
          <w:rFonts w:cs="Times New Roman"/>
          <w:szCs w:val="24"/>
          <w:lang w:val="fr-CA"/>
        </w:rPr>
        <w:t>les</w:t>
      </w:r>
      <w:r w:rsidRPr="00403220">
        <w:rPr>
          <w:rFonts w:cs="Times New Roman"/>
          <w:szCs w:val="24"/>
          <w:lang w:val="fr-CA"/>
        </w:rPr>
        <w:t xml:space="preserve"> </w:t>
      </w:r>
      <w:r w:rsidR="006603C4" w:rsidRPr="00403220">
        <w:rPr>
          <w:rFonts w:cs="Times New Roman"/>
          <w:szCs w:val="24"/>
          <w:lang w:val="fr-CA"/>
        </w:rPr>
        <w:t>déclarations</w:t>
      </w:r>
      <w:r w:rsidRPr="00403220">
        <w:rPr>
          <w:rFonts w:cs="Times New Roman"/>
          <w:szCs w:val="24"/>
          <w:lang w:val="fr-CA"/>
        </w:rPr>
        <w:t xml:space="preserve"> inexacte</w:t>
      </w:r>
      <w:r w:rsidR="00A4754D" w:rsidRPr="00403220">
        <w:rPr>
          <w:rFonts w:cs="Times New Roman"/>
          <w:szCs w:val="24"/>
          <w:lang w:val="fr-CA"/>
        </w:rPr>
        <w:t>s</w:t>
      </w:r>
      <w:r w:rsidRPr="00403220">
        <w:rPr>
          <w:rFonts w:cs="Times New Roman"/>
          <w:szCs w:val="24"/>
          <w:lang w:val="fr-CA"/>
        </w:rPr>
        <w:t xml:space="preserve"> faite</w:t>
      </w:r>
      <w:r w:rsidR="00A4754D" w:rsidRPr="00403220">
        <w:rPr>
          <w:rFonts w:cs="Times New Roman"/>
          <w:szCs w:val="24"/>
          <w:lang w:val="fr-CA"/>
        </w:rPr>
        <w:t>s</w:t>
      </w:r>
      <w:r w:rsidRPr="00403220">
        <w:rPr>
          <w:rFonts w:cs="Times New Roman"/>
          <w:szCs w:val="24"/>
          <w:lang w:val="fr-CA"/>
        </w:rPr>
        <w:t xml:space="preserve"> par négligence.  La Cour d</w:t>
      </w:r>
      <w:r w:rsidR="008372AA" w:rsidRPr="00403220">
        <w:rPr>
          <w:rFonts w:cs="Times New Roman"/>
          <w:szCs w:val="24"/>
          <w:lang w:val="fr-CA"/>
        </w:rPr>
        <w:t>’</w:t>
      </w:r>
      <w:r w:rsidRPr="00403220">
        <w:rPr>
          <w:rFonts w:cs="Times New Roman"/>
          <w:szCs w:val="24"/>
          <w:lang w:val="fr-CA"/>
        </w:rPr>
        <w:t>appel a conclu à la majorité qu</w:t>
      </w:r>
      <w:r w:rsidR="008372AA" w:rsidRPr="00403220">
        <w:rPr>
          <w:rFonts w:cs="Times New Roman"/>
          <w:szCs w:val="24"/>
          <w:lang w:val="fr-CA"/>
        </w:rPr>
        <w:t>’</w:t>
      </w:r>
      <w:r w:rsidRPr="00403220">
        <w:rPr>
          <w:rFonts w:cs="Times New Roman"/>
          <w:szCs w:val="24"/>
          <w:lang w:val="fr-CA"/>
        </w:rPr>
        <w:t xml:space="preserve">une preuve était nécessaire pour établir si les déclarations inexactes attribuées au Canada avaient été faites conformément à une politique </w:t>
      </w:r>
      <w:r w:rsidR="0098269F" w:rsidRPr="00403220">
        <w:rPr>
          <w:rFonts w:cs="Times New Roman"/>
          <w:szCs w:val="24"/>
          <w:lang w:val="fr-CA"/>
        </w:rPr>
        <w:t xml:space="preserve">générale </w:t>
      </w:r>
      <w:r w:rsidRPr="00403220">
        <w:rPr>
          <w:rFonts w:cs="Times New Roman"/>
          <w:szCs w:val="24"/>
          <w:lang w:val="fr-CA"/>
        </w:rPr>
        <w:t xml:space="preserve">du gouvernement.  Dans la même veine, les compagnies de tabac ont soutenu vigoureusement devant notre Cour que, dans la mesure où le Canada développait et cultivait du tabac à faible teneur en goudron et en tirait profit, il devrait être considéré non pas comme une autorité </w:t>
      </w:r>
      <w:r w:rsidR="004C5423" w:rsidRPr="00403220">
        <w:rPr>
          <w:rFonts w:cs="Times New Roman"/>
          <w:szCs w:val="24"/>
          <w:lang w:val="fr-CA"/>
        </w:rPr>
        <w:t>de réglementation</w:t>
      </w:r>
      <w:r w:rsidRPr="00403220">
        <w:rPr>
          <w:rFonts w:cs="Times New Roman"/>
          <w:szCs w:val="24"/>
          <w:lang w:val="fr-CA"/>
        </w:rPr>
        <w:t xml:space="preserve"> du gouvernement ou un architecte des politiques publiques, mais comme un </w:t>
      </w:r>
      <w:r w:rsidR="002E6A65" w:rsidRPr="00403220">
        <w:rPr>
          <w:rFonts w:cs="Times New Roman"/>
          <w:szCs w:val="24"/>
          <w:lang w:val="fr-CA"/>
        </w:rPr>
        <w:t>commerçant</w:t>
      </w:r>
      <w:r w:rsidRPr="00403220">
        <w:rPr>
          <w:rFonts w:cs="Times New Roman"/>
          <w:szCs w:val="24"/>
          <w:lang w:val="fr-CA"/>
        </w:rPr>
        <w:t>.  Les compagnies de tabac ont fait valoir avec insistance qu</w:t>
      </w:r>
      <w:r w:rsidR="008372AA" w:rsidRPr="00403220">
        <w:rPr>
          <w:rFonts w:cs="Times New Roman"/>
          <w:szCs w:val="24"/>
          <w:lang w:val="fr-CA"/>
        </w:rPr>
        <w:t>’</w:t>
      </w:r>
      <w:r w:rsidRPr="00403220">
        <w:rPr>
          <w:rFonts w:cs="Times New Roman"/>
          <w:szCs w:val="24"/>
          <w:lang w:val="fr-CA"/>
        </w:rPr>
        <w:t>une preuve était nécessaire pour déterminer la mesure dans laquelle il s</w:t>
      </w:r>
      <w:r w:rsidR="008372AA" w:rsidRPr="00403220">
        <w:rPr>
          <w:rFonts w:cs="Times New Roman"/>
          <w:szCs w:val="24"/>
          <w:lang w:val="fr-CA"/>
        </w:rPr>
        <w:t>’</w:t>
      </w:r>
      <w:r w:rsidRPr="00403220">
        <w:rPr>
          <w:rFonts w:cs="Times New Roman"/>
          <w:szCs w:val="24"/>
          <w:lang w:val="fr-CA"/>
        </w:rPr>
        <w:t>agissait d</w:t>
      </w:r>
      <w:r w:rsidR="008372AA" w:rsidRPr="00403220">
        <w:rPr>
          <w:rFonts w:cs="Times New Roman"/>
          <w:szCs w:val="24"/>
          <w:lang w:val="fr-CA"/>
        </w:rPr>
        <w:t>’</w:t>
      </w:r>
      <w:r w:rsidRPr="00403220">
        <w:rPr>
          <w:rFonts w:cs="Times New Roman"/>
          <w:szCs w:val="24"/>
          <w:lang w:val="fr-CA"/>
        </w:rPr>
        <w:t>une activité commerciale.</w:t>
      </w:r>
    </w:p>
    <w:p w:rsidR="0047179D" w:rsidRPr="00403220" w:rsidRDefault="0047179D" w:rsidP="005A33F7">
      <w:pPr>
        <w:pStyle w:val="ParaNoNdepar-AltN"/>
        <w:rPr>
          <w:rFonts w:cs="Times New Roman"/>
          <w:szCs w:val="24"/>
          <w:lang w:val="fr-CA"/>
        </w:rPr>
      </w:pPr>
      <w:r w:rsidRPr="00403220">
        <w:rPr>
          <w:rFonts w:cs="Times New Roman"/>
          <w:szCs w:val="24"/>
          <w:lang w:val="fr-CA"/>
        </w:rPr>
        <w:t>Cet argument pose problème à deux égards.  Premièrement, comme je l</w:t>
      </w:r>
      <w:r w:rsidR="008372AA" w:rsidRPr="00403220">
        <w:rPr>
          <w:rFonts w:cs="Times New Roman"/>
          <w:szCs w:val="24"/>
          <w:lang w:val="fr-CA"/>
        </w:rPr>
        <w:t>’</w:t>
      </w:r>
      <w:r w:rsidRPr="00403220">
        <w:rPr>
          <w:rFonts w:cs="Times New Roman"/>
          <w:szCs w:val="24"/>
          <w:lang w:val="fr-CA"/>
        </w:rPr>
        <w:t>ai mentionné, il repose principalement sur des actes — le développement et la commercialisation d</w:t>
      </w:r>
      <w:r w:rsidR="008372AA" w:rsidRPr="00403220">
        <w:rPr>
          <w:rFonts w:cs="Times New Roman"/>
          <w:szCs w:val="24"/>
          <w:lang w:val="fr-CA"/>
        </w:rPr>
        <w:t>’</w:t>
      </w:r>
      <w:r w:rsidRPr="00403220">
        <w:rPr>
          <w:rFonts w:cs="Times New Roman"/>
          <w:szCs w:val="24"/>
          <w:lang w:val="fr-CA"/>
        </w:rPr>
        <w:t>une souche de tabac à faible teneur en goudron — qui n</w:t>
      </w:r>
      <w:r w:rsidR="008372AA" w:rsidRPr="00403220">
        <w:rPr>
          <w:rFonts w:cs="Times New Roman"/>
          <w:szCs w:val="24"/>
          <w:lang w:val="fr-CA"/>
        </w:rPr>
        <w:t>’</w:t>
      </w:r>
      <w:r w:rsidRPr="00403220">
        <w:rPr>
          <w:rFonts w:cs="Times New Roman"/>
          <w:szCs w:val="24"/>
          <w:lang w:val="fr-CA"/>
        </w:rPr>
        <w:t xml:space="preserve">ont </w:t>
      </w:r>
      <w:r w:rsidR="0098269F" w:rsidRPr="00403220">
        <w:rPr>
          <w:rFonts w:cs="Times New Roman"/>
          <w:szCs w:val="24"/>
          <w:lang w:val="fr-CA"/>
        </w:rPr>
        <w:t>pas de lien direct</w:t>
      </w:r>
      <w:r w:rsidRPr="00403220">
        <w:rPr>
          <w:rFonts w:cs="Times New Roman"/>
          <w:szCs w:val="24"/>
          <w:lang w:val="fr-CA"/>
        </w:rPr>
        <w:t xml:space="preserve"> avec l</w:t>
      </w:r>
      <w:r w:rsidR="008372AA" w:rsidRPr="00403220">
        <w:rPr>
          <w:rFonts w:cs="Times New Roman"/>
          <w:szCs w:val="24"/>
          <w:lang w:val="fr-CA"/>
        </w:rPr>
        <w:t>’</w:t>
      </w:r>
      <w:r w:rsidRPr="00403220">
        <w:rPr>
          <w:rFonts w:cs="Times New Roman"/>
          <w:szCs w:val="24"/>
          <w:lang w:val="fr-CA"/>
        </w:rPr>
        <w:t>allégation de déclaration</w:t>
      </w:r>
      <w:r w:rsidR="00327DEF">
        <w:rPr>
          <w:rFonts w:cs="Times New Roman"/>
          <w:szCs w:val="24"/>
          <w:lang w:val="fr-CA"/>
        </w:rPr>
        <w:t>s</w:t>
      </w:r>
      <w:r w:rsidRPr="00403220">
        <w:rPr>
          <w:rFonts w:cs="Times New Roman"/>
          <w:szCs w:val="24"/>
          <w:lang w:val="fr-CA"/>
        </w:rPr>
        <w:t xml:space="preserve"> inexacte</w:t>
      </w:r>
      <w:r w:rsidR="00327DEF">
        <w:rPr>
          <w:rFonts w:cs="Times New Roman"/>
          <w:szCs w:val="24"/>
          <w:lang w:val="fr-CA"/>
        </w:rPr>
        <w:t>s</w:t>
      </w:r>
      <w:r w:rsidRPr="00403220">
        <w:rPr>
          <w:rFonts w:cs="Times New Roman"/>
          <w:szCs w:val="24"/>
          <w:lang w:val="fr-CA"/>
        </w:rPr>
        <w:t xml:space="preserve"> faite</w:t>
      </w:r>
      <w:r w:rsidR="00327DEF">
        <w:rPr>
          <w:rFonts w:cs="Times New Roman"/>
          <w:szCs w:val="24"/>
          <w:lang w:val="fr-CA"/>
        </w:rPr>
        <w:t>s</w:t>
      </w:r>
      <w:r w:rsidRPr="00403220">
        <w:rPr>
          <w:rFonts w:cs="Times New Roman"/>
          <w:szCs w:val="24"/>
          <w:lang w:val="fr-CA"/>
        </w:rPr>
        <w:t xml:space="preserve"> par négligence.  La seule question qui se pose à ce stade de l</w:t>
      </w:r>
      <w:r w:rsidR="008372AA" w:rsidRPr="00403220">
        <w:rPr>
          <w:rFonts w:cs="Times New Roman"/>
          <w:szCs w:val="24"/>
          <w:lang w:val="fr-CA"/>
        </w:rPr>
        <w:t>’</w:t>
      </w:r>
      <w:r w:rsidRPr="00403220">
        <w:rPr>
          <w:rFonts w:cs="Times New Roman"/>
          <w:szCs w:val="24"/>
          <w:lang w:val="fr-CA"/>
        </w:rPr>
        <w:t xml:space="preserve">analyse est de savoir si les considérations </w:t>
      </w:r>
      <w:r w:rsidR="00FD08F5" w:rsidRPr="00403220">
        <w:rPr>
          <w:rFonts w:cs="Times New Roman"/>
          <w:szCs w:val="24"/>
          <w:lang w:val="fr-CA"/>
        </w:rPr>
        <w:t xml:space="preserve">de </w:t>
      </w:r>
      <w:r w:rsidRPr="00403220">
        <w:rPr>
          <w:rFonts w:cs="Times New Roman"/>
          <w:szCs w:val="24"/>
          <w:lang w:val="fr-CA"/>
        </w:rPr>
        <w:t>politique</w:t>
      </w:r>
      <w:r w:rsidR="00FD08F5" w:rsidRPr="00403220">
        <w:rPr>
          <w:rFonts w:cs="Times New Roman"/>
          <w:szCs w:val="24"/>
          <w:lang w:val="fr-CA"/>
        </w:rPr>
        <w:t xml:space="preserve"> générale</w:t>
      </w:r>
      <w:r w:rsidRPr="00403220">
        <w:rPr>
          <w:rFonts w:cs="Times New Roman"/>
          <w:szCs w:val="24"/>
          <w:lang w:val="fr-CA"/>
        </w:rPr>
        <w:t xml:space="preserve"> militent contre la conclusion que le Canada avait envers les </w:t>
      </w:r>
      <w:r w:rsidRPr="00403220">
        <w:rPr>
          <w:rFonts w:cs="Times New Roman"/>
          <w:szCs w:val="24"/>
          <w:lang w:val="fr-CA"/>
        </w:rPr>
        <w:lastRenderedPageBreak/>
        <w:t>compagnies de tabac l</w:t>
      </w:r>
      <w:r w:rsidR="008372AA" w:rsidRPr="00403220">
        <w:rPr>
          <w:rFonts w:cs="Times New Roman"/>
          <w:szCs w:val="24"/>
          <w:lang w:val="fr-CA"/>
        </w:rPr>
        <w:t>’</w:t>
      </w:r>
      <w:r w:rsidRPr="00403220">
        <w:rPr>
          <w:rFonts w:cs="Times New Roman"/>
          <w:szCs w:val="24"/>
          <w:lang w:val="fr-CA"/>
        </w:rPr>
        <w:t>obligation de prendre les mesures raisonnables pour énoncer correctement les avantages du tabac à faible teneur en goudron.  La question de savoir si le Canada a produit des souches de tabac à faible teneur en goudron n</w:t>
      </w:r>
      <w:r w:rsidR="008372AA" w:rsidRPr="00403220">
        <w:rPr>
          <w:rFonts w:cs="Times New Roman"/>
          <w:szCs w:val="24"/>
          <w:lang w:val="fr-CA"/>
        </w:rPr>
        <w:t>’</w:t>
      </w:r>
      <w:r w:rsidRPr="00403220">
        <w:rPr>
          <w:rFonts w:cs="Times New Roman"/>
          <w:szCs w:val="24"/>
          <w:lang w:val="fr-CA"/>
        </w:rPr>
        <w:t>est pas directement pertinente pour cette analyse.  Il s</w:t>
      </w:r>
      <w:r w:rsidR="008372AA" w:rsidRPr="00403220">
        <w:rPr>
          <w:rFonts w:cs="Times New Roman"/>
          <w:szCs w:val="24"/>
          <w:lang w:val="fr-CA"/>
        </w:rPr>
        <w:t>’</w:t>
      </w:r>
      <w:r w:rsidRPr="00403220">
        <w:rPr>
          <w:rFonts w:cs="Times New Roman"/>
          <w:szCs w:val="24"/>
          <w:lang w:val="fr-CA"/>
        </w:rPr>
        <w:t>agit plutôt de savoir si, dans la mesure où le Canada a fait</w:t>
      </w:r>
      <w:r w:rsidR="001A0BF7" w:rsidRPr="00403220">
        <w:rPr>
          <w:rFonts w:cs="Times New Roman"/>
          <w:szCs w:val="24"/>
          <w:lang w:val="fr-CA"/>
        </w:rPr>
        <w:t xml:space="preserve"> des déclarations à cet égard, d</w:t>
      </w:r>
      <w:r w:rsidRPr="00403220">
        <w:rPr>
          <w:rFonts w:cs="Times New Roman"/>
          <w:szCs w:val="24"/>
          <w:lang w:val="fr-CA"/>
        </w:rPr>
        <w:t xml:space="preserve">es considérations </w:t>
      </w:r>
      <w:r w:rsidR="00FD08F5" w:rsidRPr="00403220">
        <w:rPr>
          <w:rFonts w:cs="Times New Roman"/>
          <w:szCs w:val="24"/>
          <w:lang w:val="fr-CA"/>
        </w:rPr>
        <w:t xml:space="preserve">de </w:t>
      </w:r>
      <w:r w:rsidRPr="00403220">
        <w:rPr>
          <w:rFonts w:cs="Times New Roman"/>
          <w:szCs w:val="24"/>
          <w:lang w:val="fr-CA"/>
        </w:rPr>
        <w:t>politique</w:t>
      </w:r>
      <w:r w:rsidR="00FD08F5" w:rsidRPr="00403220">
        <w:rPr>
          <w:rFonts w:cs="Times New Roman"/>
          <w:szCs w:val="24"/>
          <w:lang w:val="fr-CA"/>
        </w:rPr>
        <w:t xml:space="preserve"> générale</w:t>
      </w:r>
      <w:r w:rsidRPr="00403220">
        <w:rPr>
          <w:rFonts w:cs="Times New Roman"/>
          <w:szCs w:val="24"/>
          <w:lang w:val="fr-CA"/>
        </w:rPr>
        <w:t xml:space="preserve"> </w:t>
      </w:r>
      <w:r w:rsidR="001A0BF7" w:rsidRPr="00403220">
        <w:rPr>
          <w:rFonts w:cs="Times New Roman"/>
          <w:szCs w:val="24"/>
          <w:lang w:val="fr-CA"/>
        </w:rPr>
        <w:t xml:space="preserve">nous empêcheraient de le tenir </w:t>
      </w:r>
      <w:r w:rsidRPr="00403220">
        <w:rPr>
          <w:rFonts w:cs="Times New Roman"/>
          <w:szCs w:val="24"/>
          <w:lang w:val="fr-CA"/>
        </w:rPr>
        <w:t>r</w:t>
      </w:r>
      <w:r w:rsidR="007118A3" w:rsidRPr="00403220">
        <w:rPr>
          <w:rFonts w:cs="Times New Roman"/>
          <w:szCs w:val="24"/>
          <w:lang w:val="fr-CA"/>
        </w:rPr>
        <w:t>esponsable de ces déclarations.</w:t>
      </w:r>
    </w:p>
    <w:p w:rsidR="0047179D" w:rsidRPr="00403220" w:rsidRDefault="0047179D" w:rsidP="005A33F7">
      <w:pPr>
        <w:pStyle w:val="ParaNoNdepar-AltN"/>
        <w:rPr>
          <w:rFonts w:cs="Times New Roman"/>
          <w:szCs w:val="24"/>
          <w:lang w:val="fr-CA"/>
        </w:rPr>
      </w:pPr>
      <w:r w:rsidRPr="00403220">
        <w:rPr>
          <w:rFonts w:cs="Times New Roman"/>
          <w:szCs w:val="24"/>
          <w:lang w:val="fr-CA"/>
        </w:rPr>
        <w:t>Deuxièmement, comme je l</w:t>
      </w:r>
      <w:r w:rsidR="008372AA" w:rsidRPr="00403220">
        <w:rPr>
          <w:rFonts w:cs="Times New Roman"/>
          <w:szCs w:val="24"/>
          <w:lang w:val="fr-CA"/>
        </w:rPr>
        <w:t>’</w:t>
      </w:r>
      <w:r w:rsidRPr="00403220">
        <w:rPr>
          <w:rFonts w:cs="Times New Roman"/>
          <w:szCs w:val="24"/>
          <w:lang w:val="fr-CA"/>
        </w:rPr>
        <w:t xml:space="preserve">ai déjà indiqué, une requête en radiation ne dépend pas, de par sa nature, de la preuve. Les faits allégués doivent être tenus pour </w:t>
      </w:r>
      <w:r w:rsidR="0098269F" w:rsidRPr="00403220">
        <w:rPr>
          <w:rFonts w:cs="Times New Roman"/>
          <w:szCs w:val="24"/>
          <w:lang w:val="fr-CA"/>
        </w:rPr>
        <w:t>avérés</w:t>
      </w:r>
      <w:r w:rsidRPr="00403220">
        <w:rPr>
          <w:rFonts w:cs="Times New Roman"/>
          <w:szCs w:val="24"/>
          <w:lang w:val="fr-CA"/>
        </w:rPr>
        <w:t>.  Le rejet de la requête en radiation s</w:t>
      </w:r>
      <w:r w:rsidR="008372AA" w:rsidRPr="00403220">
        <w:rPr>
          <w:rFonts w:cs="Times New Roman"/>
          <w:szCs w:val="24"/>
          <w:lang w:val="fr-CA"/>
        </w:rPr>
        <w:t>’</w:t>
      </w:r>
      <w:r w:rsidRPr="00403220">
        <w:rPr>
          <w:rFonts w:cs="Times New Roman"/>
          <w:szCs w:val="24"/>
          <w:lang w:val="fr-CA"/>
        </w:rPr>
        <w:t>impose, à moins qu</w:t>
      </w:r>
      <w:r w:rsidR="008372AA" w:rsidRPr="00403220">
        <w:rPr>
          <w:rFonts w:cs="Times New Roman"/>
          <w:szCs w:val="24"/>
          <w:lang w:val="fr-CA"/>
        </w:rPr>
        <w:t>’</w:t>
      </w:r>
      <w:r w:rsidRPr="00403220">
        <w:rPr>
          <w:rFonts w:cs="Times New Roman"/>
          <w:szCs w:val="24"/>
          <w:lang w:val="fr-CA"/>
        </w:rPr>
        <w:t>il ne soit évident et manifeste, d</w:t>
      </w:r>
      <w:r w:rsidR="008372AA" w:rsidRPr="00403220">
        <w:rPr>
          <w:rFonts w:cs="Times New Roman"/>
          <w:szCs w:val="24"/>
          <w:lang w:val="fr-CA"/>
        </w:rPr>
        <w:t>’</w:t>
      </w:r>
      <w:r w:rsidRPr="00403220">
        <w:rPr>
          <w:rFonts w:cs="Times New Roman"/>
          <w:szCs w:val="24"/>
          <w:lang w:val="fr-CA"/>
        </w:rPr>
        <w:t>après ces faits, que l</w:t>
      </w:r>
      <w:r w:rsidR="008372AA" w:rsidRPr="00403220">
        <w:rPr>
          <w:rFonts w:cs="Times New Roman"/>
          <w:szCs w:val="24"/>
          <w:lang w:val="fr-CA"/>
        </w:rPr>
        <w:t>’</w:t>
      </w:r>
      <w:r w:rsidRPr="00403220">
        <w:rPr>
          <w:rFonts w:cs="Times New Roman"/>
          <w:szCs w:val="24"/>
          <w:lang w:val="fr-CA"/>
        </w:rPr>
        <w:t>action n</w:t>
      </w:r>
      <w:r w:rsidR="008372AA" w:rsidRPr="00403220">
        <w:rPr>
          <w:rFonts w:cs="Times New Roman"/>
          <w:szCs w:val="24"/>
          <w:lang w:val="fr-CA"/>
        </w:rPr>
        <w:t>’</w:t>
      </w:r>
      <w:r w:rsidRPr="00403220">
        <w:rPr>
          <w:rFonts w:cs="Times New Roman"/>
          <w:szCs w:val="24"/>
          <w:lang w:val="fr-CA"/>
        </w:rPr>
        <w:t xml:space="preserve">a aucune </w:t>
      </w:r>
      <w:r w:rsidR="001A0BF7" w:rsidRPr="00403220">
        <w:rPr>
          <w:rFonts w:cs="Times New Roman"/>
          <w:szCs w:val="24"/>
          <w:lang w:val="fr-CA"/>
        </w:rPr>
        <w:t xml:space="preserve">possibilité </w:t>
      </w:r>
      <w:r w:rsidRPr="00403220">
        <w:rPr>
          <w:rFonts w:cs="Times New Roman"/>
          <w:szCs w:val="24"/>
          <w:lang w:val="fr-CA"/>
        </w:rPr>
        <w:t>raisonnable de succès.  Autrement dit, s</w:t>
      </w:r>
      <w:r w:rsidR="008372AA" w:rsidRPr="00403220">
        <w:rPr>
          <w:rFonts w:cs="Times New Roman"/>
          <w:szCs w:val="24"/>
          <w:lang w:val="fr-CA"/>
        </w:rPr>
        <w:t>’</w:t>
      </w:r>
      <w:r w:rsidRPr="00403220">
        <w:rPr>
          <w:rFonts w:cs="Times New Roman"/>
          <w:szCs w:val="24"/>
          <w:lang w:val="fr-CA"/>
        </w:rPr>
        <w:t xml:space="preserve">il </w:t>
      </w:r>
      <w:r w:rsidR="00B647BB" w:rsidRPr="00403220">
        <w:rPr>
          <w:rFonts w:cs="Times New Roman"/>
          <w:szCs w:val="24"/>
          <w:lang w:val="fr-CA"/>
        </w:rPr>
        <w:t>existe une possibilité</w:t>
      </w:r>
      <w:r w:rsidRPr="00403220">
        <w:rPr>
          <w:rFonts w:cs="Times New Roman"/>
          <w:szCs w:val="24"/>
          <w:lang w:val="fr-CA"/>
        </w:rPr>
        <w:t xml:space="preserve"> raisonnable que la question alléguée s</w:t>
      </w:r>
      <w:r w:rsidR="008372AA" w:rsidRPr="00403220">
        <w:rPr>
          <w:rFonts w:cs="Times New Roman"/>
          <w:szCs w:val="24"/>
          <w:lang w:val="fr-CA"/>
        </w:rPr>
        <w:t>’</w:t>
      </w:r>
      <w:r w:rsidRPr="00403220">
        <w:rPr>
          <w:rFonts w:cs="Times New Roman"/>
          <w:szCs w:val="24"/>
          <w:lang w:val="fr-CA"/>
        </w:rPr>
        <w:t>avère en fait une question de politique</w:t>
      </w:r>
      <w:r w:rsidR="0098269F" w:rsidRPr="00403220">
        <w:rPr>
          <w:rFonts w:cs="Times New Roman"/>
          <w:szCs w:val="24"/>
          <w:lang w:val="fr-CA"/>
        </w:rPr>
        <w:t xml:space="preserve"> générale</w:t>
      </w:r>
      <w:r w:rsidRPr="00403220">
        <w:rPr>
          <w:rFonts w:cs="Times New Roman"/>
          <w:szCs w:val="24"/>
          <w:lang w:val="fr-CA"/>
        </w:rPr>
        <w:t xml:space="preserve">, la requête en radiation doit alors être rejetée.  </w:t>
      </w:r>
      <w:r w:rsidR="001A0BF7" w:rsidRPr="00403220">
        <w:rPr>
          <w:rFonts w:cs="Times New Roman"/>
          <w:szCs w:val="24"/>
          <w:lang w:val="fr-CA"/>
        </w:rPr>
        <w:t xml:space="preserve">Les </w:t>
      </w:r>
      <w:r w:rsidRPr="00403220">
        <w:rPr>
          <w:rFonts w:cs="Times New Roman"/>
          <w:szCs w:val="24"/>
          <w:lang w:val="fr-CA"/>
        </w:rPr>
        <w:t xml:space="preserve">doutes quant à ce que la preuve peut </w:t>
      </w:r>
      <w:proofErr w:type="gramStart"/>
      <w:r w:rsidRPr="00403220">
        <w:rPr>
          <w:rFonts w:cs="Times New Roman"/>
          <w:szCs w:val="24"/>
          <w:lang w:val="fr-CA"/>
        </w:rPr>
        <w:t>démontrer</w:t>
      </w:r>
      <w:proofErr w:type="gramEnd"/>
      <w:r w:rsidRPr="00403220">
        <w:rPr>
          <w:rFonts w:cs="Times New Roman"/>
          <w:szCs w:val="24"/>
          <w:lang w:val="fr-CA"/>
        </w:rPr>
        <w:t xml:space="preserve"> </w:t>
      </w:r>
      <w:r w:rsidR="001A0BF7" w:rsidRPr="00403220">
        <w:rPr>
          <w:rFonts w:cs="Times New Roman"/>
          <w:szCs w:val="24"/>
          <w:lang w:val="fr-CA"/>
        </w:rPr>
        <w:t>ne devraient pas empêcher la tenue d’</w:t>
      </w:r>
      <w:r w:rsidRPr="00403220">
        <w:rPr>
          <w:rFonts w:cs="Times New Roman"/>
          <w:szCs w:val="24"/>
          <w:lang w:val="fr-CA"/>
        </w:rPr>
        <w:t xml:space="preserve">un procès. </w:t>
      </w:r>
      <w:r w:rsidR="001A0BF7" w:rsidRPr="00403220">
        <w:rPr>
          <w:rFonts w:cs="Times New Roman"/>
          <w:szCs w:val="24"/>
          <w:lang w:val="fr-CA"/>
        </w:rPr>
        <w:t xml:space="preserve"> </w:t>
      </w:r>
      <w:r w:rsidRPr="00403220">
        <w:rPr>
          <w:rFonts w:cs="Times New Roman"/>
          <w:szCs w:val="24"/>
          <w:lang w:val="fr-CA"/>
        </w:rPr>
        <w:t>La question dont nous sommes saisis est donc de savoir s</w:t>
      </w:r>
      <w:r w:rsidR="008372AA" w:rsidRPr="00403220">
        <w:rPr>
          <w:rFonts w:cs="Times New Roman"/>
          <w:szCs w:val="24"/>
          <w:lang w:val="fr-CA"/>
        </w:rPr>
        <w:t>’</w:t>
      </w:r>
      <w:r w:rsidRPr="00403220">
        <w:rPr>
          <w:rFonts w:cs="Times New Roman"/>
          <w:szCs w:val="24"/>
          <w:lang w:val="fr-CA"/>
        </w:rPr>
        <w:t xml:space="preserve">il ressort clairement des faits tenus pour </w:t>
      </w:r>
      <w:r w:rsidR="001A0BF7" w:rsidRPr="00403220">
        <w:rPr>
          <w:rFonts w:cs="Times New Roman"/>
          <w:szCs w:val="24"/>
          <w:lang w:val="fr-CA"/>
        </w:rPr>
        <w:t xml:space="preserve">avérés </w:t>
      </w:r>
      <w:r w:rsidRPr="00403220">
        <w:rPr>
          <w:rFonts w:cs="Times New Roman"/>
          <w:szCs w:val="24"/>
          <w:lang w:val="fr-CA"/>
        </w:rPr>
        <w:t>qu</w:t>
      </w:r>
      <w:r w:rsidR="008372AA" w:rsidRPr="00403220">
        <w:rPr>
          <w:rFonts w:cs="Times New Roman"/>
          <w:szCs w:val="24"/>
          <w:lang w:val="fr-CA"/>
        </w:rPr>
        <w:t>’</w:t>
      </w:r>
      <w:r w:rsidRPr="00403220">
        <w:rPr>
          <w:rFonts w:cs="Times New Roman"/>
          <w:szCs w:val="24"/>
          <w:lang w:val="fr-CA"/>
        </w:rPr>
        <w:t xml:space="preserve">une obligation de </w:t>
      </w:r>
      <w:r w:rsidR="001A0BF7" w:rsidRPr="00403220">
        <w:rPr>
          <w:rFonts w:cs="Times New Roman"/>
          <w:szCs w:val="24"/>
          <w:lang w:val="fr-CA"/>
        </w:rPr>
        <w:t xml:space="preserve">faire </w:t>
      </w:r>
      <w:r w:rsidRPr="00403220">
        <w:rPr>
          <w:rFonts w:cs="Times New Roman"/>
          <w:szCs w:val="24"/>
          <w:lang w:val="fr-CA"/>
        </w:rPr>
        <w:t xml:space="preserve">diligence </w:t>
      </w:r>
      <w:r w:rsidR="001A0BF7" w:rsidRPr="00403220">
        <w:rPr>
          <w:rFonts w:cs="Times New Roman"/>
          <w:szCs w:val="24"/>
          <w:lang w:val="fr-CA"/>
        </w:rPr>
        <w:t xml:space="preserve">afin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éviter les déclarations inexactes faites par négligence serait écartée parce que la conduite à l</w:t>
      </w:r>
      <w:r w:rsidR="008372AA" w:rsidRPr="00403220">
        <w:rPr>
          <w:rFonts w:cs="Times New Roman"/>
          <w:szCs w:val="24"/>
          <w:lang w:val="fr-CA"/>
        </w:rPr>
        <w:t>’</w:t>
      </w:r>
      <w:r w:rsidRPr="00403220">
        <w:rPr>
          <w:rFonts w:cs="Times New Roman"/>
          <w:szCs w:val="24"/>
          <w:lang w:val="fr-CA"/>
        </w:rPr>
        <w:t xml:space="preserve">origine de la déclaration inexacte alléguée relève </w:t>
      </w:r>
      <w:r w:rsidR="0098269F" w:rsidRPr="00403220">
        <w:rPr>
          <w:rFonts w:cs="Times New Roman"/>
          <w:szCs w:val="24"/>
          <w:lang w:val="fr-CA"/>
        </w:rPr>
        <w:t>d’une</w:t>
      </w:r>
      <w:r w:rsidRPr="00403220">
        <w:rPr>
          <w:rFonts w:cs="Times New Roman"/>
          <w:szCs w:val="24"/>
          <w:lang w:val="fr-CA"/>
        </w:rPr>
        <w:t xml:space="preserve"> politique </w:t>
      </w:r>
      <w:r w:rsidR="0098269F" w:rsidRPr="00403220">
        <w:rPr>
          <w:rFonts w:cs="Times New Roman"/>
          <w:szCs w:val="24"/>
          <w:lang w:val="fr-CA"/>
        </w:rPr>
        <w:t xml:space="preserve">générale </w:t>
      </w:r>
      <w:r w:rsidRPr="00403220">
        <w:rPr>
          <w:rFonts w:cs="Times New Roman"/>
          <w:szCs w:val="24"/>
          <w:lang w:val="fr-CA"/>
        </w:rPr>
        <w:t>du gouvernement et n</w:t>
      </w:r>
      <w:r w:rsidR="008372AA" w:rsidRPr="00403220">
        <w:rPr>
          <w:rFonts w:cs="Times New Roman"/>
          <w:szCs w:val="24"/>
          <w:lang w:val="fr-CA"/>
        </w:rPr>
        <w:t>’</w:t>
      </w:r>
      <w:r w:rsidRPr="00403220">
        <w:rPr>
          <w:rFonts w:cs="Times New Roman"/>
          <w:szCs w:val="24"/>
          <w:lang w:val="fr-CA"/>
        </w:rPr>
        <w:t>est donc pas susceptible d</w:t>
      </w:r>
      <w:r w:rsidR="008372AA" w:rsidRPr="00403220">
        <w:rPr>
          <w:rFonts w:cs="Times New Roman"/>
          <w:szCs w:val="24"/>
          <w:lang w:val="fr-CA"/>
        </w:rPr>
        <w:t>’</w:t>
      </w:r>
      <w:r w:rsidRPr="00403220">
        <w:rPr>
          <w:rFonts w:cs="Times New Roman"/>
          <w:szCs w:val="24"/>
          <w:lang w:val="fr-CA"/>
        </w:rPr>
        <w:t xml:space="preserve">engager la responsabilité délictuelle de son auteur. </w:t>
      </w:r>
    </w:p>
    <w:p w:rsidR="0047179D" w:rsidRPr="00403220" w:rsidRDefault="0047179D" w:rsidP="005A33F7">
      <w:pPr>
        <w:pStyle w:val="ParaNoNdepar-AltN"/>
        <w:rPr>
          <w:rFonts w:cs="Times New Roman"/>
          <w:szCs w:val="24"/>
          <w:lang w:val="fr-CA"/>
        </w:rPr>
      </w:pPr>
      <w:r w:rsidRPr="00403220">
        <w:rPr>
          <w:rFonts w:cs="Times New Roman"/>
          <w:szCs w:val="24"/>
          <w:lang w:val="fr-CA"/>
        </w:rPr>
        <w:lastRenderedPageBreak/>
        <w:t>Pour être en mesure de répondre à cette question, nous devons examiner une troisième question préliminaire</w:t>
      </w:r>
      <w:r w:rsidR="00A54DAC" w:rsidRPr="00403220">
        <w:rPr>
          <w:rFonts w:cs="Times New Roman"/>
          <w:szCs w:val="24"/>
          <w:lang w:val="fr-CA"/>
        </w:rPr>
        <w:t> :</w:t>
      </w:r>
      <w:r w:rsidRPr="00403220">
        <w:rPr>
          <w:rFonts w:cs="Times New Roman"/>
          <w:szCs w:val="24"/>
          <w:lang w:val="fr-CA"/>
        </w:rPr>
        <w:t xml:space="preserve"> en quoi consiste une décision de politique </w:t>
      </w:r>
      <w:r w:rsidR="0098269F" w:rsidRPr="00403220">
        <w:rPr>
          <w:rFonts w:cs="Times New Roman"/>
          <w:szCs w:val="24"/>
          <w:lang w:val="fr-CA"/>
        </w:rPr>
        <w:t xml:space="preserve">générale </w:t>
      </w:r>
      <w:r w:rsidRPr="00403220">
        <w:rPr>
          <w:rFonts w:cs="Times New Roman"/>
          <w:szCs w:val="24"/>
          <w:lang w:val="fr-CA"/>
        </w:rPr>
        <w:t xml:space="preserve">soustraite au contrôle judiciaire? </w:t>
      </w:r>
    </w:p>
    <w:p w:rsidR="0047179D" w:rsidRPr="00403220" w:rsidRDefault="00B95136" w:rsidP="00B95136">
      <w:pPr>
        <w:pStyle w:val="TitleTitre-AltT"/>
        <w:keepNext/>
        <w:tabs>
          <w:tab w:val="clear" w:pos="360"/>
          <w:tab w:val="left" w:pos="1170"/>
          <w:tab w:val="left" w:pos="1800"/>
        </w:tabs>
        <w:spacing w:after="720"/>
        <w:ind w:left="1800" w:hanging="1800"/>
        <w:rPr>
          <w:rFonts w:cs="Times New Roman"/>
          <w:szCs w:val="24"/>
          <w:u w:val="single"/>
          <w:lang w:val="fr-CA"/>
        </w:rPr>
      </w:pPr>
      <w:r>
        <w:rPr>
          <w:rFonts w:cs="Times New Roman"/>
          <w:szCs w:val="24"/>
          <w:lang w:val="fr-CA"/>
        </w:rPr>
        <w:tab/>
      </w:r>
      <w:bookmarkStart w:id="17" w:name="_Toc314735119"/>
      <w:r w:rsidR="0047179D" w:rsidRPr="00403220">
        <w:rPr>
          <w:rFonts w:cs="Times New Roman"/>
          <w:szCs w:val="24"/>
          <w:lang w:val="fr-CA"/>
        </w:rPr>
        <w:t>(i</w:t>
      </w:r>
      <w:r w:rsidR="004B02A1" w:rsidRPr="00403220">
        <w:rPr>
          <w:rFonts w:cs="Times New Roman"/>
          <w:szCs w:val="24"/>
          <w:lang w:val="fr-CA"/>
        </w:rPr>
        <w:t>ii</w:t>
      </w:r>
      <w:r w:rsidR="0047179D" w:rsidRPr="00403220">
        <w:rPr>
          <w:rFonts w:cs="Times New Roman"/>
          <w:szCs w:val="24"/>
          <w:lang w:val="fr-CA"/>
        </w:rPr>
        <w:t>)</w:t>
      </w:r>
      <w:r w:rsidR="0047179D" w:rsidRPr="00403220">
        <w:rPr>
          <w:rFonts w:cs="Times New Roman"/>
          <w:szCs w:val="24"/>
          <w:lang w:val="fr-CA"/>
        </w:rPr>
        <w:tab/>
      </w:r>
      <w:r w:rsidR="00301F22" w:rsidRPr="00403220">
        <w:rPr>
          <w:rFonts w:cs="Times New Roman"/>
          <w:szCs w:val="24"/>
          <w:u w:val="single"/>
          <w:lang w:val="fr-CA"/>
        </w:rPr>
        <w:t>Les</w:t>
      </w:r>
      <w:r w:rsidR="0047179D" w:rsidRPr="00403220">
        <w:rPr>
          <w:rFonts w:cs="Times New Roman"/>
          <w:szCs w:val="24"/>
          <w:u w:val="single"/>
          <w:lang w:val="fr-CA"/>
        </w:rPr>
        <w:t xml:space="preserve"> décision</w:t>
      </w:r>
      <w:r w:rsidR="00301F22" w:rsidRPr="00403220">
        <w:rPr>
          <w:rFonts w:cs="Times New Roman"/>
          <w:szCs w:val="24"/>
          <w:u w:val="single"/>
          <w:lang w:val="fr-CA"/>
        </w:rPr>
        <w:t>s</w:t>
      </w:r>
      <w:r w:rsidR="0047179D" w:rsidRPr="00403220">
        <w:rPr>
          <w:rFonts w:cs="Times New Roman"/>
          <w:szCs w:val="24"/>
          <w:u w:val="single"/>
          <w:lang w:val="fr-CA"/>
        </w:rPr>
        <w:t xml:space="preserve"> de politique</w:t>
      </w:r>
      <w:r w:rsidR="0098269F" w:rsidRPr="00403220">
        <w:rPr>
          <w:rFonts w:cs="Times New Roman"/>
          <w:szCs w:val="24"/>
          <w:u w:val="single"/>
          <w:lang w:val="fr-CA"/>
        </w:rPr>
        <w:t xml:space="preserve"> générale</w:t>
      </w:r>
      <w:r w:rsidR="0047179D" w:rsidRPr="00403220">
        <w:rPr>
          <w:rFonts w:cs="Times New Roman"/>
          <w:szCs w:val="24"/>
          <w:u w:val="single"/>
          <w:lang w:val="fr-CA"/>
        </w:rPr>
        <w:t xml:space="preserve"> soustraite</w:t>
      </w:r>
      <w:r w:rsidR="00301F22" w:rsidRPr="00403220">
        <w:rPr>
          <w:rFonts w:cs="Times New Roman"/>
          <w:szCs w:val="24"/>
          <w:u w:val="single"/>
          <w:lang w:val="fr-CA"/>
        </w:rPr>
        <w:t>s</w:t>
      </w:r>
      <w:r w:rsidR="0047179D" w:rsidRPr="00403220">
        <w:rPr>
          <w:rFonts w:cs="Times New Roman"/>
          <w:szCs w:val="24"/>
          <w:u w:val="single"/>
          <w:lang w:val="fr-CA"/>
        </w:rPr>
        <w:t xml:space="preserve"> au contrôle judiciaire</w:t>
      </w:r>
      <w:bookmarkEnd w:id="17"/>
    </w:p>
    <w:p w:rsidR="0047179D" w:rsidRPr="00403220" w:rsidRDefault="0047179D" w:rsidP="005A33F7">
      <w:pPr>
        <w:pStyle w:val="ParaNoNdepar-AltN"/>
        <w:rPr>
          <w:rFonts w:cs="Times New Roman"/>
          <w:szCs w:val="24"/>
          <w:lang w:val="fr-CA"/>
        </w:rPr>
      </w:pPr>
      <w:r w:rsidRPr="00403220">
        <w:rPr>
          <w:rFonts w:cs="Times New Roman"/>
          <w:szCs w:val="24"/>
          <w:lang w:val="fr-CA"/>
        </w:rPr>
        <w:t>La question de savoir en quoi consiste une décision de politique</w:t>
      </w:r>
      <w:r w:rsidR="00F93935" w:rsidRPr="00403220">
        <w:rPr>
          <w:rFonts w:cs="Times New Roman"/>
          <w:szCs w:val="24"/>
          <w:lang w:val="fr-CA"/>
        </w:rPr>
        <w:t xml:space="preserve"> générale</w:t>
      </w:r>
      <w:r w:rsidRPr="00403220">
        <w:rPr>
          <w:rFonts w:cs="Times New Roman"/>
          <w:szCs w:val="24"/>
          <w:lang w:val="fr-CA"/>
        </w:rPr>
        <w:t xml:space="preserve"> </w:t>
      </w:r>
      <w:r w:rsidR="00A10368" w:rsidRPr="00403220">
        <w:rPr>
          <w:rFonts w:cs="Times New Roman"/>
          <w:szCs w:val="24"/>
          <w:lang w:val="fr-CA"/>
        </w:rPr>
        <w:t xml:space="preserve">qui écarte </w:t>
      </w:r>
      <w:r w:rsidRPr="00403220">
        <w:rPr>
          <w:rFonts w:cs="Times New Roman"/>
          <w:szCs w:val="24"/>
          <w:lang w:val="fr-CA"/>
        </w:rPr>
        <w:t>généralement toute responsabilité pour négligence est une question épineuse qui a fait couler beaucoup d</w:t>
      </w:r>
      <w:r w:rsidR="008372AA" w:rsidRPr="00403220">
        <w:rPr>
          <w:rFonts w:cs="Times New Roman"/>
          <w:szCs w:val="24"/>
          <w:lang w:val="fr-CA"/>
        </w:rPr>
        <w:t>’</w:t>
      </w:r>
      <w:r w:rsidRPr="00403220">
        <w:rPr>
          <w:rFonts w:cs="Times New Roman"/>
          <w:szCs w:val="24"/>
          <w:lang w:val="fr-CA"/>
        </w:rPr>
        <w:t xml:space="preserve">encre.  Les tribunaux de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xml:space="preserve"> de partout dans le monde s</w:t>
      </w:r>
      <w:r w:rsidR="008372AA" w:rsidRPr="00403220">
        <w:rPr>
          <w:rFonts w:cs="Times New Roman"/>
          <w:szCs w:val="24"/>
          <w:lang w:val="fr-CA"/>
        </w:rPr>
        <w:t>’</w:t>
      </w:r>
      <w:r w:rsidRPr="00403220">
        <w:rPr>
          <w:rFonts w:cs="Times New Roman"/>
          <w:szCs w:val="24"/>
          <w:lang w:val="fr-CA"/>
        </w:rPr>
        <w:t xml:space="preserve">entendent généralement pour dire que les décisions de politique </w:t>
      </w:r>
      <w:r w:rsidR="0098269F" w:rsidRPr="00403220">
        <w:rPr>
          <w:rFonts w:cs="Times New Roman"/>
          <w:szCs w:val="24"/>
          <w:lang w:val="fr-CA"/>
        </w:rPr>
        <w:t xml:space="preserve">générale </w:t>
      </w:r>
      <w:r w:rsidRPr="00403220">
        <w:rPr>
          <w:rFonts w:cs="Times New Roman"/>
          <w:szCs w:val="24"/>
          <w:lang w:val="fr-CA"/>
        </w:rPr>
        <w:t>d</w:t>
      </w:r>
      <w:r w:rsidR="0098269F" w:rsidRPr="00403220">
        <w:rPr>
          <w:rFonts w:cs="Times New Roman"/>
          <w:szCs w:val="24"/>
          <w:lang w:val="fr-CA"/>
        </w:rPr>
        <w:t>es</w:t>
      </w:r>
      <w:r w:rsidRPr="00403220">
        <w:rPr>
          <w:rFonts w:cs="Times New Roman"/>
          <w:szCs w:val="24"/>
          <w:lang w:val="fr-CA"/>
        </w:rPr>
        <w:t xml:space="preserve"> gouvernement</w:t>
      </w:r>
      <w:r w:rsidR="0098269F" w:rsidRPr="00403220">
        <w:rPr>
          <w:rFonts w:cs="Times New Roman"/>
          <w:szCs w:val="24"/>
          <w:lang w:val="fr-CA"/>
        </w:rPr>
        <w:t>s</w:t>
      </w:r>
      <w:r w:rsidRPr="00403220">
        <w:rPr>
          <w:rFonts w:cs="Times New Roman"/>
          <w:szCs w:val="24"/>
          <w:lang w:val="fr-CA"/>
        </w:rPr>
        <w:t xml:space="preserve"> ne sont pas justiciables et ne peuvent engager la responsabilité délictuelle de ce</w:t>
      </w:r>
      <w:r w:rsidR="0098269F" w:rsidRPr="00403220">
        <w:rPr>
          <w:rFonts w:cs="Times New Roman"/>
          <w:szCs w:val="24"/>
          <w:lang w:val="fr-CA"/>
        </w:rPr>
        <w:t>s</w:t>
      </w:r>
      <w:r w:rsidRPr="00403220">
        <w:rPr>
          <w:rFonts w:cs="Times New Roman"/>
          <w:szCs w:val="24"/>
          <w:lang w:val="fr-CA"/>
        </w:rPr>
        <w:t xml:space="preserve"> dernier</w:t>
      </w:r>
      <w:r w:rsidR="0098269F" w:rsidRPr="00403220">
        <w:rPr>
          <w:rFonts w:cs="Times New Roman"/>
          <w:szCs w:val="24"/>
          <w:lang w:val="fr-CA"/>
        </w:rPr>
        <w:t>s</w:t>
      </w:r>
      <w:r w:rsidRPr="00403220">
        <w:rPr>
          <w:rFonts w:cs="Times New Roman"/>
          <w:szCs w:val="24"/>
          <w:lang w:val="fr-CA"/>
        </w:rPr>
        <w:t>.  On s</w:t>
      </w:r>
      <w:r w:rsidR="008372AA" w:rsidRPr="00403220">
        <w:rPr>
          <w:rFonts w:cs="Times New Roman"/>
          <w:szCs w:val="24"/>
          <w:lang w:val="fr-CA"/>
        </w:rPr>
        <w:t>’</w:t>
      </w:r>
      <w:r w:rsidRPr="00403220">
        <w:rPr>
          <w:rFonts w:cs="Times New Roman"/>
          <w:szCs w:val="24"/>
          <w:lang w:val="fr-CA"/>
        </w:rPr>
        <w:t>entend aussi généralement pour dire que la responsabilité délictuelle de l</w:t>
      </w:r>
      <w:r w:rsidR="008372AA" w:rsidRPr="00403220">
        <w:rPr>
          <w:rFonts w:cs="Times New Roman"/>
          <w:szCs w:val="24"/>
          <w:lang w:val="fr-CA"/>
        </w:rPr>
        <w:t>’</w:t>
      </w:r>
      <w:r w:rsidRPr="00403220">
        <w:rPr>
          <w:rFonts w:cs="Times New Roman"/>
          <w:szCs w:val="24"/>
          <w:lang w:val="fr-CA"/>
        </w:rPr>
        <w:t>État peut être engagée lorsque ses mandataire</w:t>
      </w:r>
      <w:r w:rsidR="001C3FB4" w:rsidRPr="00403220">
        <w:rPr>
          <w:rFonts w:cs="Times New Roman"/>
          <w:szCs w:val="24"/>
          <w:lang w:val="fr-CA"/>
        </w:rPr>
        <w:t>s exercent de façon négligente d</w:t>
      </w:r>
      <w:r w:rsidRPr="00403220">
        <w:rPr>
          <w:rFonts w:cs="Times New Roman"/>
          <w:szCs w:val="24"/>
          <w:lang w:val="fr-CA"/>
        </w:rPr>
        <w:t xml:space="preserve">es fonctions prescrites.  La difficulté </w:t>
      </w:r>
      <w:r w:rsidR="001C3FB4" w:rsidRPr="00403220">
        <w:rPr>
          <w:rFonts w:cs="Times New Roman"/>
          <w:szCs w:val="24"/>
          <w:lang w:val="fr-CA"/>
        </w:rPr>
        <w:t>tient à l’élaboration d’</w:t>
      </w:r>
      <w:r w:rsidRPr="00403220">
        <w:rPr>
          <w:rFonts w:cs="Times New Roman"/>
          <w:szCs w:val="24"/>
          <w:lang w:val="fr-CA"/>
        </w:rPr>
        <w:t xml:space="preserve">un critère </w:t>
      </w:r>
      <w:r w:rsidR="001C3FB4" w:rsidRPr="00403220">
        <w:rPr>
          <w:rFonts w:cs="Times New Roman"/>
          <w:szCs w:val="24"/>
          <w:lang w:val="fr-CA"/>
        </w:rPr>
        <w:t>qui permett</w:t>
      </w:r>
      <w:r w:rsidR="0098269F" w:rsidRPr="00403220">
        <w:rPr>
          <w:rFonts w:cs="Times New Roman"/>
          <w:szCs w:val="24"/>
          <w:lang w:val="fr-CA"/>
        </w:rPr>
        <w:t>e</w:t>
      </w:r>
      <w:r w:rsidR="001C3FB4" w:rsidRPr="00403220">
        <w:rPr>
          <w:rFonts w:cs="Times New Roman"/>
          <w:szCs w:val="24"/>
          <w:lang w:val="fr-CA"/>
        </w:rPr>
        <w:t xml:space="preserve"> de </w:t>
      </w:r>
      <w:r w:rsidRPr="00403220">
        <w:rPr>
          <w:rFonts w:cs="Times New Roman"/>
          <w:szCs w:val="24"/>
          <w:lang w:val="fr-CA"/>
        </w:rPr>
        <w:t>distinguer ces situations.</w:t>
      </w:r>
    </w:p>
    <w:p w:rsidR="0047179D" w:rsidRPr="00403220" w:rsidRDefault="0047179D" w:rsidP="005A33F7">
      <w:pPr>
        <w:pStyle w:val="ParaNoNdepar-AltN"/>
        <w:rPr>
          <w:rFonts w:cs="Times New Roman"/>
          <w:szCs w:val="24"/>
          <w:lang w:val="fr-CA"/>
        </w:rPr>
      </w:pPr>
      <w:r w:rsidRPr="00403220">
        <w:rPr>
          <w:rFonts w:cs="Times New Roman"/>
          <w:szCs w:val="24"/>
          <w:lang w:val="fr-CA"/>
        </w:rPr>
        <w:t xml:space="preserve">La jurisprudence </w:t>
      </w:r>
      <w:r w:rsidR="002E388B" w:rsidRPr="00403220">
        <w:rPr>
          <w:rFonts w:cs="Times New Roman"/>
          <w:szCs w:val="24"/>
          <w:lang w:val="fr-CA"/>
        </w:rPr>
        <w:t>révèle</w:t>
      </w:r>
      <w:r w:rsidRPr="00403220">
        <w:rPr>
          <w:rFonts w:cs="Times New Roman"/>
          <w:szCs w:val="24"/>
          <w:lang w:val="fr-CA"/>
        </w:rPr>
        <w:t xml:space="preserve"> </w:t>
      </w:r>
      <w:r w:rsidR="007D1A9B" w:rsidRPr="00403220">
        <w:rPr>
          <w:rFonts w:cs="Times New Roman"/>
          <w:szCs w:val="24"/>
          <w:lang w:val="fr-CA"/>
        </w:rPr>
        <w:t xml:space="preserve">l’existence de </w:t>
      </w:r>
      <w:r w:rsidRPr="00403220">
        <w:rPr>
          <w:rFonts w:cs="Times New Roman"/>
          <w:szCs w:val="24"/>
          <w:lang w:val="fr-CA"/>
        </w:rPr>
        <w:t xml:space="preserve">deux </w:t>
      </w:r>
      <w:r w:rsidR="00F93935" w:rsidRPr="00403220">
        <w:rPr>
          <w:rFonts w:cs="Times New Roman"/>
          <w:szCs w:val="24"/>
          <w:lang w:val="fr-CA"/>
        </w:rPr>
        <w:t>méthodes d’</w:t>
      </w:r>
      <w:r w:rsidR="002E388B" w:rsidRPr="00403220">
        <w:rPr>
          <w:rFonts w:cs="Times New Roman"/>
          <w:szCs w:val="24"/>
          <w:lang w:val="fr-CA"/>
        </w:rPr>
        <w:t xml:space="preserve">analyse </w:t>
      </w:r>
      <w:r w:rsidR="00F93935" w:rsidRPr="00403220">
        <w:rPr>
          <w:rFonts w:cs="Times New Roman"/>
          <w:szCs w:val="24"/>
          <w:lang w:val="fr-CA"/>
        </w:rPr>
        <w:t xml:space="preserve">utilisées </w:t>
      </w:r>
      <w:r w:rsidR="002E388B" w:rsidRPr="00403220">
        <w:rPr>
          <w:rFonts w:cs="Times New Roman"/>
          <w:szCs w:val="24"/>
          <w:lang w:val="fr-CA"/>
        </w:rPr>
        <w:t>pour</w:t>
      </w:r>
      <w:r w:rsidRPr="00403220">
        <w:rPr>
          <w:rFonts w:cs="Times New Roman"/>
          <w:szCs w:val="24"/>
          <w:lang w:val="fr-CA"/>
        </w:rPr>
        <w:t xml:space="preserve"> résoudre </w:t>
      </w:r>
      <w:r w:rsidR="002E388B" w:rsidRPr="00403220">
        <w:rPr>
          <w:rFonts w:cs="Times New Roman"/>
          <w:szCs w:val="24"/>
          <w:lang w:val="fr-CA"/>
        </w:rPr>
        <w:t>cette</w:t>
      </w:r>
      <w:r w:rsidRPr="00403220">
        <w:rPr>
          <w:rFonts w:cs="Times New Roman"/>
          <w:szCs w:val="24"/>
          <w:lang w:val="fr-CA"/>
        </w:rPr>
        <w:t xml:space="preserve"> difficulté, </w:t>
      </w:r>
      <w:r w:rsidR="002E388B" w:rsidRPr="00403220">
        <w:rPr>
          <w:rFonts w:cs="Times New Roman"/>
          <w:szCs w:val="24"/>
          <w:lang w:val="fr-CA"/>
        </w:rPr>
        <w:t>l’une</w:t>
      </w:r>
      <w:r w:rsidRPr="00403220">
        <w:rPr>
          <w:rFonts w:cs="Times New Roman"/>
          <w:szCs w:val="24"/>
          <w:lang w:val="fr-CA"/>
        </w:rPr>
        <w:t xml:space="preserve"> étant axé</w:t>
      </w:r>
      <w:r w:rsidR="002E388B" w:rsidRPr="00403220">
        <w:rPr>
          <w:rFonts w:cs="Times New Roman"/>
          <w:szCs w:val="24"/>
          <w:lang w:val="fr-CA"/>
        </w:rPr>
        <w:t>e</w:t>
      </w:r>
      <w:r w:rsidRPr="00403220">
        <w:rPr>
          <w:rFonts w:cs="Times New Roman"/>
          <w:szCs w:val="24"/>
          <w:lang w:val="fr-CA"/>
        </w:rPr>
        <w:t xml:space="preserve"> sur l</w:t>
      </w:r>
      <w:r w:rsidR="007D1A9B" w:rsidRPr="00403220">
        <w:rPr>
          <w:rFonts w:cs="Times New Roman"/>
          <w:szCs w:val="24"/>
          <w:lang w:val="fr-CA"/>
        </w:rPr>
        <w:t>a notion de</w:t>
      </w:r>
      <w:r w:rsidRPr="00403220">
        <w:rPr>
          <w:rFonts w:cs="Times New Roman"/>
          <w:szCs w:val="24"/>
          <w:lang w:val="fr-CA"/>
        </w:rPr>
        <w:t xml:space="preserve"> pouvoir discrétionnaire, et </w:t>
      </w:r>
      <w:r w:rsidR="002E388B" w:rsidRPr="00403220">
        <w:rPr>
          <w:rFonts w:cs="Times New Roman"/>
          <w:szCs w:val="24"/>
          <w:lang w:val="fr-CA"/>
        </w:rPr>
        <w:t>l’autre</w:t>
      </w:r>
      <w:r w:rsidRPr="00403220">
        <w:rPr>
          <w:rFonts w:cs="Times New Roman"/>
          <w:szCs w:val="24"/>
          <w:lang w:val="fr-CA"/>
        </w:rPr>
        <w:t xml:space="preserve"> sur la</w:t>
      </w:r>
      <w:r w:rsidR="002E388B" w:rsidRPr="00403220">
        <w:rPr>
          <w:rFonts w:cs="Times New Roman"/>
          <w:szCs w:val="24"/>
          <w:lang w:val="fr-CA"/>
        </w:rPr>
        <w:t xml:space="preserve"> notion de</w:t>
      </w:r>
      <w:r w:rsidRPr="00403220">
        <w:rPr>
          <w:rFonts w:cs="Times New Roman"/>
          <w:szCs w:val="24"/>
          <w:lang w:val="fr-CA"/>
        </w:rPr>
        <w:t xml:space="preserve"> politique</w:t>
      </w:r>
      <w:r w:rsidR="002E388B" w:rsidRPr="00403220">
        <w:rPr>
          <w:rFonts w:cs="Times New Roman"/>
          <w:szCs w:val="24"/>
          <w:lang w:val="fr-CA"/>
        </w:rPr>
        <w:t xml:space="preserve"> générale</w:t>
      </w:r>
      <w:r w:rsidRPr="00403220">
        <w:rPr>
          <w:rFonts w:cs="Times New Roman"/>
          <w:szCs w:val="24"/>
          <w:lang w:val="fr-CA"/>
        </w:rPr>
        <w:t xml:space="preserve">, et </w:t>
      </w:r>
      <w:r w:rsidR="006603C4" w:rsidRPr="00403220">
        <w:rPr>
          <w:rFonts w:cs="Times New Roman"/>
          <w:szCs w:val="24"/>
          <w:lang w:val="fr-CA"/>
        </w:rPr>
        <w:t xml:space="preserve">chacune </w:t>
      </w:r>
      <w:r w:rsidRPr="00403220">
        <w:rPr>
          <w:rFonts w:cs="Times New Roman"/>
          <w:szCs w:val="24"/>
          <w:lang w:val="fr-CA"/>
        </w:rPr>
        <w:t>a ses propres variantes.  L</w:t>
      </w:r>
      <w:r w:rsidR="002E388B" w:rsidRPr="00403220">
        <w:rPr>
          <w:rFonts w:cs="Times New Roman"/>
          <w:szCs w:val="24"/>
          <w:lang w:val="fr-CA"/>
        </w:rPr>
        <w:t>a</w:t>
      </w:r>
      <w:r w:rsidRPr="00403220">
        <w:rPr>
          <w:rFonts w:cs="Times New Roman"/>
          <w:szCs w:val="24"/>
          <w:lang w:val="fr-CA"/>
        </w:rPr>
        <w:t xml:space="preserve"> premi</w:t>
      </w:r>
      <w:r w:rsidR="002E388B" w:rsidRPr="00403220">
        <w:rPr>
          <w:rFonts w:cs="Times New Roman"/>
          <w:szCs w:val="24"/>
          <w:lang w:val="fr-CA"/>
        </w:rPr>
        <w:t>ère</w:t>
      </w:r>
      <w:r w:rsidRPr="00403220">
        <w:rPr>
          <w:rFonts w:cs="Times New Roman"/>
          <w:szCs w:val="24"/>
          <w:lang w:val="fr-CA"/>
        </w:rPr>
        <w:t xml:space="preserve"> </w:t>
      </w:r>
      <w:r w:rsidR="00F93935" w:rsidRPr="00403220">
        <w:rPr>
          <w:rFonts w:cs="Times New Roman"/>
          <w:szCs w:val="24"/>
          <w:lang w:val="fr-CA"/>
        </w:rPr>
        <w:t>méthode</w:t>
      </w:r>
      <w:r w:rsidRPr="00403220">
        <w:rPr>
          <w:rFonts w:cs="Times New Roman"/>
          <w:szCs w:val="24"/>
          <w:lang w:val="fr-CA"/>
        </w:rPr>
        <w:t xml:space="preserve"> met l</w:t>
      </w:r>
      <w:r w:rsidR="008372AA" w:rsidRPr="00403220">
        <w:rPr>
          <w:rFonts w:cs="Times New Roman"/>
          <w:szCs w:val="24"/>
          <w:lang w:val="fr-CA"/>
        </w:rPr>
        <w:t>’</w:t>
      </w:r>
      <w:r w:rsidRPr="00403220">
        <w:rPr>
          <w:rFonts w:cs="Times New Roman"/>
          <w:szCs w:val="24"/>
          <w:lang w:val="fr-CA"/>
        </w:rPr>
        <w:t xml:space="preserve">accent sur la nature discrétionnaire de la </w:t>
      </w:r>
      <w:r w:rsidRPr="00403220">
        <w:rPr>
          <w:rFonts w:cs="Times New Roman"/>
          <w:szCs w:val="24"/>
          <w:lang w:val="fr-CA"/>
        </w:rPr>
        <w:lastRenderedPageBreak/>
        <w:t xml:space="preserve">conduite reprochée.  </w:t>
      </w:r>
      <w:r w:rsidR="00F93935" w:rsidRPr="00403220">
        <w:rPr>
          <w:rFonts w:cs="Times New Roman"/>
          <w:szCs w:val="24"/>
          <w:lang w:val="fr-CA"/>
        </w:rPr>
        <w:t>La méthode</w:t>
      </w:r>
      <w:r w:rsidR="002E388B" w:rsidRPr="00403220">
        <w:rPr>
          <w:rFonts w:cs="Times New Roman"/>
          <w:szCs w:val="24"/>
          <w:lang w:val="fr-CA"/>
        </w:rPr>
        <w:t xml:space="preserve"> fondée sur </w:t>
      </w:r>
      <w:r w:rsidRPr="00403220">
        <w:rPr>
          <w:rFonts w:cs="Times New Roman"/>
          <w:szCs w:val="24"/>
          <w:lang w:val="fr-CA"/>
        </w:rPr>
        <w:t xml:space="preserve">la </w:t>
      </w:r>
      <w:r w:rsidR="00600FAA" w:rsidRPr="00403220">
        <w:rPr>
          <w:rFonts w:cs="Times New Roman"/>
          <w:szCs w:val="24"/>
          <w:lang w:val="fr-CA"/>
        </w:rPr>
        <w:t>[</w:t>
      </w:r>
      <w:r w:rsidR="00600FAA" w:rsidRPr="00403220">
        <w:rPr>
          <w:rFonts w:cs="Times New Roman"/>
          <w:smallCaps/>
          <w:szCs w:val="24"/>
          <w:lang w:val="fr-CA"/>
        </w:rPr>
        <w:t>traduction</w:t>
      </w:r>
      <w:r w:rsidR="00600FAA" w:rsidRPr="00403220">
        <w:rPr>
          <w:rFonts w:cs="Times New Roman"/>
          <w:szCs w:val="24"/>
          <w:lang w:val="fr-CA"/>
        </w:rPr>
        <w:t>] « </w:t>
      </w:r>
      <w:r w:rsidRPr="00403220">
        <w:rPr>
          <w:rFonts w:cs="Times New Roman"/>
          <w:szCs w:val="24"/>
          <w:lang w:val="fr-CA"/>
        </w:rPr>
        <w:t>décision discrétionnaire</w:t>
      </w:r>
      <w:r w:rsidR="00600FAA" w:rsidRPr="00403220">
        <w:rPr>
          <w:rFonts w:cs="Times New Roman"/>
          <w:szCs w:val="24"/>
          <w:lang w:val="fr-CA"/>
        </w:rPr>
        <w:t> »</w:t>
      </w:r>
      <w:r w:rsidRPr="00403220">
        <w:rPr>
          <w:rFonts w:cs="Times New Roman"/>
          <w:szCs w:val="24"/>
          <w:lang w:val="fr-CA"/>
        </w:rPr>
        <w:t xml:space="preserve"> a été retenu</w:t>
      </w:r>
      <w:r w:rsidR="002E388B" w:rsidRPr="00403220">
        <w:rPr>
          <w:rFonts w:cs="Times New Roman"/>
          <w:szCs w:val="24"/>
          <w:lang w:val="fr-CA"/>
        </w:rPr>
        <w:t>e</w:t>
      </w:r>
      <w:r w:rsidRPr="00403220">
        <w:rPr>
          <w:rFonts w:cs="Times New Roman"/>
          <w:szCs w:val="24"/>
          <w:lang w:val="fr-CA"/>
        </w:rPr>
        <w:t xml:space="preserve"> pour la première fois dans </w:t>
      </w:r>
      <w:r w:rsidRPr="00403220">
        <w:rPr>
          <w:rFonts w:cs="Times New Roman"/>
          <w:i/>
          <w:szCs w:val="24"/>
          <w:lang w:val="fr-CA"/>
        </w:rPr>
        <w:t>Home Office c. Dorset Yacht Co.</w:t>
      </w:r>
      <w:r w:rsidRPr="00403220">
        <w:rPr>
          <w:rFonts w:cs="Times New Roman"/>
          <w:szCs w:val="24"/>
          <w:lang w:val="fr-CA"/>
        </w:rPr>
        <w:t>, [1970] 2 W.L.R. 1140 (H.L.).  Selon ce</w:t>
      </w:r>
      <w:r w:rsidR="002E388B" w:rsidRPr="00403220">
        <w:rPr>
          <w:rFonts w:cs="Times New Roman"/>
          <w:szCs w:val="24"/>
          <w:lang w:val="fr-CA"/>
        </w:rPr>
        <w:t xml:space="preserve">tte </w:t>
      </w:r>
      <w:r w:rsidR="00F93935" w:rsidRPr="00403220">
        <w:rPr>
          <w:rFonts w:cs="Times New Roman"/>
          <w:szCs w:val="24"/>
          <w:lang w:val="fr-CA"/>
        </w:rPr>
        <w:t>méthod</w:t>
      </w:r>
      <w:r w:rsidR="002E388B" w:rsidRPr="00403220">
        <w:rPr>
          <w:rFonts w:cs="Times New Roman"/>
          <w:szCs w:val="24"/>
          <w:lang w:val="fr-CA"/>
        </w:rPr>
        <w:t>e</w:t>
      </w:r>
      <w:r w:rsidRPr="00403220">
        <w:rPr>
          <w:rFonts w:cs="Times New Roman"/>
          <w:szCs w:val="24"/>
          <w:lang w:val="fr-CA"/>
        </w:rPr>
        <w:t>, les autorités publiques doivent être exonérées de toute responsabilité lorsqu</w:t>
      </w:r>
      <w:r w:rsidR="008372AA" w:rsidRPr="00403220">
        <w:rPr>
          <w:rFonts w:cs="Times New Roman"/>
          <w:szCs w:val="24"/>
          <w:lang w:val="fr-CA"/>
        </w:rPr>
        <w:t>’</w:t>
      </w:r>
      <w:r w:rsidRPr="00403220">
        <w:rPr>
          <w:rFonts w:cs="Times New Roman"/>
          <w:szCs w:val="24"/>
          <w:lang w:val="fr-CA"/>
        </w:rPr>
        <w:t>elles agissent dans l</w:t>
      </w:r>
      <w:r w:rsidR="008372AA" w:rsidRPr="00403220">
        <w:rPr>
          <w:rFonts w:cs="Times New Roman"/>
          <w:szCs w:val="24"/>
          <w:lang w:val="fr-CA"/>
        </w:rPr>
        <w:t>’</w:t>
      </w:r>
      <w:r w:rsidRPr="00403220">
        <w:rPr>
          <w:rFonts w:cs="Times New Roman"/>
          <w:szCs w:val="24"/>
          <w:lang w:val="fr-CA"/>
        </w:rPr>
        <w:t>exercice de leur pouvoir discrétionnaire, à moins que la décision at</w:t>
      </w:r>
      <w:r w:rsidR="007118A3" w:rsidRPr="00403220">
        <w:rPr>
          <w:rFonts w:cs="Times New Roman"/>
          <w:szCs w:val="24"/>
          <w:lang w:val="fr-CA"/>
        </w:rPr>
        <w:t>taquée ne soit irrationnelle.</w:t>
      </w:r>
    </w:p>
    <w:p w:rsidR="0047179D" w:rsidRPr="00403220" w:rsidRDefault="005A33F7" w:rsidP="005A33F7">
      <w:pPr>
        <w:pStyle w:val="ParaNoNdepar-AltN"/>
        <w:rPr>
          <w:rFonts w:cs="Times New Roman"/>
          <w:szCs w:val="24"/>
          <w:lang w:val="fr-CA"/>
        </w:rPr>
      </w:pPr>
      <w:r w:rsidRPr="00403220">
        <w:rPr>
          <w:rFonts w:cs="Times New Roman"/>
          <w:szCs w:val="24"/>
          <w:lang w:val="fr-CA"/>
        </w:rPr>
        <w:t>L</w:t>
      </w:r>
      <w:r w:rsidR="002E388B" w:rsidRPr="00403220">
        <w:rPr>
          <w:rFonts w:cs="Times New Roman"/>
          <w:szCs w:val="24"/>
          <w:lang w:val="fr-CA"/>
        </w:rPr>
        <w:t>a</w:t>
      </w:r>
      <w:r w:rsidRPr="00403220">
        <w:rPr>
          <w:rFonts w:cs="Times New Roman"/>
          <w:szCs w:val="24"/>
          <w:lang w:val="fr-CA"/>
        </w:rPr>
        <w:t xml:space="preserve"> second</w:t>
      </w:r>
      <w:r w:rsidR="002E388B" w:rsidRPr="00403220">
        <w:rPr>
          <w:rFonts w:cs="Times New Roman"/>
          <w:szCs w:val="24"/>
          <w:lang w:val="fr-CA"/>
        </w:rPr>
        <w:t>e</w:t>
      </w:r>
      <w:r w:rsidRPr="00403220">
        <w:rPr>
          <w:rFonts w:cs="Times New Roman"/>
          <w:szCs w:val="24"/>
          <w:lang w:val="fr-CA"/>
        </w:rPr>
        <w:t xml:space="preserve"> </w:t>
      </w:r>
      <w:r w:rsidR="00F93935" w:rsidRPr="00403220">
        <w:rPr>
          <w:rFonts w:cs="Times New Roman"/>
          <w:szCs w:val="24"/>
          <w:lang w:val="fr-CA"/>
        </w:rPr>
        <w:t>méthode</w:t>
      </w:r>
      <w:r w:rsidRPr="00403220">
        <w:rPr>
          <w:rFonts w:cs="Times New Roman"/>
          <w:szCs w:val="24"/>
          <w:lang w:val="fr-CA"/>
        </w:rPr>
        <w:t xml:space="preserve"> </w:t>
      </w:r>
      <w:r w:rsidR="002E388B" w:rsidRPr="00403220">
        <w:rPr>
          <w:rFonts w:cs="Times New Roman"/>
          <w:szCs w:val="24"/>
          <w:lang w:val="fr-CA"/>
        </w:rPr>
        <w:t>insiste sur la qualité de</w:t>
      </w:r>
      <w:r w:rsidRPr="00403220">
        <w:rPr>
          <w:rFonts w:cs="Times New Roman"/>
          <w:szCs w:val="24"/>
          <w:lang w:val="fr-CA"/>
        </w:rPr>
        <w:t xml:space="preserve"> </w:t>
      </w:r>
      <w:r w:rsidR="003E2B8D" w:rsidRPr="00403220">
        <w:rPr>
          <w:rFonts w:cs="Times New Roman"/>
          <w:szCs w:val="24"/>
          <w:lang w:val="fr-CA"/>
        </w:rPr>
        <w:t>« politique</w:t>
      </w:r>
      <w:r w:rsidR="002E388B" w:rsidRPr="00403220">
        <w:rPr>
          <w:rFonts w:cs="Times New Roman"/>
          <w:szCs w:val="24"/>
          <w:lang w:val="fr-CA"/>
        </w:rPr>
        <w:t xml:space="preserve"> générale</w:t>
      </w:r>
      <w:r w:rsidR="003E2B8D" w:rsidRPr="00403220">
        <w:rPr>
          <w:rFonts w:cs="Times New Roman"/>
          <w:szCs w:val="24"/>
          <w:lang w:val="fr-CA"/>
        </w:rPr>
        <w:t> » de la conduite de l’État bénéficiant d’une protection</w:t>
      </w:r>
      <w:r w:rsidR="0047179D" w:rsidRPr="00403220">
        <w:rPr>
          <w:rFonts w:cs="Times New Roman"/>
          <w:szCs w:val="24"/>
          <w:lang w:val="fr-CA"/>
        </w:rPr>
        <w:t xml:space="preserve">.  On considère que les décisions de politique </w:t>
      </w:r>
      <w:r w:rsidR="00F93935" w:rsidRPr="00403220">
        <w:rPr>
          <w:rFonts w:cs="Times New Roman"/>
          <w:szCs w:val="24"/>
          <w:lang w:val="fr-CA"/>
        </w:rPr>
        <w:t xml:space="preserve">générale </w:t>
      </w:r>
      <w:r w:rsidR="0047179D" w:rsidRPr="00403220">
        <w:rPr>
          <w:rFonts w:cs="Times New Roman"/>
          <w:szCs w:val="24"/>
          <w:lang w:val="fr-CA"/>
        </w:rPr>
        <w:t xml:space="preserve">forment un </w:t>
      </w:r>
      <w:proofErr w:type="spellStart"/>
      <w:r w:rsidR="0047179D" w:rsidRPr="00403220">
        <w:rPr>
          <w:rFonts w:cs="Times New Roman"/>
          <w:szCs w:val="24"/>
          <w:lang w:val="fr-CA"/>
        </w:rPr>
        <w:t>sous</w:t>
      </w:r>
      <w:r w:rsidR="00A54DAC" w:rsidRPr="00403220">
        <w:rPr>
          <w:rFonts w:cs="Times New Roman"/>
          <w:szCs w:val="24"/>
          <w:lang w:val="fr-CA"/>
        </w:rPr>
        <w:noBreakHyphen/>
      </w:r>
      <w:r w:rsidR="0047179D" w:rsidRPr="00403220">
        <w:rPr>
          <w:rFonts w:cs="Times New Roman"/>
          <w:szCs w:val="24"/>
          <w:lang w:val="fr-CA"/>
        </w:rPr>
        <w:t>groupe</w:t>
      </w:r>
      <w:proofErr w:type="spellEnd"/>
      <w:r w:rsidR="0047179D" w:rsidRPr="00403220">
        <w:rPr>
          <w:rFonts w:cs="Times New Roman"/>
          <w:szCs w:val="24"/>
          <w:lang w:val="fr-CA"/>
        </w:rPr>
        <w:t xml:space="preserve"> de décisions discrétionnaires</w:t>
      </w:r>
      <w:r w:rsidR="00F93935" w:rsidRPr="00403220">
        <w:rPr>
          <w:rFonts w:cs="Times New Roman"/>
          <w:szCs w:val="24"/>
          <w:lang w:val="fr-CA"/>
        </w:rPr>
        <w:t>, qui</w:t>
      </w:r>
      <w:r w:rsidR="00CD596B" w:rsidRPr="00403220">
        <w:rPr>
          <w:rFonts w:cs="Times New Roman"/>
          <w:szCs w:val="24"/>
          <w:lang w:val="fr-CA"/>
        </w:rPr>
        <w:t xml:space="preserve"> </w:t>
      </w:r>
      <w:r w:rsidR="0047179D" w:rsidRPr="00403220">
        <w:rPr>
          <w:rFonts w:cs="Times New Roman"/>
          <w:szCs w:val="24"/>
          <w:lang w:val="fr-CA"/>
        </w:rPr>
        <w:t xml:space="preserve">font habituellement intervenir des considérations </w:t>
      </w:r>
      <w:r w:rsidR="00F93935" w:rsidRPr="00403220">
        <w:rPr>
          <w:rFonts w:cs="Times New Roman"/>
          <w:szCs w:val="24"/>
          <w:lang w:val="fr-CA"/>
        </w:rPr>
        <w:t xml:space="preserve">d’ordre </w:t>
      </w:r>
      <w:r w:rsidR="0047179D" w:rsidRPr="00403220">
        <w:rPr>
          <w:rFonts w:cs="Times New Roman"/>
          <w:szCs w:val="24"/>
          <w:lang w:val="fr-CA"/>
        </w:rPr>
        <w:t xml:space="preserve">social, économique et politique.  </w:t>
      </w:r>
      <w:r w:rsidR="00F93935" w:rsidRPr="00403220">
        <w:rPr>
          <w:rFonts w:cs="Times New Roman"/>
          <w:szCs w:val="24"/>
          <w:lang w:val="fr-CA"/>
        </w:rPr>
        <w:t>Elles sont p</w:t>
      </w:r>
      <w:r w:rsidR="0047179D" w:rsidRPr="00403220">
        <w:rPr>
          <w:rFonts w:cs="Times New Roman"/>
          <w:szCs w:val="24"/>
          <w:lang w:val="fr-CA"/>
        </w:rPr>
        <w:t xml:space="preserve">arfois </w:t>
      </w:r>
      <w:r w:rsidR="00F93935" w:rsidRPr="00403220">
        <w:rPr>
          <w:rFonts w:cs="Times New Roman"/>
          <w:szCs w:val="24"/>
          <w:lang w:val="fr-CA"/>
        </w:rPr>
        <w:t>qualifi</w:t>
      </w:r>
      <w:r w:rsidR="0047179D" w:rsidRPr="00403220">
        <w:rPr>
          <w:rFonts w:cs="Times New Roman"/>
          <w:szCs w:val="24"/>
          <w:lang w:val="fr-CA"/>
        </w:rPr>
        <w:t xml:space="preserve">ées </w:t>
      </w:r>
      <w:r w:rsidR="00F93935" w:rsidRPr="00403220">
        <w:rPr>
          <w:rFonts w:cs="Times New Roman"/>
          <w:szCs w:val="24"/>
          <w:lang w:val="fr-CA"/>
        </w:rPr>
        <w:t xml:space="preserve">de </w:t>
      </w:r>
      <w:r w:rsidR="005862BB" w:rsidRPr="00403220">
        <w:rPr>
          <w:rFonts w:cs="Times New Roman"/>
          <w:szCs w:val="24"/>
          <w:lang w:val="fr-CA"/>
        </w:rPr>
        <w:t xml:space="preserve">« véritables » </w:t>
      </w:r>
      <w:r w:rsidR="007D1A9B" w:rsidRPr="00403220">
        <w:rPr>
          <w:rFonts w:cs="Times New Roman"/>
          <w:szCs w:val="24"/>
          <w:lang w:val="fr-CA"/>
        </w:rPr>
        <w:t>décis</w:t>
      </w:r>
      <w:r w:rsidR="0047179D" w:rsidRPr="00403220">
        <w:rPr>
          <w:rFonts w:cs="Times New Roman"/>
          <w:szCs w:val="24"/>
          <w:lang w:val="fr-CA"/>
        </w:rPr>
        <w:t xml:space="preserve">ions </w:t>
      </w:r>
      <w:r w:rsidR="003E2B8D" w:rsidRPr="00403220">
        <w:rPr>
          <w:rFonts w:cs="Times New Roman"/>
          <w:szCs w:val="24"/>
          <w:lang w:val="fr-CA"/>
        </w:rPr>
        <w:t xml:space="preserve">de </w:t>
      </w:r>
      <w:r w:rsidR="0047179D" w:rsidRPr="00403220">
        <w:rPr>
          <w:rFonts w:cs="Times New Roman"/>
          <w:szCs w:val="24"/>
          <w:lang w:val="fr-CA"/>
        </w:rPr>
        <w:t>politique</w:t>
      </w:r>
      <w:r w:rsidR="005862BB" w:rsidRPr="00403220">
        <w:rPr>
          <w:rFonts w:cs="Times New Roman"/>
          <w:szCs w:val="24"/>
          <w:lang w:val="fr-CA"/>
        </w:rPr>
        <w:t xml:space="preserve"> générale</w:t>
      </w:r>
      <w:r w:rsidR="00F93935" w:rsidRPr="00403220">
        <w:rPr>
          <w:rFonts w:cs="Times New Roman"/>
          <w:szCs w:val="24"/>
          <w:lang w:val="fr-CA"/>
        </w:rPr>
        <w:t xml:space="preserve"> </w:t>
      </w:r>
      <w:r w:rsidR="0047179D" w:rsidRPr="00403220">
        <w:rPr>
          <w:rFonts w:cs="Times New Roman"/>
          <w:szCs w:val="24"/>
          <w:lang w:val="fr-CA"/>
        </w:rPr>
        <w:t xml:space="preserve">ou </w:t>
      </w:r>
      <w:r w:rsidR="004C7DF2" w:rsidRPr="00403220">
        <w:rPr>
          <w:rFonts w:cs="Times New Roman"/>
          <w:szCs w:val="24"/>
          <w:lang w:val="fr-CA"/>
        </w:rPr>
        <w:t xml:space="preserve">décisions de politique générale </w:t>
      </w:r>
      <w:r w:rsidRPr="00403220">
        <w:rPr>
          <w:rFonts w:cs="Times New Roman"/>
          <w:szCs w:val="24"/>
          <w:lang w:val="fr-CA"/>
        </w:rPr>
        <w:t>« fondamentale </w:t>
      </w:r>
      <w:r w:rsidR="00F93935" w:rsidRPr="00403220">
        <w:rPr>
          <w:rFonts w:cs="Times New Roman"/>
          <w:szCs w:val="24"/>
          <w:lang w:val="fr-CA"/>
        </w:rPr>
        <w:t xml:space="preserve">».  </w:t>
      </w:r>
      <w:r w:rsidR="007D1A9B" w:rsidRPr="00403220">
        <w:rPr>
          <w:rFonts w:cs="Times New Roman"/>
          <w:szCs w:val="24"/>
          <w:lang w:val="fr-CA"/>
        </w:rPr>
        <w:t>Les décisions de politique générale</w:t>
      </w:r>
      <w:r w:rsidR="0047179D" w:rsidRPr="00403220">
        <w:rPr>
          <w:rFonts w:cs="Times New Roman"/>
          <w:szCs w:val="24"/>
          <w:lang w:val="fr-CA"/>
        </w:rPr>
        <w:t xml:space="preserve"> sont soustraites au contrôle judiciaire et ne peuvent engager la responsabilité délictuelle de l</w:t>
      </w:r>
      <w:r w:rsidR="003E2B8D" w:rsidRPr="00403220">
        <w:rPr>
          <w:rFonts w:cs="Times New Roman"/>
          <w:szCs w:val="24"/>
          <w:lang w:val="fr-CA"/>
        </w:rPr>
        <w:t>’État</w:t>
      </w:r>
      <w:r w:rsidR="009A4DEB" w:rsidRPr="00403220">
        <w:rPr>
          <w:rFonts w:cs="Times New Roman"/>
          <w:szCs w:val="24"/>
          <w:lang w:val="fr-CA"/>
        </w:rPr>
        <w:t xml:space="preserve">, </w:t>
      </w:r>
      <w:r w:rsidR="0050057C" w:rsidRPr="00403220">
        <w:rPr>
          <w:rFonts w:cs="Times New Roman"/>
          <w:szCs w:val="24"/>
          <w:lang w:val="fr-CA"/>
        </w:rPr>
        <w:t>sauf si elles sont irrationnelles ou ont été prises de mauvaise foi</w:t>
      </w:r>
      <w:r w:rsidR="0047179D" w:rsidRPr="00403220">
        <w:rPr>
          <w:rFonts w:cs="Times New Roman"/>
          <w:szCs w:val="24"/>
          <w:lang w:val="fr-CA"/>
        </w:rPr>
        <w:t xml:space="preserve">.  Une variante de </w:t>
      </w:r>
      <w:r w:rsidR="007D1A9B" w:rsidRPr="00403220">
        <w:rPr>
          <w:rFonts w:cs="Times New Roman"/>
          <w:szCs w:val="24"/>
          <w:lang w:val="fr-CA"/>
        </w:rPr>
        <w:t>cette méthode</w:t>
      </w:r>
      <w:r w:rsidR="00773C48">
        <w:rPr>
          <w:rFonts w:cs="Times New Roman"/>
          <w:szCs w:val="24"/>
          <w:lang w:val="fr-CA"/>
        </w:rPr>
        <w:t xml:space="preserve"> est le critère </w:t>
      </w:r>
      <w:r w:rsidR="0047179D" w:rsidRPr="00403220">
        <w:rPr>
          <w:rFonts w:cs="Times New Roman"/>
          <w:szCs w:val="24"/>
          <w:lang w:val="fr-CA"/>
        </w:rPr>
        <w:t> politique générale</w:t>
      </w:r>
      <w:r w:rsidR="00773C48">
        <w:rPr>
          <w:rFonts w:cs="Times New Roman"/>
          <w:szCs w:val="24"/>
          <w:lang w:val="fr-CA"/>
        </w:rPr>
        <w:t>-</w:t>
      </w:r>
      <w:r w:rsidR="00CD596B" w:rsidRPr="00403220">
        <w:rPr>
          <w:rFonts w:cs="Times New Roman"/>
          <w:szCs w:val="24"/>
          <w:lang w:val="fr-CA"/>
        </w:rPr>
        <w:t>opération</w:t>
      </w:r>
      <w:r w:rsidR="008D5847" w:rsidRPr="00403220">
        <w:rPr>
          <w:rFonts w:cs="Times New Roman"/>
          <w:szCs w:val="24"/>
          <w:lang w:val="fr-CA"/>
        </w:rPr>
        <w:t>s</w:t>
      </w:r>
      <w:r w:rsidR="0047179D" w:rsidRPr="00403220">
        <w:rPr>
          <w:rFonts w:cs="Times New Roman"/>
          <w:szCs w:val="24"/>
          <w:lang w:val="fr-CA"/>
        </w:rPr>
        <w:t xml:space="preserve">, lequel fait la distinction entre les </w:t>
      </w:r>
      <w:r w:rsidR="00600FAA" w:rsidRPr="00403220">
        <w:rPr>
          <w:rFonts w:cs="Times New Roman"/>
          <w:szCs w:val="24"/>
          <w:lang w:val="fr-CA"/>
        </w:rPr>
        <w:t>« </w:t>
      </w:r>
      <w:r w:rsidR="0047179D" w:rsidRPr="00403220">
        <w:rPr>
          <w:rFonts w:cs="Times New Roman"/>
          <w:szCs w:val="24"/>
          <w:lang w:val="fr-CA"/>
        </w:rPr>
        <w:t>véritables</w:t>
      </w:r>
      <w:r w:rsidR="00600FAA" w:rsidRPr="00403220">
        <w:rPr>
          <w:rFonts w:cs="Times New Roman"/>
          <w:szCs w:val="24"/>
          <w:lang w:val="fr-CA"/>
        </w:rPr>
        <w:t> »</w:t>
      </w:r>
      <w:r w:rsidR="0047179D" w:rsidRPr="00403220">
        <w:rPr>
          <w:rFonts w:cs="Times New Roman"/>
          <w:szCs w:val="24"/>
          <w:lang w:val="fr-CA"/>
        </w:rPr>
        <w:t xml:space="preserve"> décisions </w:t>
      </w:r>
      <w:r w:rsidR="00856C6C" w:rsidRPr="00403220">
        <w:rPr>
          <w:rFonts w:cs="Times New Roman"/>
          <w:szCs w:val="24"/>
          <w:lang w:val="fr-CA"/>
        </w:rPr>
        <w:t>de politique</w:t>
      </w:r>
      <w:r w:rsidR="00C3246A" w:rsidRPr="00403220">
        <w:rPr>
          <w:rFonts w:cs="Times New Roman"/>
          <w:szCs w:val="24"/>
          <w:lang w:val="fr-CA"/>
        </w:rPr>
        <w:t xml:space="preserve"> générale</w:t>
      </w:r>
      <w:r w:rsidR="00856C6C" w:rsidRPr="00403220">
        <w:rPr>
          <w:rFonts w:cs="Times New Roman"/>
          <w:szCs w:val="24"/>
          <w:lang w:val="fr-CA"/>
        </w:rPr>
        <w:t xml:space="preserve"> et les décisions « </w:t>
      </w:r>
      <w:r w:rsidR="0047179D" w:rsidRPr="00403220">
        <w:rPr>
          <w:rFonts w:cs="Times New Roman"/>
          <w:szCs w:val="24"/>
          <w:lang w:val="fr-CA"/>
        </w:rPr>
        <w:t xml:space="preserve">opérationnelles », qui visent </w:t>
      </w:r>
      <w:r w:rsidR="00CD596B" w:rsidRPr="00403220">
        <w:rPr>
          <w:rFonts w:cs="Times New Roman"/>
          <w:szCs w:val="24"/>
          <w:lang w:val="fr-CA"/>
        </w:rPr>
        <w:t xml:space="preserve">la mise </w:t>
      </w:r>
      <w:r w:rsidR="0047179D" w:rsidRPr="00403220">
        <w:rPr>
          <w:rFonts w:cs="Times New Roman"/>
          <w:szCs w:val="24"/>
          <w:lang w:val="fr-CA"/>
        </w:rPr>
        <w:t xml:space="preserve">en œuvre ou </w:t>
      </w:r>
      <w:r w:rsidR="00CD596B" w:rsidRPr="00403220">
        <w:rPr>
          <w:rFonts w:cs="Times New Roman"/>
          <w:szCs w:val="24"/>
          <w:lang w:val="fr-CA"/>
        </w:rPr>
        <w:t>l’</w:t>
      </w:r>
      <w:r w:rsidR="0047179D" w:rsidRPr="00403220">
        <w:rPr>
          <w:rFonts w:cs="Times New Roman"/>
          <w:szCs w:val="24"/>
          <w:lang w:val="fr-CA"/>
        </w:rPr>
        <w:t>appli</w:t>
      </w:r>
      <w:r w:rsidR="00CD596B" w:rsidRPr="00403220">
        <w:rPr>
          <w:rFonts w:cs="Times New Roman"/>
          <w:szCs w:val="24"/>
          <w:lang w:val="fr-CA"/>
        </w:rPr>
        <w:t>cation d’</w:t>
      </w:r>
      <w:r w:rsidR="0047179D" w:rsidRPr="00403220">
        <w:rPr>
          <w:rFonts w:cs="Times New Roman"/>
          <w:szCs w:val="24"/>
          <w:lang w:val="fr-CA"/>
        </w:rPr>
        <w:t xml:space="preserve">une politique </w:t>
      </w:r>
      <w:r w:rsidR="00C3246A" w:rsidRPr="00403220">
        <w:rPr>
          <w:rFonts w:cs="Times New Roman"/>
          <w:szCs w:val="24"/>
          <w:lang w:val="fr-CA"/>
        </w:rPr>
        <w:t xml:space="preserve">générale </w:t>
      </w:r>
      <w:r w:rsidR="0047179D" w:rsidRPr="00403220">
        <w:rPr>
          <w:rFonts w:cs="Times New Roman"/>
          <w:szCs w:val="24"/>
          <w:lang w:val="fr-CA"/>
        </w:rPr>
        <w:t>établie.  De nos jours, c</w:t>
      </w:r>
      <w:r w:rsidR="008372AA" w:rsidRPr="00403220">
        <w:rPr>
          <w:rFonts w:cs="Times New Roman"/>
          <w:szCs w:val="24"/>
          <w:lang w:val="fr-CA"/>
        </w:rPr>
        <w:t>’</w:t>
      </w:r>
      <w:r w:rsidR="0047179D" w:rsidRPr="00403220">
        <w:rPr>
          <w:rFonts w:cs="Times New Roman"/>
          <w:szCs w:val="24"/>
          <w:lang w:val="fr-CA"/>
        </w:rPr>
        <w:t xml:space="preserve">est le critère politique </w:t>
      </w:r>
      <w:proofErr w:type="spellStart"/>
      <w:r w:rsidR="0047179D" w:rsidRPr="00403220">
        <w:rPr>
          <w:rFonts w:cs="Times New Roman"/>
          <w:szCs w:val="24"/>
          <w:lang w:val="fr-CA"/>
        </w:rPr>
        <w:t>générale</w:t>
      </w:r>
      <w:r w:rsidR="00A54DAC" w:rsidRPr="00403220">
        <w:rPr>
          <w:rFonts w:cs="Times New Roman"/>
          <w:szCs w:val="24"/>
          <w:lang w:val="fr-CA"/>
        </w:rPr>
        <w:noBreakHyphen/>
      </w:r>
      <w:r w:rsidR="00F5159C" w:rsidRPr="00403220">
        <w:rPr>
          <w:rFonts w:cs="Times New Roman"/>
          <w:szCs w:val="24"/>
          <w:lang w:val="fr-CA"/>
        </w:rPr>
        <w:t>opération</w:t>
      </w:r>
      <w:r w:rsidR="008D5847" w:rsidRPr="00403220">
        <w:rPr>
          <w:rFonts w:cs="Times New Roman"/>
          <w:szCs w:val="24"/>
          <w:lang w:val="fr-CA"/>
        </w:rPr>
        <w:t>s</w:t>
      </w:r>
      <w:proofErr w:type="spellEnd"/>
      <w:r w:rsidR="00F5159C" w:rsidRPr="00403220">
        <w:rPr>
          <w:rFonts w:cs="Times New Roman"/>
          <w:szCs w:val="24"/>
          <w:lang w:val="fr-CA"/>
        </w:rPr>
        <w:t xml:space="preserve"> </w:t>
      </w:r>
      <w:r w:rsidR="0047179D" w:rsidRPr="00403220">
        <w:rPr>
          <w:rFonts w:cs="Times New Roman"/>
          <w:szCs w:val="24"/>
          <w:lang w:val="fr-CA"/>
        </w:rPr>
        <w:t>qui prévaut au Canada</w:t>
      </w:r>
      <w:r w:rsidR="00A54DAC" w:rsidRPr="00403220">
        <w:rPr>
          <w:rFonts w:cs="Times New Roman"/>
          <w:szCs w:val="24"/>
          <w:lang w:val="fr-CA"/>
        </w:rPr>
        <w:t> :</w:t>
      </w:r>
      <w:r w:rsidR="0047179D" w:rsidRPr="00403220">
        <w:rPr>
          <w:rFonts w:cs="Times New Roman"/>
          <w:szCs w:val="24"/>
          <w:lang w:val="fr-CA"/>
        </w:rPr>
        <w:t xml:space="preserve"> </w:t>
      </w:r>
      <w:r w:rsidR="0047179D" w:rsidRPr="00403220">
        <w:rPr>
          <w:rFonts w:cs="Times New Roman"/>
          <w:i/>
          <w:szCs w:val="24"/>
          <w:lang w:val="fr-CA"/>
        </w:rPr>
        <w:t>Just</w:t>
      </w:r>
      <w:r w:rsidR="0047179D" w:rsidRPr="00403220">
        <w:rPr>
          <w:rFonts w:cs="Times New Roman"/>
          <w:szCs w:val="24"/>
          <w:lang w:val="fr-CA"/>
        </w:rPr>
        <w:t xml:space="preserve">; </w:t>
      </w:r>
      <w:r w:rsidR="0047179D" w:rsidRPr="00403220">
        <w:rPr>
          <w:rFonts w:cs="Times New Roman"/>
          <w:i/>
          <w:szCs w:val="24"/>
          <w:lang w:val="fr-CA"/>
        </w:rPr>
        <w:t xml:space="preserve">Brown c. </w:t>
      </w:r>
      <w:proofErr w:type="spellStart"/>
      <w:r w:rsidR="0047179D" w:rsidRPr="00403220">
        <w:rPr>
          <w:rFonts w:cs="Times New Roman"/>
          <w:i/>
          <w:szCs w:val="24"/>
          <w:lang w:val="fr-CA"/>
        </w:rPr>
        <w:t>Colombie</w:t>
      </w:r>
      <w:r w:rsidR="00A54DAC" w:rsidRPr="00403220">
        <w:rPr>
          <w:rFonts w:cs="Times New Roman"/>
          <w:i/>
          <w:szCs w:val="24"/>
          <w:lang w:val="fr-CA"/>
        </w:rPr>
        <w:noBreakHyphen/>
      </w:r>
      <w:r w:rsidR="0047179D" w:rsidRPr="00403220">
        <w:rPr>
          <w:rFonts w:cs="Times New Roman"/>
          <w:i/>
          <w:szCs w:val="24"/>
          <w:lang w:val="fr-CA"/>
        </w:rPr>
        <w:t>Britannique</w:t>
      </w:r>
      <w:proofErr w:type="spellEnd"/>
      <w:r w:rsidR="0047179D" w:rsidRPr="00403220">
        <w:rPr>
          <w:rFonts w:cs="Times New Roman"/>
          <w:i/>
          <w:szCs w:val="24"/>
          <w:lang w:val="fr-CA"/>
        </w:rPr>
        <w:t xml:space="preserve"> (Ministre des Transports et de la Voirie)</w:t>
      </w:r>
      <w:r w:rsidR="004B02A1" w:rsidRPr="00403220">
        <w:rPr>
          <w:rFonts w:cs="Times New Roman"/>
          <w:szCs w:val="24"/>
          <w:lang w:val="fr-CA"/>
        </w:rPr>
        <w:t>,</w:t>
      </w:r>
      <w:r w:rsidR="0047179D" w:rsidRPr="00403220">
        <w:rPr>
          <w:rFonts w:cs="Times New Roman"/>
          <w:szCs w:val="24"/>
          <w:lang w:val="fr-CA"/>
        </w:rPr>
        <w:t xml:space="preserve"> [1994] 1 R.C.S. 420; </w:t>
      </w:r>
      <w:proofErr w:type="spellStart"/>
      <w:r w:rsidR="0047179D" w:rsidRPr="00403220">
        <w:rPr>
          <w:rStyle w:val="title"/>
          <w:rFonts w:cs="Times New Roman"/>
          <w:i/>
          <w:szCs w:val="24"/>
          <w:lang w:val="fr-CA"/>
        </w:rPr>
        <w:t>Swinamer</w:t>
      </w:r>
      <w:proofErr w:type="spellEnd"/>
      <w:r w:rsidR="0047179D" w:rsidRPr="00403220">
        <w:rPr>
          <w:rStyle w:val="title"/>
          <w:rFonts w:cs="Times New Roman"/>
          <w:i/>
          <w:szCs w:val="24"/>
          <w:lang w:val="fr-CA"/>
        </w:rPr>
        <w:t xml:space="preserve"> c. </w:t>
      </w:r>
      <w:proofErr w:type="spellStart"/>
      <w:r w:rsidR="0047179D" w:rsidRPr="00403220">
        <w:rPr>
          <w:rStyle w:val="title"/>
          <w:rFonts w:cs="Times New Roman"/>
          <w:i/>
          <w:szCs w:val="24"/>
          <w:lang w:val="fr-CA"/>
        </w:rPr>
        <w:t>Nouvelle</w:t>
      </w:r>
      <w:r w:rsidR="00A54DAC" w:rsidRPr="00403220">
        <w:rPr>
          <w:rStyle w:val="title"/>
          <w:rFonts w:cs="Times New Roman"/>
          <w:i/>
          <w:szCs w:val="24"/>
          <w:lang w:val="fr-CA"/>
        </w:rPr>
        <w:noBreakHyphen/>
      </w:r>
      <w:r w:rsidR="0047179D" w:rsidRPr="00403220">
        <w:rPr>
          <w:rStyle w:val="title"/>
          <w:rFonts w:cs="Times New Roman"/>
          <w:i/>
          <w:szCs w:val="24"/>
          <w:lang w:val="fr-CA"/>
        </w:rPr>
        <w:t>Écosse</w:t>
      </w:r>
      <w:proofErr w:type="spellEnd"/>
      <w:r w:rsidR="0047179D" w:rsidRPr="00403220">
        <w:rPr>
          <w:rStyle w:val="title"/>
          <w:rFonts w:cs="Times New Roman"/>
          <w:i/>
          <w:szCs w:val="24"/>
          <w:lang w:val="fr-CA"/>
        </w:rPr>
        <w:t xml:space="preserve"> (Procureur </w:t>
      </w:r>
      <w:r w:rsidR="0047179D" w:rsidRPr="00403220">
        <w:rPr>
          <w:rStyle w:val="title"/>
          <w:rFonts w:cs="Times New Roman"/>
          <w:i/>
          <w:szCs w:val="24"/>
          <w:lang w:val="fr-CA"/>
        </w:rPr>
        <w:lastRenderedPageBreak/>
        <w:t>général)</w:t>
      </w:r>
      <w:r w:rsidR="0047179D" w:rsidRPr="00403220">
        <w:rPr>
          <w:rStyle w:val="item"/>
          <w:rFonts w:cs="Times New Roman"/>
          <w:szCs w:val="24"/>
          <w:lang w:val="fr-CA"/>
        </w:rPr>
        <w:t xml:space="preserve">, </w:t>
      </w:r>
      <w:r w:rsidR="0047179D" w:rsidRPr="00403220">
        <w:rPr>
          <w:rStyle w:val="selected"/>
          <w:rFonts w:cs="Times New Roman"/>
          <w:szCs w:val="24"/>
          <w:lang w:val="fr-CA"/>
        </w:rPr>
        <w:t xml:space="preserve">[1994] 1 R.C.S. 445; </w:t>
      </w:r>
      <w:r w:rsidR="0047179D" w:rsidRPr="00403220">
        <w:rPr>
          <w:rStyle w:val="selected"/>
          <w:rFonts w:cs="Times New Roman"/>
          <w:i/>
          <w:szCs w:val="24"/>
          <w:lang w:val="fr-CA"/>
        </w:rPr>
        <w:t>Lewis (Tutrice à l</w:t>
      </w:r>
      <w:r w:rsidR="008372AA" w:rsidRPr="00403220">
        <w:rPr>
          <w:rStyle w:val="selected"/>
          <w:rFonts w:cs="Times New Roman"/>
          <w:i/>
          <w:szCs w:val="24"/>
          <w:lang w:val="fr-CA"/>
        </w:rPr>
        <w:t>’</w:t>
      </w:r>
      <w:r w:rsidR="0047179D" w:rsidRPr="00403220">
        <w:rPr>
          <w:rStyle w:val="selected"/>
          <w:rFonts w:cs="Times New Roman"/>
          <w:i/>
          <w:szCs w:val="24"/>
          <w:lang w:val="fr-CA"/>
        </w:rPr>
        <w:t>instance de) c. Colombie</w:t>
      </w:r>
      <w:r w:rsidR="00773C48">
        <w:rPr>
          <w:rStyle w:val="selected"/>
          <w:rFonts w:cs="Times New Roman"/>
          <w:i/>
          <w:szCs w:val="24"/>
          <w:lang w:val="fr-CA"/>
        </w:rPr>
        <w:t>-</w:t>
      </w:r>
      <w:r w:rsidR="0047179D" w:rsidRPr="00403220">
        <w:rPr>
          <w:rStyle w:val="selected"/>
          <w:rFonts w:cs="Times New Roman"/>
          <w:i/>
          <w:szCs w:val="24"/>
          <w:lang w:val="fr-CA"/>
        </w:rPr>
        <w:t>Britannique</w:t>
      </w:r>
      <w:r w:rsidR="0047179D" w:rsidRPr="00403220">
        <w:rPr>
          <w:rStyle w:val="selected"/>
          <w:rFonts w:cs="Times New Roman"/>
          <w:szCs w:val="24"/>
          <w:lang w:val="fr-CA"/>
        </w:rPr>
        <w:t>, [1997] 3 R.C.S. 1145.</w:t>
      </w:r>
    </w:p>
    <w:p w:rsidR="0047179D" w:rsidRPr="00403220" w:rsidRDefault="0047179D" w:rsidP="009168E8">
      <w:pPr>
        <w:pStyle w:val="ParaNoNdepar-AltN"/>
        <w:rPr>
          <w:rFonts w:cs="Times New Roman"/>
          <w:szCs w:val="24"/>
          <w:lang w:val="fr-CA"/>
        </w:rPr>
      </w:pPr>
      <w:r w:rsidRPr="00403220">
        <w:rPr>
          <w:rFonts w:cs="Times New Roman"/>
          <w:szCs w:val="24"/>
          <w:lang w:val="fr-CA"/>
        </w:rPr>
        <w:t>Pour compliquer les choses, les notions de pouvoir discrétionnaire et de politique</w:t>
      </w:r>
      <w:r w:rsidR="00C3246A" w:rsidRPr="00403220">
        <w:rPr>
          <w:rFonts w:cs="Times New Roman"/>
          <w:szCs w:val="24"/>
          <w:lang w:val="fr-CA"/>
        </w:rPr>
        <w:t xml:space="preserve"> générale</w:t>
      </w:r>
      <w:r w:rsidRPr="00403220">
        <w:rPr>
          <w:rFonts w:cs="Times New Roman"/>
          <w:szCs w:val="24"/>
          <w:lang w:val="fr-CA"/>
        </w:rPr>
        <w:t xml:space="preserve"> se chevauchent et sont parfois employées de manière interchangeable.  </w:t>
      </w:r>
      <w:r w:rsidR="008D5847" w:rsidRPr="00403220">
        <w:rPr>
          <w:rFonts w:cs="Times New Roman"/>
          <w:szCs w:val="24"/>
          <w:lang w:val="fr-CA"/>
        </w:rPr>
        <w:t>Ainsi</w:t>
      </w:r>
      <w:r w:rsidRPr="00403220">
        <w:rPr>
          <w:rFonts w:cs="Times New Roman"/>
          <w:szCs w:val="24"/>
          <w:lang w:val="fr-CA"/>
        </w:rPr>
        <w:t xml:space="preserve">, dans </w:t>
      </w:r>
      <w:proofErr w:type="spellStart"/>
      <w:r w:rsidRPr="00403220">
        <w:rPr>
          <w:rFonts w:cs="Times New Roman"/>
          <w:i/>
          <w:szCs w:val="24"/>
          <w:lang w:val="fr-CA"/>
        </w:rPr>
        <w:t>Anns</w:t>
      </w:r>
      <w:proofErr w:type="spellEnd"/>
      <w:r w:rsidRPr="00403220">
        <w:rPr>
          <w:rFonts w:cs="Times New Roman"/>
          <w:szCs w:val="24"/>
          <w:lang w:val="fr-CA"/>
        </w:rPr>
        <w:t xml:space="preserve">, lord </w:t>
      </w:r>
      <w:proofErr w:type="spellStart"/>
      <w:r w:rsidRPr="00403220">
        <w:rPr>
          <w:rFonts w:cs="Times New Roman"/>
          <w:szCs w:val="24"/>
          <w:lang w:val="fr-CA"/>
        </w:rPr>
        <w:t>Wilberforce</w:t>
      </w:r>
      <w:proofErr w:type="spellEnd"/>
      <w:r w:rsidRPr="00403220">
        <w:rPr>
          <w:rFonts w:cs="Times New Roman"/>
          <w:szCs w:val="24"/>
          <w:lang w:val="fr-CA"/>
        </w:rPr>
        <w:t xml:space="preserve"> a décrit la </w:t>
      </w:r>
      <w:r w:rsidR="00C3246A" w:rsidRPr="00403220">
        <w:rPr>
          <w:rFonts w:cs="Times New Roman"/>
          <w:szCs w:val="24"/>
          <w:lang w:val="fr-CA"/>
        </w:rPr>
        <w:t xml:space="preserve">notion </w:t>
      </w:r>
      <w:r w:rsidR="00773C48">
        <w:rPr>
          <w:rFonts w:cs="Times New Roman"/>
          <w:szCs w:val="24"/>
          <w:lang w:val="fr-CA"/>
        </w:rPr>
        <w:t xml:space="preserve">de </w:t>
      </w:r>
      <w:r w:rsidRPr="00403220">
        <w:rPr>
          <w:rFonts w:cs="Times New Roman"/>
          <w:szCs w:val="24"/>
          <w:lang w:val="fr-CA"/>
        </w:rPr>
        <w:t>politique</w:t>
      </w:r>
      <w:r w:rsidR="00C3246A" w:rsidRPr="00403220">
        <w:rPr>
          <w:rFonts w:cs="Times New Roman"/>
          <w:szCs w:val="24"/>
          <w:lang w:val="fr-CA"/>
        </w:rPr>
        <w:t xml:space="preserve"> générale</w:t>
      </w:r>
      <w:r w:rsidRPr="00403220">
        <w:rPr>
          <w:rFonts w:cs="Times New Roman"/>
          <w:szCs w:val="24"/>
          <w:lang w:val="fr-CA"/>
        </w:rPr>
        <w:t xml:space="preserve"> comme étant synonyme de pouvoir discrétionnaire (</w:t>
      </w:r>
      <w:r w:rsidR="00A54DAC" w:rsidRPr="00403220">
        <w:rPr>
          <w:rFonts w:cs="Times New Roman"/>
          <w:szCs w:val="24"/>
          <w:lang w:val="fr-CA"/>
        </w:rPr>
        <w:t>p. </w:t>
      </w:r>
      <w:r w:rsidR="00891AB5">
        <w:rPr>
          <w:rFonts w:cs="Times New Roman"/>
          <w:szCs w:val="24"/>
          <w:lang w:val="fr-CA"/>
        </w:rPr>
        <w:t>754</w:t>
      </w:r>
      <w:r w:rsidRPr="00403220">
        <w:rPr>
          <w:rFonts w:cs="Times New Roman"/>
          <w:szCs w:val="24"/>
          <w:lang w:val="fr-CA"/>
        </w:rPr>
        <w:t>).</w:t>
      </w:r>
    </w:p>
    <w:p w:rsidR="0047179D" w:rsidRPr="00403220" w:rsidRDefault="0047179D" w:rsidP="009168E8">
      <w:pPr>
        <w:pStyle w:val="ParaNoNdepar-AltN"/>
        <w:rPr>
          <w:rFonts w:cs="Times New Roman"/>
          <w:szCs w:val="24"/>
          <w:lang w:val="fr-CA"/>
        </w:rPr>
      </w:pPr>
      <w:r w:rsidRPr="00403220">
        <w:rPr>
          <w:rFonts w:cs="Times New Roman"/>
          <w:szCs w:val="24"/>
          <w:lang w:val="fr-CA"/>
        </w:rPr>
        <w:t xml:space="preserve">On </w:t>
      </w:r>
      <w:r w:rsidR="00F5159C" w:rsidRPr="00403220">
        <w:rPr>
          <w:rFonts w:cs="Times New Roman"/>
          <w:szCs w:val="24"/>
          <w:lang w:val="fr-CA"/>
        </w:rPr>
        <w:t xml:space="preserve">admet </w:t>
      </w:r>
      <w:r w:rsidRPr="00403220">
        <w:rPr>
          <w:rFonts w:cs="Times New Roman"/>
          <w:szCs w:val="24"/>
          <w:lang w:val="fr-CA"/>
        </w:rPr>
        <w:t>généralement que le droit de la négligence doit prendre en compte le rôle unique des organismes gouvernementaux</w:t>
      </w:r>
      <w:r w:rsidR="00A54DAC" w:rsidRPr="00403220">
        <w:rPr>
          <w:rFonts w:cs="Times New Roman"/>
          <w:szCs w:val="24"/>
          <w:lang w:val="fr-CA"/>
        </w:rPr>
        <w:t> :</w:t>
      </w:r>
      <w:r w:rsidRPr="00403220">
        <w:rPr>
          <w:rFonts w:cs="Times New Roman"/>
          <w:szCs w:val="24"/>
          <w:lang w:val="fr-CA"/>
        </w:rPr>
        <w:t xml:space="preserve"> </w:t>
      </w:r>
      <w:r w:rsidRPr="00403220">
        <w:rPr>
          <w:rFonts w:cs="Times New Roman"/>
          <w:i/>
          <w:szCs w:val="24"/>
          <w:lang w:val="fr-CA"/>
        </w:rPr>
        <w:t>Just</w:t>
      </w:r>
      <w:r w:rsidRPr="00403220">
        <w:rPr>
          <w:rFonts w:cs="Times New Roman"/>
          <w:szCs w:val="24"/>
          <w:lang w:val="fr-CA"/>
        </w:rPr>
        <w:t xml:space="preserve">.  </w:t>
      </w:r>
      <w:r w:rsidR="00F5159C" w:rsidRPr="00403220">
        <w:rPr>
          <w:rFonts w:cs="Times New Roman"/>
          <w:szCs w:val="24"/>
          <w:lang w:val="fr-CA"/>
        </w:rPr>
        <w:t>D’une part</w:t>
      </w:r>
      <w:r w:rsidRPr="00403220">
        <w:rPr>
          <w:rFonts w:cs="Times New Roman"/>
          <w:szCs w:val="24"/>
          <w:lang w:val="fr-CA"/>
        </w:rPr>
        <w:t>, il importe que les organismes publics soient responsables en général de leur négligence compte tenu du grand rôle qu</w:t>
      </w:r>
      <w:r w:rsidR="008372AA" w:rsidRPr="00403220">
        <w:rPr>
          <w:rFonts w:cs="Times New Roman"/>
          <w:szCs w:val="24"/>
          <w:lang w:val="fr-CA"/>
        </w:rPr>
        <w:t>’</w:t>
      </w:r>
      <w:r w:rsidRPr="00403220">
        <w:rPr>
          <w:rFonts w:cs="Times New Roman"/>
          <w:szCs w:val="24"/>
          <w:lang w:val="fr-CA"/>
        </w:rPr>
        <w:t xml:space="preserve">ils jouent </w:t>
      </w:r>
      <w:r w:rsidR="00C3246A" w:rsidRPr="00403220">
        <w:rPr>
          <w:rFonts w:cs="Times New Roman"/>
          <w:szCs w:val="24"/>
          <w:lang w:val="fr-CA"/>
        </w:rPr>
        <w:t>dans</w:t>
      </w:r>
      <w:r w:rsidRPr="00403220">
        <w:rPr>
          <w:rFonts w:cs="Times New Roman"/>
          <w:szCs w:val="24"/>
          <w:lang w:val="fr-CA"/>
        </w:rPr>
        <w:t xml:space="preserve"> tous les </w:t>
      </w:r>
      <w:r w:rsidR="00C3246A" w:rsidRPr="00403220">
        <w:rPr>
          <w:rFonts w:cs="Times New Roman"/>
          <w:szCs w:val="24"/>
          <w:lang w:val="fr-CA"/>
        </w:rPr>
        <w:t>aspects</w:t>
      </w:r>
      <w:r w:rsidRPr="00403220">
        <w:rPr>
          <w:rFonts w:cs="Times New Roman"/>
          <w:szCs w:val="24"/>
          <w:lang w:val="fr-CA"/>
        </w:rPr>
        <w:t xml:space="preserve"> de la </w:t>
      </w:r>
      <w:r w:rsidR="00C3246A" w:rsidRPr="00403220">
        <w:rPr>
          <w:rFonts w:cs="Times New Roman"/>
          <w:szCs w:val="24"/>
          <w:lang w:val="fr-CA"/>
        </w:rPr>
        <w:t>vie en société</w:t>
      </w:r>
      <w:r w:rsidRPr="00403220">
        <w:rPr>
          <w:rFonts w:cs="Times New Roman"/>
          <w:szCs w:val="24"/>
          <w:lang w:val="fr-CA"/>
        </w:rPr>
        <w:t xml:space="preserve">.  </w:t>
      </w:r>
      <w:r w:rsidR="00F5159C" w:rsidRPr="00403220">
        <w:rPr>
          <w:rFonts w:cs="Times New Roman"/>
          <w:szCs w:val="24"/>
          <w:lang w:val="fr-CA"/>
        </w:rPr>
        <w:t xml:space="preserve">Soustraire </w:t>
      </w:r>
      <w:r w:rsidRPr="00403220">
        <w:rPr>
          <w:rFonts w:cs="Times New Roman"/>
          <w:szCs w:val="24"/>
          <w:lang w:val="fr-CA"/>
        </w:rPr>
        <w:t xml:space="preserve">les gouvernements </w:t>
      </w:r>
      <w:r w:rsidR="00F5159C" w:rsidRPr="00403220">
        <w:rPr>
          <w:rFonts w:cs="Times New Roman"/>
          <w:szCs w:val="24"/>
          <w:lang w:val="fr-CA"/>
        </w:rPr>
        <w:t xml:space="preserve">à </w:t>
      </w:r>
      <w:r w:rsidRPr="00403220">
        <w:rPr>
          <w:rFonts w:cs="Times New Roman"/>
          <w:szCs w:val="24"/>
          <w:lang w:val="fr-CA"/>
        </w:rPr>
        <w:t xml:space="preserve">toute responsabilité pour leurs actes entraînerait des conséquences inacceptables.  </w:t>
      </w:r>
      <w:r w:rsidR="00F5159C" w:rsidRPr="00403220">
        <w:rPr>
          <w:rFonts w:cs="Times New Roman"/>
          <w:szCs w:val="24"/>
          <w:lang w:val="fr-CA"/>
        </w:rPr>
        <w:t>Par contre</w:t>
      </w:r>
      <w:r w:rsidR="00856C6C" w:rsidRPr="00403220">
        <w:rPr>
          <w:rFonts w:cs="Times New Roman"/>
          <w:szCs w:val="24"/>
          <w:lang w:val="fr-CA"/>
        </w:rPr>
        <w:t>, « </w:t>
      </w:r>
      <w:r w:rsidRPr="00403220">
        <w:rPr>
          <w:rFonts w:cs="Times New Roman"/>
          <w:spacing w:val="-3"/>
          <w:szCs w:val="24"/>
          <w:lang w:val="fr-CA"/>
        </w:rPr>
        <w:t>la Couronne n</w:t>
      </w:r>
      <w:r w:rsidR="008372AA" w:rsidRPr="00403220">
        <w:rPr>
          <w:rFonts w:cs="Times New Roman"/>
          <w:spacing w:val="-3"/>
          <w:szCs w:val="24"/>
          <w:lang w:val="fr-CA"/>
        </w:rPr>
        <w:t>’</w:t>
      </w:r>
      <w:r w:rsidRPr="00403220">
        <w:rPr>
          <w:rFonts w:cs="Times New Roman"/>
          <w:spacing w:val="-3"/>
          <w:szCs w:val="24"/>
          <w:lang w:val="fr-CA"/>
        </w:rPr>
        <w:t>est pas une personne et elle doit pouvoir être libre de gouverner et de prendre de véritables décisions de politique sans encourir pour autant une responsabilité civile délictuelle</w:t>
      </w:r>
      <w:r w:rsidR="00606338" w:rsidRPr="00403220">
        <w:rPr>
          <w:rFonts w:cs="Times New Roman"/>
          <w:spacing w:val="-3"/>
          <w:szCs w:val="24"/>
          <w:lang w:val="fr-CA"/>
        </w:rPr>
        <w:t> </w:t>
      </w:r>
      <w:r w:rsidRPr="00403220">
        <w:rPr>
          <w:rFonts w:cs="Times New Roman"/>
          <w:spacing w:val="-3"/>
          <w:szCs w:val="24"/>
          <w:lang w:val="fr-CA"/>
        </w:rPr>
        <w:t>»</w:t>
      </w:r>
      <w:r w:rsidR="00A54DAC" w:rsidRPr="00403220">
        <w:rPr>
          <w:rFonts w:cs="Times New Roman"/>
          <w:spacing w:val="-3"/>
          <w:szCs w:val="24"/>
          <w:lang w:val="fr-CA"/>
        </w:rPr>
        <w:t> :</w:t>
      </w:r>
      <w:r w:rsidR="00606338" w:rsidRPr="00403220">
        <w:rPr>
          <w:rFonts w:cs="Times New Roman"/>
          <w:spacing w:val="-3"/>
          <w:szCs w:val="24"/>
          <w:lang w:val="fr-CA"/>
        </w:rPr>
        <w:t xml:space="preserve"> </w:t>
      </w:r>
      <w:r w:rsidRPr="00403220">
        <w:rPr>
          <w:rFonts w:cs="Times New Roman"/>
          <w:i/>
          <w:spacing w:val="-3"/>
          <w:szCs w:val="24"/>
          <w:lang w:val="fr-CA"/>
        </w:rPr>
        <w:t>Just</w:t>
      </w:r>
      <w:r w:rsidR="00606338" w:rsidRPr="00403220">
        <w:rPr>
          <w:rFonts w:cs="Times New Roman"/>
          <w:spacing w:val="-3"/>
          <w:szCs w:val="24"/>
          <w:lang w:val="fr-CA"/>
        </w:rPr>
        <w:t xml:space="preserve">, </w:t>
      </w:r>
      <w:r w:rsidR="00A54DAC" w:rsidRPr="00403220">
        <w:rPr>
          <w:rFonts w:cs="Times New Roman"/>
          <w:spacing w:val="-3"/>
          <w:szCs w:val="24"/>
          <w:lang w:val="fr-CA"/>
        </w:rPr>
        <w:t>p. </w:t>
      </w:r>
      <w:r w:rsidR="00606338" w:rsidRPr="00403220">
        <w:rPr>
          <w:rFonts w:cs="Times New Roman"/>
          <w:spacing w:val="-3"/>
          <w:szCs w:val="24"/>
          <w:lang w:val="fr-CA"/>
        </w:rPr>
        <w:t>1239</w:t>
      </w:r>
      <w:r w:rsidRPr="00403220">
        <w:rPr>
          <w:rFonts w:cs="Times New Roman"/>
          <w:i/>
          <w:spacing w:val="-3"/>
          <w:szCs w:val="24"/>
          <w:lang w:val="fr-CA"/>
        </w:rPr>
        <w:t>.</w:t>
      </w:r>
      <w:r w:rsidRPr="00403220">
        <w:rPr>
          <w:rFonts w:cs="Times New Roman"/>
          <w:spacing w:val="-3"/>
          <w:szCs w:val="24"/>
          <w:lang w:val="fr-CA"/>
        </w:rPr>
        <w:t xml:space="preserve">  La difficulté, encore une fois, consiste à formuler un critère juridique équitable et utile.  </w:t>
      </w:r>
    </w:p>
    <w:p w:rsidR="0047179D" w:rsidRPr="00403220" w:rsidRDefault="0047179D" w:rsidP="009168E8">
      <w:pPr>
        <w:pStyle w:val="ParaNoNdepar-AltN"/>
        <w:rPr>
          <w:rFonts w:cs="Times New Roman"/>
          <w:szCs w:val="24"/>
          <w:u w:val="single"/>
          <w:lang w:val="fr-CA"/>
        </w:rPr>
      </w:pPr>
      <w:r w:rsidRPr="00403220">
        <w:rPr>
          <w:rFonts w:cs="Times New Roman"/>
          <w:szCs w:val="24"/>
          <w:lang w:val="fr-CA"/>
        </w:rPr>
        <w:t xml:space="preserve">La principale difficulté que pose </w:t>
      </w:r>
      <w:r w:rsidR="00C3246A" w:rsidRPr="00403220">
        <w:rPr>
          <w:rFonts w:cs="Times New Roman"/>
          <w:szCs w:val="24"/>
          <w:lang w:val="fr-CA"/>
        </w:rPr>
        <w:t>l</w:t>
      </w:r>
      <w:r w:rsidR="008E09A3" w:rsidRPr="00403220">
        <w:rPr>
          <w:rFonts w:cs="Times New Roman"/>
          <w:szCs w:val="24"/>
          <w:lang w:val="fr-CA"/>
        </w:rPr>
        <w:t xml:space="preserve">a méthode d’analyse </w:t>
      </w:r>
      <w:r w:rsidR="00C3246A" w:rsidRPr="00403220">
        <w:rPr>
          <w:rFonts w:cs="Times New Roman"/>
          <w:szCs w:val="24"/>
          <w:lang w:val="fr-CA"/>
        </w:rPr>
        <w:t>fondée sur la notion de</w:t>
      </w:r>
      <w:r w:rsidR="00856C6C" w:rsidRPr="00403220">
        <w:rPr>
          <w:rFonts w:cs="Times New Roman"/>
          <w:szCs w:val="24"/>
          <w:lang w:val="fr-CA"/>
        </w:rPr>
        <w:t xml:space="preserve"> « </w:t>
      </w:r>
      <w:r w:rsidRPr="00403220">
        <w:rPr>
          <w:rFonts w:cs="Times New Roman"/>
          <w:szCs w:val="24"/>
          <w:lang w:val="fr-CA"/>
        </w:rPr>
        <w:t>décision discrétionnaire</w:t>
      </w:r>
      <w:r w:rsidR="00856C6C" w:rsidRPr="00403220">
        <w:rPr>
          <w:rFonts w:cs="Times New Roman"/>
          <w:szCs w:val="24"/>
          <w:lang w:val="fr-CA"/>
        </w:rPr>
        <w:t> </w:t>
      </w:r>
      <w:r w:rsidRPr="00403220">
        <w:rPr>
          <w:rFonts w:cs="Times New Roman"/>
          <w:szCs w:val="24"/>
          <w:lang w:val="fr-CA"/>
        </w:rPr>
        <w:t xml:space="preserve">» réside dans la possibilité </w:t>
      </w:r>
      <w:r w:rsidR="00C3246A" w:rsidRPr="00403220">
        <w:rPr>
          <w:rFonts w:cs="Times New Roman"/>
          <w:szCs w:val="24"/>
          <w:lang w:val="fr-CA"/>
        </w:rPr>
        <w:t>qu’elle applique à</w:t>
      </w:r>
      <w:r w:rsidRPr="00403220">
        <w:rPr>
          <w:rFonts w:cs="Times New Roman"/>
          <w:szCs w:val="24"/>
          <w:lang w:val="fr-CA"/>
        </w:rPr>
        <w:t xml:space="preserve"> la conduite des acteurs gouvernementaux une exemption trop générale.  Bien des </w:t>
      </w:r>
      <w:r w:rsidRPr="00403220">
        <w:rPr>
          <w:rFonts w:cs="Times New Roman"/>
          <w:szCs w:val="24"/>
          <w:lang w:val="fr-CA"/>
        </w:rPr>
        <w:lastRenderedPageBreak/>
        <w:t>décisions peuvent être qualifiées de discrétionnaires</w:t>
      </w:r>
      <w:r w:rsidR="008E09A3" w:rsidRPr="00403220">
        <w:rPr>
          <w:rFonts w:cs="Times New Roman"/>
          <w:szCs w:val="24"/>
          <w:lang w:val="fr-CA"/>
        </w:rPr>
        <w:t xml:space="preserve"> dans une certaine mesure</w:t>
      </w:r>
      <w:r w:rsidRPr="00403220">
        <w:rPr>
          <w:rFonts w:cs="Times New Roman"/>
          <w:szCs w:val="24"/>
          <w:lang w:val="fr-CA"/>
        </w:rPr>
        <w:t>.  Ce</w:t>
      </w:r>
      <w:r w:rsidR="008E09A3" w:rsidRPr="00403220">
        <w:rPr>
          <w:rFonts w:cs="Times New Roman"/>
          <w:szCs w:val="24"/>
          <w:lang w:val="fr-CA"/>
        </w:rPr>
        <w:t>tte méthode d’analyse</w:t>
      </w:r>
      <w:r w:rsidRPr="00403220">
        <w:rPr>
          <w:rFonts w:cs="Times New Roman"/>
          <w:szCs w:val="24"/>
          <w:lang w:val="fr-CA"/>
        </w:rPr>
        <w:t xml:space="preserve"> a donc parfois été peaufiné</w:t>
      </w:r>
      <w:r w:rsidR="008E09A3" w:rsidRPr="00403220">
        <w:rPr>
          <w:rFonts w:cs="Times New Roman"/>
          <w:szCs w:val="24"/>
          <w:lang w:val="fr-CA"/>
        </w:rPr>
        <w:t>e</w:t>
      </w:r>
      <w:r w:rsidRPr="00403220">
        <w:rPr>
          <w:rFonts w:cs="Times New Roman"/>
          <w:szCs w:val="24"/>
          <w:lang w:val="fr-CA"/>
        </w:rPr>
        <w:t xml:space="preserve"> ou remplacé</w:t>
      </w:r>
      <w:r w:rsidR="008E09A3" w:rsidRPr="00403220">
        <w:rPr>
          <w:rFonts w:cs="Times New Roman"/>
          <w:szCs w:val="24"/>
          <w:lang w:val="fr-CA"/>
        </w:rPr>
        <w:t>e</w:t>
      </w:r>
      <w:r w:rsidRPr="00403220">
        <w:rPr>
          <w:rFonts w:cs="Times New Roman"/>
          <w:szCs w:val="24"/>
          <w:lang w:val="fr-CA"/>
        </w:rPr>
        <w:t xml:space="preserve"> par des critères restrei</w:t>
      </w:r>
      <w:r w:rsidR="00A4754D" w:rsidRPr="00403220">
        <w:rPr>
          <w:rFonts w:cs="Times New Roman"/>
          <w:szCs w:val="24"/>
          <w:lang w:val="fr-CA"/>
        </w:rPr>
        <w:t>gna</w:t>
      </w:r>
      <w:r w:rsidR="00484981" w:rsidRPr="00403220">
        <w:rPr>
          <w:rFonts w:cs="Times New Roman"/>
          <w:szCs w:val="24"/>
          <w:lang w:val="fr-CA"/>
        </w:rPr>
        <w:t>nt</w:t>
      </w:r>
      <w:r w:rsidR="00606338" w:rsidRPr="00403220">
        <w:rPr>
          <w:rFonts w:cs="Times New Roman"/>
          <w:szCs w:val="24"/>
          <w:lang w:val="fr-CA"/>
        </w:rPr>
        <w:t xml:space="preserve"> </w:t>
      </w:r>
      <w:r w:rsidRPr="00403220">
        <w:rPr>
          <w:rFonts w:cs="Times New Roman"/>
          <w:szCs w:val="24"/>
          <w:lang w:val="fr-CA"/>
        </w:rPr>
        <w:t xml:space="preserve">le pouvoir discrétionnaire </w:t>
      </w:r>
      <w:r w:rsidR="00A4754D" w:rsidRPr="00403220">
        <w:rPr>
          <w:rFonts w:cs="Times New Roman"/>
          <w:szCs w:val="24"/>
          <w:lang w:val="fr-CA"/>
        </w:rPr>
        <w:t>qui dégage</w:t>
      </w:r>
      <w:r w:rsidRPr="00403220">
        <w:rPr>
          <w:rFonts w:cs="Times New Roman"/>
          <w:szCs w:val="24"/>
          <w:lang w:val="fr-CA"/>
        </w:rPr>
        <w:t xml:space="preserve"> son titulaire de toute responsabilité.  </w:t>
      </w:r>
    </w:p>
    <w:p w:rsidR="0047179D" w:rsidRPr="00403220" w:rsidRDefault="0047179D" w:rsidP="009168E8">
      <w:pPr>
        <w:pStyle w:val="ParaNoNdepar-AltN"/>
        <w:rPr>
          <w:rFonts w:cs="Times New Roman"/>
          <w:szCs w:val="24"/>
          <w:lang w:val="fr-CA"/>
        </w:rPr>
      </w:pPr>
      <w:r w:rsidRPr="00403220">
        <w:rPr>
          <w:rFonts w:cs="Times New Roman"/>
          <w:szCs w:val="24"/>
          <w:lang w:val="fr-CA"/>
        </w:rPr>
        <w:t xml:space="preserve">La principale difficulté que pose le critère politique </w:t>
      </w:r>
      <w:proofErr w:type="spellStart"/>
      <w:r w:rsidRPr="00403220">
        <w:rPr>
          <w:rFonts w:cs="Times New Roman"/>
          <w:szCs w:val="24"/>
          <w:lang w:val="fr-CA"/>
        </w:rPr>
        <w:t>générale</w:t>
      </w:r>
      <w:r w:rsidR="00A54DAC" w:rsidRPr="00403220">
        <w:rPr>
          <w:rFonts w:cs="Times New Roman"/>
          <w:szCs w:val="24"/>
          <w:lang w:val="fr-CA"/>
        </w:rPr>
        <w:noBreakHyphen/>
      </w:r>
      <w:r w:rsidR="00606338" w:rsidRPr="00403220">
        <w:rPr>
          <w:rFonts w:cs="Times New Roman"/>
          <w:szCs w:val="24"/>
          <w:lang w:val="fr-CA"/>
        </w:rPr>
        <w:t>opération</w:t>
      </w:r>
      <w:r w:rsidR="008D5847" w:rsidRPr="00403220">
        <w:rPr>
          <w:rFonts w:cs="Times New Roman"/>
          <w:szCs w:val="24"/>
          <w:lang w:val="fr-CA"/>
        </w:rPr>
        <w:t>s</w:t>
      </w:r>
      <w:proofErr w:type="spellEnd"/>
      <w:r w:rsidR="00606338" w:rsidRPr="00403220">
        <w:rPr>
          <w:rFonts w:cs="Times New Roman"/>
          <w:szCs w:val="24"/>
          <w:lang w:val="fr-CA"/>
        </w:rPr>
        <w:t xml:space="preserve"> </w:t>
      </w:r>
      <w:r w:rsidRPr="00403220">
        <w:rPr>
          <w:rFonts w:cs="Times New Roman"/>
          <w:szCs w:val="24"/>
          <w:lang w:val="fr-CA"/>
        </w:rPr>
        <w:t>tient au fait qu</w:t>
      </w:r>
      <w:r w:rsidR="008372AA" w:rsidRPr="00403220">
        <w:rPr>
          <w:rFonts w:cs="Times New Roman"/>
          <w:szCs w:val="24"/>
          <w:lang w:val="fr-CA"/>
        </w:rPr>
        <w:t>’</w:t>
      </w:r>
      <w:r w:rsidRPr="00403220">
        <w:rPr>
          <w:rFonts w:cs="Times New Roman"/>
          <w:szCs w:val="24"/>
          <w:lang w:val="fr-CA"/>
        </w:rPr>
        <w:t>il est notoirement difficile pour les tribunaux de décider si une décision gouvernement</w:t>
      </w:r>
      <w:r w:rsidR="00606338" w:rsidRPr="00403220">
        <w:rPr>
          <w:rFonts w:cs="Times New Roman"/>
          <w:szCs w:val="24"/>
          <w:lang w:val="fr-CA"/>
        </w:rPr>
        <w:t>ale</w:t>
      </w:r>
      <w:r w:rsidRPr="00403220">
        <w:rPr>
          <w:rFonts w:cs="Times New Roman"/>
          <w:szCs w:val="24"/>
          <w:lang w:val="fr-CA"/>
        </w:rPr>
        <w:t xml:space="preserve"> </w:t>
      </w:r>
      <w:r w:rsidR="00484981" w:rsidRPr="00403220">
        <w:rPr>
          <w:rFonts w:cs="Times New Roman"/>
          <w:szCs w:val="24"/>
          <w:lang w:val="fr-CA"/>
        </w:rPr>
        <w:t xml:space="preserve">donnée </w:t>
      </w:r>
      <w:r w:rsidRPr="00403220">
        <w:rPr>
          <w:rFonts w:cs="Times New Roman"/>
          <w:szCs w:val="24"/>
          <w:lang w:val="fr-CA"/>
        </w:rPr>
        <w:t xml:space="preserve">relève </w:t>
      </w:r>
      <w:r w:rsidR="008E09A3" w:rsidRPr="00403220">
        <w:rPr>
          <w:rFonts w:cs="Times New Roman"/>
          <w:szCs w:val="24"/>
          <w:lang w:val="fr-CA"/>
        </w:rPr>
        <w:t>d’une</w:t>
      </w:r>
      <w:r w:rsidRPr="00403220">
        <w:rPr>
          <w:rFonts w:cs="Times New Roman"/>
          <w:szCs w:val="24"/>
          <w:lang w:val="fr-CA"/>
        </w:rPr>
        <w:t xml:space="preserve"> politique</w:t>
      </w:r>
      <w:r w:rsidR="008E09A3" w:rsidRPr="00403220">
        <w:rPr>
          <w:rFonts w:cs="Times New Roman"/>
          <w:szCs w:val="24"/>
          <w:lang w:val="fr-CA"/>
        </w:rPr>
        <w:t xml:space="preserve"> générale</w:t>
      </w:r>
      <w:r w:rsidRPr="00403220">
        <w:rPr>
          <w:rFonts w:cs="Times New Roman"/>
          <w:szCs w:val="24"/>
          <w:lang w:val="fr-CA"/>
        </w:rPr>
        <w:t xml:space="preserve"> ou </w:t>
      </w:r>
      <w:r w:rsidR="008E09A3" w:rsidRPr="00403220">
        <w:rPr>
          <w:rFonts w:cs="Times New Roman"/>
          <w:szCs w:val="24"/>
          <w:lang w:val="fr-CA"/>
        </w:rPr>
        <w:t>des opérations</w:t>
      </w:r>
      <w:r w:rsidRPr="00403220">
        <w:rPr>
          <w:rFonts w:cs="Times New Roman"/>
          <w:szCs w:val="24"/>
          <w:lang w:val="fr-CA"/>
        </w:rPr>
        <w:t xml:space="preserve">.  Même </w:t>
      </w:r>
      <w:r w:rsidR="008D5847" w:rsidRPr="00403220">
        <w:rPr>
          <w:rFonts w:cs="Times New Roman"/>
          <w:szCs w:val="24"/>
          <w:lang w:val="fr-CA"/>
        </w:rPr>
        <w:t>des</w:t>
      </w:r>
      <w:r w:rsidRPr="00403220">
        <w:rPr>
          <w:rFonts w:cs="Times New Roman"/>
          <w:szCs w:val="24"/>
          <w:lang w:val="fr-CA"/>
        </w:rPr>
        <w:t xml:space="preserve"> fonctionnaires </w:t>
      </w:r>
      <w:r w:rsidR="00606338" w:rsidRPr="00403220">
        <w:rPr>
          <w:rFonts w:cs="Times New Roman"/>
          <w:szCs w:val="24"/>
          <w:lang w:val="fr-CA"/>
        </w:rPr>
        <w:t xml:space="preserve">aux échelons inférieurs peuvent jouir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un certain pouvoir discrétionnaire pour ce qui est d</w:t>
      </w:r>
      <w:r w:rsidR="008372AA" w:rsidRPr="00403220">
        <w:rPr>
          <w:rFonts w:cs="Times New Roman"/>
          <w:szCs w:val="24"/>
          <w:lang w:val="fr-CA"/>
        </w:rPr>
        <w:t>’</w:t>
      </w:r>
      <w:r w:rsidRPr="00403220">
        <w:rPr>
          <w:rFonts w:cs="Times New Roman"/>
          <w:szCs w:val="24"/>
          <w:lang w:val="fr-CA"/>
        </w:rPr>
        <w:t>établir le montant des fonds disponibles ou de décider quelle tâche parmi d</w:t>
      </w:r>
      <w:r w:rsidR="008372AA" w:rsidRPr="00403220">
        <w:rPr>
          <w:rFonts w:cs="Times New Roman"/>
          <w:szCs w:val="24"/>
          <w:lang w:val="fr-CA"/>
        </w:rPr>
        <w:t>’</w:t>
      </w:r>
      <w:r w:rsidRPr="00403220">
        <w:rPr>
          <w:rFonts w:cs="Times New Roman"/>
          <w:szCs w:val="24"/>
          <w:lang w:val="fr-CA"/>
        </w:rPr>
        <w:t>autres revêt le plus d</w:t>
      </w:r>
      <w:r w:rsidR="008372AA" w:rsidRPr="00403220">
        <w:rPr>
          <w:rFonts w:cs="Times New Roman"/>
          <w:szCs w:val="24"/>
          <w:lang w:val="fr-CA"/>
        </w:rPr>
        <w:t>’</w:t>
      </w:r>
      <w:r w:rsidRPr="00403220">
        <w:rPr>
          <w:rFonts w:cs="Times New Roman"/>
          <w:szCs w:val="24"/>
          <w:lang w:val="fr-CA"/>
        </w:rPr>
        <w:t>importance à un moment donné.  La décision d</w:t>
      </w:r>
      <w:r w:rsidR="008372AA" w:rsidRPr="00403220">
        <w:rPr>
          <w:rFonts w:cs="Times New Roman"/>
          <w:szCs w:val="24"/>
          <w:lang w:val="fr-CA"/>
        </w:rPr>
        <w:t>’</w:t>
      </w:r>
      <w:r w:rsidRPr="00403220">
        <w:rPr>
          <w:rFonts w:cs="Times New Roman"/>
          <w:szCs w:val="24"/>
          <w:lang w:val="fr-CA"/>
        </w:rPr>
        <w:t>un travailleur social quant au moment de rendre visite à une famille perturbée, ou celle d</w:t>
      </w:r>
      <w:r w:rsidR="008372AA" w:rsidRPr="00403220">
        <w:rPr>
          <w:rFonts w:cs="Times New Roman"/>
          <w:szCs w:val="24"/>
          <w:lang w:val="fr-CA"/>
        </w:rPr>
        <w:t>’</w:t>
      </w:r>
      <w:r w:rsidRPr="00403220">
        <w:rPr>
          <w:rFonts w:cs="Times New Roman"/>
          <w:szCs w:val="24"/>
          <w:lang w:val="fr-CA"/>
        </w:rPr>
        <w:t xml:space="preserve">un conducteur de </w:t>
      </w:r>
      <w:proofErr w:type="spellStart"/>
      <w:r w:rsidRPr="00403220">
        <w:rPr>
          <w:rFonts w:cs="Times New Roman"/>
          <w:szCs w:val="24"/>
          <w:lang w:val="fr-CA"/>
        </w:rPr>
        <w:t>chasse</w:t>
      </w:r>
      <w:r w:rsidR="00A54DAC" w:rsidRPr="00403220">
        <w:rPr>
          <w:rFonts w:cs="Times New Roman"/>
          <w:szCs w:val="24"/>
          <w:lang w:val="fr-CA"/>
        </w:rPr>
        <w:noBreakHyphen/>
      </w:r>
      <w:r w:rsidRPr="00403220">
        <w:rPr>
          <w:rFonts w:cs="Times New Roman"/>
          <w:szCs w:val="24"/>
          <w:lang w:val="fr-CA"/>
        </w:rPr>
        <w:t>neige</w:t>
      </w:r>
      <w:proofErr w:type="spellEnd"/>
      <w:r w:rsidRPr="00403220">
        <w:rPr>
          <w:rFonts w:cs="Times New Roman"/>
          <w:szCs w:val="24"/>
          <w:lang w:val="fr-CA"/>
        </w:rPr>
        <w:t xml:space="preserve"> quant au moment </w:t>
      </w:r>
      <w:r w:rsidR="008E09A3" w:rsidRPr="00403220">
        <w:rPr>
          <w:rFonts w:cs="Times New Roman"/>
          <w:szCs w:val="24"/>
          <w:lang w:val="fr-CA"/>
        </w:rPr>
        <w:t>d’</w:t>
      </w:r>
      <w:r w:rsidRPr="00403220">
        <w:rPr>
          <w:rFonts w:cs="Times New Roman"/>
          <w:szCs w:val="24"/>
          <w:lang w:val="fr-CA"/>
        </w:rPr>
        <w:t xml:space="preserve">épandre du sable sur une route glacée, </w:t>
      </w:r>
      <w:proofErr w:type="spellStart"/>
      <w:r w:rsidRPr="00403220">
        <w:rPr>
          <w:rFonts w:cs="Times New Roman"/>
          <w:szCs w:val="24"/>
          <w:lang w:val="fr-CA"/>
        </w:rPr>
        <w:t>sont</w:t>
      </w:r>
      <w:r w:rsidR="00A54DAC" w:rsidRPr="00403220">
        <w:rPr>
          <w:rFonts w:cs="Times New Roman"/>
          <w:szCs w:val="24"/>
          <w:lang w:val="fr-CA"/>
        </w:rPr>
        <w:noBreakHyphen/>
      </w:r>
      <w:r w:rsidRPr="00403220">
        <w:rPr>
          <w:rFonts w:cs="Times New Roman"/>
          <w:szCs w:val="24"/>
          <w:lang w:val="fr-CA"/>
        </w:rPr>
        <w:t>elles</w:t>
      </w:r>
      <w:proofErr w:type="spellEnd"/>
      <w:r w:rsidRPr="00403220">
        <w:rPr>
          <w:rFonts w:cs="Times New Roman"/>
          <w:szCs w:val="24"/>
          <w:lang w:val="fr-CA"/>
        </w:rPr>
        <w:t xml:space="preserve"> des décisions de politique </w:t>
      </w:r>
      <w:r w:rsidR="008E09A3" w:rsidRPr="00403220">
        <w:rPr>
          <w:rFonts w:cs="Times New Roman"/>
          <w:szCs w:val="24"/>
          <w:lang w:val="fr-CA"/>
        </w:rPr>
        <w:t xml:space="preserve">générale </w:t>
      </w:r>
      <w:r w:rsidRPr="00403220">
        <w:rPr>
          <w:rFonts w:cs="Times New Roman"/>
          <w:szCs w:val="24"/>
          <w:lang w:val="fr-CA"/>
        </w:rPr>
        <w:t xml:space="preserve">ou </w:t>
      </w:r>
      <w:r w:rsidR="008E09A3" w:rsidRPr="00403220">
        <w:rPr>
          <w:rFonts w:cs="Times New Roman"/>
          <w:szCs w:val="24"/>
          <w:lang w:val="fr-CA"/>
        </w:rPr>
        <w:t xml:space="preserve">des décisions </w:t>
      </w:r>
      <w:r w:rsidRPr="00403220">
        <w:rPr>
          <w:rFonts w:cs="Times New Roman"/>
          <w:szCs w:val="24"/>
          <w:lang w:val="fr-CA"/>
        </w:rPr>
        <w:t>opérationnelles?  On peut soutenir que les deux réponses sont bonnes, selon les circonstances.  Bien qu</w:t>
      </w:r>
      <w:r w:rsidR="008372AA" w:rsidRPr="00403220">
        <w:rPr>
          <w:rFonts w:cs="Times New Roman"/>
          <w:szCs w:val="24"/>
          <w:lang w:val="fr-CA"/>
        </w:rPr>
        <w:t>’</w:t>
      </w:r>
      <w:r w:rsidRPr="00403220">
        <w:rPr>
          <w:rFonts w:cs="Times New Roman"/>
          <w:szCs w:val="24"/>
          <w:lang w:val="fr-CA"/>
        </w:rPr>
        <w:t>elle illustre un facteur clé en raison duquel certains actes du gouvernement doivent généralement être à l</w:t>
      </w:r>
      <w:r w:rsidR="008372AA" w:rsidRPr="00403220">
        <w:rPr>
          <w:rFonts w:cs="Times New Roman"/>
          <w:szCs w:val="24"/>
          <w:lang w:val="fr-CA"/>
        </w:rPr>
        <w:t>’</w:t>
      </w:r>
      <w:r w:rsidRPr="00403220">
        <w:rPr>
          <w:rFonts w:cs="Times New Roman"/>
          <w:szCs w:val="24"/>
          <w:lang w:val="fr-CA"/>
        </w:rPr>
        <w:t xml:space="preserve">abri de toute responsabilité, la distinction politique </w:t>
      </w:r>
      <w:proofErr w:type="spellStart"/>
      <w:r w:rsidR="008E09A3" w:rsidRPr="00403220">
        <w:rPr>
          <w:rFonts w:cs="Times New Roman"/>
          <w:szCs w:val="24"/>
          <w:lang w:val="fr-CA"/>
        </w:rPr>
        <w:t>générale</w:t>
      </w:r>
      <w:r w:rsidR="00A54DAC" w:rsidRPr="00403220">
        <w:rPr>
          <w:rFonts w:cs="Times New Roman"/>
          <w:szCs w:val="24"/>
          <w:lang w:val="fr-CA"/>
        </w:rPr>
        <w:noBreakHyphen/>
      </w:r>
      <w:r w:rsidRPr="00403220">
        <w:rPr>
          <w:rFonts w:cs="Times New Roman"/>
          <w:szCs w:val="24"/>
          <w:lang w:val="fr-CA"/>
        </w:rPr>
        <w:t>opérations</w:t>
      </w:r>
      <w:proofErr w:type="spellEnd"/>
      <w:r w:rsidRPr="00403220">
        <w:rPr>
          <w:rFonts w:cs="Times New Roman"/>
          <w:szCs w:val="24"/>
          <w:lang w:val="fr-CA"/>
        </w:rPr>
        <w:t xml:space="preserve"> ne constitue pas un</w:t>
      </w:r>
      <w:r w:rsidR="007118A3" w:rsidRPr="00403220">
        <w:rPr>
          <w:rFonts w:cs="Times New Roman"/>
          <w:szCs w:val="24"/>
          <w:lang w:val="fr-CA"/>
        </w:rPr>
        <w:t xml:space="preserve"> critère juridique très utile.</w:t>
      </w:r>
    </w:p>
    <w:p w:rsidR="0047179D" w:rsidRPr="00403220" w:rsidRDefault="0047179D" w:rsidP="009168E8">
      <w:pPr>
        <w:pStyle w:val="ParaNoNdepar-AltN"/>
        <w:rPr>
          <w:rFonts w:cs="Times New Roman"/>
          <w:szCs w:val="24"/>
          <w:u w:val="single"/>
          <w:lang w:val="fr-CA"/>
        </w:rPr>
      </w:pP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historique du traitement de la question par différents tribunaux illustre la difficulté que présente l</w:t>
      </w:r>
      <w:r w:rsidR="008372AA" w:rsidRPr="00403220">
        <w:rPr>
          <w:rFonts w:cs="Times New Roman"/>
          <w:szCs w:val="24"/>
          <w:lang w:val="fr-CA"/>
        </w:rPr>
        <w:t>’</w:t>
      </w:r>
      <w:r w:rsidRPr="00403220">
        <w:rPr>
          <w:rFonts w:cs="Times New Roman"/>
          <w:szCs w:val="24"/>
          <w:lang w:val="fr-CA"/>
        </w:rPr>
        <w:t>élaboration d</w:t>
      </w:r>
      <w:r w:rsidR="008372AA" w:rsidRPr="00403220">
        <w:rPr>
          <w:rFonts w:cs="Times New Roman"/>
          <w:szCs w:val="24"/>
          <w:lang w:val="fr-CA"/>
        </w:rPr>
        <w:t>’</w:t>
      </w:r>
      <w:r w:rsidRPr="00403220">
        <w:rPr>
          <w:rFonts w:cs="Times New Roman"/>
          <w:szCs w:val="24"/>
          <w:lang w:val="fr-CA"/>
        </w:rPr>
        <w:t xml:space="preserve">un critère utile pour décrire les décisions de </w:t>
      </w:r>
      <w:r w:rsidRPr="00403220">
        <w:rPr>
          <w:rFonts w:cs="Times New Roman"/>
          <w:szCs w:val="24"/>
          <w:lang w:val="fr-CA"/>
        </w:rPr>
        <w:lastRenderedPageBreak/>
        <w:t xml:space="preserve">politique </w:t>
      </w:r>
      <w:r w:rsidR="006603C4" w:rsidRPr="00403220">
        <w:rPr>
          <w:rFonts w:cs="Times New Roman"/>
          <w:szCs w:val="24"/>
          <w:lang w:val="fr-CA"/>
        </w:rPr>
        <w:t>générale</w:t>
      </w:r>
      <w:r w:rsidR="008E09A3" w:rsidRPr="00403220">
        <w:rPr>
          <w:rFonts w:cs="Times New Roman"/>
          <w:szCs w:val="24"/>
          <w:lang w:val="fr-CA"/>
        </w:rPr>
        <w:t xml:space="preserve"> </w:t>
      </w:r>
      <w:r w:rsidRPr="00403220">
        <w:rPr>
          <w:rFonts w:cs="Times New Roman"/>
          <w:szCs w:val="24"/>
          <w:lang w:val="fr-CA"/>
        </w:rPr>
        <w:t xml:space="preserve">soustraites au contrôle judiciaire. </w:t>
      </w:r>
      <w:r w:rsidR="00891AB5">
        <w:rPr>
          <w:rFonts w:cs="Times New Roman"/>
          <w:szCs w:val="24"/>
          <w:lang w:val="fr-CA"/>
        </w:rPr>
        <w:t xml:space="preserve"> Commençons par la Chambre des l</w:t>
      </w:r>
      <w:r w:rsidRPr="00403220">
        <w:rPr>
          <w:rFonts w:cs="Times New Roman"/>
          <w:szCs w:val="24"/>
          <w:lang w:val="fr-CA"/>
        </w:rPr>
        <w:t xml:space="preserve">ords, qui estimait au départ que toutes les décisions discrétionnaires du gouvernement </w:t>
      </w:r>
      <w:r w:rsidR="00E738EE" w:rsidRPr="00403220">
        <w:rPr>
          <w:rFonts w:cs="Times New Roman"/>
          <w:szCs w:val="24"/>
          <w:lang w:val="fr-CA"/>
        </w:rPr>
        <w:t xml:space="preserve">qui ne sont pas irrationnelles </w:t>
      </w:r>
      <w:r w:rsidRPr="00403220">
        <w:rPr>
          <w:rFonts w:cs="Times New Roman"/>
          <w:szCs w:val="24"/>
          <w:lang w:val="fr-CA"/>
        </w:rPr>
        <w:t xml:space="preserve">sont </w:t>
      </w:r>
      <w:r w:rsidR="00AF212E" w:rsidRPr="00403220">
        <w:rPr>
          <w:rFonts w:cs="Times New Roman"/>
          <w:szCs w:val="24"/>
          <w:lang w:val="fr-CA"/>
        </w:rPr>
        <w:t xml:space="preserve">soustraites au </w:t>
      </w:r>
      <w:r w:rsidRPr="00403220">
        <w:rPr>
          <w:rFonts w:cs="Times New Roman"/>
          <w:szCs w:val="24"/>
          <w:lang w:val="fr-CA"/>
        </w:rPr>
        <w:t>contrôle judiciaire</w:t>
      </w:r>
      <w:r w:rsidR="00A54DAC" w:rsidRPr="00403220">
        <w:rPr>
          <w:rFonts w:cs="Times New Roman"/>
          <w:szCs w:val="24"/>
          <w:lang w:val="fr-CA"/>
        </w:rPr>
        <w:t> :</w:t>
      </w:r>
      <w:r w:rsidRPr="00403220">
        <w:rPr>
          <w:rFonts w:cs="Times New Roman"/>
          <w:szCs w:val="24"/>
          <w:lang w:val="fr-CA"/>
        </w:rPr>
        <w:t xml:space="preserve"> </w:t>
      </w:r>
      <w:r w:rsidR="00D66E6F">
        <w:rPr>
          <w:rFonts w:cs="Times New Roman"/>
          <w:i/>
          <w:szCs w:val="24"/>
          <w:lang w:val="fr-CA"/>
        </w:rPr>
        <w:t>Dorset Yach</w:t>
      </w:r>
      <w:r w:rsidR="00B16FD1">
        <w:rPr>
          <w:rFonts w:cs="Times New Roman"/>
          <w:i/>
          <w:szCs w:val="24"/>
          <w:lang w:val="fr-CA"/>
        </w:rPr>
        <w:t>t</w:t>
      </w:r>
      <w:r w:rsidRPr="00403220">
        <w:rPr>
          <w:rFonts w:cs="Times New Roman"/>
          <w:i/>
          <w:szCs w:val="24"/>
          <w:lang w:val="fr-CA"/>
        </w:rPr>
        <w:t>.</w:t>
      </w:r>
      <w:r w:rsidRPr="00403220">
        <w:rPr>
          <w:rFonts w:cs="Times New Roman"/>
          <w:szCs w:val="24"/>
          <w:lang w:val="fr-CA"/>
        </w:rPr>
        <w:t xml:space="preserve">  Elle a ensuite appliqué un critère à deux volets, en se demandant en premier lieu si la décision était discrétionnaire et, dans l</w:t>
      </w:r>
      <w:r w:rsidR="008372AA" w:rsidRPr="00403220">
        <w:rPr>
          <w:rFonts w:cs="Times New Roman"/>
          <w:szCs w:val="24"/>
          <w:lang w:val="fr-CA"/>
        </w:rPr>
        <w:t>’</w:t>
      </w:r>
      <w:r w:rsidRPr="00403220">
        <w:rPr>
          <w:rFonts w:cs="Times New Roman"/>
          <w:szCs w:val="24"/>
          <w:lang w:val="fr-CA"/>
        </w:rPr>
        <w:t>affirmative, si elle était rationnelle; elle s</w:t>
      </w:r>
      <w:r w:rsidR="008372AA" w:rsidRPr="00403220">
        <w:rPr>
          <w:rFonts w:cs="Times New Roman"/>
          <w:szCs w:val="24"/>
          <w:lang w:val="fr-CA"/>
        </w:rPr>
        <w:t>’</w:t>
      </w:r>
      <w:r w:rsidRPr="00403220">
        <w:rPr>
          <w:rFonts w:cs="Times New Roman"/>
          <w:szCs w:val="24"/>
          <w:lang w:val="fr-CA"/>
        </w:rPr>
        <w:t>est demandé en second lieu s</w:t>
      </w:r>
      <w:r w:rsidR="008372AA" w:rsidRPr="00403220">
        <w:rPr>
          <w:rFonts w:cs="Times New Roman"/>
          <w:szCs w:val="24"/>
          <w:lang w:val="fr-CA"/>
        </w:rPr>
        <w:t>’</w:t>
      </w:r>
      <w:r w:rsidRPr="00403220">
        <w:rPr>
          <w:rFonts w:cs="Times New Roman"/>
          <w:szCs w:val="24"/>
          <w:lang w:val="fr-CA"/>
        </w:rPr>
        <w:t>il s</w:t>
      </w:r>
      <w:r w:rsidR="008372AA" w:rsidRPr="00403220">
        <w:rPr>
          <w:rFonts w:cs="Times New Roman"/>
          <w:szCs w:val="24"/>
          <w:lang w:val="fr-CA"/>
        </w:rPr>
        <w:t>’</w:t>
      </w:r>
      <w:r w:rsidRPr="00403220">
        <w:rPr>
          <w:rFonts w:cs="Times New Roman"/>
          <w:szCs w:val="24"/>
          <w:lang w:val="fr-CA"/>
        </w:rPr>
        <w:t>agissait d</w:t>
      </w:r>
      <w:r w:rsidR="008372AA" w:rsidRPr="00403220">
        <w:rPr>
          <w:rFonts w:cs="Times New Roman"/>
          <w:szCs w:val="24"/>
          <w:lang w:val="fr-CA"/>
        </w:rPr>
        <w:t>’</w:t>
      </w:r>
      <w:r w:rsidRPr="00403220">
        <w:rPr>
          <w:rFonts w:cs="Times New Roman"/>
          <w:szCs w:val="24"/>
          <w:lang w:val="fr-CA"/>
        </w:rPr>
        <w:t xml:space="preserve">une décision </w:t>
      </w:r>
      <w:r w:rsidR="00856C6C" w:rsidRPr="00403220">
        <w:rPr>
          <w:rFonts w:cs="Times New Roman"/>
          <w:szCs w:val="24"/>
          <w:lang w:val="fr-CA"/>
        </w:rPr>
        <w:t>de politique fondamentale</w:t>
      </w:r>
      <w:r w:rsidR="00AF212E" w:rsidRPr="00403220">
        <w:rPr>
          <w:rFonts w:cs="Times New Roman"/>
          <w:szCs w:val="24"/>
          <w:lang w:val="fr-CA"/>
        </w:rPr>
        <w:t>,</w:t>
      </w:r>
      <w:r w:rsidRPr="00403220">
        <w:rPr>
          <w:rFonts w:cs="Times New Roman"/>
          <w:szCs w:val="24"/>
          <w:lang w:val="fr-CA"/>
        </w:rPr>
        <w:t xml:space="preserve"> et donc entièrement soustraite à l</w:t>
      </w:r>
      <w:r w:rsidR="008372AA" w:rsidRPr="00403220">
        <w:rPr>
          <w:rFonts w:cs="Times New Roman"/>
          <w:szCs w:val="24"/>
          <w:lang w:val="fr-CA"/>
        </w:rPr>
        <w:t>’</w:t>
      </w:r>
      <w:r w:rsidRPr="00403220">
        <w:rPr>
          <w:rFonts w:cs="Times New Roman"/>
          <w:szCs w:val="24"/>
          <w:lang w:val="fr-CA"/>
        </w:rPr>
        <w:t>examen judiciaire</w:t>
      </w:r>
      <w:r w:rsidR="00A54DAC" w:rsidRPr="00403220">
        <w:rPr>
          <w:rFonts w:cs="Times New Roman"/>
          <w:szCs w:val="24"/>
          <w:lang w:val="fr-CA"/>
        </w:rPr>
        <w:t> :</w:t>
      </w:r>
      <w:r w:rsidRPr="00403220">
        <w:rPr>
          <w:rFonts w:cs="Times New Roman"/>
          <w:szCs w:val="24"/>
          <w:lang w:val="fr-CA"/>
        </w:rPr>
        <w:t xml:space="preserve"> </w:t>
      </w:r>
      <w:r w:rsidRPr="00403220">
        <w:rPr>
          <w:rFonts w:cs="Times New Roman"/>
          <w:i/>
          <w:szCs w:val="24"/>
          <w:lang w:val="fr-CA"/>
        </w:rPr>
        <w:t>X c. Bedfor</w:t>
      </w:r>
      <w:r w:rsidR="00D66E6F">
        <w:rPr>
          <w:rFonts w:cs="Times New Roman"/>
          <w:i/>
          <w:szCs w:val="24"/>
          <w:lang w:val="fr-CA"/>
        </w:rPr>
        <w:t>d</w:t>
      </w:r>
      <w:r w:rsidRPr="00403220">
        <w:rPr>
          <w:rFonts w:cs="Times New Roman"/>
          <w:i/>
          <w:szCs w:val="24"/>
          <w:lang w:val="fr-CA"/>
        </w:rPr>
        <w:t xml:space="preserve">shire </w:t>
      </w:r>
      <w:proofErr w:type="spellStart"/>
      <w:r w:rsidRPr="00403220">
        <w:rPr>
          <w:rFonts w:cs="Times New Roman"/>
          <w:i/>
          <w:szCs w:val="24"/>
          <w:lang w:val="fr-CA"/>
        </w:rPr>
        <w:t>County</w:t>
      </w:r>
      <w:proofErr w:type="spellEnd"/>
      <w:r w:rsidRPr="00403220">
        <w:rPr>
          <w:rFonts w:cs="Times New Roman"/>
          <w:i/>
          <w:szCs w:val="24"/>
          <w:lang w:val="fr-CA"/>
        </w:rPr>
        <w:t xml:space="preserve"> Council</w:t>
      </w:r>
      <w:r w:rsidR="00BA3188" w:rsidRPr="00403220">
        <w:rPr>
          <w:rFonts w:cs="Times New Roman"/>
          <w:szCs w:val="24"/>
          <w:lang w:val="fr-CA"/>
        </w:rPr>
        <w:t>, [1995] 3 All E.R. 353</w:t>
      </w:r>
      <w:r w:rsidRPr="00403220">
        <w:rPr>
          <w:rFonts w:cs="Times New Roman"/>
          <w:szCs w:val="24"/>
          <w:lang w:val="fr-CA"/>
        </w:rPr>
        <w:t>.  Moins d</w:t>
      </w:r>
      <w:r w:rsidR="008372AA" w:rsidRPr="00403220">
        <w:rPr>
          <w:rFonts w:cs="Times New Roman"/>
          <w:szCs w:val="24"/>
          <w:lang w:val="fr-CA"/>
        </w:rPr>
        <w:t>’</w:t>
      </w:r>
      <w:r w:rsidRPr="00403220">
        <w:rPr>
          <w:rFonts w:cs="Times New Roman"/>
          <w:szCs w:val="24"/>
          <w:lang w:val="fr-CA"/>
        </w:rPr>
        <w:t>un an après avoir retenu ce critère</w:t>
      </w:r>
      <w:r w:rsidR="00891AB5">
        <w:rPr>
          <w:rFonts w:cs="Times New Roman"/>
          <w:szCs w:val="24"/>
          <w:lang w:val="fr-CA"/>
        </w:rPr>
        <w:t xml:space="preserve"> à deux volets, la Chambre des l</w:t>
      </w:r>
      <w:r w:rsidRPr="00403220">
        <w:rPr>
          <w:rFonts w:cs="Times New Roman"/>
          <w:szCs w:val="24"/>
          <w:lang w:val="fr-CA"/>
        </w:rPr>
        <w:t>ords l</w:t>
      </w:r>
      <w:r w:rsidR="008372AA" w:rsidRPr="00403220">
        <w:rPr>
          <w:rFonts w:cs="Times New Roman"/>
          <w:szCs w:val="24"/>
          <w:lang w:val="fr-CA"/>
        </w:rPr>
        <w:t>’</w:t>
      </w:r>
      <w:r w:rsidRPr="00403220">
        <w:rPr>
          <w:rFonts w:cs="Times New Roman"/>
          <w:szCs w:val="24"/>
          <w:lang w:val="fr-CA"/>
        </w:rPr>
        <w:t>a laissé tomber en déclamant de manière retentissante que le critère politique générale</w:t>
      </w:r>
      <w:r w:rsidR="00D66E6F">
        <w:rPr>
          <w:rFonts w:cs="Times New Roman"/>
          <w:szCs w:val="24"/>
          <w:lang w:val="fr-CA"/>
        </w:rPr>
        <w:t>-</w:t>
      </w:r>
      <w:r w:rsidR="00AF212E" w:rsidRPr="00403220">
        <w:rPr>
          <w:rFonts w:cs="Times New Roman"/>
          <w:szCs w:val="24"/>
          <w:lang w:val="fr-CA"/>
        </w:rPr>
        <w:t>opération</w:t>
      </w:r>
      <w:r w:rsidR="00E738EE" w:rsidRPr="00403220">
        <w:rPr>
          <w:rFonts w:cs="Times New Roman"/>
          <w:szCs w:val="24"/>
          <w:lang w:val="fr-CA"/>
        </w:rPr>
        <w:t>s</w:t>
      </w:r>
      <w:r w:rsidR="00AF212E" w:rsidRPr="00403220">
        <w:rPr>
          <w:rFonts w:cs="Times New Roman"/>
          <w:szCs w:val="24"/>
          <w:lang w:val="fr-CA"/>
        </w:rPr>
        <w:t xml:space="preserve"> </w:t>
      </w:r>
      <w:r w:rsidRPr="00403220">
        <w:rPr>
          <w:rFonts w:cs="Times New Roman"/>
          <w:szCs w:val="24"/>
          <w:lang w:val="fr-CA"/>
        </w:rPr>
        <w:t>était inapplicable dans les cas difficiles, ce dont témoigner</w:t>
      </w:r>
      <w:r w:rsidR="008E09A3" w:rsidRPr="00403220">
        <w:rPr>
          <w:rFonts w:cs="Times New Roman"/>
          <w:szCs w:val="24"/>
          <w:lang w:val="fr-CA"/>
        </w:rPr>
        <w:t>ait la jurisprudence canadienne</w:t>
      </w:r>
      <w:r w:rsidR="00A54DAC" w:rsidRPr="00403220">
        <w:rPr>
          <w:rFonts w:cs="Times New Roman"/>
          <w:szCs w:val="24"/>
          <w:lang w:val="fr-CA"/>
        </w:rPr>
        <w:t> :</w:t>
      </w:r>
      <w:r w:rsidR="008E09A3" w:rsidRPr="00403220">
        <w:rPr>
          <w:rFonts w:cs="Times New Roman"/>
          <w:szCs w:val="24"/>
          <w:lang w:val="fr-CA"/>
        </w:rPr>
        <w:t xml:space="preserve"> </w:t>
      </w:r>
      <w:proofErr w:type="spellStart"/>
      <w:r w:rsidR="008E09A3" w:rsidRPr="00403220">
        <w:rPr>
          <w:rFonts w:cs="Times New Roman"/>
          <w:i/>
          <w:szCs w:val="24"/>
          <w:lang w:val="fr-CA"/>
        </w:rPr>
        <w:t>Stovin</w:t>
      </w:r>
      <w:proofErr w:type="spellEnd"/>
      <w:r w:rsidR="008E09A3" w:rsidRPr="00403220">
        <w:rPr>
          <w:rFonts w:cs="Times New Roman"/>
          <w:i/>
          <w:szCs w:val="24"/>
          <w:lang w:val="fr-CA"/>
        </w:rPr>
        <w:t xml:space="preserve"> c. Wise</w:t>
      </w:r>
      <w:r w:rsidR="00D66E6F">
        <w:rPr>
          <w:rFonts w:cs="Times New Roman"/>
          <w:szCs w:val="24"/>
          <w:lang w:val="fr-CA"/>
        </w:rPr>
        <w:t>, [1996] A.C. 9</w:t>
      </w:r>
      <w:r w:rsidR="008E09A3" w:rsidRPr="00403220">
        <w:rPr>
          <w:rFonts w:cs="Times New Roman"/>
          <w:szCs w:val="24"/>
          <w:lang w:val="fr-CA"/>
        </w:rPr>
        <w:t>2</w:t>
      </w:r>
      <w:r w:rsidR="00D66E6F">
        <w:rPr>
          <w:rFonts w:cs="Times New Roman"/>
          <w:szCs w:val="24"/>
          <w:lang w:val="fr-CA"/>
        </w:rPr>
        <w:t>3</w:t>
      </w:r>
      <w:r w:rsidR="008E09A3" w:rsidRPr="00403220">
        <w:rPr>
          <w:rFonts w:cs="Times New Roman"/>
          <w:szCs w:val="24"/>
          <w:lang w:val="fr-CA"/>
        </w:rPr>
        <w:t xml:space="preserve"> (H.L.), </w:t>
      </w:r>
      <w:r w:rsidRPr="00403220">
        <w:rPr>
          <w:rFonts w:cs="Times New Roman"/>
          <w:szCs w:val="24"/>
          <w:lang w:val="fr-CA"/>
        </w:rPr>
        <w:t xml:space="preserve">lord </w:t>
      </w:r>
      <w:r w:rsidR="008E09A3" w:rsidRPr="00403220">
        <w:rPr>
          <w:rFonts w:cs="Times New Roman"/>
          <w:szCs w:val="24"/>
          <w:lang w:val="fr-CA"/>
        </w:rPr>
        <w:t>Hoffman</w:t>
      </w:r>
      <w:r w:rsidR="00891AB5">
        <w:rPr>
          <w:rFonts w:cs="Times New Roman"/>
          <w:szCs w:val="24"/>
          <w:lang w:val="fr-CA"/>
        </w:rPr>
        <w:t>n</w:t>
      </w:r>
      <w:r w:rsidRPr="00403220">
        <w:rPr>
          <w:rFonts w:cs="Times New Roman"/>
          <w:szCs w:val="24"/>
          <w:lang w:val="fr-CA"/>
        </w:rPr>
        <w:t>.  Lors de sa dernière incursion d</w:t>
      </w:r>
      <w:r w:rsidR="00891AB5">
        <w:rPr>
          <w:rFonts w:cs="Times New Roman"/>
          <w:szCs w:val="24"/>
          <w:lang w:val="fr-CA"/>
        </w:rPr>
        <w:t>ans ce domaine, la Chambre des l</w:t>
      </w:r>
      <w:r w:rsidRPr="00403220">
        <w:rPr>
          <w:rFonts w:cs="Times New Roman"/>
          <w:szCs w:val="24"/>
          <w:lang w:val="fr-CA"/>
        </w:rPr>
        <w:t xml:space="preserve">ords a mentionné que tant le critère politique </w:t>
      </w:r>
      <w:proofErr w:type="spellStart"/>
      <w:r w:rsidRPr="00403220">
        <w:rPr>
          <w:rFonts w:cs="Times New Roman"/>
          <w:szCs w:val="24"/>
          <w:lang w:val="fr-CA"/>
        </w:rPr>
        <w:t>générale</w:t>
      </w:r>
      <w:r w:rsidR="00A54DAC" w:rsidRPr="00403220">
        <w:rPr>
          <w:rFonts w:cs="Times New Roman"/>
          <w:szCs w:val="24"/>
          <w:lang w:val="fr-CA"/>
        </w:rPr>
        <w:noBreakHyphen/>
      </w:r>
      <w:r w:rsidR="00AF212E" w:rsidRPr="00403220">
        <w:rPr>
          <w:rFonts w:cs="Times New Roman"/>
          <w:szCs w:val="24"/>
          <w:lang w:val="fr-CA"/>
        </w:rPr>
        <w:t>opération</w:t>
      </w:r>
      <w:r w:rsidR="00E738EE" w:rsidRPr="00403220">
        <w:rPr>
          <w:rFonts w:cs="Times New Roman"/>
          <w:szCs w:val="24"/>
          <w:lang w:val="fr-CA"/>
        </w:rPr>
        <w:t>s</w:t>
      </w:r>
      <w:proofErr w:type="spellEnd"/>
      <w:r w:rsidRPr="00403220">
        <w:rPr>
          <w:rFonts w:cs="Times New Roman"/>
          <w:szCs w:val="24"/>
          <w:lang w:val="fr-CA"/>
        </w:rPr>
        <w:t xml:space="preserve"> </w:t>
      </w:r>
      <w:r w:rsidR="00AF212E" w:rsidRPr="00403220">
        <w:rPr>
          <w:rFonts w:cs="Times New Roman"/>
          <w:szCs w:val="24"/>
          <w:lang w:val="fr-CA"/>
        </w:rPr>
        <w:t xml:space="preserve">que </w:t>
      </w:r>
      <w:r w:rsidR="003F642C" w:rsidRPr="00403220">
        <w:rPr>
          <w:rFonts w:cs="Times New Roman"/>
          <w:szCs w:val="24"/>
          <w:lang w:val="fr-CA"/>
        </w:rPr>
        <w:t>l’analyse fondée sur la notion de</w:t>
      </w:r>
      <w:r w:rsidRPr="00403220">
        <w:rPr>
          <w:rFonts w:cs="Times New Roman"/>
          <w:szCs w:val="24"/>
          <w:lang w:val="fr-CA"/>
        </w:rPr>
        <w:t xml:space="preserve"> décision discrétionnaire sont utiles pour déterminer </w:t>
      </w:r>
      <w:r w:rsidR="00AF212E" w:rsidRPr="00403220">
        <w:rPr>
          <w:rFonts w:cs="Times New Roman"/>
          <w:szCs w:val="24"/>
          <w:lang w:val="fr-CA"/>
        </w:rPr>
        <w:t xml:space="preserve">les </w:t>
      </w:r>
      <w:r w:rsidRPr="00403220">
        <w:rPr>
          <w:rFonts w:cs="Times New Roman"/>
          <w:szCs w:val="24"/>
          <w:lang w:val="fr-CA"/>
        </w:rPr>
        <w:t xml:space="preserve">décisions du gouvernement </w:t>
      </w:r>
      <w:r w:rsidR="00AF212E" w:rsidRPr="00403220">
        <w:rPr>
          <w:rFonts w:cs="Times New Roman"/>
          <w:szCs w:val="24"/>
          <w:lang w:val="fr-CA"/>
        </w:rPr>
        <w:t xml:space="preserve">qui </w:t>
      </w:r>
      <w:r w:rsidRPr="00403220">
        <w:rPr>
          <w:rFonts w:cs="Times New Roman"/>
          <w:szCs w:val="24"/>
          <w:lang w:val="fr-CA"/>
        </w:rPr>
        <w:t xml:space="preserve">engagent la responsabilité délictuelle de </w:t>
      </w:r>
      <w:proofErr w:type="spellStart"/>
      <w:r w:rsidRPr="00403220">
        <w:rPr>
          <w:rFonts w:cs="Times New Roman"/>
          <w:szCs w:val="24"/>
          <w:lang w:val="fr-CA"/>
        </w:rPr>
        <w:t>celui</w:t>
      </w:r>
      <w:r w:rsidR="00A54DAC" w:rsidRPr="00403220">
        <w:rPr>
          <w:rFonts w:cs="Times New Roman"/>
          <w:szCs w:val="24"/>
          <w:lang w:val="fr-CA"/>
        </w:rPr>
        <w:noBreakHyphen/>
      </w:r>
      <w:r w:rsidRPr="00403220">
        <w:rPr>
          <w:rFonts w:cs="Times New Roman"/>
          <w:szCs w:val="24"/>
          <w:lang w:val="fr-CA"/>
        </w:rPr>
        <w:t>ci</w:t>
      </w:r>
      <w:proofErr w:type="spellEnd"/>
      <w:r w:rsidRPr="00403220">
        <w:rPr>
          <w:rFonts w:cs="Times New Roman"/>
          <w:szCs w:val="24"/>
          <w:lang w:val="fr-CA"/>
        </w:rPr>
        <w:t>, mais elle a jugé que le critère fina</w:t>
      </w:r>
      <w:r w:rsidR="00856C6C" w:rsidRPr="00403220">
        <w:rPr>
          <w:rFonts w:cs="Times New Roman"/>
          <w:szCs w:val="24"/>
          <w:lang w:val="fr-CA"/>
        </w:rPr>
        <w:t>l en est un de « </w:t>
      </w:r>
      <w:proofErr w:type="spellStart"/>
      <w:r w:rsidR="00856C6C" w:rsidRPr="00403220">
        <w:rPr>
          <w:rFonts w:cs="Times New Roman"/>
          <w:szCs w:val="24"/>
          <w:lang w:val="fr-CA"/>
        </w:rPr>
        <w:t>justiciabilité</w:t>
      </w:r>
      <w:proofErr w:type="spellEnd"/>
      <w:r w:rsidR="00856C6C" w:rsidRPr="00403220">
        <w:rPr>
          <w:rFonts w:cs="Times New Roman"/>
          <w:szCs w:val="24"/>
          <w:lang w:val="fr-CA"/>
        </w:rPr>
        <w:t> </w:t>
      </w:r>
      <w:r w:rsidRPr="00403220">
        <w:rPr>
          <w:rFonts w:cs="Times New Roman"/>
          <w:szCs w:val="24"/>
          <w:lang w:val="fr-CA"/>
        </w:rPr>
        <w:t>»</w:t>
      </w:r>
      <w:r w:rsidR="00A54DAC" w:rsidRPr="00403220">
        <w:rPr>
          <w:rFonts w:cs="Times New Roman"/>
          <w:szCs w:val="24"/>
          <w:lang w:val="fr-CA"/>
        </w:rPr>
        <w:t> :</w:t>
      </w:r>
      <w:r w:rsidRPr="00403220">
        <w:rPr>
          <w:rFonts w:cs="Times New Roman"/>
          <w:szCs w:val="24"/>
          <w:lang w:val="fr-CA"/>
        </w:rPr>
        <w:t xml:space="preserve"> </w:t>
      </w:r>
      <w:proofErr w:type="spellStart"/>
      <w:r w:rsidRPr="00403220">
        <w:rPr>
          <w:rFonts w:cs="Times New Roman"/>
          <w:i/>
          <w:szCs w:val="24"/>
          <w:lang w:val="fr-CA"/>
        </w:rPr>
        <w:t>Barrett</w:t>
      </w:r>
      <w:proofErr w:type="spellEnd"/>
      <w:r w:rsidRPr="00403220">
        <w:rPr>
          <w:rFonts w:cs="Times New Roman"/>
          <w:i/>
          <w:szCs w:val="24"/>
          <w:lang w:val="fr-CA"/>
        </w:rPr>
        <w:t xml:space="preserve"> c. Enfield</w:t>
      </w:r>
      <w:r w:rsidR="00BA3188" w:rsidRPr="00403220">
        <w:rPr>
          <w:rFonts w:cs="Times New Roman"/>
          <w:i/>
          <w:szCs w:val="24"/>
          <w:lang w:val="fr-CA"/>
        </w:rPr>
        <w:t xml:space="preserve"> London Borough Council</w:t>
      </w:r>
      <w:r w:rsidRPr="00403220">
        <w:rPr>
          <w:rFonts w:cs="Times New Roman"/>
          <w:szCs w:val="24"/>
          <w:lang w:val="fr-CA"/>
        </w:rPr>
        <w:t>, [2001] 2 A.C. 550.  Selon ce critère, il s</w:t>
      </w:r>
      <w:r w:rsidR="008372AA" w:rsidRPr="00403220">
        <w:rPr>
          <w:rFonts w:cs="Times New Roman"/>
          <w:szCs w:val="24"/>
          <w:lang w:val="fr-CA"/>
        </w:rPr>
        <w:t>’</w:t>
      </w:r>
      <w:r w:rsidRPr="00403220">
        <w:rPr>
          <w:rFonts w:cs="Times New Roman"/>
          <w:szCs w:val="24"/>
          <w:lang w:val="fr-CA"/>
        </w:rPr>
        <w:t>agit de savoir, en définitive, si le tribunal est habile, sur le plan institutionnel, à trancher la question ou [</w:t>
      </w:r>
      <w:r w:rsidRPr="00403220">
        <w:rPr>
          <w:rFonts w:cs="Times New Roman"/>
          <w:smallCaps/>
          <w:szCs w:val="24"/>
          <w:lang w:val="fr-CA"/>
        </w:rPr>
        <w:t>traduction</w:t>
      </w:r>
      <w:r w:rsidRPr="00403220">
        <w:rPr>
          <w:rFonts w:cs="Times New Roman"/>
          <w:szCs w:val="24"/>
          <w:lang w:val="fr-CA"/>
        </w:rPr>
        <w:t xml:space="preserve">] </w:t>
      </w:r>
      <w:r w:rsidR="00856C6C" w:rsidRPr="00403220">
        <w:rPr>
          <w:rFonts w:cs="Times New Roman"/>
          <w:szCs w:val="24"/>
          <w:lang w:val="fr-CA"/>
        </w:rPr>
        <w:t>« </w:t>
      </w:r>
      <w:r w:rsidRPr="00403220">
        <w:rPr>
          <w:rFonts w:cs="Times New Roman"/>
          <w:szCs w:val="24"/>
          <w:lang w:val="fr-CA"/>
        </w:rPr>
        <w:t>si le tribunal doit reconnaître qu</w:t>
      </w:r>
      <w:r w:rsidR="008372AA" w:rsidRPr="00403220">
        <w:rPr>
          <w:rFonts w:cs="Times New Roman"/>
          <w:szCs w:val="24"/>
          <w:lang w:val="fr-CA"/>
        </w:rPr>
        <w:t>’</w:t>
      </w:r>
      <w:r w:rsidRPr="00403220">
        <w:rPr>
          <w:rFonts w:cs="Times New Roman"/>
          <w:szCs w:val="24"/>
          <w:lang w:val="fr-CA"/>
        </w:rPr>
        <w:t>il n</w:t>
      </w:r>
      <w:r w:rsidR="008372AA" w:rsidRPr="00403220">
        <w:rPr>
          <w:rFonts w:cs="Times New Roman"/>
          <w:szCs w:val="24"/>
          <w:lang w:val="fr-CA"/>
        </w:rPr>
        <w:t>’</w:t>
      </w:r>
      <w:r w:rsidRPr="00403220">
        <w:rPr>
          <w:rFonts w:cs="Times New Roman"/>
          <w:szCs w:val="24"/>
          <w:lang w:val="fr-CA"/>
        </w:rPr>
        <w:t>a pas à intervenir » (</w:t>
      </w:r>
      <w:r w:rsidR="00A54DAC" w:rsidRPr="00403220">
        <w:rPr>
          <w:rFonts w:cs="Times New Roman"/>
          <w:szCs w:val="24"/>
          <w:lang w:val="fr-CA"/>
        </w:rPr>
        <w:t>p. </w:t>
      </w:r>
      <w:r w:rsidRPr="00403220">
        <w:rPr>
          <w:rFonts w:cs="Times New Roman"/>
          <w:szCs w:val="24"/>
          <w:lang w:val="fr-CA"/>
        </w:rPr>
        <w:t xml:space="preserve">571).  Ainsi, à la fin </w:t>
      </w:r>
      <w:r w:rsidR="003F642C" w:rsidRPr="00403220">
        <w:rPr>
          <w:rFonts w:cs="Times New Roman"/>
          <w:szCs w:val="24"/>
          <w:lang w:val="fr-CA"/>
        </w:rPr>
        <w:t>de ce</w:t>
      </w:r>
      <w:r w:rsidRPr="00403220">
        <w:rPr>
          <w:rFonts w:cs="Times New Roman"/>
          <w:szCs w:val="24"/>
          <w:lang w:val="fr-CA"/>
        </w:rPr>
        <w:t xml:space="preserve"> long périple </w:t>
      </w:r>
      <w:r w:rsidR="003F642C" w:rsidRPr="00403220">
        <w:rPr>
          <w:rFonts w:cs="Times New Roman"/>
          <w:szCs w:val="24"/>
          <w:lang w:val="fr-CA"/>
        </w:rPr>
        <w:t>jurisprudentiel</w:t>
      </w:r>
      <w:r w:rsidRPr="00403220">
        <w:rPr>
          <w:rFonts w:cs="Times New Roman"/>
          <w:szCs w:val="24"/>
          <w:lang w:val="fr-CA"/>
        </w:rPr>
        <w:t xml:space="preserve">, </w:t>
      </w:r>
      <w:r w:rsidR="003F642C" w:rsidRPr="00403220">
        <w:rPr>
          <w:rFonts w:cs="Times New Roman"/>
          <w:szCs w:val="24"/>
          <w:lang w:val="fr-CA"/>
        </w:rPr>
        <w:lastRenderedPageBreak/>
        <w:t>on se retrouve avec un critère qui ne fait que reformuler la question</w:t>
      </w:r>
      <w:r w:rsidR="007118A3" w:rsidRPr="00403220">
        <w:rPr>
          <w:rFonts w:cs="Times New Roman"/>
          <w:szCs w:val="24"/>
          <w:lang w:val="fr-CA"/>
        </w:rPr>
        <w:t xml:space="preserve">. </w:t>
      </w:r>
      <w:r w:rsidRPr="00403220">
        <w:rPr>
          <w:rFonts w:cs="Times New Roman"/>
          <w:szCs w:val="24"/>
          <w:lang w:val="fr-CA"/>
        </w:rPr>
        <w:t xml:space="preserve"> Quand le tribunal doit</w:t>
      </w:r>
      <w:r w:rsidR="00D66E6F">
        <w:rPr>
          <w:rFonts w:cs="Times New Roman"/>
          <w:szCs w:val="24"/>
          <w:lang w:val="fr-CA"/>
        </w:rPr>
        <w:t>-</w:t>
      </w:r>
      <w:r w:rsidRPr="00403220">
        <w:rPr>
          <w:rFonts w:cs="Times New Roman"/>
          <w:szCs w:val="24"/>
          <w:lang w:val="fr-CA"/>
        </w:rPr>
        <w:t>il juger qu</w:t>
      </w:r>
      <w:r w:rsidR="008372AA" w:rsidRPr="00403220">
        <w:rPr>
          <w:rFonts w:cs="Times New Roman"/>
          <w:szCs w:val="24"/>
          <w:lang w:val="fr-CA"/>
        </w:rPr>
        <w:t>’</w:t>
      </w:r>
      <w:r w:rsidRPr="00403220">
        <w:rPr>
          <w:rFonts w:cs="Times New Roman"/>
          <w:szCs w:val="24"/>
          <w:lang w:val="fr-CA"/>
        </w:rPr>
        <w:t>une décision gouvernement</w:t>
      </w:r>
      <w:r w:rsidR="00ED5B11" w:rsidRPr="00403220">
        <w:rPr>
          <w:rFonts w:cs="Times New Roman"/>
          <w:szCs w:val="24"/>
          <w:lang w:val="fr-CA"/>
        </w:rPr>
        <w:t>ale</w:t>
      </w:r>
      <w:r w:rsidRPr="00403220">
        <w:rPr>
          <w:rFonts w:cs="Times New Roman"/>
          <w:szCs w:val="24"/>
          <w:lang w:val="fr-CA"/>
        </w:rPr>
        <w:t xml:space="preserve"> </w:t>
      </w:r>
      <w:r w:rsidR="00ED5B11" w:rsidRPr="00403220">
        <w:rPr>
          <w:rFonts w:cs="Times New Roman"/>
          <w:szCs w:val="24"/>
          <w:lang w:val="fr-CA"/>
        </w:rPr>
        <w:t xml:space="preserve">ne donne pas prise à la </w:t>
      </w:r>
      <w:r w:rsidRPr="00403220">
        <w:rPr>
          <w:rFonts w:cs="Times New Roman"/>
          <w:szCs w:val="24"/>
          <w:lang w:val="fr-CA"/>
        </w:rPr>
        <w:t>responsabilité pour négligence?  Quand le tribunal conclu</w:t>
      </w:r>
      <w:r w:rsidR="00ED5B11" w:rsidRPr="00403220">
        <w:rPr>
          <w:rFonts w:cs="Times New Roman"/>
          <w:szCs w:val="24"/>
          <w:lang w:val="fr-CA"/>
        </w:rPr>
        <w:t>t</w:t>
      </w:r>
      <w:r w:rsidRPr="00403220">
        <w:rPr>
          <w:rFonts w:cs="Times New Roman"/>
          <w:szCs w:val="24"/>
          <w:lang w:val="fr-CA"/>
        </w:rPr>
        <w:t xml:space="preserve"> que l</w:t>
      </w:r>
      <w:r w:rsidR="008372AA" w:rsidRPr="00403220">
        <w:rPr>
          <w:rFonts w:cs="Times New Roman"/>
          <w:szCs w:val="24"/>
          <w:lang w:val="fr-CA"/>
        </w:rPr>
        <w:t>’</w:t>
      </w:r>
      <w:r w:rsidRPr="00403220">
        <w:rPr>
          <w:rFonts w:cs="Times New Roman"/>
          <w:szCs w:val="24"/>
          <w:lang w:val="fr-CA"/>
        </w:rPr>
        <w:t>affaire est du ressort du gouvernement et non des tribunaux</w:t>
      </w:r>
      <w:r w:rsidR="00ED5B11" w:rsidRPr="00403220">
        <w:rPr>
          <w:rFonts w:cs="Times New Roman"/>
          <w:szCs w:val="24"/>
          <w:lang w:val="fr-CA"/>
        </w:rPr>
        <w:t>.</w:t>
      </w:r>
    </w:p>
    <w:p w:rsidR="0047179D" w:rsidRPr="00403220" w:rsidRDefault="0047179D" w:rsidP="009168E8">
      <w:pPr>
        <w:pStyle w:val="ParaNoNdepar-AltN"/>
        <w:rPr>
          <w:rFonts w:cs="Times New Roman"/>
          <w:szCs w:val="24"/>
          <w:u w:val="single"/>
          <w:lang w:val="fr-CA"/>
        </w:rPr>
      </w:pPr>
      <w:r w:rsidRPr="00403220">
        <w:rPr>
          <w:rFonts w:cs="Times New Roman"/>
          <w:szCs w:val="24"/>
          <w:lang w:val="fr-CA"/>
        </w:rPr>
        <w:t>Des juges australiens s</w:t>
      </w:r>
      <w:r w:rsidR="008372AA" w:rsidRPr="00403220">
        <w:rPr>
          <w:rFonts w:cs="Times New Roman"/>
          <w:szCs w:val="24"/>
          <w:lang w:val="fr-CA"/>
        </w:rPr>
        <w:t>’</w:t>
      </w:r>
      <w:r w:rsidRPr="00403220">
        <w:rPr>
          <w:rFonts w:cs="Times New Roman"/>
          <w:szCs w:val="24"/>
          <w:lang w:val="fr-CA"/>
        </w:rPr>
        <w:t xml:space="preserve">étant prononcés dans des décisions successives sont partagés entre le modèle décision </w:t>
      </w:r>
      <w:proofErr w:type="spellStart"/>
      <w:r w:rsidRPr="00403220">
        <w:rPr>
          <w:rFonts w:cs="Times New Roman"/>
          <w:szCs w:val="24"/>
          <w:lang w:val="fr-CA"/>
        </w:rPr>
        <w:t>discrétionnaire</w:t>
      </w:r>
      <w:r w:rsidR="00A54DAC" w:rsidRPr="00403220">
        <w:rPr>
          <w:rFonts w:cs="Times New Roman"/>
          <w:szCs w:val="24"/>
          <w:lang w:val="fr-CA"/>
        </w:rPr>
        <w:noBreakHyphen/>
      </w:r>
      <w:r w:rsidR="003F642C" w:rsidRPr="00403220">
        <w:rPr>
          <w:rFonts w:cs="Times New Roman"/>
          <w:szCs w:val="24"/>
          <w:lang w:val="fr-CA"/>
        </w:rPr>
        <w:t>décision</w:t>
      </w:r>
      <w:proofErr w:type="spellEnd"/>
      <w:r w:rsidR="003F642C" w:rsidRPr="00403220">
        <w:rPr>
          <w:rFonts w:cs="Times New Roman"/>
          <w:szCs w:val="24"/>
          <w:lang w:val="fr-CA"/>
        </w:rPr>
        <w:t xml:space="preserve"> </w:t>
      </w:r>
      <w:r w:rsidRPr="00403220">
        <w:rPr>
          <w:rFonts w:cs="Times New Roman"/>
          <w:szCs w:val="24"/>
          <w:lang w:val="fr-CA"/>
        </w:rPr>
        <w:t>irration</w:t>
      </w:r>
      <w:r w:rsidR="00856C6C" w:rsidRPr="00403220">
        <w:rPr>
          <w:rFonts w:cs="Times New Roman"/>
          <w:szCs w:val="24"/>
          <w:lang w:val="fr-CA"/>
        </w:rPr>
        <w:t>nelle et celui de la « </w:t>
      </w:r>
      <w:r w:rsidRPr="00403220">
        <w:rPr>
          <w:rFonts w:cs="Times New Roman"/>
          <w:szCs w:val="24"/>
          <w:lang w:val="fr-CA"/>
        </w:rPr>
        <w:t>véritable décision de politique</w:t>
      </w:r>
      <w:r w:rsidR="003F642C" w:rsidRPr="00403220">
        <w:rPr>
          <w:rFonts w:cs="Times New Roman"/>
          <w:szCs w:val="24"/>
          <w:lang w:val="fr-CA"/>
        </w:rPr>
        <w:t xml:space="preserve"> générale</w:t>
      </w:r>
      <w:r w:rsidR="00856C6C" w:rsidRPr="00403220">
        <w:rPr>
          <w:rFonts w:cs="Times New Roman"/>
          <w:szCs w:val="24"/>
          <w:lang w:val="fr-CA"/>
        </w:rPr>
        <w:t> </w:t>
      </w:r>
      <w:r w:rsidRPr="00403220">
        <w:rPr>
          <w:rFonts w:cs="Times New Roman"/>
          <w:szCs w:val="24"/>
          <w:lang w:val="fr-CA"/>
        </w:rPr>
        <w:t xml:space="preserve">».  Dans </w:t>
      </w:r>
      <w:r w:rsidRPr="00403220">
        <w:rPr>
          <w:rFonts w:cs="Times New Roman"/>
          <w:i/>
          <w:szCs w:val="24"/>
          <w:lang w:val="fr-CA"/>
        </w:rPr>
        <w:t xml:space="preserve">Sutherland </w:t>
      </w:r>
      <w:proofErr w:type="spellStart"/>
      <w:r w:rsidRPr="00403220">
        <w:rPr>
          <w:rFonts w:cs="Times New Roman"/>
          <w:i/>
          <w:szCs w:val="24"/>
          <w:lang w:val="fr-CA"/>
        </w:rPr>
        <w:t>Shire</w:t>
      </w:r>
      <w:proofErr w:type="spellEnd"/>
      <w:r w:rsidRPr="00403220">
        <w:rPr>
          <w:rFonts w:cs="Times New Roman"/>
          <w:i/>
          <w:szCs w:val="24"/>
          <w:lang w:val="fr-CA"/>
        </w:rPr>
        <w:t xml:space="preserve"> Council c. </w:t>
      </w:r>
      <w:proofErr w:type="spellStart"/>
      <w:r w:rsidRPr="00403220">
        <w:rPr>
          <w:rFonts w:cs="Times New Roman"/>
          <w:i/>
          <w:szCs w:val="24"/>
          <w:lang w:val="fr-CA"/>
        </w:rPr>
        <w:t>Heyman</w:t>
      </w:r>
      <w:proofErr w:type="spellEnd"/>
      <w:r w:rsidRPr="00403220">
        <w:rPr>
          <w:rFonts w:cs="Times New Roman"/>
          <w:szCs w:val="24"/>
          <w:lang w:val="fr-CA"/>
        </w:rPr>
        <w:t xml:space="preserve"> (1985), 157 C</w:t>
      </w:r>
      <w:r w:rsidR="00BA3188" w:rsidRPr="00403220">
        <w:rPr>
          <w:rFonts w:cs="Times New Roman"/>
          <w:szCs w:val="24"/>
          <w:lang w:val="fr-CA"/>
        </w:rPr>
        <w:t>.</w:t>
      </w:r>
      <w:r w:rsidRPr="00403220">
        <w:rPr>
          <w:rFonts w:cs="Times New Roman"/>
          <w:szCs w:val="24"/>
          <w:lang w:val="fr-CA"/>
        </w:rPr>
        <w:t>L</w:t>
      </w:r>
      <w:r w:rsidR="00BA3188" w:rsidRPr="00403220">
        <w:rPr>
          <w:rFonts w:cs="Times New Roman"/>
          <w:szCs w:val="24"/>
          <w:lang w:val="fr-CA"/>
        </w:rPr>
        <w:t>.</w:t>
      </w:r>
      <w:r w:rsidRPr="00403220">
        <w:rPr>
          <w:rFonts w:cs="Times New Roman"/>
          <w:szCs w:val="24"/>
          <w:lang w:val="fr-CA"/>
        </w:rPr>
        <w:t>R</w:t>
      </w:r>
      <w:r w:rsidR="00BA3188" w:rsidRPr="00403220">
        <w:rPr>
          <w:rFonts w:cs="Times New Roman"/>
          <w:szCs w:val="24"/>
          <w:lang w:val="fr-CA"/>
        </w:rPr>
        <w:t>.</w:t>
      </w:r>
      <w:r w:rsidRPr="00403220">
        <w:rPr>
          <w:rFonts w:cs="Times New Roman"/>
          <w:szCs w:val="24"/>
          <w:lang w:val="fr-CA"/>
        </w:rPr>
        <w:t xml:space="preserve"> 424</w:t>
      </w:r>
      <w:r w:rsidR="00BA3188" w:rsidRPr="00403220">
        <w:rPr>
          <w:rFonts w:cs="Times New Roman"/>
          <w:szCs w:val="24"/>
          <w:lang w:val="fr-CA"/>
        </w:rPr>
        <w:t xml:space="preserve"> (H.C.)</w:t>
      </w:r>
      <w:r w:rsidRPr="00403220">
        <w:rPr>
          <w:rFonts w:cs="Times New Roman"/>
          <w:szCs w:val="24"/>
          <w:lang w:val="fr-CA"/>
        </w:rPr>
        <w:t>, deux des juges (le juge en chef Gibbs et le juge Wilson) ont adopté la règle établie dans l</w:t>
      </w:r>
      <w:r w:rsidR="008372AA" w:rsidRPr="00403220">
        <w:rPr>
          <w:rFonts w:cs="Times New Roman"/>
          <w:szCs w:val="24"/>
          <w:lang w:val="fr-CA"/>
        </w:rPr>
        <w:t>’</w:t>
      </w:r>
      <w:r w:rsidRPr="00403220">
        <w:rPr>
          <w:rFonts w:cs="Times New Roman"/>
          <w:szCs w:val="24"/>
          <w:lang w:val="fr-CA"/>
        </w:rPr>
        <w:t xml:space="preserve">arrêt </w:t>
      </w:r>
      <w:r w:rsidRPr="00403220">
        <w:rPr>
          <w:rFonts w:cs="Times New Roman"/>
          <w:i/>
          <w:szCs w:val="24"/>
          <w:lang w:val="fr-CA"/>
        </w:rPr>
        <w:t>Dorset Yacht</w:t>
      </w:r>
      <w:r w:rsidRPr="00403220">
        <w:rPr>
          <w:rFonts w:cs="Times New Roman"/>
          <w:szCs w:val="24"/>
          <w:lang w:val="fr-CA"/>
        </w:rPr>
        <w:t>, selon laquelle toutes les décisions discrétionnaires échappent au contrôle judiciaire, pourvu qu</w:t>
      </w:r>
      <w:r w:rsidR="008372AA" w:rsidRPr="00403220">
        <w:rPr>
          <w:rFonts w:cs="Times New Roman"/>
          <w:szCs w:val="24"/>
          <w:lang w:val="fr-CA"/>
        </w:rPr>
        <w:t>’</w:t>
      </w:r>
      <w:r w:rsidRPr="00403220">
        <w:rPr>
          <w:rFonts w:cs="Times New Roman"/>
          <w:szCs w:val="24"/>
          <w:lang w:val="fr-CA"/>
        </w:rPr>
        <w:t>elles soient rationnelles (</w:t>
      </w:r>
      <w:r w:rsidR="00A54DAC" w:rsidRPr="00403220">
        <w:rPr>
          <w:rFonts w:cs="Times New Roman"/>
          <w:szCs w:val="24"/>
          <w:lang w:val="fr-CA"/>
        </w:rPr>
        <w:t>p. </w:t>
      </w:r>
      <w:r w:rsidRPr="00403220">
        <w:rPr>
          <w:rFonts w:cs="Times New Roman"/>
          <w:szCs w:val="24"/>
          <w:lang w:val="fr-CA"/>
        </w:rPr>
        <w:t>442).  Ils ont souscrit à la thèse que la distinction entre la politique</w:t>
      </w:r>
      <w:r w:rsidR="003F642C" w:rsidRPr="00403220">
        <w:rPr>
          <w:rFonts w:cs="Times New Roman"/>
          <w:szCs w:val="24"/>
          <w:lang w:val="fr-CA"/>
        </w:rPr>
        <w:t xml:space="preserve"> générale</w:t>
      </w:r>
      <w:r w:rsidRPr="00403220">
        <w:rPr>
          <w:rFonts w:cs="Times New Roman"/>
          <w:szCs w:val="24"/>
          <w:lang w:val="fr-CA"/>
        </w:rPr>
        <w:t xml:space="preserve"> et les opérations était un critère logique pour déterminer quelles décisions </w:t>
      </w:r>
      <w:r w:rsidR="00152216" w:rsidRPr="00403220">
        <w:rPr>
          <w:rFonts w:cs="Times New Roman"/>
          <w:szCs w:val="24"/>
          <w:lang w:val="fr-CA"/>
        </w:rPr>
        <w:t xml:space="preserve">ne donnent pas prise à la </w:t>
      </w:r>
      <w:r w:rsidRPr="00403220">
        <w:rPr>
          <w:rFonts w:cs="Times New Roman"/>
          <w:szCs w:val="24"/>
          <w:lang w:val="fr-CA"/>
        </w:rPr>
        <w:t xml:space="preserve">responsabilité, et ils ont fait leur la description de lord </w:t>
      </w:r>
      <w:proofErr w:type="spellStart"/>
      <w:r w:rsidRPr="00403220">
        <w:rPr>
          <w:rFonts w:cs="Times New Roman"/>
          <w:szCs w:val="24"/>
          <w:lang w:val="fr-CA"/>
        </w:rPr>
        <w:t>Wilberforce</w:t>
      </w:r>
      <w:proofErr w:type="spellEnd"/>
      <w:r w:rsidRPr="00403220">
        <w:rPr>
          <w:rFonts w:cs="Times New Roman"/>
          <w:szCs w:val="24"/>
          <w:lang w:val="fr-CA"/>
        </w:rPr>
        <w:t xml:space="preserve"> voulant que la politique </w:t>
      </w:r>
      <w:r w:rsidR="003F642C" w:rsidRPr="00403220">
        <w:rPr>
          <w:rFonts w:cs="Times New Roman"/>
          <w:szCs w:val="24"/>
          <w:lang w:val="fr-CA"/>
        </w:rPr>
        <w:t xml:space="preserve">générale </w:t>
      </w:r>
      <w:r w:rsidRPr="00403220">
        <w:rPr>
          <w:rFonts w:cs="Times New Roman"/>
          <w:szCs w:val="24"/>
          <w:lang w:val="fr-CA"/>
        </w:rPr>
        <w:t xml:space="preserve">soit synonyme de pouvoir discrétionnaire.  Pour sa part, le juge </w:t>
      </w:r>
      <w:proofErr w:type="spellStart"/>
      <w:r w:rsidRPr="00403220">
        <w:rPr>
          <w:rFonts w:cs="Times New Roman"/>
          <w:szCs w:val="24"/>
          <w:lang w:val="fr-CA"/>
        </w:rPr>
        <w:t>Mason</w:t>
      </w:r>
      <w:proofErr w:type="spellEnd"/>
      <w:r w:rsidRPr="00403220">
        <w:rPr>
          <w:rFonts w:cs="Times New Roman"/>
          <w:szCs w:val="24"/>
          <w:lang w:val="fr-CA"/>
        </w:rPr>
        <w:t xml:space="preserve"> a affirmé </w:t>
      </w:r>
      <w:r w:rsidR="00152216" w:rsidRPr="00403220">
        <w:rPr>
          <w:rFonts w:cs="Times New Roman"/>
          <w:szCs w:val="24"/>
          <w:lang w:val="fr-CA"/>
        </w:rPr>
        <w:t xml:space="preserve">que l’État bénéficiait de la protection uniquement à l’égard des </w:t>
      </w:r>
      <w:r w:rsidRPr="00403220">
        <w:rPr>
          <w:rFonts w:cs="Times New Roman"/>
          <w:szCs w:val="24"/>
          <w:lang w:val="fr-CA"/>
        </w:rPr>
        <w:t xml:space="preserve">décisions de politique </w:t>
      </w:r>
      <w:r w:rsidR="003F642C" w:rsidRPr="00403220">
        <w:rPr>
          <w:rFonts w:cs="Times New Roman"/>
          <w:szCs w:val="24"/>
          <w:lang w:val="fr-CA"/>
        </w:rPr>
        <w:t xml:space="preserve">générale </w:t>
      </w:r>
      <w:r w:rsidRPr="00403220">
        <w:rPr>
          <w:rFonts w:cs="Times New Roman"/>
          <w:szCs w:val="24"/>
          <w:lang w:val="fr-CA"/>
        </w:rPr>
        <w:t>fondamentale, qu</w:t>
      </w:r>
      <w:r w:rsidR="008372AA" w:rsidRPr="00403220">
        <w:rPr>
          <w:rFonts w:cs="Times New Roman"/>
          <w:szCs w:val="24"/>
          <w:lang w:val="fr-CA"/>
        </w:rPr>
        <w:t>’</w:t>
      </w:r>
      <w:r w:rsidRPr="00403220">
        <w:rPr>
          <w:rFonts w:cs="Times New Roman"/>
          <w:szCs w:val="24"/>
          <w:lang w:val="fr-CA"/>
        </w:rPr>
        <w:t xml:space="preserve">il considérait comme un </w:t>
      </w:r>
      <w:proofErr w:type="spellStart"/>
      <w:r w:rsidRPr="00403220">
        <w:rPr>
          <w:rFonts w:cs="Times New Roman"/>
          <w:szCs w:val="24"/>
          <w:lang w:val="fr-CA"/>
        </w:rPr>
        <w:t>sous</w:t>
      </w:r>
      <w:r w:rsidR="00A54DAC" w:rsidRPr="00403220">
        <w:rPr>
          <w:rFonts w:cs="Times New Roman"/>
          <w:szCs w:val="24"/>
          <w:lang w:val="fr-CA"/>
        </w:rPr>
        <w:noBreakHyphen/>
      </w:r>
      <w:r w:rsidRPr="00403220">
        <w:rPr>
          <w:rFonts w:cs="Times New Roman"/>
          <w:szCs w:val="24"/>
          <w:lang w:val="fr-CA"/>
        </w:rPr>
        <w:t>groupe</w:t>
      </w:r>
      <w:proofErr w:type="spellEnd"/>
      <w:r w:rsidRPr="00403220">
        <w:rPr>
          <w:rFonts w:cs="Times New Roman"/>
          <w:szCs w:val="24"/>
          <w:lang w:val="fr-CA"/>
        </w:rPr>
        <w:t xml:space="preserve"> plus restreint de décisions discrétionnaires (</w:t>
      </w:r>
      <w:r w:rsidR="00A54DAC" w:rsidRPr="00403220">
        <w:rPr>
          <w:rFonts w:cs="Times New Roman"/>
          <w:szCs w:val="24"/>
          <w:lang w:val="fr-CA"/>
        </w:rPr>
        <w:t>p. </w:t>
      </w:r>
      <w:r w:rsidRPr="00403220">
        <w:rPr>
          <w:rFonts w:cs="Times New Roman"/>
          <w:szCs w:val="24"/>
          <w:lang w:val="fr-CA"/>
        </w:rPr>
        <w:t xml:space="preserve">500).  Le juge </w:t>
      </w:r>
      <w:proofErr w:type="spellStart"/>
      <w:r w:rsidRPr="00403220">
        <w:rPr>
          <w:rFonts w:cs="Times New Roman"/>
          <w:szCs w:val="24"/>
          <w:lang w:val="fr-CA"/>
        </w:rPr>
        <w:t>Deane</w:t>
      </w:r>
      <w:proofErr w:type="spellEnd"/>
      <w:r w:rsidRPr="00403220">
        <w:rPr>
          <w:rFonts w:cs="Times New Roman"/>
          <w:szCs w:val="24"/>
          <w:lang w:val="fr-CA"/>
        </w:rPr>
        <w:t xml:space="preserve"> a souscrit à l</w:t>
      </w:r>
      <w:r w:rsidR="008372AA" w:rsidRPr="00403220">
        <w:rPr>
          <w:rFonts w:cs="Times New Roman"/>
          <w:szCs w:val="24"/>
          <w:lang w:val="fr-CA"/>
        </w:rPr>
        <w:t>’</w:t>
      </w:r>
      <w:r w:rsidRPr="00403220">
        <w:rPr>
          <w:rFonts w:cs="Times New Roman"/>
          <w:szCs w:val="24"/>
          <w:lang w:val="fr-CA"/>
        </w:rPr>
        <w:t xml:space="preserve">opinion du juge </w:t>
      </w:r>
      <w:proofErr w:type="spellStart"/>
      <w:r w:rsidRPr="00403220">
        <w:rPr>
          <w:rFonts w:cs="Times New Roman"/>
          <w:szCs w:val="24"/>
          <w:lang w:val="fr-CA"/>
        </w:rPr>
        <w:t>Mason</w:t>
      </w:r>
      <w:proofErr w:type="spellEnd"/>
      <w:r w:rsidRPr="00403220">
        <w:rPr>
          <w:rFonts w:cs="Times New Roman"/>
          <w:szCs w:val="24"/>
          <w:lang w:val="fr-CA"/>
        </w:rPr>
        <w:t xml:space="preserve">, mais pour des raisons quelque peu différentes.  Quant au juge </w:t>
      </w:r>
      <w:proofErr w:type="spellStart"/>
      <w:r w:rsidRPr="00403220">
        <w:rPr>
          <w:rFonts w:cs="Times New Roman"/>
          <w:szCs w:val="24"/>
          <w:lang w:val="fr-CA"/>
        </w:rPr>
        <w:t>Brennan</w:t>
      </w:r>
      <w:proofErr w:type="spellEnd"/>
      <w:r w:rsidRPr="00403220">
        <w:rPr>
          <w:rFonts w:cs="Times New Roman"/>
          <w:szCs w:val="24"/>
          <w:lang w:val="fr-CA"/>
        </w:rPr>
        <w:t>, il n</w:t>
      </w:r>
      <w:r w:rsidR="008372AA" w:rsidRPr="00403220">
        <w:rPr>
          <w:rFonts w:cs="Times New Roman"/>
          <w:szCs w:val="24"/>
          <w:lang w:val="fr-CA"/>
        </w:rPr>
        <w:t>’</w:t>
      </w:r>
      <w:r w:rsidRPr="00403220">
        <w:rPr>
          <w:rFonts w:cs="Times New Roman"/>
          <w:szCs w:val="24"/>
          <w:lang w:val="fr-CA"/>
        </w:rPr>
        <w:t>a pas dit quel critère devrait être retenu, laissant cette question en suspens.  La Haute Cour d</w:t>
      </w:r>
      <w:r w:rsidR="008372AA" w:rsidRPr="00403220">
        <w:rPr>
          <w:rFonts w:cs="Times New Roman"/>
          <w:szCs w:val="24"/>
          <w:lang w:val="fr-CA"/>
        </w:rPr>
        <w:t>’</w:t>
      </w:r>
      <w:r w:rsidRPr="00403220">
        <w:rPr>
          <w:rFonts w:cs="Times New Roman"/>
          <w:szCs w:val="24"/>
          <w:lang w:val="fr-CA"/>
        </w:rPr>
        <w:t xml:space="preserve">Australie était encore </w:t>
      </w:r>
      <w:r w:rsidR="00122628" w:rsidRPr="00403220">
        <w:rPr>
          <w:rFonts w:cs="Times New Roman"/>
          <w:szCs w:val="24"/>
          <w:lang w:val="fr-CA"/>
        </w:rPr>
        <w:t xml:space="preserve">une </w:t>
      </w:r>
      <w:r w:rsidRPr="00403220">
        <w:rPr>
          <w:rFonts w:cs="Times New Roman"/>
          <w:szCs w:val="24"/>
          <w:lang w:val="fr-CA"/>
        </w:rPr>
        <w:lastRenderedPageBreak/>
        <w:t xml:space="preserve">fois divisée dans </w:t>
      </w:r>
      <w:proofErr w:type="spellStart"/>
      <w:r w:rsidRPr="00403220">
        <w:rPr>
          <w:rFonts w:cs="Times New Roman"/>
          <w:i/>
          <w:szCs w:val="24"/>
          <w:lang w:val="fr-CA"/>
        </w:rPr>
        <w:t>Pyrenees</w:t>
      </w:r>
      <w:proofErr w:type="spellEnd"/>
      <w:r w:rsidRPr="00403220">
        <w:rPr>
          <w:rFonts w:cs="Times New Roman"/>
          <w:i/>
          <w:szCs w:val="24"/>
          <w:lang w:val="fr-CA"/>
        </w:rPr>
        <w:t xml:space="preserve"> </w:t>
      </w:r>
      <w:proofErr w:type="spellStart"/>
      <w:r w:rsidRPr="00403220">
        <w:rPr>
          <w:rFonts w:cs="Times New Roman"/>
          <w:i/>
          <w:szCs w:val="24"/>
          <w:lang w:val="fr-CA"/>
        </w:rPr>
        <w:t>Shire</w:t>
      </w:r>
      <w:proofErr w:type="spellEnd"/>
      <w:r w:rsidRPr="00403220">
        <w:rPr>
          <w:rFonts w:cs="Times New Roman"/>
          <w:i/>
          <w:szCs w:val="24"/>
          <w:lang w:val="fr-CA"/>
        </w:rPr>
        <w:t xml:space="preserve"> Council c. Day</w:t>
      </w:r>
      <w:r w:rsidR="00BA3188" w:rsidRPr="00403220">
        <w:rPr>
          <w:rFonts w:cs="Times New Roman"/>
          <w:szCs w:val="24"/>
          <w:lang w:val="fr-CA"/>
        </w:rPr>
        <w:t>,</w:t>
      </w:r>
      <w:r w:rsidRPr="00403220">
        <w:rPr>
          <w:rFonts w:cs="Times New Roman"/>
          <w:szCs w:val="24"/>
          <w:lang w:val="fr-CA"/>
        </w:rPr>
        <w:t xml:space="preserve"> </w:t>
      </w:r>
      <w:r w:rsidR="00BA3188" w:rsidRPr="00403220">
        <w:rPr>
          <w:rFonts w:cs="Times New Roman"/>
          <w:szCs w:val="24"/>
          <w:lang w:val="fr-CA"/>
        </w:rPr>
        <w:t>[</w:t>
      </w:r>
      <w:r w:rsidRPr="00403220">
        <w:rPr>
          <w:rFonts w:cs="Times New Roman"/>
          <w:szCs w:val="24"/>
          <w:lang w:val="fr-CA"/>
        </w:rPr>
        <w:t>1998</w:t>
      </w:r>
      <w:r w:rsidR="00BA3188" w:rsidRPr="00403220">
        <w:rPr>
          <w:rFonts w:cs="Times New Roman"/>
          <w:szCs w:val="24"/>
          <w:lang w:val="fr-CA"/>
        </w:rPr>
        <w:t>]</w:t>
      </w:r>
      <w:r w:rsidRPr="00403220">
        <w:rPr>
          <w:rFonts w:cs="Times New Roman"/>
          <w:szCs w:val="24"/>
          <w:lang w:val="fr-CA"/>
        </w:rPr>
        <w:t xml:space="preserve"> </w:t>
      </w:r>
      <w:r w:rsidR="00BA3188" w:rsidRPr="00403220">
        <w:rPr>
          <w:rFonts w:cs="Times New Roman"/>
          <w:szCs w:val="24"/>
          <w:lang w:val="fr-CA"/>
        </w:rPr>
        <w:t xml:space="preserve">HCA 3, </w:t>
      </w:r>
      <w:r w:rsidRPr="00403220">
        <w:rPr>
          <w:rFonts w:cs="Times New Roman"/>
          <w:szCs w:val="24"/>
          <w:lang w:val="fr-CA"/>
        </w:rPr>
        <w:t>192 C</w:t>
      </w:r>
      <w:r w:rsidR="00BA3188" w:rsidRPr="00403220">
        <w:rPr>
          <w:rFonts w:cs="Times New Roman"/>
          <w:szCs w:val="24"/>
          <w:lang w:val="fr-CA"/>
        </w:rPr>
        <w:t>.</w:t>
      </w:r>
      <w:r w:rsidRPr="00403220">
        <w:rPr>
          <w:rFonts w:cs="Times New Roman"/>
          <w:szCs w:val="24"/>
          <w:lang w:val="fr-CA"/>
        </w:rPr>
        <w:t>L</w:t>
      </w:r>
      <w:r w:rsidR="00BA3188" w:rsidRPr="00403220">
        <w:rPr>
          <w:rFonts w:cs="Times New Roman"/>
          <w:szCs w:val="24"/>
          <w:lang w:val="fr-CA"/>
        </w:rPr>
        <w:t>.</w:t>
      </w:r>
      <w:r w:rsidRPr="00403220">
        <w:rPr>
          <w:rFonts w:cs="Times New Roman"/>
          <w:szCs w:val="24"/>
          <w:lang w:val="fr-CA"/>
        </w:rPr>
        <w:t>R</w:t>
      </w:r>
      <w:r w:rsidR="00BA3188" w:rsidRPr="00403220">
        <w:rPr>
          <w:rFonts w:cs="Times New Roman"/>
          <w:szCs w:val="24"/>
          <w:lang w:val="fr-CA"/>
        </w:rPr>
        <w:t>.</w:t>
      </w:r>
      <w:r w:rsidRPr="00403220">
        <w:rPr>
          <w:rFonts w:cs="Times New Roman"/>
          <w:szCs w:val="24"/>
          <w:lang w:val="fr-CA"/>
        </w:rPr>
        <w:t xml:space="preserve"> 330, </w:t>
      </w:r>
      <w:r w:rsidR="00122628" w:rsidRPr="00403220">
        <w:rPr>
          <w:rFonts w:cs="Times New Roman"/>
          <w:szCs w:val="24"/>
          <w:lang w:val="fr-CA"/>
        </w:rPr>
        <w:t xml:space="preserve">où </w:t>
      </w:r>
      <w:r w:rsidRPr="00403220">
        <w:rPr>
          <w:rFonts w:cs="Times New Roman"/>
          <w:szCs w:val="24"/>
          <w:lang w:val="fr-CA"/>
        </w:rPr>
        <w:t xml:space="preserve">trois juges </w:t>
      </w:r>
      <w:r w:rsidR="00122628" w:rsidRPr="00403220">
        <w:rPr>
          <w:rFonts w:cs="Times New Roman"/>
          <w:szCs w:val="24"/>
          <w:lang w:val="fr-CA"/>
        </w:rPr>
        <w:t xml:space="preserve">ont </w:t>
      </w:r>
      <w:r w:rsidRPr="00403220">
        <w:rPr>
          <w:rFonts w:cs="Times New Roman"/>
          <w:szCs w:val="24"/>
          <w:lang w:val="fr-CA"/>
        </w:rPr>
        <w:t>conclu qu</w:t>
      </w:r>
      <w:r w:rsidR="008372AA" w:rsidRPr="00403220">
        <w:rPr>
          <w:rFonts w:cs="Times New Roman"/>
          <w:szCs w:val="24"/>
          <w:lang w:val="fr-CA"/>
        </w:rPr>
        <w:t>’</w:t>
      </w:r>
      <w:r w:rsidRPr="00403220">
        <w:rPr>
          <w:rFonts w:cs="Times New Roman"/>
          <w:szCs w:val="24"/>
          <w:lang w:val="fr-CA"/>
        </w:rPr>
        <w:t xml:space="preserve">une mesure </w:t>
      </w:r>
      <w:r w:rsidR="00484981" w:rsidRPr="00403220">
        <w:rPr>
          <w:rFonts w:cs="Times New Roman"/>
          <w:szCs w:val="24"/>
          <w:lang w:val="fr-CA"/>
        </w:rPr>
        <w:t xml:space="preserve">gouvernementale </w:t>
      </w:r>
      <w:r w:rsidRPr="00403220">
        <w:rPr>
          <w:rFonts w:cs="Times New Roman"/>
          <w:szCs w:val="24"/>
          <w:lang w:val="fr-CA"/>
        </w:rPr>
        <w:t>discrétionnaire n</w:t>
      </w:r>
      <w:r w:rsidR="008372AA" w:rsidRPr="00403220">
        <w:rPr>
          <w:rFonts w:cs="Times New Roman"/>
          <w:szCs w:val="24"/>
          <w:lang w:val="fr-CA"/>
        </w:rPr>
        <w:t>’</w:t>
      </w:r>
      <w:r w:rsidRPr="00403220">
        <w:rPr>
          <w:rFonts w:cs="Times New Roman"/>
          <w:szCs w:val="24"/>
          <w:lang w:val="fr-CA"/>
        </w:rPr>
        <w:t xml:space="preserve">engage la responsabilité de </w:t>
      </w:r>
      <w:r w:rsidR="00122628" w:rsidRPr="00403220">
        <w:rPr>
          <w:rFonts w:cs="Times New Roman"/>
          <w:szCs w:val="24"/>
          <w:lang w:val="fr-CA"/>
        </w:rPr>
        <w:t xml:space="preserve">l’État </w:t>
      </w:r>
      <w:r w:rsidRPr="00403220">
        <w:rPr>
          <w:rFonts w:cs="Times New Roman"/>
          <w:szCs w:val="24"/>
          <w:lang w:val="fr-CA"/>
        </w:rPr>
        <w:t>que si elle est irrationnelle, et deux juges ont retenu des versions différentes du critère</w:t>
      </w:r>
      <w:r w:rsidR="00EF2B14" w:rsidRPr="00403220">
        <w:rPr>
          <w:rFonts w:cs="Times New Roman"/>
          <w:szCs w:val="24"/>
          <w:lang w:val="fr-CA"/>
        </w:rPr>
        <w:t xml:space="preserve"> </w:t>
      </w:r>
      <w:r w:rsidRPr="00403220">
        <w:rPr>
          <w:rFonts w:cs="Times New Roman"/>
          <w:szCs w:val="24"/>
          <w:lang w:val="fr-CA"/>
        </w:rPr>
        <w:t xml:space="preserve">politique </w:t>
      </w:r>
      <w:proofErr w:type="spellStart"/>
      <w:r w:rsidRPr="00403220">
        <w:rPr>
          <w:rFonts w:cs="Times New Roman"/>
          <w:szCs w:val="24"/>
          <w:lang w:val="fr-CA"/>
        </w:rPr>
        <w:t>générale</w:t>
      </w:r>
      <w:r w:rsidR="00A54DAC" w:rsidRPr="00403220">
        <w:rPr>
          <w:rFonts w:cs="Times New Roman"/>
          <w:szCs w:val="24"/>
          <w:lang w:val="fr-CA"/>
        </w:rPr>
        <w:noBreakHyphen/>
      </w:r>
      <w:r w:rsidRPr="00403220">
        <w:rPr>
          <w:rFonts w:cs="Times New Roman"/>
          <w:szCs w:val="24"/>
          <w:lang w:val="fr-CA"/>
        </w:rPr>
        <w:t>opération</w:t>
      </w:r>
      <w:r w:rsidR="00EF2B14" w:rsidRPr="00403220">
        <w:rPr>
          <w:rFonts w:cs="Times New Roman"/>
          <w:szCs w:val="24"/>
          <w:lang w:val="fr-CA"/>
        </w:rPr>
        <w:t>s</w:t>
      </w:r>
      <w:proofErr w:type="spellEnd"/>
      <w:r w:rsidRPr="00403220">
        <w:rPr>
          <w:rFonts w:cs="Times New Roman"/>
          <w:szCs w:val="24"/>
          <w:lang w:val="fr-CA"/>
        </w:rPr>
        <w:t>.</w:t>
      </w:r>
    </w:p>
    <w:p w:rsidR="0047179D" w:rsidRPr="00403220" w:rsidRDefault="0047179D" w:rsidP="009168E8">
      <w:pPr>
        <w:pStyle w:val="ParaNoNdepar-AltN"/>
        <w:rPr>
          <w:rFonts w:cs="Times New Roman"/>
          <w:szCs w:val="24"/>
          <w:lang w:val="fr-CA"/>
        </w:rPr>
      </w:pPr>
      <w:r w:rsidRPr="00403220">
        <w:rPr>
          <w:rFonts w:cs="Times New Roman"/>
          <w:szCs w:val="24"/>
          <w:lang w:val="fr-CA"/>
        </w:rPr>
        <w:t xml:space="preserve">Aux </w:t>
      </w:r>
      <w:proofErr w:type="spellStart"/>
      <w:r w:rsidRPr="00403220">
        <w:rPr>
          <w:rFonts w:cs="Times New Roman"/>
          <w:szCs w:val="24"/>
          <w:lang w:val="fr-CA"/>
        </w:rPr>
        <w:t>États</w:t>
      </w:r>
      <w:r w:rsidR="00A54DAC" w:rsidRPr="00403220">
        <w:rPr>
          <w:rFonts w:cs="Times New Roman"/>
          <w:szCs w:val="24"/>
          <w:lang w:val="fr-CA"/>
        </w:rPr>
        <w:noBreakHyphen/>
      </w:r>
      <w:r w:rsidRPr="00403220">
        <w:rPr>
          <w:rFonts w:cs="Times New Roman"/>
          <w:szCs w:val="24"/>
          <w:lang w:val="fr-CA"/>
        </w:rPr>
        <w:t>Unis</w:t>
      </w:r>
      <w:proofErr w:type="spellEnd"/>
      <w:r w:rsidRPr="00403220">
        <w:rPr>
          <w:rFonts w:cs="Times New Roman"/>
          <w:szCs w:val="24"/>
          <w:lang w:val="fr-CA"/>
        </w:rPr>
        <w:t xml:space="preserve">, la responsabilité du gouvernement fédéral est régie par la </w:t>
      </w:r>
      <w:proofErr w:type="spellStart"/>
      <w:r w:rsidRPr="00403220">
        <w:rPr>
          <w:rFonts w:cs="Times New Roman"/>
          <w:i/>
          <w:szCs w:val="24"/>
          <w:lang w:val="fr-CA"/>
        </w:rPr>
        <w:t>Federal</w:t>
      </w:r>
      <w:proofErr w:type="spellEnd"/>
      <w:r w:rsidRPr="00403220">
        <w:rPr>
          <w:rFonts w:cs="Times New Roman"/>
          <w:i/>
          <w:szCs w:val="24"/>
          <w:lang w:val="fr-CA"/>
        </w:rPr>
        <w:t xml:space="preserve"> Tort Claims </w:t>
      </w:r>
      <w:proofErr w:type="spellStart"/>
      <w:r w:rsidRPr="00403220">
        <w:rPr>
          <w:rFonts w:cs="Times New Roman"/>
          <w:i/>
          <w:szCs w:val="24"/>
          <w:lang w:val="fr-CA"/>
        </w:rPr>
        <w:t>Act</w:t>
      </w:r>
      <w:proofErr w:type="spellEnd"/>
      <w:r w:rsidRPr="00403220">
        <w:rPr>
          <w:rFonts w:cs="Times New Roman"/>
          <w:szCs w:val="24"/>
          <w:lang w:val="fr-CA"/>
        </w:rPr>
        <w:t xml:space="preserve"> </w:t>
      </w:r>
      <w:r w:rsidR="00BA3188" w:rsidRPr="00403220">
        <w:rPr>
          <w:rFonts w:cs="Times New Roman"/>
          <w:szCs w:val="24"/>
          <w:lang w:val="fr-CA"/>
        </w:rPr>
        <w:t xml:space="preserve">de 1946, 28 U.S.C. </w:t>
      </w:r>
      <w:r w:rsidRPr="00403220">
        <w:rPr>
          <w:rFonts w:cs="Times New Roman"/>
          <w:szCs w:val="24"/>
          <w:lang w:val="fr-CA"/>
        </w:rPr>
        <w:t>(</w:t>
      </w:r>
      <w:r w:rsidR="00BA3188" w:rsidRPr="00403220">
        <w:rPr>
          <w:rFonts w:cs="Times New Roman"/>
          <w:szCs w:val="24"/>
          <w:lang w:val="fr-CA"/>
        </w:rPr>
        <w:t>« </w:t>
      </w:r>
      <w:r w:rsidRPr="00403220">
        <w:rPr>
          <w:rFonts w:cs="Times New Roman"/>
          <w:i/>
          <w:szCs w:val="24"/>
          <w:lang w:val="fr-CA"/>
        </w:rPr>
        <w:t>FTCA</w:t>
      </w:r>
      <w:r w:rsidR="00BA3188" w:rsidRPr="00403220">
        <w:rPr>
          <w:rFonts w:cs="Times New Roman"/>
          <w:szCs w:val="24"/>
          <w:lang w:val="fr-CA"/>
        </w:rPr>
        <w:t> »</w:t>
      </w:r>
      <w:r w:rsidRPr="00403220">
        <w:rPr>
          <w:rFonts w:cs="Times New Roman"/>
          <w:szCs w:val="24"/>
          <w:lang w:val="fr-CA"/>
        </w:rPr>
        <w:t>), qui écarte l</w:t>
      </w:r>
      <w:r w:rsidR="008372AA" w:rsidRPr="00403220">
        <w:rPr>
          <w:rFonts w:cs="Times New Roman"/>
          <w:szCs w:val="24"/>
          <w:lang w:val="fr-CA"/>
        </w:rPr>
        <w:t>’</w:t>
      </w:r>
      <w:r w:rsidRPr="00403220">
        <w:rPr>
          <w:rFonts w:cs="Times New Roman"/>
          <w:szCs w:val="24"/>
          <w:lang w:val="fr-CA"/>
        </w:rPr>
        <w:t>immunité absolue à l</w:t>
      </w:r>
      <w:r w:rsidR="008372AA" w:rsidRPr="00403220">
        <w:rPr>
          <w:rFonts w:cs="Times New Roman"/>
          <w:szCs w:val="24"/>
          <w:lang w:val="fr-CA"/>
        </w:rPr>
        <w:t>’</w:t>
      </w:r>
      <w:r w:rsidRPr="00403220">
        <w:rPr>
          <w:rFonts w:cs="Times New Roman"/>
          <w:szCs w:val="24"/>
          <w:lang w:val="fr-CA"/>
        </w:rPr>
        <w:t xml:space="preserve">égard de la responsabilité délictuelle, </w:t>
      </w:r>
      <w:r w:rsidR="003F642C" w:rsidRPr="00403220">
        <w:rPr>
          <w:rFonts w:cs="Times New Roman"/>
          <w:szCs w:val="24"/>
          <w:lang w:val="fr-CA"/>
        </w:rPr>
        <w:t>mais crée une exemption en faveur des</w:t>
      </w:r>
      <w:r w:rsidRPr="00403220">
        <w:rPr>
          <w:rFonts w:cs="Times New Roman"/>
          <w:szCs w:val="24"/>
          <w:lang w:val="fr-CA"/>
        </w:rPr>
        <w:t xml:space="preserve"> décisions discrétionnaires.  L</w:t>
      </w:r>
      <w:r w:rsidR="008372AA" w:rsidRPr="00403220">
        <w:rPr>
          <w:rFonts w:cs="Times New Roman"/>
          <w:szCs w:val="24"/>
          <w:lang w:val="fr-CA"/>
        </w:rPr>
        <w:t>’</w:t>
      </w:r>
      <w:r w:rsidRPr="00403220">
        <w:rPr>
          <w:rFonts w:cs="Times New Roman"/>
          <w:szCs w:val="24"/>
          <w:lang w:val="fr-CA"/>
        </w:rPr>
        <w:t xml:space="preserve">alinéa 2680a) </w:t>
      </w:r>
      <w:r w:rsidR="00122628" w:rsidRPr="00403220">
        <w:rPr>
          <w:rFonts w:cs="Times New Roman"/>
          <w:szCs w:val="24"/>
          <w:lang w:val="fr-CA"/>
        </w:rPr>
        <w:t>écarte la responsabilité du go</w:t>
      </w:r>
      <w:r w:rsidRPr="00403220">
        <w:rPr>
          <w:rFonts w:cs="Times New Roman"/>
          <w:szCs w:val="24"/>
          <w:lang w:val="fr-CA"/>
        </w:rPr>
        <w:t xml:space="preserve">uvernement </w:t>
      </w:r>
      <w:r w:rsidR="00A4754D" w:rsidRPr="00403220">
        <w:rPr>
          <w:rFonts w:cs="Times New Roman"/>
          <w:szCs w:val="24"/>
          <w:lang w:val="fr-CA"/>
        </w:rPr>
        <w:t>à l’égard de</w:t>
      </w:r>
    </w:p>
    <w:p w:rsidR="0047179D" w:rsidRPr="00403220" w:rsidRDefault="00D66E6F" w:rsidP="00F42E8C">
      <w:pPr>
        <w:pStyle w:val="Citation-AltC"/>
        <w:keepNext/>
        <w:tabs>
          <w:tab w:val="left" w:pos="1170"/>
        </w:tabs>
        <w:ind w:hanging="1166"/>
        <w:contextualSpacing w:val="0"/>
        <w:rPr>
          <w:rStyle w:val="ptext-1"/>
          <w:rFonts w:eastAsiaTheme="minorHAnsi"/>
          <w:szCs w:val="24"/>
          <w:lang w:val="fr-CA"/>
        </w:rPr>
      </w:pPr>
      <w:r>
        <w:rPr>
          <w:rStyle w:val="ptext-1"/>
          <w:rFonts w:eastAsiaTheme="minorHAnsi"/>
          <w:smallCaps/>
          <w:szCs w:val="24"/>
          <w:lang w:val="fr-CA"/>
        </w:rPr>
        <w:tab/>
      </w:r>
      <w:r w:rsidR="0047179D" w:rsidRPr="00403220">
        <w:rPr>
          <w:rStyle w:val="ptext-1"/>
          <w:rFonts w:eastAsiaTheme="minorHAnsi"/>
          <w:smallCaps/>
          <w:szCs w:val="24"/>
          <w:lang w:val="fr-CA"/>
        </w:rPr>
        <w:t>[traduction</w:t>
      </w:r>
      <w:r w:rsidR="0047179D" w:rsidRPr="00403220">
        <w:rPr>
          <w:rStyle w:val="ptext-1"/>
          <w:rFonts w:eastAsiaTheme="minorHAnsi"/>
          <w:szCs w:val="24"/>
          <w:lang w:val="fr-CA"/>
        </w:rPr>
        <w:t>]</w:t>
      </w:r>
      <w:r>
        <w:rPr>
          <w:rStyle w:val="ptext-1"/>
          <w:rFonts w:eastAsiaTheme="minorHAnsi"/>
          <w:szCs w:val="24"/>
          <w:lang w:val="fr-CA"/>
        </w:rPr>
        <w:t xml:space="preserve"> </w:t>
      </w:r>
      <w:r w:rsidR="0047179D" w:rsidRPr="00403220">
        <w:rPr>
          <w:rStyle w:val="ptext-1"/>
          <w:rFonts w:eastAsiaTheme="minorHAnsi"/>
          <w:szCs w:val="24"/>
          <w:lang w:val="fr-CA"/>
        </w:rPr>
        <w:t>[t]</w:t>
      </w:r>
      <w:proofErr w:type="spellStart"/>
      <w:r w:rsidR="0047179D" w:rsidRPr="00403220">
        <w:rPr>
          <w:rStyle w:val="ptext-1"/>
          <w:rFonts w:eastAsiaTheme="minorHAnsi"/>
          <w:szCs w:val="24"/>
          <w:lang w:val="fr-CA"/>
        </w:rPr>
        <w:t>oute</w:t>
      </w:r>
      <w:proofErr w:type="spellEnd"/>
      <w:r w:rsidR="0047179D" w:rsidRPr="00403220">
        <w:rPr>
          <w:rStyle w:val="ptext-1"/>
          <w:rFonts w:eastAsiaTheme="minorHAnsi"/>
          <w:szCs w:val="24"/>
          <w:lang w:val="fr-CA"/>
        </w:rPr>
        <w:t xml:space="preserve"> poursuite fondée sur l</w:t>
      </w:r>
      <w:r w:rsidR="008372AA" w:rsidRPr="00403220">
        <w:rPr>
          <w:rStyle w:val="ptext-1"/>
          <w:rFonts w:eastAsiaTheme="minorHAnsi"/>
          <w:szCs w:val="24"/>
          <w:lang w:val="fr-CA"/>
        </w:rPr>
        <w:t>’</w:t>
      </w:r>
      <w:r w:rsidR="0047179D" w:rsidRPr="00403220">
        <w:rPr>
          <w:rStyle w:val="ptext-1"/>
          <w:rFonts w:eastAsiaTheme="minorHAnsi"/>
          <w:szCs w:val="24"/>
          <w:lang w:val="fr-CA"/>
        </w:rPr>
        <w:t>acte ou l</w:t>
      </w:r>
      <w:r w:rsidR="008372AA" w:rsidRPr="00403220">
        <w:rPr>
          <w:rStyle w:val="ptext-1"/>
          <w:rFonts w:eastAsiaTheme="minorHAnsi"/>
          <w:szCs w:val="24"/>
          <w:lang w:val="fr-CA"/>
        </w:rPr>
        <w:t>’</w:t>
      </w:r>
      <w:r w:rsidR="0047179D" w:rsidRPr="00403220">
        <w:rPr>
          <w:rStyle w:val="ptext-1"/>
          <w:rFonts w:eastAsiaTheme="minorHAnsi"/>
          <w:szCs w:val="24"/>
          <w:lang w:val="fr-CA"/>
        </w:rPr>
        <w:t>omission d</w:t>
      </w:r>
      <w:r w:rsidR="008372AA" w:rsidRPr="00403220">
        <w:rPr>
          <w:rStyle w:val="ptext-1"/>
          <w:rFonts w:eastAsiaTheme="minorHAnsi"/>
          <w:szCs w:val="24"/>
          <w:lang w:val="fr-CA"/>
        </w:rPr>
        <w:t>’</w:t>
      </w:r>
      <w:r w:rsidR="0047179D" w:rsidRPr="00403220">
        <w:rPr>
          <w:rStyle w:val="ptext-1"/>
          <w:rFonts w:eastAsiaTheme="minorHAnsi"/>
          <w:szCs w:val="24"/>
          <w:lang w:val="fr-CA"/>
        </w:rPr>
        <w:t>un fonctionnaire dans l</w:t>
      </w:r>
      <w:r w:rsidR="008372AA" w:rsidRPr="00403220">
        <w:rPr>
          <w:rStyle w:val="ptext-1"/>
          <w:rFonts w:eastAsiaTheme="minorHAnsi"/>
          <w:szCs w:val="24"/>
          <w:lang w:val="fr-CA"/>
        </w:rPr>
        <w:t>’</w:t>
      </w:r>
      <w:r w:rsidR="0047179D" w:rsidRPr="00403220">
        <w:rPr>
          <w:rStyle w:val="ptext-1"/>
          <w:rFonts w:eastAsiaTheme="minorHAnsi"/>
          <w:szCs w:val="24"/>
          <w:lang w:val="fr-CA"/>
        </w:rPr>
        <w:t>exécution diligente d</w:t>
      </w:r>
      <w:r w:rsidR="008372AA" w:rsidRPr="00403220">
        <w:rPr>
          <w:rStyle w:val="ptext-1"/>
          <w:rFonts w:eastAsiaTheme="minorHAnsi"/>
          <w:szCs w:val="24"/>
          <w:lang w:val="fr-CA"/>
        </w:rPr>
        <w:t>’</w:t>
      </w:r>
      <w:r w:rsidR="0047179D" w:rsidRPr="00403220">
        <w:rPr>
          <w:rStyle w:val="ptext-1"/>
          <w:rFonts w:eastAsiaTheme="minorHAnsi"/>
          <w:szCs w:val="24"/>
          <w:lang w:val="fr-CA"/>
        </w:rPr>
        <w:t>une loi ou d</w:t>
      </w:r>
      <w:r w:rsidR="008372AA" w:rsidRPr="00403220">
        <w:rPr>
          <w:rStyle w:val="ptext-1"/>
          <w:rFonts w:eastAsiaTheme="minorHAnsi"/>
          <w:szCs w:val="24"/>
          <w:lang w:val="fr-CA"/>
        </w:rPr>
        <w:t>’</w:t>
      </w:r>
      <w:r w:rsidR="0047179D" w:rsidRPr="00403220">
        <w:rPr>
          <w:rStyle w:val="ptext-1"/>
          <w:rFonts w:eastAsiaTheme="minorHAnsi"/>
          <w:szCs w:val="24"/>
          <w:lang w:val="fr-CA"/>
        </w:rPr>
        <w:t xml:space="preserve">un règlement, que ces derniers soient ou non valides, </w:t>
      </w:r>
      <w:r w:rsidR="0047179D" w:rsidRPr="00403220">
        <w:rPr>
          <w:rStyle w:val="ptext-1"/>
          <w:rFonts w:eastAsiaTheme="minorHAnsi"/>
          <w:szCs w:val="24"/>
          <w:u w:val="single"/>
          <w:lang w:val="fr-CA"/>
        </w:rPr>
        <w:t>ou fondée sur l</w:t>
      </w:r>
      <w:r w:rsidR="008372AA" w:rsidRPr="00403220">
        <w:rPr>
          <w:rStyle w:val="ptext-1"/>
          <w:rFonts w:eastAsiaTheme="minorHAnsi"/>
          <w:szCs w:val="24"/>
          <w:u w:val="single"/>
          <w:lang w:val="fr-CA"/>
        </w:rPr>
        <w:t>’</w:t>
      </w:r>
      <w:r w:rsidR="0047179D" w:rsidRPr="00403220">
        <w:rPr>
          <w:rStyle w:val="ptext-1"/>
          <w:rFonts w:eastAsiaTheme="minorHAnsi"/>
          <w:szCs w:val="24"/>
          <w:u w:val="single"/>
          <w:lang w:val="fr-CA"/>
        </w:rPr>
        <w:t>exercice ou le défaut d</w:t>
      </w:r>
      <w:r w:rsidR="008372AA" w:rsidRPr="00403220">
        <w:rPr>
          <w:rStyle w:val="ptext-1"/>
          <w:rFonts w:eastAsiaTheme="minorHAnsi"/>
          <w:szCs w:val="24"/>
          <w:u w:val="single"/>
          <w:lang w:val="fr-CA"/>
        </w:rPr>
        <w:t>’</w:t>
      </w:r>
      <w:r w:rsidR="0047179D" w:rsidRPr="00403220">
        <w:rPr>
          <w:rStyle w:val="ptext-1"/>
          <w:rFonts w:eastAsiaTheme="minorHAnsi"/>
          <w:szCs w:val="24"/>
          <w:u w:val="single"/>
          <w:lang w:val="fr-CA"/>
        </w:rPr>
        <w:t>exercice d</w:t>
      </w:r>
      <w:r w:rsidR="008372AA" w:rsidRPr="00403220">
        <w:rPr>
          <w:rStyle w:val="ptext-1"/>
          <w:rFonts w:eastAsiaTheme="minorHAnsi"/>
          <w:szCs w:val="24"/>
          <w:u w:val="single"/>
          <w:lang w:val="fr-CA"/>
        </w:rPr>
        <w:t>’</w:t>
      </w:r>
      <w:r w:rsidR="0047179D" w:rsidRPr="00403220">
        <w:rPr>
          <w:rStyle w:val="ptext-1"/>
          <w:rFonts w:eastAsiaTheme="minorHAnsi"/>
          <w:szCs w:val="24"/>
          <w:u w:val="single"/>
          <w:lang w:val="fr-CA"/>
        </w:rPr>
        <w:t>une fonction ou d</w:t>
      </w:r>
      <w:r w:rsidR="008372AA" w:rsidRPr="00403220">
        <w:rPr>
          <w:rStyle w:val="ptext-1"/>
          <w:rFonts w:eastAsiaTheme="minorHAnsi"/>
          <w:szCs w:val="24"/>
          <w:u w:val="single"/>
          <w:lang w:val="fr-CA"/>
        </w:rPr>
        <w:t>’</w:t>
      </w:r>
      <w:r w:rsidR="0047179D" w:rsidRPr="00403220">
        <w:rPr>
          <w:rStyle w:val="ptext-1"/>
          <w:rFonts w:eastAsiaTheme="minorHAnsi"/>
          <w:szCs w:val="24"/>
          <w:u w:val="single"/>
          <w:lang w:val="fr-CA"/>
        </w:rPr>
        <w:t>un pouvoir discrétionnaire de la part d</w:t>
      </w:r>
      <w:r w:rsidR="008372AA" w:rsidRPr="00403220">
        <w:rPr>
          <w:rStyle w:val="ptext-1"/>
          <w:rFonts w:eastAsiaTheme="minorHAnsi"/>
          <w:szCs w:val="24"/>
          <w:u w:val="single"/>
          <w:lang w:val="fr-CA"/>
        </w:rPr>
        <w:t>’</w:t>
      </w:r>
      <w:r w:rsidR="0047179D" w:rsidRPr="00403220">
        <w:rPr>
          <w:rStyle w:val="ptext-1"/>
          <w:rFonts w:eastAsiaTheme="minorHAnsi"/>
          <w:szCs w:val="24"/>
          <w:u w:val="single"/>
          <w:lang w:val="fr-CA"/>
        </w:rPr>
        <w:t>un organisme fédéral ou d</w:t>
      </w:r>
      <w:r w:rsidR="008372AA" w:rsidRPr="00403220">
        <w:rPr>
          <w:rStyle w:val="ptext-1"/>
          <w:rFonts w:eastAsiaTheme="minorHAnsi"/>
          <w:szCs w:val="24"/>
          <w:u w:val="single"/>
          <w:lang w:val="fr-CA"/>
        </w:rPr>
        <w:t>’</w:t>
      </w:r>
      <w:r w:rsidR="0047179D" w:rsidRPr="00403220">
        <w:rPr>
          <w:rStyle w:val="ptext-1"/>
          <w:rFonts w:eastAsiaTheme="minorHAnsi"/>
          <w:szCs w:val="24"/>
          <w:u w:val="single"/>
          <w:lang w:val="fr-CA"/>
        </w:rPr>
        <w:t>un fonctionnaire, qu</w:t>
      </w:r>
      <w:r w:rsidR="008372AA" w:rsidRPr="00403220">
        <w:rPr>
          <w:rStyle w:val="ptext-1"/>
          <w:rFonts w:eastAsiaTheme="minorHAnsi"/>
          <w:szCs w:val="24"/>
          <w:u w:val="single"/>
          <w:lang w:val="fr-CA"/>
        </w:rPr>
        <w:t>’</w:t>
      </w:r>
      <w:r w:rsidR="0047179D" w:rsidRPr="00403220">
        <w:rPr>
          <w:rStyle w:val="ptext-1"/>
          <w:rFonts w:eastAsiaTheme="minorHAnsi"/>
          <w:szCs w:val="24"/>
          <w:u w:val="single"/>
          <w:lang w:val="fr-CA"/>
        </w:rPr>
        <w:t>il y ait eu ou non exercice abusif de ce pouvoir discrétionnaire</w:t>
      </w:r>
      <w:r w:rsidR="0047179D" w:rsidRPr="00403220">
        <w:rPr>
          <w:rStyle w:val="ptext-1"/>
          <w:rFonts w:eastAsiaTheme="minorHAnsi"/>
          <w:szCs w:val="24"/>
          <w:lang w:val="fr-CA"/>
        </w:rPr>
        <w:t xml:space="preserve">.  </w:t>
      </w:r>
    </w:p>
    <w:p w:rsidR="0047179D" w:rsidRPr="00403220" w:rsidRDefault="0047179D" w:rsidP="009168E8">
      <w:pPr>
        <w:pStyle w:val="ContinueParaSuitedupar-AltP"/>
        <w:rPr>
          <w:rFonts w:cs="Times New Roman"/>
          <w:szCs w:val="24"/>
          <w:u w:val="single"/>
          <w:lang w:val="fr-CA"/>
        </w:rPr>
      </w:pPr>
      <w:r w:rsidRPr="00403220">
        <w:rPr>
          <w:rStyle w:val="ptext-1"/>
          <w:rFonts w:cs="Times New Roman"/>
          <w:szCs w:val="24"/>
          <w:lang w:val="fr-CA"/>
        </w:rPr>
        <w:t>Fait important, l</w:t>
      </w:r>
      <w:r w:rsidR="008372AA" w:rsidRPr="00403220">
        <w:rPr>
          <w:rStyle w:val="ptext-1"/>
          <w:rFonts w:cs="Times New Roman"/>
          <w:szCs w:val="24"/>
          <w:lang w:val="fr-CA"/>
        </w:rPr>
        <w:t>’</w:t>
      </w:r>
      <w:r w:rsidR="00A54DAC" w:rsidRPr="00403220">
        <w:rPr>
          <w:rStyle w:val="ptext-1"/>
          <w:rFonts w:cs="Times New Roman"/>
          <w:szCs w:val="24"/>
          <w:lang w:val="fr-CA"/>
        </w:rPr>
        <w:t>al. </w:t>
      </w:r>
      <w:r w:rsidRPr="00403220">
        <w:rPr>
          <w:rStyle w:val="ptext-1"/>
          <w:rFonts w:cs="Times New Roman"/>
          <w:szCs w:val="24"/>
          <w:lang w:val="fr-CA"/>
        </w:rPr>
        <w:t xml:space="preserve">2680h) de la </w:t>
      </w:r>
      <w:r w:rsidRPr="00403220">
        <w:rPr>
          <w:rStyle w:val="ptext-1"/>
          <w:rFonts w:cs="Times New Roman"/>
          <w:i/>
          <w:szCs w:val="24"/>
          <w:lang w:val="fr-CA"/>
        </w:rPr>
        <w:t xml:space="preserve">FTCA </w:t>
      </w:r>
      <w:r w:rsidRPr="00403220">
        <w:rPr>
          <w:rStyle w:val="ptext-1"/>
          <w:rFonts w:cs="Times New Roman"/>
          <w:szCs w:val="24"/>
          <w:lang w:val="fr-CA"/>
        </w:rPr>
        <w:t>soustrait le gouvernement fédéral à toute poursuite pour déclaration inexacte, faite délibérément ou par négligence</w:t>
      </w:r>
      <w:r w:rsidR="00A54DAC" w:rsidRPr="00403220">
        <w:rPr>
          <w:rStyle w:val="ptext-1"/>
          <w:rFonts w:cs="Times New Roman"/>
          <w:szCs w:val="24"/>
          <w:lang w:val="fr-CA"/>
        </w:rPr>
        <w:t> :</w:t>
      </w:r>
      <w:r w:rsidRPr="00403220">
        <w:rPr>
          <w:rStyle w:val="ptext-1"/>
          <w:rFonts w:cs="Times New Roman"/>
          <w:szCs w:val="24"/>
          <w:lang w:val="fr-CA"/>
        </w:rPr>
        <w:t xml:space="preserve"> </w:t>
      </w:r>
      <w:r w:rsidRPr="00403220">
        <w:rPr>
          <w:rFonts w:cs="Times New Roman"/>
          <w:bCs/>
          <w:i/>
          <w:szCs w:val="24"/>
          <w:lang w:val="fr-CA"/>
        </w:rPr>
        <w:t>Office of Personnel Management c. Richmond</w:t>
      </w:r>
      <w:r w:rsidR="00BA3188" w:rsidRPr="00403220">
        <w:rPr>
          <w:rFonts w:cs="Times New Roman"/>
          <w:bCs/>
          <w:szCs w:val="24"/>
          <w:lang w:val="fr-CA"/>
        </w:rPr>
        <w:t>,</w:t>
      </w:r>
      <w:r w:rsidRPr="00403220">
        <w:rPr>
          <w:rFonts w:cs="Times New Roman"/>
          <w:bCs/>
          <w:i/>
          <w:szCs w:val="24"/>
          <w:lang w:val="fr-CA"/>
        </w:rPr>
        <w:t xml:space="preserve"> </w:t>
      </w:r>
      <w:bookmarkStart w:id="18" w:name="citeas((Cite_as:_496_U.S._414,_110_S.Ct."/>
      <w:bookmarkEnd w:id="18"/>
      <w:r w:rsidRPr="00403220">
        <w:rPr>
          <w:rFonts w:cs="Times New Roman"/>
          <w:bCs/>
          <w:szCs w:val="24"/>
          <w:lang w:val="fr-CA"/>
        </w:rPr>
        <w:t xml:space="preserve">496 U.S. 414 (1990), </w:t>
      </w:r>
      <w:r w:rsidR="00A54DAC" w:rsidRPr="00403220">
        <w:rPr>
          <w:rFonts w:cs="Times New Roman"/>
          <w:bCs/>
          <w:szCs w:val="24"/>
          <w:lang w:val="fr-CA"/>
        </w:rPr>
        <w:t>p. </w:t>
      </w:r>
      <w:r w:rsidRPr="00403220">
        <w:rPr>
          <w:rFonts w:cs="Times New Roman"/>
          <w:bCs/>
          <w:szCs w:val="24"/>
          <w:lang w:val="fr-CA"/>
        </w:rPr>
        <w:t xml:space="preserve">430; </w:t>
      </w:r>
      <w:r w:rsidRPr="00403220">
        <w:rPr>
          <w:rFonts w:cs="Times New Roman"/>
          <w:bCs/>
          <w:i/>
          <w:szCs w:val="24"/>
          <w:lang w:val="fr-CA"/>
        </w:rPr>
        <w:t>United States c. Neustadt</w:t>
      </w:r>
      <w:r w:rsidRPr="00403220">
        <w:rPr>
          <w:rFonts w:cs="Times New Roman"/>
          <w:bCs/>
          <w:szCs w:val="24"/>
          <w:lang w:val="fr-CA"/>
        </w:rPr>
        <w:t>, 366 U.S. 696 (1961).</w:t>
      </w:r>
    </w:p>
    <w:p w:rsidR="0047179D" w:rsidRPr="00403220" w:rsidRDefault="0047179D" w:rsidP="009168E8">
      <w:pPr>
        <w:pStyle w:val="ParaNoNdepar-AltN"/>
        <w:rPr>
          <w:rFonts w:cs="Times New Roman"/>
          <w:szCs w:val="24"/>
          <w:lang w:val="fr-CA"/>
        </w:rPr>
      </w:pPr>
      <w:r w:rsidRPr="00403220">
        <w:rPr>
          <w:rFonts w:cs="Times New Roman"/>
          <w:szCs w:val="24"/>
          <w:lang w:val="fr-CA"/>
        </w:rPr>
        <w:lastRenderedPageBreak/>
        <w:t>Sans entrer dans les détails de l</w:t>
      </w:r>
      <w:r w:rsidR="008372AA" w:rsidRPr="00403220">
        <w:rPr>
          <w:rFonts w:cs="Times New Roman"/>
          <w:szCs w:val="24"/>
          <w:lang w:val="fr-CA"/>
        </w:rPr>
        <w:t>’</w:t>
      </w:r>
      <w:r w:rsidRPr="00403220">
        <w:rPr>
          <w:rFonts w:cs="Times New Roman"/>
          <w:szCs w:val="24"/>
          <w:lang w:val="fr-CA"/>
        </w:rPr>
        <w:t xml:space="preserve">historique complexe de la jurisprudence américaine en la matière, il suffit de dire que les tribunaux ont restreint le concept de pouvoir discrétionnaire énoncé dans la </w:t>
      </w:r>
      <w:r w:rsidRPr="00403220">
        <w:rPr>
          <w:rFonts w:cs="Times New Roman"/>
          <w:i/>
          <w:szCs w:val="24"/>
          <w:lang w:val="fr-CA"/>
        </w:rPr>
        <w:t>FTCA</w:t>
      </w:r>
      <w:r w:rsidRPr="00403220">
        <w:rPr>
          <w:rFonts w:cs="Times New Roman"/>
          <w:szCs w:val="24"/>
          <w:lang w:val="fr-CA"/>
        </w:rPr>
        <w:t xml:space="preserve"> en invoquant la notion de politique</w:t>
      </w:r>
      <w:r w:rsidR="003F642C" w:rsidRPr="00403220">
        <w:rPr>
          <w:rFonts w:cs="Times New Roman"/>
          <w:szCs w:val="24"/>
          <w:lang w:val="fr-CA"/>
        </w:rPr>
        <w:t xml:space="preserve"> générale</w:t>
      </w:r>
      <w:r w:rsidRPr="00403220">
        <w:rPr>
          <w:rFonts w:cs="Times New Roman"/>
          <w:szCs w:val="24"/>
          <w:lang w:val="fr-CA"/>
        </w:rPr>
        <w:t>.  Dans certaines décisions, ils développent cette analyse en distinguant les décisions de politique</w:t>
      </w:r>
      <w:r w:rsidR="0021614B" w:rsidRPr="00403220">
        <w:rPr>
          <w:rFonts w:cs="Times New Roman"/>
          <w:szCs w:val="24"/>
          <w:lang w:val="fr-CA"/>
        </w:rPr>
        <w:t xml:space="preserve"> générale</w:t>
      </w:r>
      <w:r w:rsidRPr="00403220">
        <w:rPr>
          <w:rFonts w:cs="Times New Roman"/>
          <w:szCs w:val="24"/>
          <w:lang w:val="fr-CA"/>
        </w:rPr>
        <w:t xml:space="preserve"> des décisions opérationnelles</w:t>
      </w:r>
      <w:r w:rsidR="00A54DAC" w:rsidRPr="00403220">
        <w:rPr>
          <w:rFonts w:cs="Times New Roman"/>
          <w:szCs w:val="24"/>
          <w:lang w:val="fr-CA"/>
        </w:rPr>
        <w:t> :</w:t>
      </w:r>
      <w:r w:rsidRPr="00403220">
        <w:rPr>
          <w:rFonts w:cs="Times New Roman"/>
          <w:szCs w:val="24"/>
          <w:lang w:val="fr-CA"/>
        </w:rPr>
        <w:t xml:space="preserve"> </w:t>
      </w:r>
      <w:r w:rsidR="00CF657D" w:rsidRPr="00403220">
        <w:rPr>
          <w:rFonts w:cs="Times New Roman"/>
          <w:szCs w:val="24"/>
          <w:lang w:val="fr-CA"/>
        </w:rPr>
        <w:t>p</w:t>
      </w:r>
      <w:r w:rsidR="00891AB5">
        <w:rPr>
          <w:rFonts w:cs="Times New Roman"/>
          <w:szCs w:val="24"/>
          <w:lang w:val="fr-CA"/>
        </w:rPr>
        <w:t>.</w:t>
      </w:r>
      <w:r w:rsidR="00BA3188" w:rsidRPr="00403220">
        <w:rPr>
          <w:rFonts w:cs="Times New Roman"/>
          <w:szCs w:val="24"/>
          <w:lang w:val="fr-CA"/>
        </w:rPr>
        <w:t xml:space="preserve"> </w:t>
      </w:r>
      <w:r w:rsidRPr="00403220">
        <w:rPr>
          <w:rFonts w:cs="Times New Roman"/>
          <w:szCs w:val="24"/>
          <w:lang w:val="fr-CA"/>
        </w:rPr>
        <w:t>ex</w:t>
      </w:r>
      <w:r w:rsidR="00891AB5">
        <w:rPr>
          <w:rFonts w:cs="Times New Roman"/>
          <w:szCs w:val="24"/>
          <w:lang w:val="fr-CA"/>
        </w:rPr>
        <w:t>.</w:t>
      </w:r>
      <w:r w:rsidRPr="00403220">
        <w:rPr>
          <w:rFonts w:cs="Times New Roman"/>
          <w:szCs w:val="24"/>
          <w:lang w:val="fr-CA"/>
        </w:rPr>
        <w:t xml:space="preserve"> </w:t>
      </w:r>
      <w:proofErr w:type="spellStart"/>
      <w:r w:rsidRPr="00403220">
        <w:rPr>
          <w:rFonts w:cs="Times New Roman"/>
          <w:i/>
          <w:szCs w:val="24"/>
          <w:lang w:val="fr-CA"/>
        </w:rPr>
        <w:t>Dalehite</w:t>
      </w:r>
      <w:proofErr w:type="spellEnd"/>
      <w:r w:rsidRPr="00403220">
        <w:rPr>
          <w:rFonts w:cs="Times New Roman"/>
          <w:i/>
          <w:szCs w:val="24"/>
          <w:lang w:val="fr-CA"/>
        </w:rPr>
        <w:t xml:space="preserve"> c. United States</w:t>
      </w:r>
      <w:r w:rsidRPr="00403220">
        <w:rPr>
          <w:rFonts w:cs="Times New Roman"/>
          <w:szCs w:val="24"/>
          <w:lang w:val="fr-CA"/>
        </w:rPr>
        <w:t xml:space="preserve">, 346 U.S. 15 (1953).  La Cour suprême des </w:t>
      </w:r>
      <w:proofErr w:type="spellStart"/>
      <w:r w:rsidRPr="00403220">
        <w:rPr>
          <w:rFonts w:cs="Times New Roman"/>
          <w:szCs w:val="24"/>
          <w:lang w:val="fr-CA"/>
        </w:rPr>
        <w:t>États</w:t>
      </w:r>
      <w:r w:rsidR="00A54DAC" w:rsidRPr="00403220">
        <w:rPr>
          <w:rFonts w:cs="Times New Roman"/>
          <w:szCs w:val="24"/>
          <w:lang w:val="fr-CA"/>
        </w:rPr>
        <w:noBreakHyphen/>
      </w:r>
      <w:r w:rsidRPr="00403220">
        <w:rPr>
          <w:rFonts w:cs="Times New Roman"/>
          <w:szCs w:val="24"/>
          <w:lang w:val="fr-CA"/>
        </w:rPr>
        <w:t>Unis</w:t>
      </w:r>
      <w:proofErr w:type="spellEnd"/>
      <w:r w:rsidRPr="00403220">
        <w:rPr>
          <w:rFonts w:cs="Times New Roman"/>
          <w:szCs w:val="24"/>
          <w:lang w:val="fr-CA"/>
        </w:rPr>
        <w:t xml:space="preserve"> s</w:t>
      </w:r>
      <w:r w:rsidR="008372AA" w:rsidRPr="00403220">
        <w:rPr>
          <w:rFonts w:cs="Times New Roman"/>
          <w:szCs w:val="24"/>
          <w:lang w:val="fr-CA"/>
        </w:rPr>
        <w:t>’</w:t>
      </w:r>
      <w:r w:rsidRPr="00403220">
        <w:rPr>
          <w:rFonts w:cs="Times New Roman"/>
          <w:szCs w:val="24"/>
          <w:lang w:val="fr-CA"/>
        </w:rPr>
        <w:t>est depuis distanciée de l</w:t>
      </w:r>
      <w:r w:rsidR="008372AA" w:rsidRPr="00403220">
        <w:rPr>
          <w:rFonts w:cs="Times New Roman"/>
          <w:szCs w:val="24"/>
          <w:lang w:val="fr-CA"/>
        </w:rPr>
        <w:t>’</w:t>
      </w:r>
      <w:r w:rsidRPr="00403220">
        <w:rPr>
          <w:rFonts w:cs="Times New Roman"/>
          <w:szCs w:val="24"/>
          <w:lang w:val="fr-CA"/>
        </w:rPr>
        <w:t xml:space="preserve">approche qui consiste à décrire de façon négative une véritable décision de politique </w:t>
      </w:r>
      <w:r w:rsidR="0021614B" w:rsidRPr="00403220">
        <w:rPr>
          <w:rFonts w:cs="Times New Roman"/>
          <w:szCs w:val="24"/>
          <w:lang w:val="fr-CA"/>
        </w:rPr>
        <w:t xml:space="preserve">générale </w:t>
      </w:r>
      <w:r w:rsidRPr="00403220">
        <w:rPr>
          <w:rFonts w:cs="Times New Roman"/>
          <w:szCs w:val="24"/>
          <w:lang w:val="fr-CA"/>
        </w:rPr>
        <w:t>comme</w:t>
      </w:r>
      <w:r w:rsidR="0021614B" w:rsidRPr="00403220">
        <w:rPr>
          <w:rFonts w:cs="Times New Roman"/>
          <w:szCs w:val="24"/>
          <w:lang w:val="fr-CA"/>
        </w:rPr>
        <w:t xml:space="preserve"> une décision</w:t>
      </w:r>
      <w:r w:rsidRPr="00403220">
        <w:rPr>
          <w:rFonts w:cs="Times New Roman"/>
          <w:szCs w:val="24"/>
          <w:lang w:val="fr-CA"/>
        </w:rPr>
        <w:t xml:space="preserve"> [</w:t>
      </w:r>
      <w:r w:rsidRPr="00403220">
        <w:rPr>
          <w:rFonts w:cs="Times New Roman"/>
          <w:smallCaps/>
          <w:szCs w:val="24"/>
          <w:lang w:val="fr-CA"/>
        </w:rPr>
        <w:t>traduction</w:t>
      </w:r>
      <w:r w:rsidRPr="00403220">
        <w:rPr>
          <w:rFonts w:cs="Times New Roman"/>
          <w:szCs w:val="24"/>
          <w:lang w:val="fr-CA"/>
        </w:rPr>
        <w:t>] « n</w:t>
      </w:r>
      <w:r w:rsidR="008372AA" w:rsidRPr="00403220">
        <w:rPr>
          <w:rFonts w:cs="Times New Roman"/>
          <w:szCs w:val="24"/>
          <w:lang w:val="fr-CA"/>
        </w:rPr>
        <w:t>’</w:t>
      </w:r>
      <w:r w:rsidRPr="00403220">
        <w:rPr>
          <w:rFonts w:cs="Times New Roman"/>
          <w:szCs w:val="24"/>
          <w:lang w:val="fr-CA"/>
        </w:rPr>
        <w:t xml:space="preserve">étant pas </w:t>
      </w:r>
      <w:r w:rsidR="0021614B" w:rsidRPr="00403220">
        <w:rPr>
          <w:rFonts w:cs="Times New Roman"/>
          <w:szCs w:val="24"/>
          <w:lang w:val="fr-CA"/>
        </w:rPr>
        <w:t xml:space="preserve">de nature </w:t>
      </w:r>
      <w:r w:rsidRPr="00403220">
        <w:rPr>
          <w:rFonts w:cs="Times New Roman"/>
          <w:szCs w:val="24"/>
          <w:lang w:val="fr-CA"/>
        </w:rPr>
        <w:t>opérationnelle</w:t>
      </w:r>
      <w:r w:rsidR="00856C6C" w:rsidRPr="00403220">
        <w:rPr>
          <w:rFonts w:cs="Times New Roman"/>
          <w:szCs w:val="24"/>
          <w:lang w:val="fr-CA"/>
        </w:rPr>
        <w:t> </w:t>
      </w:r>
      <w:r w:rsidRPr="00403220">
        <w:rPr>
          <w:rFonts w:cs="Times New Roman"/>
          <w:szCs w:val="24"/>
          <w:lang w:val="fr-CA"/>
        </w:rPr>
        <w:t xml:space="preserve">» </w:t>
      </w:r>
      <w:r w:rsidR="0091288B" w:rsidRPr="00403220">
        <w:rPr>
          <w:rFonts w:cs="Times New Roman"/>
          <w:szCs w:val="24"/>
          <w:lang w:val="fr-CA"/>
        </w:rPr>
        <w:t xml:space="preserve">et favorise </w:t>
      </w:r>
      <w:r w:rsidRPr="00403220">
        <w:rPr>
          <w:rFonts w:cs="Times New Roman"/>
          <w:szCs w:val="24"/>
          <w:lang w:val="fr-CA"/>
        </w:rPr>
        <w:t>une approche visant à déterminer si la conduite contestée de l</w:t>
      </w:r>
      <w:r w:rsidR="008372AA" w:rsidRPr="00403220">
        <w:rPr>
          <w:rFonts w:cs="Times New Roman"/>
          <w:szCs w:val="24"/>
          <w:lang w:val="fr-CA"/>
        </w:rPr>
        <w:t>’</w:t>
      </w:r>
      <w:r w:rsidRPr="00403220">
        <w:rPr>
          <w:rFonts w:cs="Times New Roman"/>
          <w:szCs w:val="24"/>
          <w:lang w:val="fr-CA"/>
        </w:rPr>
        <w:t>État reposait sur des considérations d</w:t>
      </w:r>
      <w:r w:rsidR="008372AA" w:rsidRPr="00403220">
        <w:rPr>
          <w:rFonts w:cs="Times New Roman"/>
          <w:szCs w:val="24"/>
          <w:lang w:val="fr-CA"/>
        </w:rPr>
        <w:t>’</w:t>
      </w:r>
      <w:r w:rsidRPr="00403220">
        <w:rPr>
          <w:rFonts w:cs="Times New Roman"/>
          <w:szCs w:val="24"/>
          <w:lang w:val="fr-CA"/>
        </w:rPr>
        <w:t xml:space="preserve">intérêt public. </w:t>
      </w:r>
      <w:r w:rsidR="00856C6C" w:rsidRPr="00403220">
        <w:rPr>
          <w:rFonts w:cs="Times New Roman"/>
          <w:szCs w:val="24"/>
          <w:lang w:val="fr-CA"/>
        </w:rPr>
        <w:t xml:space="preserve"> </w:t>
      </w:r>
      <w:r w:rsidRPr="00403220">
        <w:rPr>
          <w:rFonts w:cs="Times New Roman"/>
          <w:szCs w:val="24"/>
          <w:lang w:val="fr-CA"/>
        </w:rPr>
        <w:t xml:space="preserve">Dans </w:t>
      </w:r>
      <w:r w:rsidRPr="00403220">
        <w:rPr>
          <w:rFonts w:cs="Times New Roman"/>
          <w:i/>
          <w:szCs w:val="24"/>
          <w:lang w:val="fr-CA"/>
        </w:rPr>
        <w:t>United States c. Gaubert</w:t>
      </w:r>
      <w:r w:rsidRPr="00403220">
        <w:rPr>
          <w:rFonts w:cs="Times New Roman"/>
          <w:szCs w:val="24"/>
          <w:lang w:val="fr-CA"/>
        </w:rPr>
        <w:t xml:space="preserve">, 499 U.S. 315 (1991), le juge White a reproché </w:t>
      </w:r>
      <w:r w:rsidR="00891AB5">
        <w:rPr>
          <w:rFonts w:cs="Times New Roman"/>
          <w:szCs w:val="24"/>
          <w:lang w:val="fr-CA"/>
        </w:rPr>
        <w:t xml:space="preserve">à la Court of </w:t>
      </w:r>
      <w:proofErr w:type="spellStart"/>
      <w:r w:rsidR="00891AB5">
        <w:rPr>
          <w:rFonts w:cs="Times New Roman"/>
          <w:szCs w:val="24"/>
          <w:lang w:val="fr-CA"/>
        </w:rPr>
        <w:t>Appeals</w:t>
      </w:r>
      <w:proofErr w:type="spellEnd"/>
      <w:r w:rsidRPr="00403220">
        <w:rPr>
          <w:rFonts w:cs="Times New Roman"/>
          <w:szCs w:val="24"/>
          <w:lang w:val="fr-CA"/>
        </w:rPr>
        <w:t xml:space="preserve"> de se fonder sur une [</w:t>
      </w:r>
      <w:r w:rsidRPr="00403220">
        <w:rPr>
          <w:rFonts w:cs="Times New Roman"/>
          <w:smallCaps/>
          <w:szCs w:val="24"/>
          <w:lang w:val="fr-CA"/>
        </w:rPr>
        <w:t>traduction</w:t>
      </w:r>
      <w:r w:rsidR="00856C6C" w:rsidRPr="00403220">
        <w:rPr>
          <w:rFonts w:cs="Times New Roman"/>
          <w:szCs w:val="24"/>
          <w:lang w:val="fr-CA"/>
        </w:rPr>
        <w:t>] « </w:t>
      </w:r>
      <w:r w:rsidRPr="00403220">
        <w:rPr>
          <w:rFonts w:cs="Times New Roman"/>
          <w:szCs w:val="24"/>
          <w:lang w:val="fr-CA"/>
        </w:rPr>
        <w:t>dichotomie inexistante entre les fonctions discrétionnaires e</w:t>
      </w:r>
      <w:r w:rsidR="0086265E" w:rsidRPr="00403220">
        <w:rPr>
          <w:rFonts w:cs="Times New Roman"/>
          <w:szCs w:val="24"/>
          <w:lang w:val="fr-CA"/>
        </w:rPr>
        <w:t>t les activités opérationnelles </w:t>
      </w:r>
      <w:r w:rsidRPr="00403220">
        <w:rPr>
          <w:rFonts w:cs="Times New Roman"/>
          <w:szCs w:val="24"/>
          <w:lang w:val="fr-CA"/>
        </w:rPr>
        <w:t>» (</w:t>
      </w:r>
      <w:r w:rsidR="00A54DAC" w:rsidRPr="00403220">
        <w:rPr>
          <w:rFonts w:cs="Times New Roman"/>
          <w:szCs w:val="24"/>
          <w:lang w:val="fr-CA"/>
        </w:rPr>
        <w:t>p. </w:t>
      </w:r>
      <w:r w:rsidRPr="00403220">
        <w:rPr>
          <w:rFonts w:cs="Times New Roman"/>
          <w:szCs w:val="24"/>
          <w:lang w:val="fr-CA"/>
        </w:rPr>
        <w:t>326).  Selon lui, l</w:t>
      </w:r>
      <w:r w:rsidR="008372AA" w:rsidRPr="00403220">
        <w:rPr>
          <w:rFonts w:cs="Times New Roman"/>
          <w:szCs w:val="24"/>
          <w:lang w:val="fr-CA"/>
        </w:rPr>
        <w:t>’</w:t>
      </w:r>
      <w:r w:rsidRPr="00403220">
        <w:rPr>
          <w:rFonts w:cs="Times New Roman"/>
          <w:szCs w:val="24"/>
          <w:lang w:val="fr-CA"/>
        </w:rPr>
        <w:t>« exception relative aux fonctions</w:t>
      </w:r>
      <w:r w:rsidR="0086265E" w:rsidRPr="00403220">
        <w:rPr>
          <w:rFonts w:cs="Times New Roman"/>
          <w:szCs w:val="24"/>
          <w:lang w:val="fr-CA"/>
        </w:rPr>
        <w:t xml:space="preserve"> discrétionnaires </w:t>
      </w:r>
      <w:r w:rsidRPr="00403220">
        <w:rPr>
          <w:rFonts w:cs="Times New Roman"/>
          <w:szCs w:val="24"/>
          <w:lang w:val="fr-CA"/>
        </w:rPr>
        <w:t xml:space="preserve">» prévue par la </w:t>
      </w:r>
      <w:r w:rsidRPr="00403220">
        <w:rPr>
          <w:rFonts w:cs="Times New Roman"/>
          <w:i/>
          <w:szCs w:val="24"/>
          <w:lang w:val="fr-CA"/>
        </w:rPr>
        <w:t>FTCA</w:t>
      </w:r>
      <w:r w:rsidRPr="00403220">
        <w:rPr>
          <w:rFonts w:cs="Times New Roman"/>
          <w:szCs w:val="24"/>
          <w:lang w:val="fr-CA"/>
        </w:rPr>
        <w:t xml:space="preserve"> « </w:t>
      </w:r>
      <w:r w:rsidRPr="00403220">
        <w:rPr>
          <w:rFonts w:cs="Times New Roman"/>
          <w:szCs w:val="24"/>
          <w:u w:val="single"/>
          <w:lang w:val="fr-CA"/>
        </w:rPr>
        <w:t>ne vise que les mesures et les décisions du gouvernement qui reposent sur des considérations d</w:t>
      </w:r>
      <w:r w:rsidR="008372AA" w:rsidRPr="00403220">
        <w:rPr>
          <w:rFonts w:cs="Times New Roman"/>
          <w:szCs w:val="24"/>
          <w:u w:val="single"/>
          <w:lang w:val="fr-CA"/>
        </w:rPr>
        <w:t>’</w:t>
      </w:r>
      <w:r w:rsidRPr="00403220">
        <w:rPr>
          <w:rFonts w:cs="Times New Roman"/>
          <w:szCs w:val="24"/>
          <w:u w:val="single"/>
          <w:lang w:val="fr-CA"/>
        </w:rPr>
        <w:t>intérêt public</w:t>
      </w:r>
      <w:r w:rsidR="00EB7DB6" w:rsidRPr="00403220">
        <w:rPr>
          <w:rFonts w:cs="Times New Roman"/>
          <w:szCs w:val="24"/>
          <w:lang w:val="fr-CA"/>
        </w:rPr>
        <w:t> </w:t>
      </w:r>
      <w:r w:rsidRPr="00403220">
        <w:rPr>
          <w:rFonts w:cs="Times New Roman"/>
          <w:szCs w:val="24"/>
          <w:lang w:val="fr-CA"/>
        </w:rPr>
        <w:t>» (</w:t>
      </w:r>
      <w:r w:rsidR="00A54DAC" w:rsidRPr="00403220">
        <w:rPr>
          <w:rFonts w:cs="Times New Roman"/>
          <w:szCs w:val="24"/>
          <w:lang w:val="fr-CA"/>
        </w:rPr>
        <w:t>p. </w:t>
      </w:r>
      <w:r w:rsidRPr="00403220">
        <w:rPr>
          <w:rFonts w:cs="Times New Roman"/>
          <w:szCs w:val="24"/>
          <w:lang w:val="fr-CA"/>
        </w:rPr>
        <w:t>323</w:t>
      </w:r>
      <w:r w:rsidR="0021614B" w:rsidRPr="00403220">
        <w:rPr>
          <w:rFonts w:cs="Times New Roman"/>
          <w:szCs w:val="24"/>
          <w:lang w:val="fr-CA"/>
        </w:rPr>
        <w:t xml:space="preserve">, citant </w:t>
      </w:r>
      <w:proofErr w:type="spellStart"/>
      <w:r w:rsidR="008A225C" w:rsidRPr="00403220">
        <w:rPr>
          <w:rFonts w:cs="Times New Roman"/>
          <w:i/>
          <w:szCs w:val="24"/>
          <w:lang w:val="fr-CA"/>
        </w:rPr>
        <w:t>Be</w:t>
      </w:r>
      <w:r w:rsidR="00F42E8C">
        <w:rPr>
          <w:rFonts w:cs="Times New Roman"/>
          <w:i/>
          <w:szCs w:val="24"/>
          <w:lang w:val="fr-CA"/>
        </w:rPr>
        <w:t>r</w:t>
      </w:r>
      <w:r w:rsidR="008A225C" w:rsidRPr="00403220">
        <w:rPr>
          <w:rFonts w:cs="Times New Roman"/>
          <w:i/>
          <w:szCs w:val="24"/>
          <w:lang w:val="fr-CA"/>
        </w:rPr>
        <w:t>k</w:t>
      </w:r>
      <w:r w:rsidR="0021614B" w:rsidRPr="00403220">
        <w:rPr>
          <w:rFonts w:cs="Times New Roman"/>
          <w:i/>
          <w:szCs w:val="24"/>
          <w:lang w:val="fr-CA"/>
        </w:rPr>
        <w:t>ovit</w:t>
      </w:r>
      <w:r w:rsidR="008A225C" w:rsidRPr="00403220">
        <w:rPr>
          <w:rFonts w:cs="Times New Roman"/>
          <w:i/>
          <w:szCs w:val="24"/>
          <w:lang w:val="fr-CA"/>
        </w:rPr>
        <w:t>z</w:t>
      </w:r>
      <w:proofErr w:type="spellEnd"/>
      <w:r w:rsidR="008A225C" w:rsidRPr="00403220">
        <w:rPr>
          <w:rFonts w:cs="Times New Roman"/>
          <w:i/>
          <w:szCs w:val="24"/>
          <w:lang w:val="fr-CA"/>
        </w:rPr>
        <w:t xml:space="preserve"> c. United States</w:t>
      </w:r>
      <w:r w:rsidR="008A225C" w:rsidRPr="00403220">
        <w:rPr>
          <w:rFonts w:cs="Times New Roman"/>
          <w:szCs w:val="24"/>
          <w:lang w:val="fr-CA"/>
        </w:rPr>
        <w:t>, 486 U.S. 531 (1988),</w:t>
      </w:r>
      <w:r w:rsidR="0021614B" w:rsidRPr="00403220">
        <w:rPr>
          <w:rFonts w:cs="Times New Roman"/>
          <w:szCs w:val="24"/>
          <w:lang w:val="fr-CA"/>
        </w:rPr>
        <w:t xml:space="preserve"> </w:t>
      </w:r>
      <w:r w:rsidR="00A54DAC" w:rsidRPr="00403220">
        <w:rPr>
          <w:rFonts w:cs="Times New Roman"/>
          <w:szCs w:val="24"/>
          <w:lang w:val="fr-CA"/>
        </w:rPr>
        <w:t>p. </w:t>
      </w:r>
      <w:r w:rsidR="0021614B" w:rsidRPr="00403220">
        <w:rPr>
          <w:rFonts w:cs="Times New Roman"/>
          <w:szCs w:val="24"/>
          <w:lang w:val="fr-CA"/>
        </w:rPr>
        <w:t>537</w:t>
      </w:r>
      <w:r w:rsidRPr="00403220">
        <w:rPr>
          <w:rFonts w:cs="Times New Roman"/>
          <w:szCs w:val="24"/>
          <w:lang w:val="fr-CA"/>
        </w:rPr>
        <w:t xml:space="preserve"> </w:t>
      </w:r>
      <w:r w:rsidR="00D226E9" w:rsidRPr="00403220">
        <w:rPr>
          <w:rFonts w:cs="Times New Roman"/>
          <w:szCs w:val="24"/>
          <w:lang w:val="fr-CA"/>
        </w:rPr>
        <w:t>(</w:t>
      </w:r>
      <w:r w:rsidRPr="00403220">
        <w:rPr>
          <w:rFonts w:cs="Times New Roman"/>
          <w:szCs w:val="24"/>
          <w:lang w:val="fr-CA"/>
        </w:rPr>
        <w:t>je souligne</w:t>
      </w:r>
      <w:r w:rsidR="00D226E9" w:rsidRPr="00403220">
        <w:rPr>
          <w:rFonts w:cs="Times New Roman"/>
          <w:szCs w:val="24"/>
          <w:lang w:val="fr-CA"/>
        </w:rPr>
        <w:t>)</w:t>
      </w:r>
      <w:r w:rsidRPr="00403220">
        <w:rPr>
          <w:rFonts w:cs="Times New Roman"/>
          <w:szCs w:val="24"/>
          <w:lang w:val="fr-CA"/>
        </w:rPr>
        <w:t>)</w:t>
      </w:r>
      <w:r w:rsidR="00BA3188" w:rsidRPr="00403220">
        <w:rPr>
          <w:rFonts w:cs="Times New Roman"/>
          <w:szCs w:val="24"/>
          <w:lang w:val="fr-CA"/>
        </w:rPr>
        <w:t>,</w:t>
      </w:r>
      <w:r w:rsidRPr="00403220">
        <w:rPr>
          <w:rFonts w:cs="Times New Roman"/>
          <w:szCs w:val="24"/>
          <w:lang w:val="fr-CA"/>
        </w:rPr>
        <w:t xml:space="preserve"> comme celles faisant intervenir des considérations sociales, économiques ou politiques; voir aussi </w:t>
      </w:r>
      <w:r w:rsidRPr="00403220">
        <w:rPr>
          <w:rStyle w:val="listitemlarge"/>
          <w:rFonts w:eastAsiaTheme="minorHAnsi" w:cs="Times New Roman"/>
          <w:i/>
          <w:szCs w:val="24"/>
          <w:lang w:val="fr-CA"/>
        </w:rPr>
        <w:t>U</w:t>
      </w:r>
      <w:r w:rsidR="00BA3188" w:rsidRPr="00403220">
        <w:rPr>
          <w:rStyle w:val="listitemlarge"/>
          <w:rFonts w:eastAsiaTheme="minorHAnsi" w:cs="Times New Roman"/>
          <w:i/>
          <w:szCs w:val="24"/>
          <w:lang w:val="fr-CA"/>
        </w:rPr>
        <w:t xml:space="preserve">nited </w:t>
      </w:r>
      <w:r w:rsidRPr="00403220">
        <w:rPr>
          <w:rStyle w:val="listitemlarge"/>
          <w:rFonts w:eastAsiaTheme="minorHAnsi" w:cs="Times New Roman"/>
          <w:i/>
          <w:szCs w:val="24"/>
          <w:lang w:val="fr-CA"/>
        </w:rPr>
        <w:t>S</w:t>
      </w:r>
      <w:r w:rsidR="00BA3188" w:rsidRPr="00403220">
        <w:rPr>
          <w:rStyle w:val="listitemlarge"/>
          <w:rFonts w:eastAsiaTheme="minorHAnsi" w:cs="Times New Roman"/>
          <w:i/>
          <w:szCs w:val="24"/>
          <w:lang w:val="fr-CA"/>
        </w:rPr>
        <w:t>tates</w:t>
      </w:r>
      <w:r w:rsidRPr="00403220">
        <w:rPr>
          <w:rStyle w:val="listitemlarge"/>
          <w:rFonts w:eastAsiaTheme="minorHAnsi" w:cs="Times New Roman"/>
          <w:i/>
          <w:szCs w:val="24"/>
          <w:lang w:val="fr-CA"/>
        </w:rPr>
        <w:t xml:space="preserve"> c. S.A. </w:t>
      </w:r>
      <w:proofErr w:type="spellStart"/>
      <w:r w:rsidRPr="00403220">
        <w:rPr>
          <w:rStyle w:val="listitemlarge"/>
          <w:rFonts w:eastAsiaTheme="minorHAnsi" w:cs="Times New Roman"/>
          <w:i/>
          <w:szCs w:val="24"/>
          <w:lang w:val="fr-CA"/>
        </w:rPr>
        <w:t>Empresa</w:t>
      </w:r>
      <w:proofErr w:type="spellEnd"/>
      <w:r w:rsidRPr="00403220">
        <w:rPr>
          <w:rStyle w:val="listitemlarge"/>
          <w:rFonts w:eastAsiaTheme="minorHAnsi" w:cs="Times New Roman"/>
          <w:i/>
          <w:szCs w:val="24"/>
          <w:lang w:val="fr-CA"/>
        </w:rPr>
        <w:t xml:space="preserve"> de </w:t>
      </w:r>
      <w:proofErr w:type="spellStart"/>
      <w:r w:rsidRPr="00403220">
        <w:rPr>
          <w:rStyle w:val="listitemlarge"/>
          <w:rFonts w:eastAsiaTheme="minorHAnsi" w:cs="Times New Roman"/>
          <w:i/>
          <w:szCs w:val="24"/>
          <w:lang w:val="fr-CA"/>
        </w:rPr>
        <w:t>Viacao</w:t>
      </w:r>
      <w:proofErr w:type="spellEnd"/>
      <w:r w:rsidRPr="00403220">
        <w:rPr>
          <w:rStyle w:val="listitemlarge"/>
          <w:rFonts w:eastAsiaTheme="minorHAnsi" w:cs="Times New Roman"/>
          <w:i/>
          <w:szCs w:val="24"/>
          <w:lang w:val="fr-CA"/>
        </w:rPr>
        <w:t xml:space="preserve"> </w:t>
      </w:r>
      <w:proofErr w:type="spellStart"/>
      <w:r w:rsidRPr="00403220">
        <w:rPr>
          <w:rStyle w:val="listitemlarge"/>
          <w:rFonts w:eastAsiaTheme="minorHAnsi" w:cs="Times New Roman"/>
          <w:i/>
          <w:szCs w:val="24"/>
          <w:lang w:val="fr-CA"/>
        </w:rPr>
        <w:t>Aerea</w:t>
      </w:r>
      <w:proofErr w:type="spellEnd"/>
      <w:r w:rsidRPr="00403220">
        <w:rPr>
          <w:rStyle w:val="listitemlarge"/>
          <w:rFonts w:eastAsiaTheme="minorHAnsi" w:cs="Times New Roman"/>
          <w:i/>
          <w:szCs w:val="24"/>
          <w:lang w:val="fr-CA"/>
        </w:rPr>
        <w:t xml:space="preserve"> Rio </w:t>
      </w:r>
      <w:proofErr w:type="spellStart"/>
      <w:r w:rsidRPr="00403220">
        <w:rPr>
          <w:rStyle w:val="listitemlarge"/>
          <w:rFonts w:eastAsiaTheme="minorHAnsi" w:cs="Times New Roman"/>
          <w:i/>
          <w:szCs w:val="24"/>
          <w:lang w:val="fr-CA"/>
        </w:rPr>
        <w:t>Grandense</w:t>
      </w:r>
      <w:proofErr w:type="spellEnd"/>
      <w:r w:rsidRPr="00403220">
        <w:rPr>
          <w:rStyle w:val="listitemlarge"/>
          <w:rFonts w:eastAsiaTheme="minorHAnsi" w:cs="Times New Roman"/>
          <w:i/>
          <w:szCs w:val="24"/>
          <w:lang w:val="fr-CA"/>
        </w:rPr>
        <w:t xml:space="preserve"> (</w:t>
      </w:r>
      <w:proofErr w:type="spellStart"/>
      <w:r w:rsidRPr="00403220">
        <w:rPr>
          <w:rStyle w:val="listitemlarge"/>
          <w:rFonts w:eastAsiaTheme="minorHAnsi" w:cs="Times New Roman"/>
          <w:i/>
          <w:szCs w:val="24"/>
          <w:lang w:val="fr-CA"/>
        </w:rPr>
        <w:t>Varig</w:t>
      </w:r>
      <w:proofErr w:type="spellEnd"/>
      <w:r w:rsidRPr="00403220">
        <w:rPr>
          <w:rStyle w:val="listitemlarge"/>
          <w:rFonts w:eastAsiaTheme="minorHAnsi" w:cs="Times New Roman"/>
          <w:i/>
          <w:szCs w:val="24"/>
          <w:lang w:val="fr-CA"/>
        </w:rPr>
        <w:t xml:space="preserve"> Airlines)</w:t>
      </w:r>
      <w:r w:rsidRPr="00403220">
        <w:rPr>
          <w:rStyle w:val="listitemlarge"/>
          <w:rFonts w:eastAsiaTheme="minorHAnsi" w:cs="Times New Roman"/>
          <w:szCs w:val="24"/>
          <w:lang w:val="fr-CA"/>
        </w:rPr>
        <w:t>, 467 U.S. 797 (1984)</w:t>
      </w:r>
      <w:r w:rsidRPr="00403220">
        <w:rPr>
          <w:rFonts w:cs="Times New Roman"/>
          <w:szCs w:val="24"/>
          <w:lang w:val="fr-CA"/>
        </w:rPr>
        <w:t xml:space="preserve">. </w:t>
      </w:r>
    </w:p>
    <w:p w:rsidR="0047179D" w:rsidRPr="00403220" w:rsidRDefault="0047179D" w:rsidP="009168E8">
      <w:pPr>
        <w:pStyle w:val="ParaNoNdepar-AltN"/>
        <w:rPr>
          <w:rFonts w:cs="Times New Roman"/>
          <w:szCs w:val="24"/>
          <w:lang w:val="fr-CA"/>
        </w:rPr>
      </w:pPr>
      <w:r w:rsidRPr="00403220">
        <w:rPr>
          <w:rFonts w:cs="Times New Roman"/>
          <w:szCs w:val="24"/>
          <w:lang w:val="fr-CA"/>
        </w:rPr>
        <w:lastRenderedPageBreak/>
        <w:t xml:space="preserve">Dans </w:t>
      </w:r>
      <w:r w:rsidRPr="00403220">
        <w:rPr>
          <w:rFonts w:cs="Times New Roman"/>
          <w:i/>
          <w:szCs w:val="24"/>
          <w:lang w:val="fr-CA"/>
        </w:rPr>
        <w:t>Gaubert</w:t>
      </w:r>
      <w:r w:rsidRPr="00403220">
        <w:rPr>
          <w:rFonts w:cs="Times New Roman"/>
          <w:szCs w:val="24"/>
          <w:lang w:val="fr-CA"/>
        </w:rPr>
        <w:t xml:space="preserve">, seul le juge </w:t>
      </w:r>
      <w:proofErr w:type="spellStart"/>
      <w:r w:rsidRPr="00403220">
        <w:rPr>
          <w:rFonts w:cs="Times New Roman"/>
          <w:szCs w:val="24"/>
          <w:lang w:val="fr-CA"/>
        </w:rPr>
        <w:t>Scalia</w:t>
      </w:r>
      <w:proofErr w:type="spellEnd"/>
      <w:r w:rsidRPr="00403220">
        <w:rPr>
          <w:rFonts w:cs="Times New Roman"/>
          <w:szCs w:val="24"/>
          <w:lang w:val="fr-CA"/>
        </w:rPr>
        <w:t xml:space="preserve"> trouvait encore attrayante l</w:t>
      </w:r>
      <w:r w:rsidR="008372AA" w:rsidRPr="00403220">
        <w:rPr>
          <w:rFonts w:cs="Times New Roman"/>
          <w:szCs w:val="24"/>
          <w:lang w:val="fr-CA"/>
        </w:rPr>
        <w:t>’</w:t>
      </w:r>
      <w:r w:rsidRPr="00403220">
        <w:rPr>
          <w:rFonts w:cs="Times New Roman"/>
          <w:szCs w:val="24"/>
          <w:lang w:val="fr-CA"/>
        </w:rPr>
        <w:t xml:space="preserve">idée de </w:t>
      </w:r>
      <w:r w:rsidR="0021614B" w:rsidRPr="00403220">
        <w:rPr>
          <w:rFonts w:cs="Times New Roman"/>
          <w:szCs w:val="24"/>
          <w:lang w:val="fr-CA"/>
        </w:rPr>
        <w:t>défini</w:t>
      </w:r>
      <w:r w:rsidRPr="00403220">
        <w:rPr>
          <w:rFonts w:cs="Times New Roman"/>
          <w:szCs w:val="24"/>
          <w:lang w:val="fr-CA"/>
        </w:rPr>
        <w:t xml:space="preserve">r les décisions de politique </w:t>
      </w:r>
      <w:r w:rsidR="0021614B" w:rsidRPr="00403220">
        <w:rPr>
          <w:rFonts w:cs="Times New Roman"/>
          <w:szCs w:val="24"/>
          <w:lang w:val="fr-CA"/>
        </w:rPr>
        <w:t xml:space="preserve">générale </w:t>
      </w:r>
      <w:r w:rsidRPr="00403220">
        <w:rPr>
          <w:rFonts w:cs="Times New Roman"/>
          <w:szCs w:val="24"/>
          <w:lang w:val="fr-CA"/>
        </w:rPr>
        <w:t xml:space="preserve">comme </w:t>
      </w:r>
      <w:r w:rsidR="0021614B" w:rsidRPr="00403220">
        <w:rPr>
          <w:rFonts w:cs="Times New Roman"/>
          <w:szCs w:val="24"/>
          <w:lang w:val="fr-CA"/>
        </w:rPr>
        <w:t xml:space="preserve">des décisions </w:t>
      </w:r>
      <w:r w:rsidR="00525C3C">
        <w:rPr>
          <w:rFonts w:cs="Times New Roman"/>
          <w:smallCaps/>
          <w:szCs w:val="24"/>
          <w:lang w:val="fr-CA"/>
        </w:rPr>
        <w:t xml:space="preserve">[traduction] </w:t>
      </w:r>
      <w:r w:rsidRPr="00403220">
        <w:rPr>
          <w:rFonts w:cs="Times New Roman"/>
          <w:szCs w:val="24"/>
          <w:lang w:val="fr-CA"/>
        </w:rPr>
        <w:t>« n</w:t>
      </w:r>
      <w:r w:rsidR="008372AA" w:rsidRPr="00403220">
        <w:rPr>
          <w:rFonts w:cs="Times New Roman"/>
          <w:szCs w:val="24"/>
          <w:lang w:val="fr-CA"/>
        </w:rPr>
        <w:t>’</w:t>
      </w:r>
      <w:r w:rsidRPr="00403220">
        <w:rPr>
          <w:rFonts w:cs="Times New Roman"/>
          <w:szCs w:val="24"/>
          <w:lang w:val="fr-CA"/>
        </w:rPr>
        <w:t xml:space="preserve">étant pas </w:t>
      </w:r>
      <w:r w:rsidR="0021614B" w:rsidRPr="00403220">
        <w:rPr>
          <w:rFonts w:cs="Times New Roman"/>
          <w:szCs w:val="24"/>
          <w:lang w:val="fr-CA"/>
        </w:rPr>
        <w:t xml:space="preserve">de nature </w:t>
      </w:r>
      <w:r w:rsidR="00A4754D" w:rsidRPr="00403220">
        <w:rPr>
          <w:rFonts w:cs="Times New Roman"/>
          <w:szCs w:val="24"/>
          <w:lang w:val="fr-CA"/>
        </w:rPr>
        <w:t>opérationnelle</w:t>
      </w:r>
      <w:r w:rsidRPr="00403220">
        <w:rPr>
          <w:rFonts w:cs="Times New Roman"/>
          <w:szCs w:val="24"/>
          <w:lang w:val="fr-CA"/>
        </w:rPr>
        <w:t> », mais seulement au sens strict selon lequel les employés au niveau opérationnel prennent rarement des décisions de politique</w:t>
      </w:r>
      <w:r w:rsidR="00397066" w:rsidRPr="00403220">
        <w:rPr>
          <w:rFonts w:cs="Times New Roman"/>
          <w:szCs w:val="24"/>
          <w:lang w:val="fr-CA"/>
        </w:rPr>
        <w:t xml:space="preserve"> générale</w:t>
      </w:r>
      <w:r w:rsidRPr="00403220">
        <w:rPr>
          <w:rFonts w:cs="Times New Roman"/>
          <w:szCs w:val="24"/>
          <w:lang w:val="fr-CA"/>
        </w:rPr>
        <w:t xml:space="preserve">.  </w:t>
      </w:r>
      <w:r w:rsidR="0091288B" w:rsidRPr="00403220">
        <w:rPr>
          <w:rFonts w:cs="Times New Roman"/>
          <w:szCs w:val="24"/>
          <w:lang w:val="fr-CA"/>
        </w:rPr>
        <w:t xml:space="preserve">Selon lui, </w:t>
      </w:r>
      <w:r w:rsidRPr="00403220">
        <w:rPr>
          <w:rFonts w:cs="Times New Roman"/>
          <w:szCs w:val="24"/>
          <w:lang w:val="fr-CA"/>
        </w:rPr>
        <w:t>[</w:t>
      </w:r>
      <w:r w:rsidRPr="00403220">
        <w:rPr>
          <w:rFonts w:cs="Times New Roman"/>
          <w:smallCaps/>
          <w:szCs w:val="24"/>
          <w:lang w:val="fr-CA"/>
        </w:rPr>
        <w:t>traduction</w:t>
      </w:r>
      <w:r w:rsidRPr="00403220">
        <w:rPr>
          <w:rFonts w:cs="Times New Roman"/>
          <w:szCs w:val="24"/>
          <w:lang w:val="fr-CA"/>
        </w:rPr>
        <w:t>]</w:t>
      </w:r>
      <w:r w:rsidR="00EB7DB6" w:rsidRPr="00403220">
        <w:rPr>
          <w:rFonts w:cs="Times New Roman"/>
          <w:szCs w:val="24"/>
          <w:lang w:val="fr-CA"/>
        </w:rPr>
        <w:t xml:space="preserve"> « </w:t>
      </w:r>
      <w:r w:rsidR="0091288B" w:rsidRPr="00403220">
        <w:rPr>
          <w:rFonts w:cs="Times New Roman"/>
          <w:szCs w:val="24"/>
          <w:lang w:val="fr-CA"/>
        </w:rPr>
        <w:t>u</w:t>
      </w:r>
      <w:r w:rsidRPr="00403220">
        <w:rPr>
          <w:rFonts w:cs="Times New Roman"/>
          <w:szCs w:val="24"/>
          <w:lang w:val="fr-CA"/>
        </w:rPr>
        <w:t xml:space="preserve">n facteur intervient dans la dichotomie entre la planification et les </w:t>
      </w:r>
      <w:r w:rsidR="00397066" w:rsidRPr="00403220">
        <w:rPr>
          <w:rFonts w:cs="Times New Roman"/>
          <w:szCs w:val="24"/>
          <w:lang w:val="fr-CA"/>
        </w:rPr>
        <w:t>opération</w:t>
      </w:r>
      <w:r w:rsidRPr="00403220">
        <w:rPr>
          <w:rFonts w:cs="Times New Roman"/>
          <w:szCs w:val="24"/>
          <w:lang w:val="fr-CA"/>
        </w:rPr>
        <w:t xml:space="preserve">s </w:t>
      </w:r>
      <w:r w:rsidR="00D226E9" w:rsidRPr="00403220">
        <w:rPr>
          <w:rFonts w:cs="Times New Roman"/>
          <w:szCs w:val="24"/>
          <w:lang w:val="fr-CA"/>
        </w:rPr>
        <w:t>[</w:t>
      </w:r>
      <w:r w:rsidRPr="00403220">
        <w:rPr>
          <w:rFonts w:cs="Times New Roman"/>
          <w:szCs w:val="24"/>
          <w:lang w:val="fr-CA"/>
        </w:rPr>
        <w:t>.</w:t>
      </w:r>
      <w:r w:rsidR="00EB7DB6" w:rsidRPr="00403220">
        <w:rPr>
          <w:rFonts w:cs="Times New Roman"/>
          <w:szCs w:val="24"/>
          <w:lang w:val="fr-CA"/>
        </w:rPr>
        <w:t> </w:t>
      </w:r>
      <w:r w:rsidRPr="00403220">
        <w:rPr>
          <w:rFonts w:cs="Times New Roman"/>
          <w:szCs w:val="24"/>
          <w:lang w:val="fr-CA"/>
        </w:rPr>
        <w:t>.</w:t>
      </w:r>
      <w:r w:rsidR="00EB7DB6" w:rsidRPr="00403220">
        <w:rPr>
          <w:rFonts w:cs="Times New Roman"/>
          <w:szCs w:val="24"/>
          <w:lang w:val="fr-CA"/>
        </w:rPr>
        <w:t> </w:t>
      </w:r>
      <w:r w:rsidRPr="00403220">
        <w:rPr>
          <w:rFonts w:cs="Times New Roman"/>
          <w:szCs w:val="24"/>
          <w:lang w:val="fr-CA"/>
        </w:rPr>
        <w:t>.</w:t>
      </w:r>
      <w:r w:rsidR="00D226E9" w:rsidRPr="00403220">
        <w:rPr>
          <w:rFonts w:cs="Times New Roman"/>
          <w:szCs w:val="24"/>
          <w:lang w:val="fr-CA"/>
        </w:rPr>
        <w:t>]</w:t>
      </w:r>
      <w:r w:rsidRPr="00403220">
        <w:rPr>
          <w:rFonts w:cs="Times New Roman"/>
          <w:szCs w:val="24"/>
          <w:lang w:val="fr-CA"/>
        </w:rPr>
        <w:t xml:space="preserve"> mais ce n</w:t>
      </w:r>
      <w:r w:rsidR="008372AA" w:rsidRPr="00403220">
        <w:rPr>
          <w:rFonts w:cs="Times New Roman"/>
          <w:szCs w:val="24"/>
          <w:lang w:val="fr-CA"/>
        </w:rPr>
        <w:t>’</w:t>
      </w:r>
      <w:r w:rsidRPr="00403220">
        <w:rPr>
          <w:rFonts w:cs="Times New Roman"/>
          <w:szCs w:val="24"/>
          <w:lang w:val="fr-CA"/>
        </w:rPr>
        <w:t>est pas tout à fait ce que les cours d</w:t>
      </w:r>
      <w:r w:rsidR="008372AA" w:rsidRPr="00403220">
        <w:rPr>
          <w:rFonts w:cs="Times New Roman"/>
          <w:szCs w:val="24"/>
          <w:lang w:val="fr-CA"/>
        </w:rPr>
        <w:t>’</w:t>
      </w:r>
      <w:r w:rsidR="00EB7DB6" w:rsidRPr="00403220">
        <w:rPr>
          <w:rFonts w:cs="Times New Roman"/>
          <w:szCs w:val="24"/>
          <w:lang w:val="fr-CA"/>
        </w:rPr>
        <w:t>appel avaient en tête </w:t>
      </w:r>
      <w:r w:rsidRPr="00403220">
        <w:rPr>
          <w:rFonts w:cs="Times New Roman"/>
          <w:szCs w:val="24"/>
          <w:lang w:val="fr-CA"/>
        </w:rPr>
        <w:t>»</w:t>
      </w:r>
      <w:r w:rsidR="008230AF" w:rsidRPr="00403220">
        <w:rPr>
          <w:rFonts w:cs="Times New Roman"/>
          <w:szCs w:val="24"/>
          <w:lang w:val="fr-CA"/>
        </w:rPr>
        <w:t xml:space="preserve"> (</w:t>
      </w:r>
      <w:r w:rsidR="00A54DAC" w:rsidRPr="00403220">
        <w:rPr>
          <w:rFonts w:cs="Times New Roman"/>
          <w:szCs w:val="24"/>
          <w:lang w:val="fr-CA"/>
        </w:rPr>
        <w:t>p. </w:t>
      </w:r>
      <w:r w:rsidR="008230AF" w:rsidRPr="00403220">
        <w:rPr>
          <w:rFonts w:cs="Times New Roman"/>
          <w:szCs w:val="24"/>
          <w:lang w:val="fr-CA"/>
        </w:rPr>
        <w:t>335)</w:t>
      </w:r>
      <w:r w:rsidRPr="00403220">
        <w:rPr>
          <w:rFonts w:cs="Times New Roman"/>
          <w:szCs w:val="24"/>
          <w:lang w:val="fr-CA"/>
        </w:rPr>
        <w:t xml:space="preserve">.  </w:t>
      </w:r>
      <w:r w:rsidR="00EB7DB6" w:rsidRPr="00403220">
        <w:rPr>
          <w:rFonts w:cs="Times New Roman"/>
          <w:szCs w:val="24"/>
          <w:lang w:val="fr-CA"/>
        </w:rPr>
        <w:t>Ce « facteur </w:t>
      </w:r>
      <w:r w:rsidRPr="00403220">
        <w:rPr>
          <w:rFonts w:cs="Times New Roman"/>
          <w:szCs w:val="24"/>
          <w:lang w:val="fr-CA"/>
        </w:rPr>
        <w:t>», c</w:t>
      </w:r>
      <w:r w:rsidR="008372AA" w:rsidRPr="00403220">
        <w:rPr>
          <w:rFonts w:cs="Times New Roman"/>
          <w:szCs w:val="24"/>
          <w:lang w:val="fr-CA"/>
        </w:rPr>
        <w:t>’</w:t>
      </w:r>
      <w:r w:rsidRPr="00403220">
        <w:rPr>
          <w:rFonts w:cs="Times New Roman"/>
          <w:szCs w:val="24"/>
          <w:lang w:val="fr-CA"/>
        </w:rPr>
        <w:t>est que, « [h]</w:t>
      </w:r>
      <w:proofErr w:type="spellStart"/>
      <w:r w:rsidRPr="00403220">
        <w:rPr>
          <w:rFonts w:cs="Times New Roman"/>
          <w:szCs w:val="24"/>
          <w:lang w:val="fr-CA"/>
        </w:rPr>
        <w:t>abituellement</w:t>
      </w:r>
      <w:proofErr w:type="spellEnd"/>
      <w:r w:rsidRPr="00403220">
        <w:rPr>
          <w:rFonts w:cs="Times New Roman"/>
          <w:szCs w:val="24"/>
          <w:lang w:val="fr-CA"/>
        </w:rPr>
        <w:t>, un employé au niveau opérationnel n</w:t>
      </w:r>
      <w:r w:rsidR="008372AA" w:rsidRPr="00403220">
        <w:rPr>
          <w:rFonts w:cs="Times New Roman"/>
          <w:szCs w:val="24"/>
          <w:lang w:val="fr-CA"/>
        </w:rPr>
        <w:t>’</w:t>
      </w:r>
      <w:r w:rsidR="00D274D9" w:rsidRPr="00403220">
        <w:rPr>
          <w:rFonts w:cs="Times New Roman"/>
          <w:szCs w:val="24"/>
          <w:lang w:val="fr-CA"/>
        </w:rPr>
        <w:t>a</w:t>
      </w:r>
      <w:r w:rsidRPr="00403220">
        <w:rPr>
          <w:rFonts w:cs="Times New Roman"/>
          <w:szCs w:val="24"/>
          <w:lang w:val="fr-CA"/>
        </w:rPr>
        <w:t xml:space="preserve"> pas </w:t>
      </w:r>
      <w:r w:rsidR="00D274D9" w:rsidRPr="00403220">
        <w:rPr>
          <w:rFonts w:cs="Times New Roman"/>
          <w:szCs w:val="24"/>
          <w:lang w:val="fr-CA"/>
        </w:rPr>
        <w:t xml:space="preserve">à prendre </w:t>
      </w:r>
      <w:r w:rsidRPr="00403220">
        <w:rPr>
          <w:rFonts w:cs="Times New Roman"/>
          <w:szCs w:val="24"/>
          <w:lang w:val="fr-CA"/>
        </w:rPr>
        <w:t xml:space="preserve">des décisions de politique </w:t>
      </w:r>
      <w:r w:rsidR="00397066" w:rsidRPr="00403220">
        <w:rPr>
          <w:rFonts w:cs="Times New Roman"/>
          <w:szCs w:val="24"/>
          <w:lang w:val="fr-CA"/>
        </w:rPr>
        <w:t>générale</w:t>
      </w:r>
      <w:r w:rsidR="00A4754D" w:rsidRPr="00403220">
        <w:rPr>
          <w:rFonts w:cs="Times New Roman"/>
          <w:szCs w:val="24"/>
          <w:lang w:val="fr-CA"/>
        </w:rPr>
        <w:t>,</w:t>
      </w:r>
      <w:r w:rsidR="00397066" w:rsidRPr="00403220">
        <w:rPr>
          <w:rFonts w:cs="Times New Roman"/>
          <w:szCs w:val="24"/>
          <w:lang w:val="fr-CA"/>
        </w:rPr>
        <w:t xml:space="preserve"> </w:t>
      </w:r>
      <w:r w:rsidRPr="00403220">
        <w:rPr>
          <w:rFonts w:cs="Times New Roman"/>
          <w:szCs w:val="24"/>
          <w:lang w:val="fr-CA"/>
        </w:rPr>
        <w:t xml:space="preserve">même si ses actes </w:t>
      </w:r>
      <w:r w:rsidR="00D274D9" w:rsidRPr="00403220">
        <w:rPr>
          <w:rFonts w:cs="Times New Roman"/>
          <w:szCs w:val="24"/>
          <w:lang w:val="fr-CA"/>
        </w:rPr>
        <w:t xml:space="preserve">peuvent être </w:t>
      </w:r>
      <w:r w:rsidRPr="00403220">
        <w:rPr>
          <w:rFonts w:cs="Times New Roman"/>
          <w:szCs w:val="24"/>
          <w:lang w:val="fr-CA"/>
        </w:rPr>
        <w:t xml:space="preserve">étroitement liés </w:t>
      </w:r>
      <w:r w:rsidR="00EB7DB6" w:rsidRPr="00403220">
        <w:rPr>
          <w:rFonts w:cs="Times New Roman"/>
          <w:szCs w:val="24"/>
          <w:lang w:val="fr-CA"/>
        </w:rPr>
        <w:t xml:space="preserve">à des considérations </w:t>
      </w:r>
      <w:r w:rsidR="00397066" w:rsidRPr="00403220">
        <w:rPr>
          <w:rFonts w:cs="Times New Roman"/>
          <w:szCs w:val="24"/>
          <w:lang w:val="fr-CA"/>
        </w:rPr>
        <w:t>de cette nature</w:t>
      </w:r>
      <w:r w:rsidR="00EB7DB6" w:rsidRPr="00403220">
        <w:rPr>
          <w:rFonts w:cs="Times New Roman"/>
          <w:szCs w:val="24"/>
          <w:lang w:val="fr-CA"/>
        </w:rPr>
        <w:t> </w:t>
      </w:r>
      <w:r w:rsidRPr="00403220">
        <w:rPr>
          <w:rFonts w:cs="Times New Roman"/>
          <w:szCs w:val="24"/>
          <w:lang w:val="fr-CA"/>
        </w:rPr>
        <w:t>».  D</w:t>
      </w:r>
      <w:r w:rsidR="008372AA" w:rsidRPr="00403220">
        <w:rPr>
          <w:rFonts w:cs="Times New Roman"/>
          <w:szCs w:val="24"/>
          <w:lang w:val="fr-CA"/>
        </w:rPr>
        <w:t>’</w:t>
      </w:r>
      <w:r w:rsidRPr="00403220">
        <w:rPr>
          <w:rFonts w:cs="Times New Roman"/>
          <w:szCs w:val="24"/>
          <w:lang w:val="fr-CA"/>
        </w:rPr>
        <w:t xml:space="preserve">après le juge </w:t>
      </w:r>
      <w:proofErr w:type="spellStart"/>
      <w:r w:rsidRPr="00403220">
        <w:rPr>
          <w:rFonts w:cs="Times New Roman"/>
          <w:szCs w:val="24"/>
          <w:lang w:val="fr-CA"/>
        </w:rPr>
        <w:t>Scalia</w:t>
      </w:r>
      <w:proofErr w:type="spellEnd"/>
      <w:r w:rsidRPr="00403220">
        <w:rPr>
          <w:rFonts w:cs="Times New Roman"/>
          <w:szCs w:val="24"/>
          <w:lang w:val="fr-CA"/>
        </w:rPr>
        <w:t xml:space="preserve">, une décision du gouvernement constitue une décision de politique </w:t>
      </w:r>
      <w:r w:rsidR="00397066" w:rsidRPr="00403220">
        <w:rPr>
          <w:rFonts w:cs="Times New Roman"/>
          <w:szCs w:val="24"/>
          <w:lang w:val="fr-CA"/>
        </w:rPr>
        <w:t xml:space="preserve">générale </w:t>
      </w:r>
      <w:r w:rsidR="00D274D9" w:rsidRPr="00403220">
        <w:rPr>
          <w:rFonts w:cs="Times New Roman"/>
          <w:szCs w:val="24"/>
          <w:lang w:val="fr-CA"/>
        </w:rPr>
        <w:t>bénéficiant de protection</w:t>
      </w:r>
      <w:r w:rsidR="00397066" w:rsidRPr="00403220">
        <w:rPr>
          <w:rFonts w:cs="Times New Roman"/>
          <w:szCs w:val="24"/>
          <w:lang w:val="fr-CA"/>
        </w:rPr>
        <w:t xml:space="preserve"> si elle</w:t>
      </w:r>
      <w:r w:rsidRPr="00403220">
        <w:rPr>
          <w:rFonts w:cs="Times New Roman"/>
          <w:szCs w:val="24"/>
          <w:lang w:val="fr-CA"/>
        </w:rPr>
        <w:t xml:space="preserve"> </w:t>
      </w:r>
      <w:r w:rsidR="00EB7DB6" w:rsidRPr="00403220">
        <w:rPr>
          <w:rFonts w:cs="Times New Roman"/>
          <w:szCs w:val="24"/>
          <w:lang w:val="fr-CA"/>
        </w:rPr>
        <w:t>« </w:t>
      </w:r>
      <w:r w:rsidR="00397066" w:rsidRPr="00403220">
        <w:rPr>
          <w:rFonts w:cs="Times New Roman"/>
          <w:szCs w:val="24"/>
          <w:lang w:val="fr-CA"/>
        </w:rPr>
        <w:t>doit tenir</w:t>
      </w:r>
      <w:r w:rsidRPr="00403220">
        <w:rPr>
          <w:rFonts w:cs="Times New Roman"/>
          <w:szCs w:val="24"/>
          <w:lang w:val="fr-CA"/>
        </w:rPr>
        <w:t xml:space="preserve"> compte de considérations sociales, économiques ou politiques et </w:t>
      </w:r>
      <w:r w:rsidR="00525C3C">
        <w:rPr>
          <w:rFonts w:cs="Times New Roman"/>
          <w:szCs w:val="24"/>
          <w:lang w:val="fr-CA"/>
        </w:rPr>
        <w:t>si elle est</w:t>
      </w:r>
      <w:r w:rsidRPr="00403220">
        <w:rPr>
          <w:rFonts w:cs="Times New Roman"/>
          <w:szCs w:val="24"/>
          <w:lang w:val="fr-CA"/>
        </w:rPr>
        <w:t xml:space="preserve"> prise par un fonctionnaire dont l</w:t>
      </w:r>
      <w:r w:rsidR="008372AA" w:rsidRPr="00403220">
        <w:rPr>
          <w:rFonts w:cs="Times New Roman"/>
          <w:szCs w:val="24"/>
          <w:lang w:val="fr-CA"/>
        </w:rPr>
        <w:t>’</w:t>
      </w:r>
      <w:r w:rsidRPr="00403220">
        <w:rPr>
          <w:rFonts w:cs="Times New Roman"/>
          <w:szCs w:val="24"/>
          <w:lang w:val="fr-CA"/>
        </w:rPr>
        <w:t>une des responsabilités officielles consiste à évaluer ces considérations</w:t>
      </w:r>
      <w:r w:rsidR="00EB7DB6" w:rsidRPr="00403220">
        <w:rPr>
          <w:rFonts w:cs="Times New Roman"/>
          <w:szCs w:val="24"/>
          <w:lang w:val="fr-CA"/>
        </w:rPr>
        <w:t> </w:t>
      </w:r>
      <w:r w:rsidRPr="00403220">
        <w:rPr>
          <w:rFonts w:cs="Times New Roman"/>
          <w:szCs w:val="24"/>
          <w:lang w:val="fr-CA"/>
        </w:rPr>
        <w:t xml:space="preserve">». </w:t>
      </w:r>
    </w:p>
    <w:p w:rsidR="0047179D" w:rsidRPr="00403220" w:rsidRDefault="0047179D" w:rsidP="009168E8">
      <w:pPr>
        <w:pStyle w:val="ParaNoNdepar-AltN"/>
        <w:rPr>
          <w:rFonts w:cs="Times New Roman"/>
          <w:szCs w:val="24"/>
          <w:lang w:val="fr-CA"/>
        </w:rPr>
      </w:pPr>
      <w:r w:rsidRPr="00403220">
        <w:rPr>
          <w:rFonts w:cs="Times New Roman"/>
          <w:szCs w:val="24"/>
          <w:lang w:val="fr-CA"/>
        </w:rPr>
        <w:t>Les observations suivantes s</w:t>
      </w:r>
      <w:r w:rsidR="008372AA" w:rsidRPr="00403220">
        <w:rPr>
          <w:rFonts w:cs="Times New Roman"/>
          <w:szCs w:val="24"/>
          <w:lang w:val="fr-CA"/>
        </w:rPr>
        <w:t>’</w:t>
      </w:r>
      <w:r w:rsidRPr="00403220">
        <w:rPr>
          <w:rFonts w:cs="Times New Roman"/>
          <w:szCs w:val="24"/>
          <w:lang w:val="fr-CA"/>
        </w:rPr>
        <w:t xml:space="preserve">imposent </w:t>
      </w:r>
      <w:r w:rsidR="00D274D9" w:rsidRPr="00403220">
        <w:rPr>
          <w:rFonts w:cs="Times New Roman"/>
          <w:szCs w:val="24"/>
          <w:lang w:val="fr-CA"/>
        </w:rPr>
        <w:t xml:space="preserve">comme </w:t>
      </w:r>
      <w:r w:rsidRPr="00403220">
        <w:rPr>
          <w:rFonts w:cs="Times New Roman"/>
          <w:szCs w:val="24"/>
          <w:lang w:val="fr-CA"/>
        </w:rPr>
        <w:t xml:space="preserve">suite </w:t>
      </w:r>
      <w:r w:rsidR="00D274D9" w:rsidRPr="00403220">
        <w:rPr>
          <w:rFonts w:cs="Times New Roman"/>
          <w:szCs w:val="24"/>
          <w:lang w:val="fr-CA"/>
        </w:rPr>
        <w:t xml:space="preserve">à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analyse de la jurisprudence.</w:t>
      </w:r>
      <w:r w:rsidR="007118A3" w:rsidRPr="00403220">
        <w:rPr>
          <w:rFonts w:cs="Times New Roman"/>
          <w:szCs w:val="24"/>
          <w:lang w:val="fr-CA"/>
        </w:rPr>
        <w:t xml:space="preserve"> </w:t>
      </w:r>
      <w:r w:rsidRPr="00403220">
        <w:rPr>
          <w:rFonts w:cs="Times New Roman"/>
          <w:szCs w:val="24"/>
          <w:lang w:val="fr-CA"/>
        </w:rPr>
        <w:t xml:space="preserve"> Premièrement, un critère fondé uniquement sur l</w:t>
      </w:r>
      <w:r w:rsidR="008372AA" w:rsidRPr="00403220">
        <w:rPr>
          <w:rFonts w:cs="Times New Roman"/>
          <w:szCs w:val="24"/>
          <w:lang w:val="fr-CA"/>
        </w:rPr>
        <w:t>’</w:t>
      </w:r>
      <w:r w:rsidRPr="00403220">
        <w:rPr>
          <w:rFonts w:cs="Times New Roman"/>
          <w:szCs w:val="24"/>
          <w:lang w:val="fr-CA"/>
        </w:rPr>
        <w:t>exercice du pouvoir discrétionnaire du gouvernement est maintenant perçu par la plupart des tribunaux comme étant trop génér</w:t>
      </w:r>
      <w:r w:rsidR="00A54DAC" w:rsidRPr="00403220">
        <w:rPr>
          <w:rFonts w:cs="Times New Roman"/>
          <w:szCs w:val="24"/>
          <w:lang w:val="fr-CA"/>
        </w:rPr>
        <w:t>al.</w:t>
      </w:r>
      <w:r w:rsidR="007118A3" w:rsidRPr="00403220">
        <w:rPr>
          <w:rFonts w:cs="Times New Roman"/>
          <w:szCs w:val="24"/>
          <w:lang w:val="fr-CA"/>
        </w:rPr>
        <w:t xml:space="preserve"> </w:t>
      </w:r>
      <w:r w:rsidRPr="00403220">
        <w:rPr>
          <w:rFonts w:cs="Times New Roman"/>
          <w:szCs w:val="24"/>
          <w:lang w:val="fr-CA"/>
        </w:rPr>
        <w:t xml:space="preserve"> </w:t>
      </w:r>
      <w:r w:rsidR="00397066" w:rsidRPr="00403220">
        <w:rPr>
          <w:rFonts w:cs="Times New Roman"/>
          <w:szCs w:val="24"/>
          <w:lang w:val="fr-CA"/>
        </w:rPr>
        <w:t>Même</w:t>
      </w:r>
      <w:r w:rsidRPr="00403220">
        <w:rPr>
          <w:rFonts w:cs="Times New Roman"/>
          <w:szCs w:val="24"/>
          <w:lang w:val="fr-CA"/>
        </w:rPr>
        <w:t xml:space="preserve"> les tâches </w:t>
      </w:r>
      <w:r w:rsidR="00920E73" w:rsidRPr="00403220">
        <w:rPr>
          <w:rFonts w:cs="Times New Roman"/>
          <w:szCs w:val="24"/>
          <w:lang w:val="fr-CA"/>
        </w:rPr>
        <w:t>courantes</w:t>
      </w:r>
      <w:r w:rsidRPr="00403220">
        <w:rPr>
          <w:rFonts w:cs="Times New Roman"/>
          <w:szCs w:val="24"/>
          <w:lang w:val="fr-CA"/>
        </w:rPr>
        <w:t>, comme la conduite d</w:t>
      </w:r>
      <w:r w:rsidR="008372AA" w:rsidRPr="00403220">
        <w:rPr>
          <w:rFonts w:cs="Times New Roman"/>
          <w:szCs w:val="24"/>
          <w:lang w:val="fr-CA"/>
        </w:rPr>
        <w:t>’</w:t>
      </w:r>
      <w:r w:rsidRPr="00403220">
        <w:rPr>
          <w:rFonts w:cs="Times New Roman"/>
          <w:szCs w:val="24"/>
          <w:lang w:val="fr-CA"/>
        </w:rPr>
        <w:t>un véhicule du gouvernement</w:t>
      </w:r>
      <w:r w:rsidR="00397066" w:rsidRPr="00403220">
        <w:rPr>
          <w:rFonts w:cs="Times New Roman"/>
          <w:szCs w:val="24"/>
          <w:lang w:val="fr-CA"/>
        </w:rPr>
        <w:t>, peuvent requérir l’exercice d’un certain pouvoir discrétionnaire</w:t>
      </w:r>
      <w:r w:rsidRPr="00403220">
        <w:rPr>
          <w:rFonts w:cs="Times New Roman"/>
          <w:szCs w:val="24"/>
          <w:lang w:val="fr-CA"/>
        </w:rPr>
        <w:t xml:space="preserve">.  </w:t>
      </w:r>
      <w:r w:rsidR="00397066" w:rsidRPr="00403220">
        <w:rPr>
          <w:rFonts w:cs="Times New Roman"/>
          <w:szCs w:val="24"/>
          <w:lang w:val="fr-CA"/>
        </w:rPr>
        <w:t>S</w:t>
      </w:r>
      <w:r w:rsidRPr="00403220">
        <w:rPr>
          <w:rFonts w:cs="Times New Roman"/>
          <w:szCs w:val="24"/>
          <w:lang w:val="fr-CA"/>
        </w:rPr>
        <w:t>oustra</w:t>
      </w:r>
      <w:r w:rsidR="00397066" w:rsidRPr="00403220">
        <w:rPr>
          <w:rFonts w:cs="Times New Roman"/>
          <w:szCs w:val="24"/>
          <w:lang w:val="fr-CA"/>
        </w:rPr>
        <w:t>ire</w:t>
      </w:r>
      <w:r w:rsidRPr="00403220">
        <w:rPr>
          <w:rFonts w:cs="Times New Roman"/>
          <w:szCs w:val="24"/>
          <w:lang w:val="fr-CA"/>
        </w:rPr>
        <w:t xml:space="preserve"> </w:t>
      </w:r>
      <w:r w:rsidR="00450DBA" w:rsidRPr="00403220">
        <w:rPr>
          <w:rFonts w:cs="Times New Roman"/>
          <w:szCs w:val="24"/>
          <w:lang w:val="fr-CA"/>
        </w:rPr>
        <w:t xml:space="preserve">à l’examen </w:t>
      </w:r>
      <w:r w:rsidRPr="00403220">
        <w:rPr>
          <w:rFonts w:cs="Times New Roman"/>
          <w:szCs w:val="24"/>
          <w:lang w:val="fr-CA"/>
        </w:rPr>
        <w:t>judiciaire tous les actes de l</w:t>
      </w:r>
      <w:r w:rsidR="008372AA" w:rsidRPr="00403220">
        <w:rPr>
          <w:rFonts w:cs="Times New Roman"/>
          <w:szCs w:val="24"/>
          <w:lang w:val="fr-CA"/>
        </w:rPr>
        <w:t>’</w:t>
      </w:r>
      <w:r w:rsidRPr="00403220">
        <w:rPr>
          <w:rFonts w:cs="Times New Roman"/>
          <w:szCs w:val="24"/>
          <w:lang w:val="fr-CA"/>
        </w:rPr>
        <w:t xml:space="preserve">administration </w:t>
      </w:r>
      <w:r w:rsidRPr="00403220">
        <w:rPr>
          <w:rFonts w:cs="Times New Roman"/>
          <w:szCs w:val="24"/>
          <w:lang w:val="fr-CA"/>
        </w:rPr>
        <w:lastRenderedPageBreak/>
        <w:t>publique qui font intervenir un pouvoir discrétionnaire</w:t>
      </w:r>
      <w:r w:rsidR="00397066" w:rsidRPr="00403220">
        <w:rPr>
          <w:rFonts w:cs="Times New Roman"/>
          <w:szCs w:val="24"/>
          <w:lang w:val="fr-CA"/>
        </w:rPr>
        <w:t xml:space="preserve">, </w:t>
      </w:r>
      <w:r w:rsidR="006603C4" w:rsidRPr="00403220">
        <w:rPr>
          <w:rFonts w:cs="Times New Roman"/>
          <w:szCs w:val="24"/>
          <w:lang w:val="fr-CA"/>
        </w:rPr>
        <w:t>pourvu</w:t>
      </w:r>
      <w:r w:rsidR="00397066" w:rsidRPr="00403220">
        <w:rPr>
          <w:rFonts w:cs="Times New Roman"/>
          <w:szCs w:val="24"/>
          <w:lang w:val="fr-CA"/>
        </w:rPr>
        <w:t xml:space="preserve"> qu’ils</w:t>
      </w:r>
      <w:r w:rsidR="00450DBA" w:rsidRPr="00403220">
        <w:rPr>
          <w:rFonts w:cs="Times New Roman"/>
          <w:szCs w:val="24"/>
          <w:lang w:val="fr-CA"/>
        </w:rPr>
        <w:t xml:space="preserve"> ne </w:t>
      </w:r>
      <w:r w:rsidRPr="00403220">
        <w:rPr>
          <w:rFonts w:cs="Times New Roman"/>
          <w:szCs w:val="24"/>
          <w:lang w:val="fr-CA"/>
        </w:rPr>
        <w:t>so</w:t>
      </w:r>
      <w:r w:rsidR="006603C4" w:rsidRPr="00403220">
        <w:rPr>
          <w:rFonts w:cs="Times New Roman"/>
          <w:szCs w:val="24"/>
          <w:lang w:val="fr-CA"/>
        </w:rPr>
        <w:t>ie</w:t>
      </w:r>
      <w:r w:rsidRPr="00403220">
        <w:rPr>
          <w:rFonts w:cs="Times New Roman"/>
          <w:szCs w:val="24"/>
          <w:lang w:val="fr-CA"/>
        </w:rPr>
        <w:t xml:space="preserve">nt </w:t>
      </w:r>
      <w:r w:rsidR="00450DBA" w:rsidRPr="00403220">
        <w:rPr>
          <w:rFonts w:cs="Times New Roman"/>
          <w:szCs w:val="24"/>
          <w:lang w:val="fr-CA"/>
        </w:rPr>
        <w:t xml:space="preserve">pas </w:t>
      </w:r>
      <w:r w:rsidRPr="00403220">
        <w:rPr>
          <w:rFonts w:cs="Times New Roman"/>
          <w:szCs w:val="24"/>
          <w:lang w:val="fr-CA"/>
        </w:rPr>
        <w:t>irrationnels</w:t>
      </w:r>
      <w:r w:rsidR="00397066" w:rsidRPr="00403220">
        <w:rPr>
          <w:rFonts w:cs="Times New Roman"/>
          <w:szCs w:val="24"/>
          <w:lang w:val="fr-CA"/>
        </w:rPr>
        <w:t>, a pour effet de donner une portée trop large à l’immunité</w:t>
      </w:r>
      <w:r w:rsidRPr="00403220">
        <w:rPr>
          <w:rFonts w:cs="Times New Roman"/>
          <w:szCs w:val="24"/>
          <w:lang w:val="fr-CA"/>
        </w:rPr>
        <w:t>.</w:t>
      </w:r>
    </w:p>
    <w:p w:rsidR="0047179D" w:rsidRPr="00403220" w:rsidRDefault="0047179D" w:rsidP="009168E8">
      <w:pPr>
        <w:pStyle w:val="ParaNoNdepar-AltN"/>
        <w:rPr>
          <w:rFonts w:cs="Times New Roman"/>
          <w:szCs w:val="24"/>
          <w:lang w:val="fr-CA"/>
        </w:rPr>
      </w:pPr>
      <w:r w:rsidRPr="00403220">
        <w:rPr>
          <w:rFonts w:cs="Times New Roman"/>
          <w:szCs w:val="24"/>
          <w:lang w:val="fr-CA"/>
        </w:rPr>
        <w:t>Deuxièmement, un grand nombre de tribunaux dans tous les ressorts visés par l</w:t>
      </w:r>
      <w:r w:rsidR="008372AA" w:rsidRPr="00403220">
        <w:rPr>
          <w:rFonts w:cs="Times New Roman"/>
          <w:szCs w:val="24"/>
          <w:lang w:val="fr-CA"/>
        </w:rPr>
        <w:t>’</w:t>
      </w:r>
      <w:r w:rsidRPr="00403220">
        <w:rPr>
          <w:rFonts w:cs="Times New Roman"/>
          <w:szCs w:val="24"/>
          <w:lang w:val="fr-CA"/>
        </w:rPr>
        <w:t>analyse s</w:t>
      </w:r>
      <w:r w:rsidR="008372AA" w:rsidRPr="00403220">
        <w:rPr>
          <w:rFonts w:cs="Times New Roman"/>
          <w:szCs w:val="24"/>
          <w:lang w:val="fr-CA"/>
        </w:rPr>
        <w:t>’</w:t>
      </w:r>
      <w:r w:rsidRPr="00403220">
        <w:rPr>
          <w:rFonts w:cs="Times New Roman"/>
          <w:szCs w:val="24"/>
          <w:lang w:val="fr-CA"/>
        </w:rPr>
        <w:t xml:space="preserve">entendent pour dire que </w:t>
      </w:r>
      <w:r w:rsidR="00CC4B41" w:rsidRPr="00403220">
        <w:rPr>
          <w:rFonts w:cs="Times New Roman"/>
          <w:szCs w:val="24"/>
          <w:lang w:val="fr-CA"/>
        </w:rPr>
        <w:t xml:space="preserve">l’État devrait être soustrait à toute responsabilité pour négligence dans les cas de </w:t>
      </w:r>
      <w:r w:rsidR="00397066" w:rsidRPr="00403220">
        <w:rPr>
          <w:rFonts w:cs="Times New Roman"/>
          <w:szCs w:val="24"/>
          <w:lang w:val="fr-CA"/>
        </w:rPr>
        <w:t xml:space="preserve">« véritables » </w:t>
      </w:r>
      <w:r w:rsidR="00CC4B41" w:rsidRPr="00403220">
        <w:rPr>
          <w:rFonts w:cs="Times New Roman"/>
          <w:szCs w:val="24"/>
          <w:lang w:val="fr-CA"/>
        </w:rPr>
        <w:t>décisions de politique</w:t>
      </w:r>
      <w:r w:rsidR="00397066" w:rsidRPr="00403220">
        <w:rPr>
          <w:rFonts w:cs="Times New Roman"/>
          <w:szCs w:val="24"/>
          <w:lang w:val="fr-CA"/>
        </w:rPr>
        <w:t xml:space="preserve"> générale</w:t>
      </w:r>
      <w:r w:rsidR="00CC4B41" w:rsidRPr="00403220">
        <w:rPr>
          <w:rFonts w:cs="Times New Roman"/>
          <w:szCs w:val="24"/>
          <w:lang w:val="fr-CA"/>
        </w:rPr>
        <w:t xml:space="preserve"> </w:t>
      </w:r>
      <w:r w:rsidRPr="00403220">
        <w:rPr>
          <w:rFonts w:cs="Times New Roman"/>
          <w:szCs w:val="24"/>
          <w:lang w:val="fr-CA"/>
        </w:rPr>
        <w:t>ou</w:t>
      </w:r>
      <w:r w:rsidR="00D74137" w:rsidRPr="00403220">
        <w:rPr>
          <w:rFonts w:cs="Times New Roman"/>
          <w:szCs w:val="24"/>
          <w:lang w:val="fr-CA"/>
        </w:rPr>
        <w:t xml:space="preserve"> </w:t>
      </w:r>
      <w:r w:rsidR="00397066" w:rsidRPr="00403220">
        <w:rPr>
          <w:rFonts w:cs="Times New Roman"/>
          <w:szCs w:val="24"/>
          <w:lang w:val="fr-CA"/>
        </w:rPr>
        <w:t xml:space="preserve">de </w:t>
      </w:r>
      <w:r w:rsidRPr="00403220">
        <w:rPr>
          <w:rFonts w:cs="Times New Roman"/>
          <w:szCs w:val="24"/>
          <w:lang w:val="fr-CA"/>
        </w:rPr>
        <w:t>décisio</w:t>
      </w:r>
      <w:r w:rsidR="00EB7DB6" w:rsidRPr="00403220">
        <w:rPr>
          <w:rFonts w:cs="Times New Roman"/>
          <w:szCs w:val="24"/>
          <w:lang w:val="fr-CA"/>
        </w:rPr>
        <w:t xml:space="preserve">ns de politique </w:t>
      </w:r>
      <w:r w:rsidR="00397066" w:rsidRPr="00403220">
        <w:rPr>
          <w:rFonts w:cs="Times New Roman"/>
          <w:szCs w:val="24"/>
          <w:lang w:val="fr-CA"/>
        </w:rPr>
        <w:t xml:space="preserve">générale </w:t>
      </w:r>
      <w:r w:rsidR="00EB7DB6" w:rsidRPr="00403220">
        <w:rPr>
          <w:rFonts w:cs="Times New Roman"/>
          <w:szCs w:val="24"/>
          <w:lang w:val="fr-CA"/>
        </w:rPr>
        <w:t>« fondamentale </w:t>
      </w:r>
      <w:r w:rsidRPr="00403220">
        <w:rPr>
          <w:rFonts w:cs="Times New Roman"/>
          <w:szCs w:val="24"/>
          <w:lang w:val="fr-CA"/>
        </w:rPr>
        <w:t>»</w:t>
      </w:r>
      <w:r w:rsidR="00CC4B41" w:rsidRPr="00403220">
        <w:rPr>
          <w:rFonts w:cs="Times New Roman"/>
          <w:szCs w:val="24"/>
          <w:lang w:val="fr-CA"/>
        </w:rPr>
        <w:t>.</w:t>
      </w:r>
      <w:r w:rsidRPr="00403220">
        <w:rPr>
          <w:rFonts w:cs="Times New Roman"/>
          <w:szCs w:val="24"/>
          <w:lang w:val="fr-CA"/>
        </w:rPr>
        <w:t xml:space="preserve"> </w:t>
      </w:r>
      <w:r w:rsidR="00CC4B41" w:rsidRPr="00403220">
        <w:rPr>
          <w:rFonts w:cs="Times New Roman"/>
          <w:szCs w:val="24"/>
          <w:lang w:val="fr-CA"/>
        </w:rPr>
        <w:t xml:space="preserve"> </w:t>
      </w:r>
      <w:r w:rsidRPr="00403220">
        <w:rPr>
          <w:rFonts w:cs="Times New Roman"/>
          <w:szCs w:val="24"/>
          <w:lang w:val="fr-CA"/>
        </w:rPr>
        <w:t xml:space="preserve">Selon le point de vue qui </w:t>
      </w:r>
      <w:r w:rsidR="00EB7DB6" w:rsidRPr="00403220">
        <w:rPr>
          <w:rFonts w:cs="Times New Roman"/>
          <w:szCs w:val="24"/>
          <w:lang w:val="fr-CA"/>
        </w:rPr>
        <w:t>prévaut au Canada, seules les « </w:t>
      </w:r>
      <w:r w:rsidRPr="00403220">
        <w:rPr>
          <w:rFonts w:cs="Times New Roman"/>
          <w:szCs w:val="24"/>
          <w:lang w:val="fr-CA"/>
        </w:rPr>
        <w:t>véritables</w:t>
      </w:r>
      <w:r w:rsidR="00EB7DB6" w:rsidRPr="00403220">
        <w:rPr>
          <w:rFonts w:cs="Times New Roman"/>
          <w:szCs w:val="24"/>
          <w:lang w:val="fr-CA"/>
        </w:rPr>
        <w:t> </w:t>
      </w:r>
      <w:r w:rsidRPr="00403220">
        <w:rPr>
          <w:rFonts w:cs="Times New Roman"/>
          <w:szCs w:val="24"/>
          <w:lang w:val="fr-CA"/>
        </w:rPr>
        <w:t xml:space="preserve">» décisions de politique </w:t>
      </w:r>
      <w:r w:rsidR="00397066" w:rsidRPr="00403220">
        <w:rPr>
          <w:rFonts w:cs="Times New Roman"/>
          <w:szCs w:val="24"/>
          <w:lang w:val="fr-CA"/>
        </w:rPr>
        <w:t xml:space="preserve">générale </w:t>
      </w:r>
      <w:r w:rsidRPr="00403220">
        <w:rPr>
          <w:rFonts w:cs="Times New Roman"/>
          <w:szCs w:val="24"/>
          <w:lang w:val="fr-CA"/>
        </w:rPr>
        <w:t xml:space="preserve">(par opposition aux décisions opérationnelles) </w:t>
      </w:r>
      <w:r w:rsidR="00972F04" w:rsidRPr="00403220">
        <w:rPr>
          <w:rFonts w:cs="Times New Roman"/>
          <w:szCs w:val="24"/>
          <w:lang w:val="fr-CA"/>
        </w:rPr>
        <w:t xml:space="preserve">ne devraient pas donner prise à </w:t>
      </w:r>
      <w:r w:rsidRPr="00403220">
        <w:rPr>
          <w:rFonts w:cs="Times New Roman"/>
          <w:szCs w:val="24"/>
          <w:lang w:val="fr-CA"/>
        </w:rPr>
        <w:t>cette responsabilité</w:t>
      </w:r>
      <w:r w:rsidR="00A54DAC" w:rsidRPr="00403220">
        <w:rPr>
          <w:rFonts w:cs="Times New Roman"/>
          <w:szCs w:val="24"/>
          <w:lang w:val="fr-CA"/>
        </w:rPr>
        <w:t> :</w:t>
      </w:r>
      <w:r w:rsidRPr="00403220">
        <w:rPr>
          <w:rFonts w:cs="Times New Roman"/>
          <w:szCs w:val="24"/>
          <w:lang w:val="fr-CA"/>
        </w:rPr>
        <w:t xml:space="preserve"> </w:t>
      </w:r>
      <w:r w:rsidRPr="00403220">
        <w:rPr>
          <w:rFonts w:cs="Times New Roman"/>
          <w:i/>
          <w:szCs w:val="24"/>
          <w:lang w:val="fr-CA"/>
        </w:rPr>
        <w:t>Just</w:t>
      </w:r>
      <w:r w:rsidRPr="00403220">
        <w:rPr>
          <w:rFonts w:cs="Times New Roman"/>
          <w:szCs w:val="24"/>
          <w:lang w:val="fr-CA"/>
        </w:rPr>
        <w:t xml:space="preserve">.  La difficulté </w:t>
      </w:r>
      <w:r w:rsidR="00972F04" w:rsidRPr="00403220">
        <w:rPr>
          <w:rFonts w:cs="Times New Roman"/>
          <w:szCs w:val="24"/>
          <w:lang w:val="fr-CA"/>
        </w:rPr>
        <w:t xml:space="preserve">liée à la détermination des </w:t>
      </w:r>
      <w:r w:rsidRPr="00403220">
        <w:rPr>
          <w:rFonts w:cs="Times New Roman"/>
          <w:szCs w:val="24"/>
          <w:lang w:val="fr-CA"/>
        </w:rPr>
        <w:t>décisions de cette nature ne change rien au fait que les tribunaux s</w:t>
      </w:r>
      <w:r w:rsidR="008372AA" w:rsidRPr="00403220">
        <w:rPr>
          <w:rFonts w:cs="Times New Roman"/>
          <w:szCs w:val="24"/>
          <w:lang w:val="fr-CA"/>
        </w:rPr>
        <w:t>’</w:t>
      </w:r>
      <w:r w:rsidRPr="00403220">
        <w:rPr>
          <w:rFonts w:cs="Times New Roman"/>
          <w:szCs w:val="24"/>
          <w:lang w:val="fr-CA"/>
        </w:rPr>
        <w:t xml:space="preserve">en remettent encore à ces indications essentielles.  Même le </w:t>
      </w:r>
      <w:r w:rsidR="00EB7DB6" w:rsidRPr="00403220">
        <w:rPr>
          <w:rFonts w:cs="Times New Roman"/>
          <w:szCs w:val="24"/>
          <w:lang w:val="fr-CA"/>
        </w:rPr>
        <w:t>critère de « </w:t>
      </w:r>
      <w:proofErr w:type="spellStart"/>
      <w:r w:rsidR="00EB7DB6" w:rsidRPr="00403220">
        <w:rPr>
          <w:rFonts w:cs="Times New Roman"/>
          <w:szCs w:val="24"/>
          <w:lang w:val="fr-CA"/>
        </w:rPr>
        <w:t>justiciabilité</w:t>
      </w:r>
      <w:proofErr w:type="spellEnd"/>
      <w:r w:rsidR="00EB7DB6" w:rsidRPr="00403220">
        <w:rPr>
          <w:rFonts w:cs="Times New Roman"/>
          <w:szCs w:val="24"/>
          <w:lang w:val="fr-CA"/>
        </w:rPr>
        <w:t> </w:t>
      </w:r>
      <w:r w:rsidRPr="00403220">
        <w:rPr>
          <w:rFonts w:cs="Times New Roman"/>
          <w:szCs w:val="24"/>
          <w:lang w:val="fr-CA"/>
        </w:rPr>
        <w:t xml:space="preserve">» établi </w:t>
      </w:r>
      <w:r w:rsidR="00EB7767" w:rsidRPr="00403220">
        <w:rPr>
          <w:rFonts w:cs="Times New Roman"/>
          <w:szCs w:val="24"/>
          <w:lang w:val="fr-CA"/>
        </w:rPr>
        <w:t xml:space="preserve">tout récemment </w:t>
      </w:r>
      <w:r w:rsidRPr="00403220">
        <w:rPr>
          <w:rFonts w:cs="Times New Roman"/>
          <w:szCs w:val="24"/>
          <w:lang w:val="fr-CA"/>
        </w:rPr>
        <w:t xml:space="preserve">au </w:t>
      </w:r>
      <w:proofErr w:type="spellStart"/>
      <w:r w:rsidR="00EB7767" w:rsidRPr="00403220">
        <w:rPr>
          <w:rFonts w:cs="Times New Roman"/>
          <w:szCs w:val="24"/>
          <w:lang w:val="fr-CA"/>
        </w:rPr>
        <w:t>Royaume</w:t>
      </w:r>
      <w:r w:rsidR="00A54DAC" w:rsidRPr="00403220">
        <w:rPr>
          <w:rFonts w:cs="Times New Roman"/>
          <w:szCs w:val="24"/>
          <w:lang w:val="fr-CA"/>
        </w:rPr>
        <w:noBreakHyphen/>
      </w:r>
      <w:r w:rsidR="00EB7767" w:rsidRPr="00403220">
        <w:rPr>
          <w:rFonts w:cs="Times New Roman"/>
          <w:szCs w:val="24"/>
          <w:lang w:val="fr-CA"/>
        </w:rPr>
        <w:t>Uni</w:t>
      </w:r>
      <w:proofErr w:type="spellEnd"/>
      <w:r w:rsidR="00EB7767" w:rsidRPr="00403220">
        <w:rPr>
          <w:rFonts w:cs="Times New Roman"/>
          <w:szCs w:val="24"/>
          <w:lang w:val="fr-CA"/>
        </w:rPr>
        <w:t xml:space="preserve"> </w:t>
      </w:r>
      <w:r w:rsidRPr="00403220">
        <w:rPr>
          <w:rFonts w:cs="Times New Roman"/>
          <w:szCs w:val="24"/>
          <w:lang w:val="fr-CA"/>
        </w:rPr>
        <w:t>s</w:t>
      </w:r>
      <w:r w:rsidR="008372AA" w:rsidRPr="00403220">
        <w:rPr>
          <w:rFonts w:cs="Times New Roman"/>
          <w:szCs w:val="24"/>
          <w:lang w:val="fr-CA"/>
        </w:rPr>
        <w:t>’</w:t>
      </w:r>
      <w:r w:rsidRPr="00403220">
        <w:rPr>
          <w:rFonts w:cs="Times New Roman"/>
          <w:szCs w:val="24"/>
          <w:lang w:val="fr-CA"/>
        </w:rPr>
        <w:t xml:space="preserve">inspire de ce concept pour déterminer ce qui doit être </w:t>
      </w:r>
      <w:r w:rsidR="00B32F50" w:rsidRPr="00403220">
        <w:rPr>
          <w:rFonts w:cs="Times New Roman"/>
          <w:szCs w:val="24"/>
          <w:lang w:val="fr-CA"/>
        </w:rPr>
        <w:t>perçu comme étant justiciable.</w:t>
      </w:r>
    </w:p>
    <w:p w:rsidR="0047179D" w:rsidRPr="00403220" w:rsidRDefault="0047179D" w:rsidP="009168E8">
      <w:pPr>
        <w:pStyle w:val="ParaNoNdepar-AltN"/>
        <w:rPr>
          <w:rFonts w:cs="Times New Roman"/>
          <w:szCs w:val="24"/>
          <w:lang w:val="fr-CA"/>
        </w:rPr>
      </w:pPr>
      <w:r w:rsidRPr="00403220">
        <w:rPr>
          <w:rFonts w:cs="Times New Roman"/>
          <w:szCs w:val="24"/>
          <w:lang w:val="fr-CA"/>
        </w:rPr>
        <w:t xml:space="preserve">Troisièmement, </w:t>
      </w:r>
      <w:r w:rsidR="00B33A15" w:rsidRPr="00403220">
        <w:rPr>
          <w:rFonts w:cs="Times New Roman"/>
          <w:szCs w:val="24"/>
          <w:lang w:val="fr-CA"/>
        </w:rPr>
        <w:t>le fait de définir</w:t>
      </w:r>
      <w:r w:rsidRPr="00403220">
        <w:rPr>
          <w:rFonts w:cs="Times New Roman"/>
          <w:szCs w:val="24"/>
          <w:lang w:val="fr-CA"/>
        </w:rPr>
        <w:t xml:space="preserve"> négative</w:t>
      </w:r>
      <w:r w:rsidR="00B33A15" w:rsidRPr="00403220">
        <w:rPr>
          <w:rFonts w:cs="Times New Roman"/>
          <w:szCs w:val="24"/>
          <w:lang w:val="fr-CA"/>
        </w:rPr>
        <w:t xml:space="preserve">ment </w:t>
      </w:r>
      <w:r w:rsidRPr="00403220">
        <w:rPr>
          <w:rFonts w:cs="Times New Roman"/>
          <w:szCs w:val="24"/>
          <w:lang w:val="fr-CA"/>
        </w:rPr>
        <w:t xml:space="preserve">une décision de politique </w:t>
      </w:r>
      <w:r w:rsidR="00B33A15" w:rsidRPr="00403220">
        <w:rPr>
          <w:rFonts w:cs="Times New Roman"/>
          <w:szCs w:val="24"/>
          <w:lang w:val="fr-CA"/>
        </w:rPr>
        <w:t xml:space="preserve">générale </w:t>
      </w:r>
      <w:r w:rsidRPr="00403220">
        <w:rPr>
          <w:rFonts w:cs="Times New Roman"/>
          <w:szCs w:val="24"/>
          <w:lang w:val="fr-CA"/>
        </w:rPr>
        <w:t xml:space="preserve">fondamentale comme </w:t>
      </w:r>
      <w:r w:rsidR="00B33A15" w:rsidRPr="00403220">
        <w:rPr>
          <w:rFonts w:cs="Times New Roman"/>
          <w:szCs w:val="24"/>
          <w:lang w:val="fr-CA"/>
        </w:rPr>
        <w:t xml:space="preserve">une décision </w:t>
      </w:r>
      <w:r w:rsidRPr="00403220">
        <w:rPr>
          <w:rFonts w:cs="Times New Roman"/>
          <w:szCs w:val="24"/>
          <w:lang w:val="fr-CA"/>
        </w:rPr>
        <w:t>n</w:t>
      </w:r>
      <w:r w:rsidR="008372AA" w:rsidRPr="00403220">
        <w:rPr>
          <w:rFonts w:cs="Times New Roman"/>
          <w:szCs w:val="24"/>
          <w:lang w:val="fr-CA"/>
        </w:rPr>
        <w:t>’</w:t>
      </w:r>
      <w:r w:rsidRPr="00403220">
        <w:rPr>
          <w:rFonts w:cs="Times New Roman"/>
          <w:szCs w:val="24"/>
          <w:lang w:val="fr-CA"/>
        </w:rPr>
        <w:t xml:space="preserve">étant pas </w:t>
      </w:r>
      <w:r w:rsidR="00B33A15" w:rsidRPr="00403220">
        <w:rPr>
          <w:rFonts w:cs="Times New Roman"/>
          <w:szCs w:val="24"/>
          <w:lang w:val="fr-CA"/>
        </w:rPr>
        <w:t>de nature « </w:t>
      </w:r>
      <w:r w:rsidRPr="00403220">
        <w:rPr>
          <w:rFonts w:cs="Times New Roman"/>
          <w:szCs w:val="24"/>
          <w:lang w:val="fr-CA"/>
        </w:rPr>
        <w:t>opérationnelle</w:t>
      </w:r>
      <w:r w:rsidR="00B33A15" w:rsidRPr="00403220">
        <w:rPr>
          <w:rFonts w:cs="Times New Roman"/>
          <w:szCs w:val="24"/>
          <w:lang w:val="fr-CA"/>
        </w:rPr>
        <w:t> »</w:t>
      </w:r>
      <w:r w:rsidRPr="00403220">
        <w:rPr>
          <w:rFonts w:cs="Times New Roman"/>
          <w:szCs w:val="24"/>
          <w:lang w:val="fr-CA"/>
        </w:rPr>
        <w:t xml:space="preserve"> ne constitue </w:t>
      </w:r>
      <w:proofErr w:type="spellStart"/>
      <w:r w:rsidRPr="00403220">
        <w:rPr>
          <w:rFonts w:cs="Times New Roman"/>
          <w:szCs w:val="24"/>
          <w:lang w:val="fr-CA"/>
        </w:rPr>
        <w:t>peut</w:t>
      </w:r>
      <w:r w:rsidR="00A54DAC" w:rsidRPr="00403220">
        <w:rPr>
          <w:rFonts w:cs="Times New Roman"/>
          <w:szCs w:val="24"/>
          <w:lang w:val="fr-CA"/>
        </w:rPr>
        <w:noBreakHyphen/>
      </w:r>
      <w:r w:rsidRPr="00403220">
        <w:rPr>
          <w:rFonts w:cs="Times New Roman"/>
          <w:szCs w:val="24"/>
          <w:lang w:val="fr-CA"/>
        </w:rPr>
        <w:t>être</w:t>
      </w:r>
      <w:proofErr w:type="spellEnd"/>
      <w:r w:rsidRPr="00403220">
        <w:rPr>
          <w:rFonts w:cs="Times New Roman"/>
          <w:szCs w:val="24"/>
          <w:lang w:val="fr-CA"/>
        </w:rPr>
        <w:t xml:space="preserve"> pas un critère distinct utile dans tous les cas.  Ce critère </w:t>
      </w:r>
      <w:r w:rsidR="00EB7767" w:rsidRPr="00403220">
        <w:rPr>
          <w:rFonts w:cs="Times New Roman"/>
          <w:szCs w:val="24"/>
          <w:lang w:val="fr-CA"/>
        </w:rPr>
        <w:t xml:space="preserve">suppose </w:t>
      </w:r>
      <w:r w:rsidRPr="00403220">
        <w:rPr>
          <w:rFonts w:cs="Times New Roman"/>
          <w:szCs w:val="24"/>
          <w:lang w:val="fr-CA"/>
        </w:rPr>
        <w:t xml:space="preserve">une </w:t>
      </w:r>
      <w:r w:rsidR="00EB7767" w:rsidRPr="00403220">
        <w:rPr>
          <w:rFonts w:cs="Times New Roman"/>
          <w:szCs w:val="24"/>
          <w:lang w:val="fr-CA"/>
        </w:rPr>
        <w:t xml:space="preserve">nette </w:t>
      </w:r>
      <w:r w:rsidRPr="00403220">
        <w:rPr>
          <w:rFonts w:cs="Times New Roman"/>
          <w:szCs w:val="24"/>
          <w:lang w:val="fr-CA"/>
        </w:rPr>
        <w:t xml:space="preserve">dichotomie entre deux </w:t>
      </w:r>
      <w:r w:rsidR="00EB7767" w:rsidRPr="00403220">
        <w:rPr>
          <w:rFonts w:cs="Times New Roman"/>
          <w:szCs w:val="24"/>
          <w:lang w:val="fr-CA"/>
        </w:rPr>
        <w:t xml:space="preserve">compartiments </w:t>
      </w:r>
      <w:r w:rsidRPr="00403220">
        <w:rPr>
          <w:rFonts w:cs="Times New Roman"/>
          <w:szCs w:val="24"/>
          <w:lang w:val="fr-CA"/>
        </w:rPr>
        <w:t>étanches</w:t>
      </w:r>
      <w:r w:rsidR="00A54DAC" w:rsidRPr="00403220">
        <w:rPr>
          <w:rFonts w:cs="Times New Roman"/>
          <w:szCs w:val="24"/>
          <w:lang w:val="fr-CA"/>
        </w:rPr>
        <w:t> :</w:t>
      </w:r>
      <w:r w:rsidRPr="00403220">
        <w:rPr>
          <w:rFonts w:cs="Times New Roman"/>
          <w:szCs w:val="24"/>
          <w:lang w:val="fr-CA"/>
        </w:rPr>
        <w:t xml:space="preserve"> les décisions de politique </w:t>
      </w:r>
      <w:r w:rsidR="00B33A15" w:rsidRPr="00403220">
        <w:rPr>
          <w:rFonts w:cs="Times New Roman"/>
          <w:szCs w:val="24"/>
          <w:lang w:val="fr-CA"/>
        </w:rPr>
        <w:t xml:space="preserve">générale </w:t>
      </w:r>
      <w:r w:rsidRPr="00403220">
        <w:rPr>
          <w:rFonts w:cs="Times New Roman"/>
          <w:szCs w:val="24"/>
          <w:lang w:val="fr-CA"/>
        </w:rPr>
        <w:t xml:space="preserve">et les décisions opérationnelles.  Dans les faits, </w:t>
      </w:r>
      <w:r w:rsidR="00EB7767" w:rsidRPr="00403220">
        <w:rPr>
          <w:rFonts w:cs="Times New Roman"/>
          <w:szCs w:val="24"/>
          <w:lang w:val="fr-CA"/>
        </w:rPr>
        <w:t xml:space="preserve">il est possible que </w:t>
      </w:r>
      <w:r w:rsidRPr="00403220">
        <w:rPr>
          <w:rFonts w:cs="Times New Roman"/>
          <w:szCs w:val="24"/>
          <w:lang w:val="fr-CA"/>
        </w:rPr>
        <w:t>les décisions n</w:t>
      </w:r>
      <w:r w:rsidR="008372AA" w:rsidRPr="00403220">
        <w:rPr>
          <w:rFonts w:cs="Times New Roman"/>
          <w:szCs w:val="24"/>
          <w:lang w:val="fr-CA"/>
        </w:rPr>
        <w:t>’</w:t>
      </w:r>
      <w:r w:rsidRPr="00403220">
        <w:rPr>
          <w:rFonts w:cs="Times New Roman"/>
          <w:szCs w:val="24"/>
          <w:lang w:val="fr-CA"/>
        </w:rPr>
        <w:t>appartiennent pas clairement à l</w:t>
      </w:r>
      <w:r w:rsidR="008372AA" w:rsidRPr="00403220">
        <w:rPr>
          <w:rFonts w:cs="Times New Roman"/>
          <w:szCs w:val="24"/>
          <w:lang w:val="fr-CA"/>
        </w:rPr>
        <w:t>’</w:t>
      </w:r>
      <w:r w:rsidRPr="00403220">
        <w:rPr>
          <w:rFonts w:cs="Times New Roman"/>
          <w:szCs w:val="24"/>
          <w:lang w:val="fr-CA"/>
        </w:rPr>
        <w:t>une</w:t>
      </w:r>
      <w:r w:rsidR="009168E8" w:rsidRPr="00403220">
        <w:rPr>
          <w:rFonts w:cs="Times New Roman"/>
          <w:szCs w:val="24"/>
          <w:lang w:val="fr-CA"/>
        </w:rPr>
        <w:t xml:space="preserve"> ou l</w:t>
      </w:r>
      <w:r w:rsidR="008372AA" w:rsidRPr="00403220">
        <w:rPr>
          <w:rFonts w:cs="Times New Roman"/>
          <w:szCs w:val="24"/>
          <w:lang w:val="fr-CA"/>
        </w:rPr>
        <w:t>’</w:t>
      </w:r>
      <w:r w:rsidR="009168E8" w:rsidRPr="00403220">
        <w:rPr>
          <w:rFonts w:cs="Times New Roman"/>
          <w:szCs w:val="24"/>
          <w:lang w:val="fr-CA"/>
        </w:rPr>
        <w:t>autre de ces catégories.</w:t>
      </w:r>
    </w:p>
    <w:p w:rsidR="0047179D" w:rsidRPr="00403220" w:rsidRDefault="0047179D" w:rsidP="009168E8">
      <w:pPr>
        <w:pStyle w:val="ParaNoNdepar-AltN"/>
        <w:rPr>
          <w:rFonts w:cs="Times New Roman"/>
          <w:szCs w:val="24"/>
          <w:lang w:val="fr-CA"/>
        </w:rPr>
      </w:pPr>
      <w:r w:rsidRPr="00403220">
        <w:rPr>
          <w:rFonts w:cs="Times New Roman"/>
          <w:szCs w:val="24"/>
          <w:lang w:val="fr-CA"/>
        </w:rPr>
        <w:lastRenderedPageBreak/>
        <w:t xml:space="preserve">Au lieu de </w:t>
      </w:r>
      <w:r w:rsidR="004E153F" w:rsidRPr="00403220">
        <w:rPr>
          <w:rFonts w:cs="Times New Roman"/>
          <w:szCs w:val="24"/>
          <w:lang w:val="fr-CA"/>
        </w:rPr>
        <w:t xml:space="preserve">définir </w:t>
      </w:r>
      <w:r w:rsidRPr="00403220">
        <w:rPr>
          <w:rFonts w:cs="Times New Roman"/>
          <w:szCs w:val="24"/>
          <w:lang w:val="fr-CA"/>
        </w:rPr>
        <w:t xml:space="preserve">négativement les décisions de politique </w:t>
      </w:r>
      <w:r w:rsidR="00B33A15" w:rsidRPr="00403220">
        <w:rPr>
          <w:rFonts w:cs="Times New Roman"/>
          <w:szCs w:val="24"/>
          <w:lang w:val="fr-CA"/>
        </w:rPr>
        <w:t xml:space="preserve">générale </w:t>
      </w:r>
      <w:r w:rsidRPr="00403220">
        <w:rPr>
          <w:rFonts w:cs="Times New Roman"/>
          <w:szCs w:val="24"/>
          <w:lang w:val="fr-CA"/>
        </w:rPr>
        <w:t>à l</w:t>
      </w:r>
      <w:r w:rsidR="008372AA" w:rsidRPr="00403220">
        <w:rPr>
          <w:rFonts w:cs="Times New Roman"/>
          <w:szCs w:val="24"/>
          <w:lang w:val="fr-CA"/>
        </w:rPr>
        <w:t>’</w:t>
      </w:r>
      <w:r w:rsidRPr="00403220">
        <w:rPr>
          <w:rFonts w:cs="Times New Roman"/>
          <w:szCs w:val="24"/>
          <w:lang w:val="fr-CA"/>
        </w:rPr>
        <w:t xml:space="preserve">abri </w:t>
      </w:r>
      <w:r w:rsidR="004E153F" w:rsidRPr="00403220">
        <w:rPr>
          <w:rFonts w:cs="Times New Roman"/>
          <w:szCs w:val="24"/>
          <w:lang w:val="fr-CA"/>
        </w:rPr>
        <w:t xml:space="preserve">de l’examen </w:t>
      </w:r>
      <w:r w:rsidRPr="00403220">
        <w:rPr>
          <w:rFonts w:cs="Times New Roman"/>
          <w:szCs w:val="24"/>
          <w:lang w:val="fr-CA"/>
        </w:rPr>
        <w:t xml:space="preserve">judiciaire comme </w:t>
      </w:r>
      <w:r w:rsidR="00B33A15" w:rsidRPr="00403220">
        <w:rPr>
          <w:rFonts w:cs="Times New Roman"/>
          <w:szCs w:val="24"/>
          <w:lang w:val="fr-CA"/>
        </w:rPr>
        <w:t xml:space="preserve">des décisions </w:t>
      </w:r>
      <w:r w:rsidR="00525C3C">
        <w:rPr>
          <w:rFonts w:cs="Times New Roman"/>
          <w:smallCaps/>
          <w:szCs w:val="24"/>
          <w:lang w:val="fr-CA"/>
        </w:rPr>
        <w:t xml:space="preserve">[traduction] </w:t>
      </w:r>
      <w:r w:rsidR="00525C3C" w:rsidRPr="00403220">
        <w:rPr>
          <w:rFonts w:cs="Times New Roman"/>
          <w:szCs w:val="24"/>
          <w:lang w:val="fr-CA"/>
        </w:rPr>
        <w:t>« </w:t>
      </w:r>
      <w:r w:rsidR="00B33A15" w:rsidRPr="00403220">
        <w:rPr>
          <w:rFonts w:cs="Times New Roman"/>
          <w:szCs w:val="24"/>
          <w:lang w:val="fr-CA"/>
        </w:rPr>
        <w:t xml:space="preserve">n’étant </w:t>
      </w:r>
      <w:r w:rsidRPr="00403220">
        <w:rPr>
          <w:rFonts w:cs="Times New Roman"/>
          <w:szCs w:val="24"/>
          <w:lang w:val="fr-CA"/>
        </w:rPr>
        <w:t xml:space="preserve">pas </w:t>
      </w:r>
      <w:r w:rsidR="00B33A15" w:rsidRPr="00403220">
        <w:rPr>
          <w:rFonts w:cs="Times New Roman"/>
          <w:szCs w:val="24"/>
          <w:lang w:val="fr-CA"/>
        </w:rPr>
        <w:t xml:space="preserve">de nature </w:t>
      </w:r>
      <w:r w:rsidRPr="00403220">
        <w:rPr>
          <w:rFonts w:cs="Times New Roman"/>
          <w:szCs w:val="24"/>
          <w:lang w:val="fr-CA"/>
        </w:rPr>
        <w:t>opérationnelle</w:t>
      </w:r>
      <w:r w:rsidR="00EB7DB6" w:rsidRPr="00403220">
        <w:rPr>
          <w:rFonts w:cs="Times New Roman"/>
          <w:szCs w:val="24"/>
          <w:lang w:val="fr-CA"/>
        </w:rPr>
        <w:t> </w:t>
      </w:r>
      <w:r w:rsidRPr="00403220">
        <w:rPr>
          <w:rFonts w:cs="Times New Roman"/>
          <w:szCs w:val="24"/>
          <w:lang w:val="fr-CA"/>
        </w:rPr>
        <w:t xml:space="preserve">», les juges majoritaires dans </w:t>
      </w:r>
      <w:r w:rsidRPr="00403220">
        <w:rPr>
          <w:rFonts w:cs="Times New Roman"/>
          <w:i/>
          <w:szCs w:val="24"/>
          <w:lang w:val="fr-CA"/>
        </w:rPr>
        <w:t>Gaubert</w:t>
      </w:r>
      <w:r w:rsidRPr="00403220">
        <w:rPr>
          <w:rFonts w:cs="Times New Roman"/>
          <w:szCs w:val="24"/>
          <w:lang w:val="fr-CA"/>
        </w:rPr>
        <w:t xml:space="preserve"> les décrivent positivement comme </w:t>
      </w:r>
      <w:r w:rsidR="004E153F" w:rsidRPr="00403220">
        <w:rPr>
          <w:rFonts w:cs="Times New Roman"/>
          <w:szCs w:val="24"/>
          <w:lang w:val="fr-CA"/>
        </w:rPr>
        <w:t xml:space="preserve">étant </w:t>
      </w:r>
      <w:r w:rsidRPr="00403220">
        <w:rPr>
          <w:rFonts w:cs="Times New Roman"/>
          <w:szCs w:val="24"/>
          <w:lang w:val="fr-CA"/>
        </w:rPr>
        <w:t>des décisions et des mesures discrétionnaires d</w:t>
      </w:r>
      <w:r w:rsidR="008372AA" w:rsidRPr="00403220">
        <w:rPr>
          <w:rFonts w:cs="Times New Roman"/>
          <w:szCs w:val="24"/>
          <w:lang w:val="fr-CA"/>
        </w:rPr>
        <w:t>’</w:t>
      </w:r>
      <w:r w:rsidRPr="00403220">
        <w:rPr>
          <w:rFonts w:cs="Times New Roman"/>
          <w:szCs w:val="24"/>
          <w:lang w:val="fr-CA"/>
        </w:rPr>
        <w:t xml:space="preserve">ordre législatif ou administratif qui se fondent sur des considérations sociales, économiques ou politiques.  Les décisions de politique </w:t>
      </w:r>
      <w:r w:rsidR="00B33A15" w:rsidRPr="00403220">
        <w:rPr>
          <w:rFonts w:cs="Times New Roman"/>
          <w:szCs w:val="24"/>
          <w:lang w:val="fr-CA"/>
        </w:rPr>
        <w:t xml:space="preserve">générale </w:t>
      </w:r>
      <w:r w:rsidRPr="00403220">
        <w:rPr>
          <w:rFonts w:cs="Times New Roman"/>
          <w:szCs w:val="24"/>
          <w:lang w:val="fr-CA"/>
        </w:rPr>
        <w:t xml:space="preserve">sont </w:t>
      </w:r>
      <w:r w:rsidR="00B33A15" w:rsidRPr="00403220">
        <w:rPr>
          <w:rFonts w:cs="Times New Roman"/>
          <w:szCs w:val="24"/>
          <w:lang w:val="fr-CA"/>
        </w:rPr>
        <w:t>habituel</w:t>
      </w:r>
      <w:r w:rsidRPr="00403220">
        <w:rPr>
          <w:rFonts w:cs="Times New Roman"/>
          <w:szCs w:val="24"/>
          <w:lang w:val="fr-CA"/>
        </w:rPr>
        <w:t>lement prises par le législateur ou un fonctionnaire tenu officiellement d</w:t>
      </w:r>
      <w:r w:rsidR="008372AA" w:rsidRPr="00403220">
        <w:rPr>
          <w:rFonts w:cs="Times New Roman"/>
          <w:szCs w:val="24"/>
          <w:lang w:val="fr-CA"/>
        </w:rPr>
        <w:t>’</w:t>
      </w:r>
      <w:r w:rsidRPr="00403220">
        <w:rPr>
          <w:rFonts w:cs="Times New Roman"/>
          <w:szCs w:val="24"/>
          <w:lang w:val="fr-CA"/>
        </w:rPr>
        <w:t xml:space="preserve">évaluer et de mettre en balance </w:t>
      </w:r>
      <w:r w:rsidR="004E153F" w:rsidRPr="00403220">
        <w:rPr>
          <w:rFonts w:cs="Times New Roman"/>
          <w:szCs w:val="24"/>
          <w:lang w:val="fr-CA"/>
        </w:rPr>
        <w:t>d</w:t>
      </w:r>
      <w:r w:rsidRPr="00403220">
        <w:rPr>
          <w:rFonts w:cs="Times New Roman"/>
          <w:szCs w:val="24"/>
          <w:lang w:val="fr-CA"/>
        </w:rPr>
        <w:t>es considérations d</w:t>
      </w:r>
      <w:r w:rsidR="008372AA" w:rsidRPr="00403220">
        <w:rPr>
          <w:rFonts w:cs="Times New Roman"/>
          <w:szCs w:val="24"/>
          <w:lang w:val="fr-CA"/>
        </w:rPr>
        <w:t>’</w:t>
      </w:r>
      <w:r w:rsidRPr="00403220">
        <w:rPr>
          <w:rFonts w:cs="Times New Roman"/>
          <w:szCs w:val="24"/>
          <w:lang w:val="fr-CA"/>
        </w:rPr>
        <w:t>intérêt public.  La décision</w:t>
      </w:r>
      <w:r w:rsidR="00EB7DB6" w:rsidRPr="00403220">
        <w:rPr>
          <w:rFonts w:cs="Times New Roman"/>
          <w:szCs w:val="24"/>
          <w:lang w:val="fr-CA"/>
        </w:rPr>
        <w:t xml:space="preserve"> est réfléchie et traduit une « </w:t>
      </w:r>
      <w:r w:rsidRPr="00403220">
        <w:rPr>
          <w:rFonts w:cs="Times New Roman"/>
          <w:szCs w:val="24"/>
          <w:lang w:val="fr-CA"/>
        </w:rPr>
        <w:t>politique</w:t>
      </w:r>
      <w:r w:rsidR="00B33A15" w:rsidRPr="00403220">
        <w:rPr>
          <w:rFonts w:cs="Times New Roman"/>
          <w:szCs w:val="24"/>
          <w:lang w:val="fr-CA"/>
        </w:rPr>
        <w:t xml:space="preserve"> générale</w:t>
      </w:r>
      <w:r w:rsidRPr="00403220">
        <w:rPr>
          <w:rFonts w:cs="Times New Roman"/>
          <w:szCs w:val="24"/>
          <w:lang w:val="fr-CA"/>
        </w:rPr>
        <w:t> » dans le sens d</w:t>
      </w:r>
      <w:r w:rsidR="008372AA" w:rsidRPr="00403220">
        <w:rPr>
          <w:rFonts w:cs="Times New Roman"/>
          <w:szCs w:val="24"/>
          <w:lang w:val="fr-CA"/>
        </w:rPr>
        <w:t>’</w:t>
      </w:r>
      <w:r w:rsidRPr="00403220">
        <w:rPr>
          <w:rFonts w:cs="Times New Roman"/>
          <w:szCs w:val="24"/>
          <w:lang w:val="fr-CA"/>
        </w:rPr>
        <w:t xml:space="preserve">une règle ou orientation générale appliquée dans une situation précise.  La politique désigne </w:t>
      </w:r>
      <w:r w:rsidR="000B64C9" w:rsidRPr="00403220">
        <w:rPr>
          <w:rFonts w:cs="Times New Roman"/>
          <w:szCs w:val="24"/>
          <w:lang w:val="fr-CA"/>
        </w:rPr>
        <w:t xml:space="preserve">une </w:t>
      </w:r>
      <w:r w:rsidR="00EB7DB6" w:rsidRPr="00403220">
        <w:rPr>
          <w:rFonts w:cs="Times New Roman"/>
          <w:szCs w:val="24"/>
          <w:lang w:val="fr-CA"/>
        </w:rPr>
        <w:t>« </w:t>
      </w:r>
      <w:r w:rsidRPr="00403220">
        <w:rPr>
          <w:rFonts w:cs="Times New Roman"/>
          <w:szCs w:val="24"/>
          <w:lang w:val="fr-CA"/>
        </w:rPr>
        <w:t xml:space="preserve">ligne de conduite adoptée par un organisme </w:t>
      </w:r>
      <w:r w:rsidR="000B64C9">
        <w:rPr>
          <w:rFonts w:cs="Times New Roman"/>
          <w:szCs w:val="24"/>
          <w:lang w:val="fr-CA"/>
        </w:rPr>
        <w:t>[</w:t>
      </w:r>
      <w:r w:rsidR="00CF657D" w:rsidRPr="00403220">
        <w:rPr>
          <w:rFonts w:cs="Times New Roman"/>
          <w:szCs w:val="24"/>
          <w:lang w:val="fr-CA"/>
        </w:rPr>
        <w:t>. . .</w:t>
      </w:r>
      <w:r w:rsidR="000B64C9">
        <w:rPr>
          <w:rFonts w:cs="Times New Roman"/>
          <w:szCs w:val="24"/>
          <w:lang w:val="fr-CA"/>
        </w:rPr>
        <w:t>]</w:t>
      </w:r>
      <w:r w:rsidR="00EB7DB6" w:rsidRPr="00403220">
        <w:rPr>
          <w:rFonts w:cs="Times New Roman"/>
          <w:szCs w:val="24"/>
          <w:lang w:val="fr-CA"/>
        </w:rPr>
        <w:t xml:space="preserve"> public </w:t>
      </w:r>
      <w:r w:rsidRPr="00403220">
        <w:rPr>
          <w:rFonts w:cs="Times New Roman"/>
          <w:szCs w:val="24"/>
          <w:lang w:val="fr-CA"/>
        </w:rPr>
        <w:t>»</w:t>
      </w:r>
      <w:r w:rsidR="00A54DAC" w:rsidRPr="00403220">
        <w:rPr>
          <w:rFonts w:cs="Times New Roman"/>
          <w:szCs w:val="24"/>
          <w:lang w:val="fr-CA"/>
        </w:rPr>
        <w:t> :</w:t>
      </w:r>
      <w:r w:rsidRPr="00403220">
        <w:rPr>
          <w:rFonts w:cs="Times New Roman"/>
          <w:szCs w:val="24"/>
          <w:lang w:val="fr-CA"/>
        </w:rPr>
        <w:t xml:space="preserve"> </w:t>
      </w:r>
      <w:proofErr w:type="spellStart"/>
      <w:r w:rsidRPr="00403220">
        <w:rPr>
          <w:rFonts w:cs="Times New Roman"/>
          <w:i/>
          <w:szCs w:val="24"/>
          <w:lang w:val="fr-CA"/>
        </w:rPr>
        <w:t>Multidictionnaire</w:t>
      </w:r>
      <w:proofErr w:type="spellEnd"/>
      <w:r w:rsidRPr="00403220">
        <w:rPr>
          <w:rFonts w:cs="Times New Roman"/>
          <w:i/>
          <w:szCs w:val="24"/>
          <w:lang w:val="fr-CA"/>
        </w:rPr>
        <w:t xml:space="preserve"> de la langue française</w:t>
      </w:r>
      <w:r w:rsidRPr="00403220">
        <w:rPr>
          <w:rFonts w:cs="Times New Roman"/>
          <w:szCs w:val="24"/>
          <w:lang w:val="fr-CA"/>
        </w:rPr>
        <w:t xml:space="preserve">, </w:t>
      </w:r>
      <w:r w:rsidR="00A54DAC" w:rsidRPr="00403220">
        <w:rPr>
          <w:rFonts w:cs="Times New Roman"/>
          <w:szCs w:val="24"/>
          <w:lang w:val="fr-CA"/>
        </w:rPr>
        <w:t>p. </w:t>
      </w:r>
      <w:r w:rsidRPr="00403220">
        <w:rPr>
          <w:rFonts w:cs="Times New Roman"/>
          <w:szCs w:val="24"/>
          <w:lang w:val="fr-CA"/>
        </w:rPr>
        <w:t>1261.  Les juges saisis d</w:t>
      </w:r>
      <w:r w:rsidR="008372AA" w:rsidRPr="00403220">
        <w:rPr>
          <w:rFonts w:cs="Times New Roman"/>
          <w:szCs w:val="24"/>
          <w:lang w:val="fr-CA"/>
        </w:rPr>
        <w:t>’</w:t>
      </w:r>
      <w:r w:rsidRPr="00403220">
        <w:rPr>
          <w:rFonts w:cs="Times New Roman"/>
          <w:szCs w:val="24"/>
          <w:lang w:val="fr-CA"/>
        </w:rPr>
        <w:t>une pareille ligne de conduite adoptée par un organisme public estiment généralement qu</w:t>
      </w:r>
      <w:r w:rsidR="008372AA" w:rsidRPr="00403220">
        <w:rPr>
          <w:rFonts w:cs="Times New Roman"/>
          <w:szCs w:val="24"/>
          <w:lang w:val="fr-CA"/>
        </w:rPr>
        <w:t>’</w:t>
      </w:r>
      <w:r w:rsidRPr="00403220">
        <w:rPr>
          <w:rFonts w:cs="Times New Roman"/>
          <w:szCs w:val="24"/>
          <w:lang w:val="fr-CA"/>
        </w:rPr>
        <w:t>il s</w:t>
      </w:r>
      <w:r w:rsidR="008372AA" w:rsidRPr="00403220">
        <w:rPr>
          <w:rFonts w:cs="Times New Roman"/>
          <w:szCs w:val="24"/>
          <w:lang w:val="fr-CA"/>
        </w:rPr>
        <w:t>’</w:t>
      </w:r>
      <w:r w:rsidRPr="00403220">
        <w:rPr>
          <w:rFonts w:cs="Times New Roman"/>
          <w:szCs w:val="24"/>
          <w:lang w:val="fr-CA"/>
        </w:rPr>
        <w:t>agit d</w:t>
      </w:r>
      <w:r w:rsidR="008372AA" w:rsidRPr="00403220">
        <w:rPr>
          <w:rFonts w:cs="Times New Roman"/>
          <w:szCs w:val="24"/>
          <w:lang w:val="fr-CA"/>
        </w:rPr>
        <w:t>’</w:t>
      </w:r>
      <w:r w:rsidRPr="00403220">
        <w:rPr>
          <w:rFonts w:cs="Times New Roman"/>
          <w:szCs w:val="24"/>
          <w:lang w:val="fr-CA"/>
        </w:rPr>
        <w:t>une décision de politique</w:t>
      </w:r>
      <w:r w:rsidR="00B33A15" w:rsidRPr="00403220">
        <w:rPr>
          <w:rFonts w:cs="Times New Roman"/>
          <w:szCs w:val="24"/>
          <w:lang w:val="fr-CA"/>
        </w:rPr>
        <w:t xml:space="preserve"> générale</w:t>
      </w:r>
      <w:r w:rsidRPr="00403220">
        <w:rPr>
          <w:rFonts w:cs="Times New Roman"/>
          <w:szCs w:val="24"/>
          <w:lang w:val="fr-CA"/>
        </w:rPr>
        <w:t>.  Il appartient véritablement au gouvernement, et non aux t</w:t>
      </w:r>
      <w:r w:rsidR="00B33A15" w:rsidRPr="00403220">
        <w:rPr>
          <w:rFonts w:cs="Times New Roman"/>
          <w:szCs w:val="24"/>
          <w:lang w:val="fr-CA"/>
        </w:rPr>
        <w:t>ribunaux, de mettre en balance d</w:t>
      </w:r>
      <w:r w:rsidRPr="00403220">
        <w:rPr>
          <w:rFonts w:cs="Times New Roman"/>
          <w:szCs w:val="24"/>
          <w:lang w:val="fr-CA"/>
        </w:rPr>
        <w:t>es considérations sociales, économiques et politiques pour en arriver à une ligne de conduite.  C</w:t>
      </w:r>
      <w:r w:rsidR="008372AA" w:rsidRPr="00403220">
        <w:rPr>
          <w:rFonts w:cs="Times New Roman"/>
          <w:szCs w:val="24"/>
          <w:lang w:val="fr-CA"/>
        </w:rPr>
        <w:t>’</w:t>
      </w:r>
      <w:r w:rsidRPr="00403220">
        <w:rPr>
          <w:rFonts w:cs="Times New Roman"/>
          <w:szCs w:val="24"/>
          <w:lang w:val="fr-CA"/>
        </w:rPr>
        <w:t>est pourquoi les décisions et les actes reposant sur ces considérations ne sauraient fonder une action en responsabilité délictuelle.</w:t>
      </w:r>
    </w:p>
    <w:p w:rsidR="0047179D" w:rsidRPr="00403220" w:rsidRDefault="0047179D" w:rsidP="009168E8">
      <w:pPr>
        <w:pStyle w:val="ParaNoNdepar-AltN"/>
        <w:rPr>
          <w:rFonts w:cs="Times New Roman"/>
          <w:szCs w:val="24"/>
          <w:lang w:val="fr-CA"/>
        </w:rPr>
      </w:pPr>
      <w:r w:rsidRPr="00403220">
        <w:rPr>
          <w:rFonts w:cs="Times New Roman"/>
          <w:szCs w:val="24"/>
          <w:lang w:val="fr-CA"/>
        </w:rPr>
        <w:t xml:space="preserve">Utilisée dans ce sens, la </w:t>
      </w:r>
      <w:r w:rsidR="00B33A15" w:rsidRPr="00403220">
        <w:rPr>
          <w:rFonts w:cs="Times New Roman"/>
          <w:szCs w:val="24"/>
          <w:lang w:val="fr-CA"/>
        </w:rPr>
        <w:t xml:space="preserve">notion de </w:t>
      </w:r>
      <w:r w:rsidRPr="00403220">
        <w:rPr>
          <w:rFonts w:cs="Times New Roman"/>
          <w:szCs w:val="24"/>
          <w:lang w:val="fr-CA"/>
        </w:rPr>
        <w:t xml:space="preserve">politique </w:t>
      </w:r>
      <w:r w:rsidR="00B33A15" w:rsidRPr="00403220">
        <w:rPr>
          <w:rFonts w:cs="Times New Roman"/>
          <w:szCs w:val="24"/>
          <w:lang w:val="fr-CA"/>
        </w:rPr>
        <w:t xml:space="preserve">générale </w:t>
      </w:r>
      <w:r w:rsidRPr="00403220">
        <w:rPr>
          <w:rFonts w:cs="Times New Roman"/>
          <w:szCs w:val="24"/>
          <w:lang w:val="fr-CA"/>
        </w:rPr>
        <w:t xml:space="preserve">diffère </w:t>
      </w:r>
      <w:r w:rsidR="00B33A15" w:rsidRPr="00403220">
        <w:rPr>
          <w:rFonts w:cs="Times New Roman"/>
          <w:szCs w:val="24"/>
          <w:lang w:val="fr-CA"/>
        </w:rPr>
        <w:t>de la notion de</w:t>
      </w:r>
      <w:r w:rsidRPr="00403220">
        <w:rPr>
          <w:rFonts w:cs="Times New Roman"/>
          <w:szCs w:val="24"/>
          <w:lang w:val="fr-CA"/>
        </w:rPr>
        <w:t xml:space="preserve"> pouvoir discrétionnaire</w:t>
      </w:r>
      <w:r w:rsidR="00B33A15" w:rsidRPr="00403220">
        <w:rPr>
          <w:rFonts w:cs="Times New Roman"/>
          <w:szCs w:val="24"/>
          <w:lang w:val="fr-CA"/>
        </w:rPr>
        <w:t>.  Un tel pouvoir</w:t>
      </w:r>
      <w:r w:rsidRPr="00403220">
        <w:rPr>
          <w:rFonts w:cs="Times New Roman"/>
          <w:szCs w:val="24"/>
          <w:lang w:val="fr-CA"/>
        </w:rPr>
        <w:t xml:space="preserve"> </w:t>
      </w:r>
      <w:r w:rsidR="00B33A15" w:rsidRPr="00403220">
        <w:rPr>
          <w:rFonts w:cs="Times New Roman"/>
          <w:szCs w:val="24"/>
          <w:lang w:val="fr-CA"/>
        </w:rPr>
        <w:t>dépend de la question de savoir si</w:t>
      </w:r>
      <w:r w:rsidRPr="00403220">
        <w:rPr>
          <w:rFonts w:cs="Times New Roman"/>
          <w:szCs w:val="24"/>
          <w:lang w:val="fr-CA"/>
        </w:rPr>
        <w:t xml:space="preserve"> un acteur </w:t>
      </w:r>
      <w:r w:rsidR="001E4BA1" w:rsidRPr="00403220">
        <w:rPr>
          <w:rFonts w:cs="Times New Roman"/>
          <w:szCs w:val="24"/>
          <w:lang w:val="fr-CA"/>
        </w:rPr>
        <w:t xml:space="preserve">donné </w:t>
      </w:r>
      <w:r w:rsidR="00B33A15" w:rsidRPr="00403220">
        <w:rPr>
          <w:rFonts w:cs="Times New Roman"/>
          <w:szCs w:val="24"/>
          <w:lang w:val="fr-CA"/>
        </w:rPr>
        <w:t>a la faculté de choisir d’</w:t>
      </w:r>
      <w:r w:rsidRPr="00403220">
        <w:rPr>
          <w:rFonts w:cs="Times New Roman"/>
          <w:szCs w:val="24"/>
          <w:lang w:val="fr-CA"/>
        </w:rPr>
        <w:t xml:space="preserve">agir </w:t>
      </w:r>
      <w:r w:rsidR="00B33A15" w:rsidRPr="00403220">
        <w:rPr>
          <w:rFonts w:cs="Times New Roman"/>
          <w:szCs w:val="24"/>
          <w:lang w:val="fr-CA"/>
        </w:rPr>
        <w:t>d’une façon ou d’une autre</w:t>
      </w:r>
      <w:r w:rsidRPr="00403220">
        <w:rPr>
          <w:rFonts w:cs="Times New Roman"/>
          <w:szCs w:val="24"/>
          <w:lang w:val="fr-CA"/>
        </w:rPr>
        <w:t>.  L</w:t>
      </w:r>
      <w:r w:rsidR="00B33A15" w:rsidRPr="00403220">
        <w:rPr>
          <w:rFonts w:cs="Times New Roman"/>
          <w:szCs w:val="24"/>
          <w:lang w:val="fr-CA"/>
        </w:rPr>
        <w:t>es</w:t>
      </w:r>
      <w:r w:rsidRPr="00403220">
        <w:rPr>
          <w:rFonts w:cs="Times New Roman"/>
          <w:szCs w:val="24"/>
          <w:lang w:val="fr-CA"/>
        </w:rPr>
        <w:t xml:space="preserve"> politique</w:t>
      </w:r>
      <w:r w:rsidR="00B33A15" w:rsidRPr="00403220">
        <w:rPr>
          <w:rFonts w:cs="Times New Roman"/>
          <w:szCs w:val="24"/>
          <w:lang w:val="fr-CA"/>
        </w:rPr>
        <w:t xml:space="preserve">s </w:t>
      </w:r>
      <w:r w:rsidR="00B33A15" w:rsidRPr="00403220">
        <w:rPr>
          <w:rFonts w:cs="Times New Roman"/>
          <w:szCs w:val="24"/>
          <w:lang w:val="fr-CA"/>
        </w:rPr>
        <w:lastRenderedPageBreak/>
        <w:t>générales</w:t>
      </w:r>
      <w:r w:rsidRPr="00403220">
        <w:rPr>
          <w:rFonts w:cs="Times New Roman"/>
          <w:szCs w:val="24"/>
          <w:lang w:val="fr-CA"/>
        </w:rPr>
        <w:t xml:space="preserve"> forme</w:t>
      </w:r>
      <w:r w:rsidR="00B33A15" w:rsidRPr="00403220">
        <w:rPr>
          <w:rFonts w:cs="Times New Roman"/>
          <w:szCs w:val="24"/>
          <w:lang w:val="fr-CA"/>
        </w:rPr>
        <w:t>nt</w:t>
      </w:r>
      <w:r w:rsidRPr="00403220">
        <w:rPr>
          <w:rFonts w:cs="Times New Roman"/>
          <w:szCs w:val="24"/>
          <w:lang w:val="fr-CA"/>
        </w:rPr>
        <w:t xml:space="preserve"> un </w:t>
      </w:r>
      <w:proofErr w:type="spellStart"/>
      <w:r w:rsidRPr="00403220">
        <w:rPr>
          <w:rFonts w:cs="Times New Roman"/>
          <w:szCs w:val="24"/>
          <w:lang w:val="fr-CA"/>
        </w:rPr>
        <w:t>sous</w:t>
      </w:r>
      <w:r w:rsidR="00A54DAC" w:rsidRPr="00403220">
        <w:rPr>
          <w:rFonts w:cs="Times New Roman"/>
          <w:szCs w:val="24"/>
          <w:lang w:val="fr-CA"/>
        </w:rPr>
        <w:noBreakHyphen/>
      </w:r>
      <w:r w:rsidRPr="00403220">
        <w:rPr>
          <w:rFonts w:cs="Times New Roman"/>
          <w:szCs w:val="24"/>
          <w:lang w:val="fr-CA"/>
        </w:rPr>
        <w:t>ensemble</w:t>
      </w:r>
      <w:proofErr w:type="spellEnd"/>
      <w:r w:rsidRPr="00403220">
        <w:rPr>
          <w:rFonts w:cs="Times New Roman"/>
          <w:szCs w:val="24"/>
          <w:lang w:val="fr-CA"/>
        </w:rPr>
        <w:t xml:space="preserve"> restreint de décisions discrétionnaires, et n</w:t>
      </w:r>
      <w:r w:rsidR="008372AA" w:rsidRPr="00403220">
        <w:rPr>
          <w:rFonts w:cs="Times New Roman"/>
          <w:szCs w:val="24"/>
          <w:lang w:val="fr-CA"/>
        </w:rPr>
        <w:t>’</w:t>
      </w:r>
      <w:r w:rsidRPr="00403220">
        <w:rPr>
          <w:rFonts w:cs="Times New Roman"/>
          <w:szCs w:val="24"/>
          <w:lang w:val="fr-CA"/>
        </w:rPr>
        <w:t>englobe</w:t>
      </w:r>
      <w:r w:rsidR="00B33A15" w:rsidRPr="00403220">
        <w:rPr>
          <w:rFonts w:cs="Times New Roman"/>
          <w:szCs w:val="24"/>
          <w:lang w:val="fr-CA"/>
        </w:rPr>
        <w:t>nt</w:t>
      </w:r>
      <w:r w:rsidRPr="00403220">
        <w:rPr>
          <w:rFonts w:cs="Times New Roman"/>
          <w:szCs w:val="24"/>
          <w:lang w:val="fr-CA"/>
        </w:rPr>
        <w:t xml:space="preserve"> que les décisions fondées sur des considérations d</w:t>
      </w:r>
      <w:r w:rsidR="008372AA" w:rsidRPr="00403220">
        <w:rPr>
          <w:rFonts w:cs="Times New Roman"/>
          <w:szCs w:val="24"/>
          <w:lang w:val="fr-CA"/>
        </w:rPr>
        <w:t>’</w:t>
      </w:r>
      <w:r w:rsidRPr="00403220">
        <w:rPr>
          <w:rFonts w:cs="Times New Roman"/>
          <w:szCs w:val="24"/>
          <w:lang w:val="fr-CA"/>
        </w:rPr>
        <w:t xml:space="preserve">intérêt public, comme </w:t>
      </w:r>
      <w:r w:rsidR="00B33A15" w:rsidRPr="00403220">
        <w:rPr>
          <w:rFonts w:cs="Times New Roman"/>
          <w:szCs w:val="24"/>
          <w:lang w:val="fr-CA"/>
        </w:rPr>
        <w:t>des considérations</w:t>
      </w:r>
      <w:r w:rsidRPr="00403220">
        <w:rPr>
          <w:rFonts w:cs="Times New Roman"/>
          <w:szCs w:val="24"/>
          <w:lang w:val="fr-CA"/>
        </w:rPr>
        <w:t xml:space="preserve"> d</w:t>
      </w:r>
      <w:r w:rsidR="008372AA" w:rsidRPr="00403220">
        <w:rPr>
          <w:rFonts w:cs="Times New Roman"/>
          <w:szCs w:val="24"/>
          <w:lang w:val="fr-CA"/>
        </w:rPr>
        <w:t>’</w:t>
      </w:r>
      <w:r w:rsidRPr="00403220">
        <w:rPr>
          <w:rFonts w:cs="Times New Roman"/>
          <w:szCs w:val="24"/>
          <w:lang w:val="fr-CA"/>
        </w:rPr>
        <w:t xml:space="preserve">ordre économique, social ou politique.  Toutes les décisions de politique </w:t>
      </w:r>
      <w:r w:rsidR="00B33A15" w:rsidRPr="00403220">
        <w:rPr>
          <w:rFonts w:cs="Times New Roman"/>
          <w:szCs w:val="24"/>
          <w:lang w:val="fr-CA"/>
        </w:rPr>
        <w:t xml:space="preserve">générale </w:t>
      </w:r>
      <w:r w:rsidRPr="00403220">
        <w:rPr>
          <w:rFonts w:cs="Times New Roman"/>
          <w:szCs w:val="24"/>
          <w:lang w:val="fr-CA"/>
        </w:rPr>
        <w:t>sont discrétionnaires, en ce sens qu</w:t>
      </w:r>
      <w:r w:rsidR="008372AA" w:rsidRPr="00403220">
        <w:rPr>
          <w:rFonts w:cs="Times New Roman"/>
          <w:szCs w:val="24"/>
          <w:lang w:val="fr-CA"/>
        </w:rPr>
        <w:t>’</w:t>
      </w:r>
      <w:r w:rsidRPr="00403220">
        <w:rPr>
          <w:rFonts w:cs="Times New Roman"/>
          <w:szCs w:val="24"/>
          <w:lang w:val="fr-CA"/>
        </w:rPr>
        <w:t>une politique différente aurait pu être retenue.  Toutefois, les décisions discrétionnaires du gouvernement ne sont pas toutes des décisions de politique</w:t>
      </w:r>
      <w:r w:rsidR="00B33A15" w:rsidRPr="00403220">
        <w:rPr>
          <w:rFonts w:cs="Times New Roman"/>
          <w:szCs w:val="24"/>
          <w:lang w:val="fr-CA"/>
        </w:rPr>
        <w:t xml:space="preserve"> générale</w:t>
      </w:r>
      <w:r w:rsidR="00B32F50" w:rsidRPr="00403220">
        <w:rPr>
          <w:rFonts w:cs="Times New Roman"/>
          <w:szCs w:val="24"/>
          <w:lang w:val="fr-CA"/>
        </w:rPr>
        <w:t>.</w:t>
      </w:r>
    </w:p>
    <w:p w:rsidR="0047179D" w:rsidRPr="00403220" w:rsidRDefault="0047179D" w:rsidP="009168E8">
      <w:pPr>
        <w:pStyle w:val="ParaNoNdepar-AltN"/>
        <w:rPr>
          <w:rFonts w:cs="Times New Roman"/>
          <w:szCs w:val="24"/>
          <w:lang w:val="fr-CA"/>
        </w:rPr>
      </w:pPr>
      <w:r w:rsidRPr="00403220">
        <w:rPr>
          <w:rFonts w:cs="Times New Roman"/>
          <w:szCs w:val="24"/>
          <w:lang w:val="fr-CA"/>
        </w:rPr>
        <w:t>Bien que l</w:t>
      </w:r>
      <w:r w:rsidR="008372AA" w:rsidRPr="00403220">
        <w:rPr>
          <w:rFonts w:cs="Times New Roman"/>
          <w:szCs w:val="24"/>
          <w:lang w:val="fr-CA"/>
        </w:rPr>
        <w:t>’</w:t>
      </w:r>
      <w:r w:rsidRPr="00403220">
        <w:rPr>
          <w:rFonts w:cs="Times New Roman"/>
          <w:szCs w:val="24"/>
          <w:lang w:val="fr-CA"/>
        </w:rPr>
        <w:t xml:space="preserve">approche préconisée dans </w:t>
      </w:r>
      <w:r w:rsidRPr="00403220">
        <w:rPr>
          <w:rFonts w:cs="Times New Roman"/>
          <w:i/>
          <w:szCs w:val="24"/>
          <w:lang w:val="fr-CA"/>
        </w:rPr>
        <w:t>Gaubert</w:t>
      </w:r>
      <w:r w:rsidRPr="00403220">
        <w:rPr>
          <w:rFonts w:cs="Times New Roman"/>
          <w:szCs w:val="24"/>
          <w:lang w:val="fr-CA"/>
        </w:rPr>
        <w:t xml:space="preserve"> mette l</w:t>
      </w:r>
      <w:r w:rsidR="008372AA" w:rsidRPr="00403220">
        <w:rPr>
          <w:rFonts w:cs="Times New Roman"/>
          <w:szCs w:val="24"/>
          <w:lang w:val="fr-CA"/>
        </w:rPr>
        <w:t>’</w:t>
      </w:r>
      <w:r w:rsidRPr="00403220">
        <w:rPr>
          <w:rFonts w:cs="Times New Roman"/>
          <w:szCs w:val="24"/>
          <w:lang w:val="fr-CA"/>
        </w:rPr>
        <w:t xml:space="preserve">accent sur la nature de la décision, le rôle du décideur peut se révéler utile.  Ce dernier </w:t>
      </w:r>
      <w:proofErr w:type="spellStart"/>
      <w:r w:rsidRPr="00403220">
        <w:rPr>
          <w:rFonts w:cs="Times New Roman"/>
          <w:szCs w:val="24"/>
          <w:lang w:val="fr-CA"/>
        </w:rPr>
        <w:t>était</w:t>
      </w:r>
      <w:r w:rsidR="00A54DAC" w:rsidRPr="00403220">
        <w:rPr>
          <w:rFonts w:cs="Times New Roman"/>
          <w:szCs w:val="24"/>
          <w:lang w:val="fr-CA"/>
        </w:rPr>
        <w:noBreakHyphen/>
      </w:r>
      <w:r w:rsidRPr="00403220">
        <w:rPr>
          <w:rFonts w:cs="Times New Roman"/>
          <w:szCs w:val="24"/>
          <w:lang w:val="fr-CA"/>
        </w:rPr>
        <w:t>il</w:t>
      </w:r>
      <w:proofErr w:type="spellEnd"/>
      <w:r w:rsidRPr="00403220">
        <w:rPr>
          <w:rFonts w:cs="Times New Roman"/>
          <w:szCs w:val="24"/>
          <w:lang w:val="fr-CA"/>
        </w:rPr>
        <w:t xml:space="preserve"> chargé d</w:t>
      </w:r>
      <w:r w:rsidR="008372AA" w:rsidRPr="00403220">
        <w:rPr>
          <w:rFonts w:cs="Times New Roman"/>
          <w:szCs w:val="24"/>
          <w:lang w:val="fr-CA"/>
        </w:rPr>
        <w:t>’</w:t>
      </w:r>
      <w:r w:rsidRPr="00403220">
        <w:rPr>
          <w:rFonts w:cs="Times New Roman"/>
          <w:szCs w:val="24"/>
          <w:lang w:val="fr-CA"/>
        </w:rPr>
        <w:t>étudier les facteurs sociaux, économiques ou politiques et d</w:t>
      </w:r>
      <w:r w:rsidR="008372AA" w:rsidRPr="00403220">
        <w:rPr>
          <w:rFonts w:cs="Times New Roman"/>
          <w:szCs w:val="24"/>
          <w:lang w:val="fr-CA"/>
        </w:rPr>
        <w:t>’</w:t>
      </w:r>
      <w:r w:rsidRPr="00403220">
        <w:rPr>
          <w:rFonts w:cs="Times New Roman"/>
          <w:szCs w:val="24"/>
          <w:lang w:val="fr-CA"/>
        </w:rPr>
        <w:t>élaborer une « </w:t>
      </w:r>
      <w:r w:rsidR="001E4BA1" w:rsidRPr="00403220">
        <w:rPr>
          <w:rFonts w:cs="Times New Roman"/>
          <w:szCs w:val="24"/>
          <w:lang w:val="fr-CA"/>
        </w:rPr>
        <w:t>ligne de conduite</w:t>
      </w:r>
      <w:r w:rsidRPr="00403220">
        <w:rPr>
          <w:rFonts w:cs="Times New Roman"/>
          <w:szCs w:val="24"/>
          <w:lang w:val="fr-CA"/>
        </w:rPr>
        <w:t xml:space="preserve"> » à </w:t>
      </w:r>
      <w:r w:rsidR="001E4BA1" w:rsidRPr="00403220">
        <w:rPr>
          <w:rFonts w:cs="Times New Roman"/>
          <w:szCs w:val="24"/>
          <w:lang w:val="fr-CA"/>
        </w:rPr>
        <w:t>l’égard d’</w:t>
      </w:r>
      <w:r w:rsidRPr="00403220">
        <w:rPr>
          <w:rFonts w:cs="Times New Roman"/>
          <w:szCs w:val="24"/>
          <w:lang w:val="fr-CA"/>
        </w:rPr>
        <w:t>un problème auquel fait face le gouvernement?  Sans prétendre qu</w:t>
      </w:r>
      <w:r w:rsidR="008372AA" w:rsidRPr="00403220">
        <w:rPr>
          <w:rFonts w:cs="Times New Roman"/>
          <w:szCs w:val="24"/>
          <w:lang w:val="fr-CA"/>
        </w:rPr>
        <w:t>’</w:t>
      </w:r>
      <w:r w:rsidRPr="00403220">
        <w:rPr>
          <w:rFonts w:cs="Times New Roman"/>
          <w:szCs w:val="24"/>
          <w:lang w:val="fr-CA"/>
        </w:rPr>
        <w:t xml:space="preserve">il est possible de </w:t>
      </w:r>
      <w:r w:rsidR="001E4BA1" w:rsidRPr="00403220">
        <w:rPr>
          <w:rFonts w:cs="Times New Roman"/>
          <w:szCs w:val="24"/>
          <w:lang w:val="fr-CA"/>
        </w:rPr>
        <w:t xml:space="preserve">répondre à </w:t>
      </w:r>
      <w:r w:rsidRPr="00403220">
        <w:rPr>
          <w:rFonts w:cs="Times New Roman"/>
          <w:szCs w:val="24"/>
          <w:lang w:val="fr-CA"/>
        </w:rPr>
        <w:t xml:space="preserve">la question en invoquant simplement le </w:t>
      </w:r>
      <w:r w:rsidR="001F08B2" w:rsidRPr="00403220">
        <w:rPr>
          <w:rFonts w:cs="Times New Roman"/>
          <w:szCs w:val="24"/>
          <w:lang w:val="fr-CA"/>
        </w:rPr>
        <w:t>niveau hiérarchique du décideur</w:t>
      </w:r>
      <w:r w:rsidRPr="00403220">
        <w:rPr>
          <w:rFonts w:cs="Times New Roman"/>
          <w:szCs w:val="24"/>
          <w:lang w:val="fr-CA"/>
        </w:rPr>
        <w:t>, on peut s</w:t>
      </w:r>
      <w:r w:rsidR="008372AA" w:rsidRPr="00403220">
        <w:rPr>
          <w:rFonts w:cs="Times New Roman"/>
          <w:szCs w:val="24"/>
          <w:lang w:val="fr-CA"/>
        </w:rPr>
        <w:t>’</w:t>
      </w:r>
      <w:r w:rsidRPr="00403220">
        <w:rPr>
          <w:rFonts w:cs="Times New Roman"/>
          <w:szCs w:val="24"/>
          <w:lang w:val="fr-CA"/>
        </w:rPr>
        <w:t>inspirer de l</w:t>
      </w:r>
      <w:r w:rsidR="008372AA" w:rsidRPr="00403220">
        <w:rPr>
          <w:rFonts w:cs="Times New Roman"/>
          <w:szCs w:val="24"/>
          <w:lang w:val="fr-CA"/>
        </w:rPr>
        <w:t>’</w:t>
      </w:r>
      <w:r w:rsidRPr="00403220">
        <w:rPr>
          <w:rFonts w:cs="Times New Roman"/>
          <w:szCs w:val="24"/>
          <w:lang w:val="fr-CA"/>
        </w:rPr>
        <w:t xml:space="preserve">observation faite par le juge </w:t>
      </w:r>
      <w:proofErr w:type="spellStart"/>
      <w:r w:rsidRPr="00403220">
        <w:rPr>
          <w:rFonts w:cs="Times New Roman"/>
          <w:szCs w:val="24"/>
          <w:lang w:val="fr-CA"/>
        </w:rPr>
        <w:t>Scalia</w:t>
      </w:r>
      <w:proofErr w:type="spellEnd"/>
      <w:r w:rsidRPr="00403220">
        <w:rPr>
          <w:rFonts w:cs="Times New Roman"/>
          <w:szCs w:val="24"/>
          <w:lang w:val="fr-CA"/>
        </w:rPr>
        <w:t xml:space="preserve"> dans </w:t>
      </w:r>
      <w:r w:rsidRPr="00403220">
        <w:rPr>
          <w:rFonts w:cs="Times New Roman"/>
          <w:i/>
          <w:szCs w:val="24"/>
          <w:lang w:val="fr-CA"/>
        </w:rPr>
        <w:t>Gaubert</w:t>
      </w:r>
      <w:r w:rsidRPr="00403220">
        <w:rPr>
          <w:rFonts w:cs="Times New Roman"/>
          <w:szCs w:val="24"/>
          <w:lang w:val="fr-CA"/>
        </w:rPr>
        <w:t xml:space="preserve"> selon laquelle les employés au niveau opérationnel ne participent habituellement </w:t>
      </w:r>
      <w:r w:rsidR="00B33A15" w:rsidRPr="00403220">
        <w:rPr>
          <w:rFonts w:cs="Times New Roman"/>
          <w:szCs w:val="24"/>
          <w:lang w:val="fr-CA"/>
        </w:rPr>
        <w:t xml:space="preserve">pas </w:t>
      </w:r>
      <w:r w:rsidRPr="00403220">
        <w:rPr>
          <w:rFonts w:cs="Times New Roman"/>
          <w:szCs w:val="24"/>
          <w:lang w:val="fr-CA"/>
        </w:rPr>
        <w:t>à la prise de décisions de politique</w:t>
      </w:r>
      <w:r w:rsidR="00B33A15" w:rsidRPr="00403220">
        <w:rPr>
          <w:rFonts w:cs="Times New Roman"/>
          <w:szCs w:val="24"/>
          <w:lang w:val="fr-CA"/>
        </w:rPr>
        <w:t xml:space="preserve"> générale</w:t>
      </w:r>
      <w:r w:rsidRPr="00403220">
        <w:rPr>
          <w:rFonts w:cs="Times New Roman"/>
          <w:szCs w:val="24"/>
          <w:lang w:val="fr-CA"/>
        </w:rPr>
        <w:t>.</w:t>
      </w:r>
    </w:p>
    <w:p w:rsidR="0047179D" w:rsidRPr="00403220" w:rsidRDefault="0047179D" w:rsidP="009168E8">
      <w:pPr>
        <w:pStyle w:val="ParaNoNdepar-AltN"/>
        <w:rPr>
          <w:rFonts w:cs="Times New Roman"/>
          <w:szCs w:val="24"/>
          <w:lang w:val="fr-CA"/>
        </w:rPr>
      </w:pPr>
      <w:r w:rsidRPr="00403220">
        <w:rPr>
          <w:rFonts w:cs="Times New Roman"/>
          <w:szCs w:val="24"/>
          <w:lang w:val="fr-CA"/>
        </w:rPr>
        <w:t>Je</w:t>
      </w:r>
      <w:r w:rsidR="00EB7DB6" w:rsidRPr="00403220">
        <w:rPr>
          <w:rFonts w:cs="Times New Roman"/>
          <w:szCs w:val="24"/>
          <w:lang w:val="fr-CA"/>
        </w:rPr>
        <w:t xml:space="preserve"> conclus que les décisions de « politique </w:t>
      </w:r>
      <w:r w:rsidR="00B33A15" w:rsidRPr="00403220">
        <w:rPr>
          <w:rFonts w:cs="Times New Roman"/>
          <w:szCs w:val="24"/>
          <w:lang w:val="fr-CA"/>
        </w:rPr>
        <w:t xml:space="preserve">générale </w:t>
      </w:r>
      <w:r w:rsidR="00EB7DB6" w:rsidRPr="00403220">
        <w:rPr>
          <w:rFonts w:cs="Times New Roman"/>
          <w:szCs w:val="24"/>
          <w:lang w:val="fr-CA"/>
        </w:rPr>
        <w:t>fondamentale </w:t>
      </w:r>
      <w:r w:rsidRPr="00403220">
        <w:rPr>
          <w:rFonts w:cs="Times New Roman"/>
          <w:szCs w:val="24"/>
          <w:lang w:val="fr-CA"/>
        </w:rPr>
        <w:t xml:space="preserve">» du gouvernement </w:t>
      </w:r>
      <w:r w:rsidR="001E4BA1" w:rsidRPr="00403220">
        <w:rPr>
          <w:rFonts w:cs="Times New Roman"/>
          <w:szCs w:val="24"/>
          <w:lang w:val="fr-CA"/>
        </w:rPr>
        <w:t xml:space="preserve">à l’égard desquelles ce dernier est soustrait aux </w:t>
      </w:r>
      <w:r w:rsidRPr="00403220">
        <w:rPr>
          <w:rFonts w:cs="Times New Roman"/>
          <w:szCs w:val="24"/>
          <w:lang w:val="fr-CA"/>
        </w:rPr>
        <w:t>poursuites se rapportent à une ligne de conduite et reposent sur des considérations d</w:t>
      </w:r>
      <w:r w:rsidR="008372AA" w:rsidRPr="00403220">
        <w:rPr>
          <w:rFonts w:cs="Times New Roman"/>
          <w:szCs w:val="24"/>
          <w:lang w:val="fr-CA"/>
        </w:rPr>
        <w:t>’</w:t>
      </w:r>
      <w:r w:rsidRPr="00403220">
        <w:rPr>
          <w:rFonts w:cs="Times New Roman"/>
          <w:szCs w:val="24"/>
          <w:lang w:val="fr-CA"/>
        </w:rPr>
        <w:t>intérêt public, tels des facteurs économiques, sociaux ou politiques, pourvu qu</w:t>
      </w:r>
      <w:r w:rsidR="008372AA" w:rsidRPr="00403220">
        <w:rPr>
          <w:rFonts w:cs="Times New Roman"/>
          <w:szCs w:val="24"/>
          <w:lang w:val="fr-CA"/>
        </w:rPr>
        <w:t>’</w:t>
      </w:r>
      <w:r w:rsidRPr="00403220">
        <w:rPr>
          <w:rFonts w:cs="Times New Roman"/>
          <w:szCs w:val="24"/>
          <w:lang w:val="fr-CA"/>
        </w:rPr>
        <w:t xml:space="preserve">elles ne soient ni irrationnelles ni prises de mauvaise foi.  </w:t>
      </w:r>
      <w:r w:rsidR="001E4BA1" w:rsidRPr="00403220">
        <w:rPr>
          <w:rFonts w:cs="Times New Roman"/>
          <w:szCs w:val="24"/>
          <w:lang w:val="fr-CA"/>
        </w:rPr>
        <w:t xml:space="preserve">Cette approche </w:t>
      </w:r>
      <w:r w:rsidRPr="00403220">
        <w:rPr>
          <w:rFonts w:cs="Times New Roman"/>
          <w:szCs w:val="24"/>
          <w:lang w:val="fr-CA"/>
        </w:rPr>
        <w:t xml:space="preserve">concorde avec le message </w:t>
      </w:r>
      <w:r w:rsidRPr="00403220">
        <w:rPr>
          <w:rFonts w:cs="Times New Roman"/>
          <w:szCs w:val="24"/>
          <w:lang w:val="fr-CA"/>
        </w:rPr>
        <w:lastRenderedPageBreak/>
        <w:t>essentiel de la jurisprudence canadienne à cet égard, bien qu</w:t>
      </w:r>
      <w:r w:rsidR="008372AA" w:rsidRPr="00403220">
        <w:rPr>
          <w:rFonts w:cs="Times New Roman"/>
          <w:szCs w:val="24"/>
          <w:lang w:val="fr-CA"/>
        </w:rPr>
        <w:t>’</w:t>
      </w:r>
      <w:r w:rsidR="001E4BA1" w:rsidRPr="00403220">
        <w:rPr>
          <w:rFonts w:cs="Times New Roman"/>
          <w:szCs w:val="24"/>
          <w:lang w:val="fr-CA"/>
        </w:rPr>
        <w:t xml:space="preserve">elle fasse ressortir </w:t>
      </w:r>
      <w:r w:rsidRPr="00403220">
        <w:rPr>
          <w:rFonts w:cs="Times New Roman"/>
          <w:szCs w:val="24"/>
          <w:lang w:val="fr-CA"/>
        </w:rPr>
        <w:t xml:space="preserve">des </w:t>
      </w:r>
      <w:r w:rsidR="001E4BA1" w:rsidRPr="00403220">
        <w:rPr>
          <w:rFonts w:cs="Times New Roman"/>
          <w:szCs w:val="24"/>
          <w:lang w:val="fr-CA"/>
        </w:rPr>
        <w:t xml:space="preserve">caractéristiques positives </w:t>
      </w:r>
      <w:r w:rsidRPr="00403220">
        <w:rPr>
          <w:rFonts w:cs="Times New Roman"/>
          <w:szCs w:val="24"/>
          <w:lang w:val="fr-CA"/>
        </w:rPr>
        <w:t>des décisions de politique</w:t>
      </w:r>
      <w:r w:rsidR="00B33A15" w:rsidRPr="00403220">
        <w:rPr>
          <w:rFonts w:cs="Times New Roman"/>
          <w:szCs w:val="24"/>
          <w:lang w:val="fr-CA"/>
        </w:rPr>
        <w:t xml:space="preserve"> générale</w:t>
      </w:r>
      <w:r w:rsidRPr="00403220">
        <w:rPr>
          <w:rFonts w:cs="Times New Roman"/>
          <w:szCs w:val="24"/>
          <w:lang w:val="fr-CA"/>
        </w:rPr>
        <w:t xml:space="preserve">, au lieu de se fonder exclusivement sur </w:t>
      </w:r>
      <w:r w:rsidR="00B33A15" w:rsidRPr="00403220">
        <w:rPr>
          <w:rFonts w:cs="Times New Roman"/>
          <w:szCs w:val="24"/>
          <w:lang w:val="fr-CA"/>
        </w:rPr>
        <w:t>le fait qu’elles ne sont pas de</w:t>
      </w:r>
      <w:r w:rsidR="00EB7DB6" w:rsidRPr="00403220">
        <w:rPr>
          <w:rFonts w:cs="Times New Roman"/>
          <w:szCs w:val="24"/>
          <w:lang w:val="fr-CA"/>
        </w:rPr>
        <w:t xml:space="preserve"> « n</w:t>
      </w:r>
      <w:r w:rsidR="00B33A15" w:rsidRPr="00403220">
        <w:rPr>
          <w:rFonts w:cs="Times New Roman"/>
          <w:szCs w:val="24"/>
          <w:lang w:val="fr-CA"/>
        </w:rPr>
        <w:t>ature</w:t>
      </w:r>
      <w:r w:rsidR="00EB7DB6" w:rsidRPr="00403220">
        <w:rPr>
          <w:rFonts w:cs="Times New Roman"/>
          <w:szCs w:val="24"/>
          <w:lang w:val="fr-CA"/>
        </w:rPr>
        <w:t xml:space="preserve"> opérationnel</w:t>
      </w:r>
      <w:r w:rsidR="00B33A15" w:rsidRPr="00403220">
        <w:rPr>
          <w:rFonts w:cs="Times New Roman"/>
          <w:szCs w:val="24"/>
          <w:lang w:val="fr-CA"/>
        </w:rPr>
        <w:t>le</w:t>
      </w:r>
      <w:r w:rsidR="00EB7DB6" w:rsidRPr="00403220">
        <w:rPr>
          <w:rFonts w:cs="Times New Roman"/>
          <w:szCs w:val="24"/>
          <w:lang w:val="fr-CA"/>
        </w:rPr>
        <w:t> </w:t>
      </w:r>
      <w:r w:rsidRPr="00403220">
        <w:rPr>
          <w:rFonts w:cs="Times New Roman"/>
          <w:szCs w:val="24"/>
          <w:lang w:val="fr-CA"/>
        </w:rPr>
        <w:t xml:space="preserve">».  </w:t>
      </w:r>
      <w:r w:rsidR="00A4754D" w:rsidRPr="00403220">
        <w:rPr>
          <w:rFonts w:cs="Times New Roman"/>
          <w:szCs w:val="24"/>
          <w:lang w:val="fr-CA"/>
        </w:rPr>
        <w:t>Elle</w:t>
      </w:r>
      <w:r w:rsidR="001E4BA1" w:rsidRPr="00403220">
        <w:rPr>
          <w:rFonts w:cs="Times New Roman"/>
          <w:szCs w:val="24"/>
          <w:lang w:val="fr-CA"/>
        </w:rPr>
        <w:t xml:space="preserve"> </w:t>
      </w:r>
      <w:r w:rsidRPr="00403220">
        <w:rPr>
          <w:rFonts w:cs="Times New Roman"/>
          <w:szCs w:val="24"/>
          <w:lang w:val="fr-CA"/>
        </w:rPr>
        <w:t>est aussi étayé</w:t>
      </w:r>
      <w:r w:rsidR="001E4BA1" w:rsidRPr="00403220">
        <w:rPr>
          <w:rFonts w:cs="Times New Roman"/>
          <w:szCs w:val="24"/>
          <w:lang w:val="fr-CA"/>
        </w:rPr>
        <w:t>e</w:t>
      </w:r>
      <w:r w:rsidRPr="00403220">
        <w:rPr>
          <w:rFonts w:cs="Times New Roman"/>
          <w:szCs w:val="24"/>
          <w:lang w:val="fr-CA"/>
        </w:rPr>
        <w:t xml:space="preserve"> par les réflexions faites dans la nouvelle jurisprudence canadienne et étrangère.  Cela dit, </w:t>
      </w:r>
      <w:r w:rsidR="001E4BA1" w:rsidRPr="00403220">
        <w:rPr>
          <w:rFonts w:cs="Times New Roman"/>
          <w:szCs w:val="24"/>
          <w:lang w:val="fr-CA"/>
        </w:rPr>
        <w:t xml:space="preserve">elle </w:t>
      </w:r>
      <w:r w:rsidRPr="00403220">
        <w:rPr>
          <w:rFonts w:cs="Times New Roman"/>
          <w:szCs w:val="24"/>
          <w:lang w:val="fr-CA"/>
        </w:rPr>
        <w:t>n</w:t>
      </w:r>
      <w:r w:rsidR="008372AA" w:rsidRPr="00403220">
        <w:rPr>
          <w:rFonts w:cs="Times New Roman"/>
          <w:szCs w:val="24"/>
          <w:lang w:val="fr-CA"/>
        </w:rPr>
        <w:t>’</w:t>
      </w:r>
      <w:r w:rsidRPr="00403220">
        <w:rPr>
          <w:rFonts w:cs="Times New Roman"/>
          <w:szCs w:val="24"/>
          <w:lang w:val="fr-CA"/>
        </w:rPr>
        <w:t>est pas censé</w:t>
      </w:r>
      <w:r w:rsidR="001E4BA1" w:rsidRPr="00403220">
        <w:rPr>
          <w:rFonts w:cs="Times New Roman"/>
          <w:szCs w:val="24"/>
          <w:lang w:val="fr-CA"/>
        </w:rPr>
        <w:t>e</w:t>
      </w:r>
      <w:r w:rsidRPr="00403220">
        <w:rPr>
          <w:rFonts w:cs="Times New Roman"/>
          <w:szCs w:val="24"/>
          <w:lang w:val="fr-CA"/>
        </w:rPr>
        <w:t xml:space="preserve"> constituer un critère décisif.  On peut s</w:t>
      </w:r>
      <w:r w:rsidR="008372AA" w:rsidRPr="00403220">
        <w:rPr>
          <w:rFonts w:cs="Times New Roman"/>
          <w:szCs w:val="24"/>
          <w:lang w:val="fr-CA"/>
        </w:rPr>
        <w:t>’</w:t>
      </w:r>
      <w:r w:rsidRPr="00403220">
        <w:rPr>
          <w:rFonts w:cs="Times New Roman"/>
          <w:szCs w:val="24"/>
          <w:lang w:val="fr-CA"/>
        </w:rPr>
        <w:t>attendre à ce que surviennent de temps à autre des situations délicates où il n</w:t>
      </w:r>
      <w:r w:rsidR="008372AA" w:rsidRPr="00403220">
        <w:rPr>
          <w:rFonts w:cs="Times New Roman"/>
          <w:szCs w:val="24"/>
          <w:lang w:val="fr-CA"/>
        </w:rPr>
        <w:t>’</w:t>
      </w:r>
      <w:r w:rsidRPr="00403220">
        <w:rPr>
          <w:rFonts w:cs="Times New Roman"/>
          <w:szCs w:val="24"/>
          <w:lang w:val="fr-CA"/>
        </w:rPr>
        <w:t xml:space="preserve">est pas facile de décider si le degré </w:t>
      </w:r>
      <w:r w:rsidR="00EB7DB6" w:rsidRPr="00403220">
        <w:rPr>
          <w:rFonts w:cs="Times New Roman"/>
          <w:szCs w:val="24"/>
          <w:lang w:val="fr-CA"/>
        </w:rPr>
        <w:t>de « politique</w:t>
      </w:r>
      <w:r w:rsidR="00393FEB" w:rsidRPr="00403220">
        <w:rPr>
          <w:rFonts w:cs="Times New Roman"/>
          <w:szCs w:val="24"/>
          <w:lang w:val="fr-CA"/>
        </w:rPr>
        <w:t xml:space="preserve"> générale</w:t>
      </w:r>
      <w:r w:rsidR="00EB7DB6" w:rsidRPr="00403220">
        <w:rPr>
          <w:rFonts w:cs="Times New Roman"/>
          <w:szCs w:val="24"/>
          <w:lang w:val="fr-CA"/>
        </w:rPr>
        <w:t> </w:t>
      </w:r>
      <w:r w:rsidRPr="00403220">
        <w:rPr>
          <w:rFonts w:cs="Times New Roman"/>
          <w:szCs w:val="24"/>
          <w:lang w:val="fr-CA"/>
        </w:rPr>
        <w:t>» en cause suffit à mettre une décision à l</w:t>
      </w:r>
      <w:r w:rsidR="008372AA" w:rsidRPr="00403220">
        <w:rPr>
          <w:rFonts w:cs="Times New Roman"/>
          <w:szCs w:val="24"/>
          <w:lang w:val="fr-CA"/>
        </w:rPr>
        <w:t>’</w:t>
      </w:r>
      <w:r w:rsidRPr="00403220">
        <w:rPr>
          <w:rFonts w:cs="Times New Roman"/>
          <w:szCs w:val="24"/>
          <w:lang w:val="fr-CA"/>
        </w:rPr>
        <w:t xml:space="preserve">abri de toute responsabilité pour négligence.  </w:t>
      </w:r>
      <w:r w:rsidR="001E4BA1" w:rsidRPr="00403220">
        <w:rPr>
          <w:rFonts w:cs="Times New Roman"/>
          <w:szCs w:val="24"/>
          <w:lang w:val="fr-CA"/>
        </w:rPr>
        <w:t xml:space="preserve">Il serait illusoire </w:t>
      </w:r>
      <w:r w:rsidR="00393FEB" w:rsidRPr="00403220">
        <w:rPr>
          <w:rFonts w:cs="Times New Roman"/>
          <w:szCs w:val="24"/>
          <w:lang w:val="fr-CA"/>
        </w:rPr>
        <w:t>de vouloir établir</w:t>
      </w:r>
      <w:r w:rsidR="001E4BA1" w:rsidRPr="00403220">
        <w:rPr>
          <w:rFonts w:cs="Times New Roman"/>
          <w:szCs w:val="24"/>
          <w:lang w:val="fr-CA"/>
        </w:rPr>
        <w:t xml:space="preserve"> u</w:t>
      </w:r>
      <w:r w:rsidRPr="00403220">
        <w:rPr>
          <w:rFonts w:cs="Times New Roman"/>
          <w:szCs w:val="24"/>
          <w:lang w:val="fr-CA"/>
        </w:rPr>
        <w:t xml:space="preserve">n critère </w:t>
      </w:r>
      <w:r w:rsidR="00FE07BC" w:rsidRPr="00403220">
        <w:rPr>
          <w:rFonts w:cs="Times New Roman"/>
          <w:szCs w:val="24"/>
          <w:lang w:val="fr-CA"/>
        </w:rPr>
        <w:t>absolu</w:t>
      </w:r>
      <w:r w:rsidRPr="00403220">
        <w:rPr>
          <w:rFonts w:cs="Times New Roman"/>
          <w:szCs w:val="24"/>
          <w:lang w:val="fr-CA"/>
        </w:rPr>
        <w:t xml:space="preserve"> qui </w:t>
      </w:r>
      <w:r w:rsidR="00FE07BC" w:rsidRPr="00403220">
        <w:rPr>
          <w:rFonts w:cs="Times New Roman"/>
          <w:szCs w:val="24"/>
          <w:lang w:val="fr-CA"/>
        </w:rPr>
        <w:t xml:space="preserve">donnerait </w:t>
      </w:r>
      <w:r w:rsidRPr="00403220">
        <w:rPr>
          <w:rFonts w:cs="Times New Roman"/>
          <w:szCs w:val="24"/>
          <w:lang w:val="fr-CA"/>
        </w:rPr>
        <w:t>rapidement et in</w:t>
      </w:r>
      <w:r w:rsidR="00FE07BC" w:rsidRPr="00403220">
        <w:rPr>
          <w:rFonts w:cs="Times New Roman"/>
          <w:szCs w:val="24"/>
          <w:lang w:val="fr-CA"/>
        </w:rPr>
        <w:t>failli</w:t>
      </w:r>
      <w:r w:rsidRPr="00403220">
        <w:rPr>
          <w:rFonts w:cs="Times New Roman"/>
          <w:szCs w:val="24"/>
          <w:lang w:val="fr-CA"/>
        </w:rPr>
        <w:t xml:space="preserve">blement </w:t>
      </w:r>
      <w:r w:rsidR="00FE07BC" w:rsidRPr="00403220">
        <w:rPr>
          <w:rFonts w:cs="Times New Roman"/>
          <w:szCs w:val="24"/>
          <w:lang w:val="fr-CA"/>
        </w:rPr>
        <w:t>une réponse à l’égard de toute décision parmi la gamme infinie de celles</w:t>
      </w:r>
      <w:r w:rsidRPr="00403220">
        <w:rPr>
          <w:rFonts w:cs="Times New Roman"/>
          <w:szCs w:val="24"/>
          <w:lang w:val="fr-CA"/>
        </w:rPr>
        <w:t xml:space="preserve"> que peuvent prendre les acteurs gouvernementaux.  </w:t>
      </w:r>
      <w:r w:rsidR="001E4BA1" w:rsidRPr="00403220">
        <w:rPr>
          <w:rFonts w:cs="Times New Roman"/>
          <w:szCs w:val="24"/>
          <w:lang w:val="fr-CA"/>
        </w:rPr>
        <w:t xml:space="preserve">On pourra </w:t>
      </w:r>
      <w:r w:rsidRPr="00403220">
        <w:rPr>
          <w:rFonts w:cs="Times New Roman"/>
          <w:szCs w:val="24"/>
          <w:lang w:val="fr-CA"/>
        </w:rPr>
        <w:t>néanmoins facile</w:t>
      </w:r>
      <w:r w:rsidR="001E4BA1" w:rsidRPr="00403220">
        <w:rPr>
          <w:rFonts w:cs="Times New Roman"/>
          <w:szCs w:val="24"/>
          <w:lang w:val="fr-CA"/>
        </w:rPr>
        <w:t>ment</w:t>
      </w:r>
      <w:r w:rsidRPr="00403220">
        <w:rPr>
          <w:rFonts w:cs="Times New Roman"/>
          <w:szCs w:val="24"/>
          <w:lang w:val="fr-CA"/>
        </w:rPr>
        <w:t xml:space="preserve"> cerner la plupart des décisions gouvernement</w:t>
      </w:r>
      <w:r w:rsidR="001E4BA1" w:rsidRPr="00403220">
        <w:rPr>
          <w:rFonts w:cs="Times New Roman"/>
          <w:szCs w:val="24"/>
          <w:lang w:val="fr-CA"/>
        </w:rPr>
        <w:t>ales</w:t>
      </w:r>
      <w:r w:rsidRPr="00403220">
        <w:rPr>
          <w:rFonts w:cs="Times New Roman"/>
          <w:szCs w:val="24"/>
          <w:lang w:val="fr-CA"/>
        </w:rPr>
        <w:t xml:space="preserve"> qui représentent une ligne de conduite fondée sur une mise en balance de considérations économiques, sociales </w:t>
      </w:r>
      <w:r w:rsidR="00A4754D" w:rsidRPr="00403220">
        <w:rPr>
          <w:rFonts w:cs="Times New Roman"/>
          <w:szCs w:val="24"/>
          <w:lang w:val="fr-CA"/>
        </w:rPr>
        <w:t>et</w:t>
      </w:r>
      <w:r w:rsidRPr="00403220">
        <w:rPr>
          <w:rFonts w:cs="Times New Roman"/>
          <w:szCs w:val="24"/>
          <w:lang w:val="fr-CA"/>
        </w:rPr>
        <w:t xml:space="preserve"> politiques. </w:t>
      </w:r>
    </w:p>
    <w:p w:rsidR="0047179D" w:rsidRPr="00403220" w:rsidRDefault="0047179D" w:rsidP="009168E8">
      <w:pPr>
        <w:pStyle w:val="ParaNoNdepar-AltN"/>
        <w:rPr>
          <w:rFonts w:cs="Times New Roman"/>
          <w:szCs w:val="24"/>
          <w:lang w:val="fr-CA"/>
        </w:rPr>
      </w:pP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application de l</w:t>
      </w:r>
      <w:r w:rsidR="008372AA" w:rsidRPr="00403220">
        <w:rPr>
          <w:rFonts w:cs="Times New Roman"/>
          <w:szCs w:val="24"/>
          <w:lang w:val="fr-CA"/>
        </w:rPr>
        <w:t>’</w:t>
      </w:r>
      <w:r w:rsidRPr="00403220">
        <w:rPr>
          <w:rFonts w:cs="Times New Roman"/>
          <w:szCs w:val="24"/>
          <w:lang w:val="fr-CA"/>
        </w:rPr>
        <w:t xml:space="preserve">approche exposée </w:t>
      </w:r>
      <w:proofErr w:type="spellStart"/>
      <w:r w:rsidRPr="00403220">
        <w:rPr>
          <w:rFonts w:cs="Times New Roman"/>
          <w:szCs w:val="24"/>
          <w:lang w:val="fr-CA"/>
        </w:rPr>
        <w:t>ci</w:t>
      </w:r>
      <w:r w:rsidR="00A54DAC" w:rsidRPr="00403220">
        <w:rPr>
          <w:rFonts w:cs="Times New Roman"/>
          <w:szCs w:val="24"/>
          <w:lang w:val="fr-CA"/>
        </w:rPr>
        <w:noBreakHyphen/>
      </w:r>
      <w:r w:rsidRPr="00403220">
        <w:rPr>
          <w:rFonts w:cs="Times New Roman"/>
          <w:szCs w:val="24"/>
          <w:lang w:val="fr-CA"/>
        </w:rPr>
        <w:t>dessus</w:t>
      </w:r>
      <w:proofErr w:type="spellEnd"/>
      <w:r w:rsidRPr="00403220">
        <w:rPr>
          <w:rFonts w:cs="Times New Roman"/>
          <w:szCs w:val="24"/>
          <w:lang w:val="fr-CA"/>
        </w:rPr>
        <w:t xml:space="preserve"> aux requêtes en radiation </w:t>
      </w:r>
      <w:r w:rsidR="001E4BA1" w:rsidRPr="00403220">
        <w:rPr>
          <w:rFonts w:cs="Times New Roman"/>
          <w:szCs w:val="24"/>
          <w:lang w:val="fr-CA"/>
        </w:rPr>
        <w:t xml:space="preserve">nous permet de </w:t>
      </w:r>
      <w:r w:rsidRPr="00403220">
        <w:rPr>
          <w:rFonts w:cs="Times New Roman"/>
          <w:szCs w:val="24"/>
          <w:lang w:val="fr-CA"/>
        </w:rPr>
        <w:t xml:space="preserve">conclure que, dans les cas où il est </w:t>
      </w:r>
      <w:r w:rsidR="00FE07BC" w:rsidRPr="00403220">
        <w:rPr>
          <w:rFonts w:cs="Times New Roman"/>
          <w:szCs w:val="24"/>
          <w:lang w:val="fr-CA"/>
        </w:rPr>
        <w:t>« </w:t>
      </w:r>
      <w:r w:rsidRPr="00403220">
        <w:rPr>
          <w:rFonts w:cs="Times New Roman"/>
          <w:szCs w:val="24"/>
          <w:lang w:val="fr-CA"/>
        </w:rPr>
        <w:t>évident et manifeste</w:t>
      </w:r>
      <w:r w:rsidR="00FE07BC" w:rsidRPr="00403220">
        <w:rPr>
          <w:rFonts w:cs="Times New Roman"/>
          <w:szCs w:val="24"/>
          <w:lang w:val="fr-CA"/>
        </w:rPr>
        <w:t> »</w:t>
      </w:r>
      <w:r w:rsidRPr="00403220">
        <w:rPr>
          <w:rFonts w:cs="Times New Roman"/>
          <w:szCs w:val="24"/>
          <w:lang w:val="fr-CA"/>
        </w:rPr>
        <w:t xml:space="preserve"> qu</w:t>
      </w:r>
      <w:r w:rsidR="008372AA" w:rsidRPr="00403220">
        <w:rPr>
          <w:rFonts w:cs="Times New Roman"/>
          <w:szCs w:val="24"/>
          <w:lang w:val="fr-CA"/>
        </w:rPr>
        <w:t>’</w:t>
      </w:r>
      <w:r w:rsidRPr="00403220">
        <w:rPr>
          <w:rFonts w:cs="Times New Roman"/>
          <w:szCs w:val="24"/>
          <w:lang w:val="fr-CA"/>
        </w:rPr>
        <w:t>une décision contestée du gouvernement constitue une décision de politique</w:t>
      </w:r>
      <w:r w:rsidR="00FE07BC" w:rsidRPr="00403220">
        <w:rPr>
          <w:rFonts w:cs="Times New Roman"/>
          <w:szCs w:val="24"/>
          <w:lang w:val="fr-CA"/>
        </w:rPr>
        <w:t xml:space="preserve"> générale</w:t>
      </w:r>
      <w:r w:rsidRPr="00403220">
        <w:rPr>
          <w:rFonts w:cs="Times New Roman"/>
          <w:szCs w:val="24"/>
          <w:lang w:val="fr-CA"/>
        </w:rPr>
        <w:t>, l</w:t>
      </w:r>
      <w:r w:rsidR="008372AA" w:rsidRPr="00403220">
        <w:rPr>
          <w:rFonts w:cs="Times New Roman"/>
          <w:szCs w:val="24"/>
          <w:lang w:val="fr-CA"/>
        </w:rPr>
        <w:t>’</w:t>
      </w:r>
      <w:r w:rsidRPr="00403220">
        <w:rPr>
          <w:rFonts w:cs="Times New Roman"/>
          <w:szCs w:val="24"/>
          <w:lang w:val="fr-CA"/>
        </w:rPr>
        <w:t>allégation peut à juste titre être radiée au motif qu</w:t>
      </w:r>
      <w:r w:rsidR="008372AA" w:rsidRPr="00403220">
        <w:rPr>
          <w:rFonts w:cs="Times New Roman"/>
          <w:szCs w:val="24"/>
          <w:lang w:val="fr-CA"/>
        </w:rPr>
        <w:t>’</w:t>
      </w:r>
      <w:r w:rsidRPr="00403220">
        <w:rPr>
          <w:rFonts w:cs="Times New Roman"/>
          <w:szCs w:val="24"/>
          <w:lang w:val="fr-CA"/>
        </w:rPr>
        <w:t xml:space="preserve">elle ne saurait fonder une action en responsabilité délictuelle. </w:t>
      </w:r>
      <w:r w:rsidR="00B32F50" w:rsidRPr="00403220">
        <w:rPr>
          <w:rFonts w:cs="Times New Roman"/>
          <w:szCs w:val="24"/>
          <w:lang w:val="fr-CA"/>
        </w:rPr>
        <w:t xml:space="preserve"> </w:t>
      </w:r>
      <w:r w:rsidRPr="00403220">
        <w:rPr>
          <w:rFonts w:cs="Times New Roman"/>
          <w:szCs w:val="24"/>
          <w:lang w:val="fr-CA"/>
        </w:rPr>
        <w:t>S</w:t>
      </w:r>
      <w:r w:rsidR="008372AA" w:rsidRPr="00403220">
        <w:rPr>
          <w:rFonts w:cs="Times New Roman"/>
          <w:szCs w:val="24"/>
          <w:lang w:val="fr-CA"/>
        </w:rPr>
        <w:t>’</w:t>
      </w:r>
      <w:r w:rsidRPr="00403220">
        <w:rPr>
          <w:rFonts w:cs="Times New Roman"/>
          <w:szCs w:val="24"/>
          <w:lang w:val="fr-CA"/>
        </w:rPr>
        <w:t>il n</w:t>
      </w:r>
      <w:r w:rsidR="00FE07BC" w:rsidRPr="00403220">
        <w:rPr>
          <w:rFonts w:cs="Times New Roman"/>
          <w:szCs w:val="24"/>
          <w:lang w:val="fr-CA"/>
        </w:rPr>
        <w:t>’est pas évident et manifeste qu’il</w:t>
      </w:r>
      <w:r w:rsidRPr="00403220">
        <w:rPr>
          <w:rFonts w:cs="Times New Roman"/>
          <w:szCs w:val="24"/>
          <w:lang w:val="fr-CA"/>
        </w:rPr>
        <w:t xml:space="preserve"> s</w:t>
      </w:r>
      <w:r w:rsidR="008372AA" w:rsidRPr="00403220">
        <w:rPr>
          <w:rFonts w:cs="Times New Roman"/>
          <w:szCs w:val="24"/>
          <w:lang w:val="fr-CA"/>
        </w:rPr>
        <w:t>’</w:t>
      </w:r>
      <w:r w:rsidRPr="00403220">
        <w:rPr>
          <w:rFonts w:cs="Times New Roman"/>
          <w:szCs w:val="24"/>
          <w:lang w:val="fr-CA"/>
        </w:rPr>
        <w:t>agit d</w:t>
      </w:r>
      <w:r w:rsidR="008372AA" w:rsidRPr="00403220">
        <w:rPr>
          <w:rFonts w:cs="Times New Roman"/>
          <w:szCs w:val="24"/>
          <w:lang w:val="fr-CA"/>
        </w:rPr>
        <w:t>’</w:t>
      </w:r>
      <w:r w:rsidRPr="00403220">
        <w:rPr>
          <w:rFonts w:cs="Times New Roman"/>
          <w:szCs w:val="24"/>
          <w:lang w:val="fr-CA"/>
        </w:rPr>
        <w:t>une décision de politique</w:t>
      </w:r>
      <w:r w:rsidR="00FE07BC" w:rsidRPr="00403220">
        <w:rPr>
          <w:rFonts w:cs="Times New Roman"/>
          <w:szCs w:val="24"/>
          <w:lang w:val="fr-CA"/>
        </w:rPr>
        <w:t xml:space="preserve"> générale</w:t>
      </w:r>
      <w:r w:rsidRPr="00403220">
        <w:rPr>
          <w:rFonts w:cs="Times New Roman"/>
          <w:szCs w:val="24"/>
          <w:lang w:val="fr-CA"/>
        </w:rPr>
        <w:t xml:space="preserve">, </w:t>
      </w:r>
      <w:r w:rsidR="001E4BA1" w:rsidRPr="00403220">
        <w:rPr>
          <w:rFonts w:cs="Times New Roman"/>
          <w:szCs w:val="24"/>
          <w:lang w:val="fr-CA"/>
        </w:rPr>
        <w:t xml:space="preserve">il faut permettre l’instruction de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 xml:space="preserve">affaire. </w:t>
      </w:r>
    </w:p>
    <w:p w:rsidR="0047179D" w:rsidRPr="00403220" w:rsidRDefault="0047179D" w:rsidP="0086265E">
      <w:pPr>
        <w:pStyle w:val="TitleTitre-AltT"/>
        <w:keepNext/>
        <w:tabs>
          <w:tab w:val="clear" w:pos="360"/>
          <w:tab w:val="left" w:pos="1800"/>
        </w:tabs>
        <w:spacing w:after="720"/>
        <w:ind w:left="1170" w:firstLine="0"/>
        <w:rPr>
          <w:rFonts w:cs="Times New Roman"/>
          <w:szCs w:val="24"/>
          <w:u w:val="single"/>
          <w:lang w:val="fr-CA"/>
        </w:rPr>
      </w:pPr>
      <w:bookmarkStart w:id="19" w:name="_Toc314735120"/>
      <w:r w:rsidRPr="00403220">
        <w:rPr>
          <w:rFonts w:cs="Times New Roman"/>
          <w:szCs w:val="24"/>
          <w:lang w:val="fr-CA"/>
        </w:rPr>
        <w:lastRenderedPageBreak/>
        <w:t>(i</w:t>
      </w:r>
      <w:r w:rsidR="008230AF" w:rsidRPr="00403220">
        <w:rPr>
          <w:rFonts w:cs="Times New Roman"/>
          <w:szCs w:val="24"/>
          <w:lang w:val="fr-CA"/>
        </w:rPr>
        <w:t>v</w:t>
      </w:r>
      <w:r w:rsidRPr="00403220">
        <w:rPr>
          <w:rFonts w:cs="Times New Roman"/>
          <w:szCs w:val="24"/>
          <w:lang w:val="fr-CA"/>
        </w:rPr>
        <w:t>)</w:t>
      </w:r>
      <w:r w:rsidRPr="00403220">
        <w:rPr>
          <w:rFonts w:cs="Times New Roman"/>
          <w:szCs w:val="24"/>
          <w:lang w:val="fr-CA"/>
        </w:rPr>
        <w:tab/>
      </w:r>
      <w:r w:rsidRPr="00403220">
        <w:rPr>
          <w:rFonts w:cs="Times New Roman"/>
          <w:szCs w:val="24"/>
          <w:u w:val="single"/>
          <w:lang w:val="fr-CA"/>
        </w:rPr>
        <w:t>Conclusion sur l</w:t>
      </w:r>
      <w:r w:rsidR="008372AA" w:rsidRPr="00403220">
        <w:rPr>
          <w:rFonts w:cs="Times New Roman"/>
          <w:szCs w:val="24"/>
          <w:u w:val="single"/>
          <w:lang w:val="fr-CA"/>
        </w:rPr>
        <w:t>’</w:t>
      </w:r>
      <w:r w:rsidRPr="00403220">
        <w:rPr>
          <w:rFonts w:cs="Times New Roman"/>
          <w:szCs w:val="24"/>
          <w:u w:val="single"/>
          <w:lang w:val="fr-CA"/>
        </w:rPr>
        <w:t>argument relatif à la politique</w:t>
      </w:r>
      <w:r w:rsidR="00FE07BC" w:rsidRPr="00403220">
        <w:rPr>
          <w:rFonts w:cs="Times New Roman"/>
          <w:szCs w:val="24"/>
          <w:u w:val="single"/>
          <w:lang w:val="fr-CA"/>
        </w:rPr>
        <w:t xml:space="preserve"> générale</w:t>
      </w:r>
      <w:bookmarkEnd w:id="19"/>
    </w:p>
    <w:p w:rsidR="0047179D" w:rsidRPr="00403220" w:rsidRDefault="0047179D" w:rsidP="009168E8">
      <w:pPr>
        <w:pStyle w:val="ParaNoNdepar-AltN"/>
        <w:rPr>
          <w:rFonts w:cs="Times New Roman"/>
          <w:szCs w:val="24"/>
          <w:lang w:val="fr-CA"/>
        </w:rPr>
      </w:pPr>
      <w:r w:rsidRPr="00403220">
        <w:rPr>
          <w:rFonts w:cs="Times New Roman"/>
          <w:szCs w:val="24"/>
          <w:lang w:val="fr-CA"/>
        </w:rPr>
        <w:t>Comme je l</w:t>
      </w:r>
      <w:r w:rsidR="008372AA" w:rsidRPr="00403220">
        <w:rPr>
          <w:rFonts w:cs="Times New Roman"/>
          <w:szCs w:val="24"/>
          <w:lang w:val="fr-CA"/>
        </w:rPr>
        <w:t>’</w:t>
      </w:r>
      <w:r w:rsidRPr="00403220">
        <w:rPr>
          <w:rFonts w:cs="Times New Roman"/>
          <w:szCs w:val="24"/>
          <w:lang w:val="fr-CA"/>
        </w:rPr>
        <w:t>ai indiqué, il s</w:t>
      </w:r>
      <w:r w:rsidR="008372AA" w:rsidRPr="00403220">
        <w:rPr>
          <w:rFonts w:cs="Times New Roman"/>
          <w:szCs w:val="24"/>
          <w:lang w:val="fr-CA"/>
        </w:rPr>
        <w:t>’</w:t>
      </w:r>
      <w:r w:rsidRPr="00403220">
        <w:rPr>
          <w:rFonts w:cs="Times New Roman"/>
          <w:szCs w:val="24"/>
          <w:lang w:val="fr-CA"/>
        </w:rPr>
        <w:t>agit de savoir si les déclarations qu</w:t>
      </w:r>
      <w:r w:rsidR="008372AA" w:rsidRPr="00403220">
        <w:rPr>
          <w:rFonts w:cs="Times New Roman"/>
          <w:szCs w:val="24"/>
          <w:lang w:val="fr-CA"/>
        </w:rPr>
        <w:t>’</w:t>
      </w:r>
      <w:r w:rsidRPr="00403220">
        <w:rPr>
          <w:rFonts w:cs="Times New Roman"/>
          <w:szCs w:val="24"/>
          <w:lang w:val="fr-CA"/>
        </w:rPr>
        <w:t xml:space="preserve">aurait faites le Canada aux compagnies de tabac, selon lesquelles les cigarettes à faible teneur en goudron sont moins nuisibles pour la santé, </w:t>
      </w:r>
      <w:r w:rsidR="00FE07BC" w:rsidRPr="00403220">
        <w:rPr>
          <w:rFonts w:cs="Times New Roman"/>
          <w:szCs w:val="24"/>
          <w:lang w:val="fr-CA"/>
        </w:rPr>
        <w:t>sont des questions de</w:t>
      </w:r>
      <w:r w:rsidRPr="00403220">
        <w:rPr>
          <w:rFonts w:cs="Times New Roman"/>
          <w:szCs w:val="24"/>
          <w:lang w:val="fr-CA"/>
        </w:rPr>
        <w:t xml:space="preserve"> politique</w:t>
      </w:r>
      <w:r w:rsidR="00FE07BC" w:rsidRPr="00403220">
        <w:rPr>
          <w:rFonts w:cs="Times New Roman"/>
          <w:szCs w:val="24"/>
          <w:lang w:val="fr-CA"/>
        </w:rPr>
        <w:t xml:space="preserve"> générale</w:t>
      </w:r>
      <w:r w:rsidRPr="00403220">
        <w:rPr>
          <w:rFonts w:cs="Times New Roman"/>
          <w:szCs w:val="24"/>
          <w:lang w:val="fr-CA"/>
        </w:rPr>
        <w:t>, en ce sens qu</w:t>
      </w:r>
      <w:r w:rsidR="008372AA" w:rsidRPr="00403220">
        <w:rPr>
          <w:rFonts w:cs="Times New Roman"/>
          <w:szCs w:val="24"/>
          <w:lang w:val="fr-CA"/>
        </w:rPr>
        <w:t>’</w:t>
      </w:r>
      <w:r w:rsidRPr="00403220">
        <w:rPr>
          <w:rFonts w:cs="Times New Roman"/>
          <w:szCs w:val="24"/>
          <w:lang w:val="fr-CA"/>
        </w:rPr>
        <w:t>elles constituent une ligne de conduite du gouvernement.  Dans l</w:t>
      </w:r>
      <w:r w:rsidR="008372AA" w:rsidRPr="00403220">
        <w:rPr>
          <w:rFonts w:cs="Times New Roman"/>
          <w:szCs w:val="24"/>
          <w:lang w:val="fr-CA"/>
        </w:rPr>
        <w:t>’</w:t>
      </w:r>
      <w:r w:rsidR="00FE07BC" w:rsidRPr="00403220">
        <w:rPr>
          <w:rFonts w:cs="Times New Roman"/>
          <w:szCs w:val="24"/>
          <w:lang w:val="fr-CA"/>
        </w:rPr>
        <w:t>affirmative, c</w:t>
      </w:r>
      <w:r w:rsidRPr="00403220">
        <w:rPr>
          <w:rFonts w:cs="Times New Roman"/>
          <w:szCs w:val="24"/>
          <w:lang w:val="fr-CA"/>
        </w:rPr>
        <w:t xml:space="preserve">es déclarations ne peuvent fonder une action en responsabilité délictuelle.  </w:t>
      </w:r>
    </w:p>
    <w:p w:rsidR="0047179D" w:rsidRPr="00403220" w:rsidRDefault="0047179D" w:rsidP="009168E8">
      <w:pPr>
        <w:pStyle w:val="ParaNoNdepar-AltN"/>
        <w:rPr>
          <w:rFonts w:cs="Times New Roman"/>
          <w:szCs w:val="24"/>
          <w:lang w:val="fr-CA"/>
        </w:rPr>
      </w:pPr>
      <w:r w:rsidRPr="00403220">
        <w:rPr>
          <w:rFonts w:cs="Times New Roman"/>
          <w:szCs w:val="24"/>
          <w:lang w:val="fr-CA"/>
        </w:rPr>
        <w:t xml:space="preserve">On soutient dans les avis de mise en cause que le Canada a mis en garde la population (et les compagnies de tabac) contre les dangers </w:t>
      </w:r>
      <w:r w:rsidR="002A076B" w:rsidRPr="00403220">
        <w:rPr>
          <w:rFonts w:cs="Times New Roman"/>
          <w:szCs w:val="24"/>
          <w:lang w:val="fr-CA"/>
        </w:rPr>
        <w:t xml:space="preserve">de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 xml:space="preserve">usage du tabac et </w:t>
      </w:r>
      <w:r w:rsidR="002A076B" w:rsidRPr="00403220">
        <w:rPr>
          <w:rFonts w:cs="Times New Roman"/>
          <w:szCs w:val="24"/>
          <w:lang w:val="fr-CA"/>
        </w:rPr>
        <w:t xml:space="preserve">a </w:t>
      </w:r>
      <w:r w:rsidRPr="00403220">
        <w:rPr>
          <w:rFonts w:cs="Times New Roman"/>
          <w:szCs w:val="24"/>
          <w:lang w:val="fr-CA"/>
        </w:rPr>
        <w:t xml:space="preserve">affirmé que les cigarettes à faible teneur en goudron sont moins </w:t>
      </w:r>
      <w:r w:rsidR="002A076B" w:rsidRPr="00403220">
        <w:rPr>
          <w:rFonts w:cs="Times New Roman"/>
          <w:szCs w:val="24"/>
          <w:lang w:val="fr-CA"/>
        </w:rPr>
        <w:t xml:space="preserve">nocives </w:t>
      </w:r>
      <w:r w:rsidRPr="00403220">
        <w:rPr>
          <w:rFonts w:cs="Times New Roman"/>
          <w:szCs w:val="24"/>
          <w:lang w:val="fr-CA"/>
        </w:rPr>
        <w:t>que les cigarettes ordinaires</w:t>
      </w:r>
      <w:r w:rsidR="002A076B" w:rsidRPr="00403220">
        <w:rPr>
          <w:rFonts w:cs="Times New Roman"/>
          <w:szCs w:val="24"/>
          <w:lang w:val="fr-CA"/>
        </w:rPr>
        <w:t xml:space="preserve">. </w:t>
      </w:r>
      <w:r w:rsidRPr="00403220">
        <w:rPr>
          <w:rFonts w:cs="Times New Roman"/>
          <w:szCs w:val="24"/>
          <w:lang w:val="fr-CA"/>
        </w:rPr>
        <w:t xml:space="preserve"> </w:t>
      </w:r>
      <w:r w:rsidR="002A076B" w:rsidRPr="00403220">
        <w:rPr>
          <w:rFonts w:cs="Times New Roman"/>
          <w:szCs w:val="24"/>
          <w:lang w:val="fr-CA"/>
        </w:rPr>
        <w:t xml:space="preserve">On soutient aussi que ces déclarations </w:t>
      </w:r>
      <w:r w:rsidRPr="00403220">
        <w:rPr>
          <w:rFonts w:cs="Times New Roman"/>
          <w:szCs w:val="24"/>
          <w:lang w:val="fr-CA"/>
        </w:rPr>
        <w:t>étaient fausses et que, dans la mesure où l</w:t>
      </w:r>
      <w:r w:rsidR="008372AA" w:rsidRPr="00403220">
        <w:rPr>
          <w:rFonts w:cs="Times New Roman"/>
          <w:szCs w:val="24"/>
          <w:lang w:val="fr-CA"/>
        </w:rPr>
        <w:t>’</w:t>
      </w:r>
      <w:r w:rsidRPr="00403220">
        <w:rPr>
          <w:rFonts w:cs="Times New Roman"/>
          <w:szCs w:val="24"/>
          <w:lang w:val="fr-CA"/>
        </w:rPr>
        <w:t xml:space="preserve">usage du tabac a causé aux consommateurs un préjudice additionnel dont sont tenues responsables les compagnies de tabac, le Canada doit indemniser </w:t>
      </w:r>
      <w:proofErr w:type="spellStart"/>
      <w:r w:rsidRPr="00403220">
        <w:rPr>
          <w:rFonts w:cs="Times New Roman"/>
          <w:szCs w:val="24"/>
          <w:lang w:val="fr-CA"/>
        </w:rPr>
        <w:t>celles</w:t>
      </w:r>
      <w:r w:rsidR="00A54DAC" w:rsidRPr="00403220">
        <w:rPr>
          <w:rFonts w:cs="Times New Roman"/>
          <w:szCs w:val="24"/>
          <w:lang w:val="fr-CA"/>
        </w:rPr>
        <w:noBreakHyphen/>
      </w:r>
      <w:r w:rsidRPr="00403220">
        <w:rPr>
          <w:rFonts w:cs="Times New Roman"/>
          <w:szCs w:val="24"/>
          <w:lang w:val="fr-CA"/>
        </w:rPr>
        <w:t>ci</w:t>
      </w:r>
      <w:proofErr w:type="spellEnd"/>
      <w:r w:rsidRPr="00403220">
        <w:rPr>
          <w:rFonts w:cs="Times New Roman"/>
          <w:szCs w:val="24"/>
          <w:lang w:val="fr-CA"/>
        </w:rPr>
        <w:t xml:space="preserve"> ou éponger une partie de leurs pertes.  </w:t>
      </w:r>
    </w:p>
    <w:p w:rsidR="0047179D" w:rsidRPr="00403220" w:rsidRDefault="0047179D" w:rsidP="009168E8">
      <w:pPr>
        <w:pStyle w:val="ParaNoNdepar-AltN"/>
        <w:rPr>
          <w:rFonts w:cs="Times New Roman"/>
          <w:szCs w:val="24"/>
          <w:lang w:val="fr-CA"/>
        </w:rPr>
      </w:pPr>
      <w:r w:rsidRPr="00403220">
        <w:rPr>
          <w:rFonts w:cs="Times New Roman"/>
          <w:szCs w:val="24"/>
          <w:lang w:val="fr-CA"/>
        </w:rPr>
        <w:t>Les avis de mise en cause concèdent implicitement que Santé Canada a fait les déclarations qu</w:t>
      </w:r>
      <w:r w:rsidR="008372AA" w:rsidRPr="00403220">
        <w:rPr>
          <w:rFonts w:cs="Times New Roman"/>
          <w:szCs w:val="24"/>
          <w:lang w:val="fr-CA"/>
        </w:rPr>
        <w:t>’</w:t>
      </w:r>
      <w:r w:rsidRPr="00403220">
        <w:rPr>
          <w:rFonts w:cs="Times New Roman"/>
          <w:szCs w:val="24"/>
          <w:lang w:val="fr-CA"/>
        </w:rPr>
        <w:t>on lui attribue par souci pour la santé des Canadiens et Canadiennes, conformément à sa politique d</w:t>
      </w:r>
      <w:r w:rsidR="008372AA" w:rsidRPr="00403220">
        <w:rPr>
          <w:rFonts w:cs="Times New Roman"/>
          <w:szCs w:val="24"/>
          <w:lang w:val="fr-CA"/>
        </w:rPr>
        <w:t>’</w:t>
      </w:r>
      <w:r w:rsidRPr="00403220">
        <w:rPr>
          <w:rFonts w:cs="Times New Roman"/>
          <w:szCs w:val="24"/>
          <w:lang w:val="fr-CA"/>
        </w:rPr>
        <w:t xml:space="preserve">inciter les fumeurs à opter pour des cigarettes à faible teneur en goudron.  Ils mentionnent en fait que Santé Canada avait </w:t>
      </w:r>
      <w:r w:rsidRPr="00403220">
        <w:rPr>
          <w:rFonts w:cs="Times New Roman"/>
          <w:szCs w:val="24"/>
          <w:lang w:val="fr-CA"/>
        </w:rPr>
        <w:lastRenderedPageBreak/>
        <w:t>pour politique de mettre en garde la population contre les effets nocifs de l</w:t>
      </w:r>
      <w:r w:rsidR="008372AA" w:rsidRPr="00403220">
        <w:rPr>
          <w:rFonts w:cs="Times New Roman"/>
          <w:szCs w:val="24"/>
          <w:lang w:val="fr-CA"/>
        </w:rPr>
        <w:t>’</w:t>
      </w:r>
      <w:r w:rsidRPr="00403220">
        <w:rPr>
          <w:rFonts w:cs="Times New Roman"/>
          <w:szCs w:val="24"/>
          <w:lang w:val="fr-CA"/>
        </w:rPr>
        <w:t>usage du tabac, et d</w:t>
      </w:r>
      <w:r w:rsidR="008372AA" w:rsidRPr="00403220">
        <w:rPr>
          <w:rFonts w:cs="Times New Roman"/>
          <w:szCs w:val="24"/>
          <w:lang w:val="fr-CA"/>
        </w:rPr>
        <w:t>’</w:t>
      </w:r>
      <w:r w:rsidRPr="00403220">
        <w:rPr>
          <w:rFonts w:cs="Times New Roman"/>
          <w:szCs w:val="24"/>
          <w:lang w:val="fr-CA"/>
        </w:rPr>
        <w:t>encourager les Canadiens et Canadiennes à fumer plus sainement.  Les demandes de mise en cause reposent sur l</w:t>
      </w:r>
      <w:r w:rsidR="008372AA" w:rsidRPr="00403220">
        <w:rPr>
          <w:rFonts w:cs="Times New Roman"/>
          <w:szCs w:val="24"/>
          <w:lang w:val="fr-CA"/>
        </w:rPr>
        <w:t>’</w:t>
      </w:r>
      <w:r w:rsidR="003B54EE" w:rsidRPr="00403220">
        <w:rPr>
          <w:rFonts w:cs="Times New Roman"/>
          <w:szCs w:val="24"/>
          <w:lang w:val="fr-CA"/>
        </w:rPr>
        <w:t xml:space="preserve">allégation que Santé </w:t>
      </w:r>
      <w:r w:rsidRPr="00403220">
        <w:rPr>
          <w:rFonts w:cs="Times New Roman"/>
          <w:szCs w:val="24"/>
          <w:lang w:val="fr-CA"/>
        </w:rPr>
        <w:t>Canada s</w:t>
      </w:r>
      <w:r w:rsidR="008372AA" w:rsidRPr="00403220">
        <w:rPr>
          <w:rFonts w:cs="Times New Roman"/>
          <w:szCs w:val="24"/>
          <w:lang w:val="fr-CA"/>
        </w:rPr>
        <w:t>’</w:t>
      </w:r>
      <w:r w:rsidRPr="00403220">
        <w:rPr>
          <w:rFonts w:cs="Times New Roman"/>
          <w:szCs w:val="24"/>
          <w:lang w:val="fr-CA"/>
        </w:rPr>
        <w:t>est résigné à ce que certaines personnes continuent de fumer malgré les effets nuisibles de cette habitude sur leur santé, et a décidé qu</w:t>
      </w:r>
      <w:r w:rsidR="008372AA" w:rsidRPr="00403220">
        <w:rPr>
          <w:rFonts w:cs="Times New Roman"/>
          <w:szCs w:val="24"/>
          <w:lang w:val="fr-CA"/>
        </w:rPr>
        <w:t>’</w:t>
      </w:r>
      <w:r w:rsidRPr="00403220">
        <w:rPr>
          <w:rFonts w:cs="Times New Roman"/>
          <w:szCs w:val="24"/>
          <w:lang w:val="fr-CA"/>
        </w:rPr>
        <w:t xml:space="preserve">il convenait de les inciter à fumer des cigarettes à faible teneur en goudron.  </w:t>
      </w:r>
    </w:p>
    <w:p w:rsidR="0047179D" w:rsidRPr="00403220" w:rsidRDefault="0047179D" w:rsidP="009168E8">
      <w:pPr>
        <w:pStyle w:val="ParaNoNdepar-AltN"/>
        <w:rPr>
          <w:rFonts w:cs="Times New Roman"/>
          <w:szCs w:val="24"/>
          <w:lang w:val="fr-CA"/>
        </w:rPr>
      </w:pPr>
      <w:r w:rsidRPr="00403220">
        <w:rPr>
          <w:rFonts w:cs="Times New Roman"/>
          <w:szCs w:val="24"/>
          <w:lang w:val="fr-CA"/>
        </w:rPr>
        <w:t>En bref, les déclarations sur lesquelles s</w:t>
      </w:r>
      <w:r w:rsidR="008372AA" w:rsidRPr="00403220">
        <w:rPr>
          <w:rFonts w:cs="Times New Roman"/>
          <w:szCs w:val="24"/>
          <w:lang w:val="fr-CA"/>
        </w:rPr>
        <w:t>’</w:t>
      </w:r>
      <w:r w:rsidRPr="00403220">
        <w:rPr>
          <w:rFonts w:cs="Times New Roman"/>
          <w:szCs w:val="24"/>
          <w:lang w:val="fr-CA"/>
        </w:rPr>
        <w:t xml:space="preserve">appuient </w:t>
      </w:r>
      <w:r w:rsidR="00FE07BC" w:rsidRPr="00403220">
        <w:rPr>
          <w:rFonts w:cs="Times New Roman"/>
          <w:szCs w:val="24"/>
          <w:lang w:val="fr-CA"/>
        </w:rPr>
        <w:t>les demandes de mise en cause</w:t>
      </w:r>
      <w:r w:rsidRPr="00403220">
        <w:rPr>
          <w:rFonts w:cs="Times New Roman"/>
          <w:szCs w:val="24"/>
          <w:lang w:val="fr-CA"/>
        </w:rPr>
        <w:t xml:space="preserve"> faisaient partie intégrante d</w:t>
      </w:r>
      <w:r w:rsidR="008372AA" w:rsidRPr="00403220">
        <w:rPr>
          <w:rFonts w:cs="Times New Roman"/>
          <w:szCs w:val="24"/>
          <w:lang w:val="fr-CA"/>
        </w:rPr>
        <w:t>’</w:t>
      </w:r>
      <w:r w:rsidRPr="00403220">
        <w:rPr>
          <w:rFonts w:cs="Times New Roman"/>
          <w:szCs w:val="24"/>
          <w:lang w:val="fr-CA"/>
        </w:rPr>
        <w:t xml:space="preserve">une politique </w:t>
      </w:r>
      <w:r w:rsidR="00A4754D" w:rsidRPr="00403220">
        <w:rPr>
          <w:rFonts w:cs="Times New Roman"/>
          <w:szCs w:val="24"/>
          <w:lang w:val="fr-CA"/>
        </w:rPr>
        <w:t xml:space="preserve">générale </w:t>
      </w:r>
      <w:r w:rsidRPr="00403220">
        <w:rPr>
          <w:rFonts w:cs="Times New Roman"/>
          <w:szCs w:val="24"/>
          <w:lang w:val="fr-CA"/>
        </w:rPr>
        <w:t>du gouvernement visant à inciter les personnes qui continuaient de fumer à opter pour des cigarettes à faible teneur en goudron.  Il s</w:t>
      </w:r>
      <w:r w:rsidR="008372AA" w:rsidRPr="00403220">
        <w:rPr>
          <w:rFonts w:cs="Times New Roman"/>
          <w:szCs w:val="24"/>
          <w:lang w:val="fr-CA"/>
        </w:rPr>
        <w:t>’</w:t>
      </w:r>
      <w:r w:rsidRPr="00403220">
        <w:rPr>
          <w:rFonts w:cs="Times New Roman"/>
          <w:szCs w:val="24"/>
          <w:lang w:val="fr-CA"/>
        </w:rPr>
        <w:t>agissait d</w:t>
      </w:r>
      <w:r w:rsidR="008372AA" w:rsidRPr="00403220">
        <w:rPr>
          <w:rFonts w:cs="Times New Roman"/>
          <w:szCs w:val="24"/>
          <w:lang w:val="fr-CA"/>
        </w:rPr>
        <w:t>’</w:t>
      </w:r>
      <w:r w:rsidRPr="00403220">
        <w:rPr>
          <w:rFonts w:cs="Times New Roman"/>
          <w:szCs w:val="24"/>
          <w:lang w:val="fr-CA"/>
        </w:rPr>
        <w:t>une « vé</w:t>
      </w:r>
      <w:r w:rsidR="00EB7DB6" w:rsidRPr="00403220">
        <w:rPr>
          <w:rFonts w:cs="Times New Roman"/>
          <w:szCs w:val="24"/>
          <w:lang w:val="fr-CA"/>
        </w:rPr>
        <w:t>ritable </w:t>
      </w:r>
      <w:r w:rsidRPr="00403220">
        <w:rPr>
          <w:rFonts w:cs="Times New Roman"/>
          <w:szCs w:val="24"/>
          <w:lang w:val="fr-CA"/>
        </w:rPr>
        <w:t>» politique</w:t>
      </w:r>
      <w:r w:rsidR="00DD352E" w:rsidRPr="00403220">
        <w:rPr>
          <w:rFonts w:cs="Times New Roman"/>
          <w:szCs w:val="24"/>
          <w:lang w:val="fr-CA"/>
        </w:rPr>
        <w:t xml:space="preserve"> générale</w:t>
      </w:r>
      <w:r w:rsidRPr="00403220">
        <w:rPr>
          <w:rFonts w:cs="Times New Roman"/>
          <w:szCs w:val="24"/>
          <w:lang w:val="fr-CA"/>
        </w:rPr>
        <w:t xml:space="preserve"> ou </w:t>
      </w:r>
      <w:r w:rsidR="00DD352E" w:rsidRPr="00403220">
        <w:rPr>
          <w:rFonts w:cs="Times New Roman"/>
          <w:szCs w:val="24"/>
          <w:lang w:val="fr-CA"/>
        </w:rPr>
        <w:t xml:space="preserve">d’une </w:t>
      </w:r>
      <w:r w:rsidRPr="00403220">
        <w:rPr>
          <w:rFonts w:cs="Times New Roman"/>
          <w:szCs w:val="24"/>
          <w:lang w:val="fr-CA"/>
        </w:rPr>
        <w:t>polit</w:t>
      </w:r>
      <w:r w:rsidR="00EB7DB6" w:rsidRPr="00403220">
        <w:rPr>
          <w:rFonts w:cs="Times New Roman"/>
          <w:szCs w:val="24"/>
          <w:lang w:val="fr-CA"/>
        </w:rPr>
        <w:t>ique</w:t>
      </w:r>
      <w:r w:rsidR="00DD352E" w:rsidRPr="00403220">
        <w:rPr>
          <w:rFonts w:cs="Times New Roman"/>
          <w:szCs w:val="24"/>
          <w:lang w:val="fr-CA"/>
        </w:rPr>
        <w:t xml:space="preserve"> générale</w:t>
      </w:r>
      <w:r w:rsidR="00EB7DB6" w:rsidRPr="00403220">
        <w:rPr>
          <w:rFonts w:cs="Times New Roman"/>
          <w:szCs w:val="24"/>
          <w:lang w:val="fr-CA"/>
        </w:rPr>
        <w:t xml:space="preserve"> « fondamentale </w:t>
      </w:r>
      <w:r w:rsidRPr="00403220">
        <w:rPr>
          <w:rFonts w:cs="Times New Roman"/>
          <w:szCs w:val="24"/>
          <w:lang w:val="fr-CA"/>
        </w:rPr>
        <w:t xml:space="preserve">» </w:t>
      </w:r>
      <w:r w:rsidR="002A076B" w:rsidRPr="00403220">
        <w:rPr>
          <w:rFonts w:cs="Times New Roman"/>
          <w:szCs w:val="24"/>
          <w:lang w:val="fr-CA"/>
        </w:rPr>
        <w:t xml:space="preserve">au </w:t>
      </w:r>
      <w:r w:rsidRPr="00403220">
        <w:rPr>
          <w:rFonts w:cs="Times New Roman"/>
          <w:szCs w:val="24"/>
          <w:lang w:val="fr-CA"/>
        </w:rPr>
        <w:t>sens d</w:t>
      </w:r>
      <w:r w:rsidR="008372AA" w:rsidRPr="00403220">
        <w:rPr>
          <w:rFonts w:cs="Times New Roman"/>
          <w:szCs w:val="24"/>
          <w:lang w:val="fr-CA"/>
        </w:rPr>
        <w:t>’</w:t>
      </w:r>
      <w:r w:rsidRPr="00403220">
        <w:rPr>
          <w:rFonts w:cs="Times New Roman"/>
          <w:szCs w:val="24"/>
          <w:lang w:val="fr-CA"/>
        </w:rPr>
        <w:t xml:space="preserve">une ligne de conduite adoptée par le gouvernement.  La ligne de conduite </w:t>
      </w:r>
      <w:r w:rsidR="002A076B" w:rsidRPr="00403220">
        <w:rPr>
          <w:rFonts w:cs="Times New Roman"/>
          <w:szCs w:val="24"/>
          <w:lang w:val="fr-CA"/>
        </w:rPr>
        <w:t xml:space="preserve">gouvernementale </w:t>
      </w:r>
      <w:r w:rsidRPr="00403220">
        <w:rPr>
          <w:rFonts w:cs="Times New Roman"/>
          <w:szCs w:val="24"/>
          <w:lang w:val="fr-CA"/>
        </w:rPr>
        <w:t xml:space="preserve">alléguée a été adoptée par les plus hautes instances du gouvernement canadien et mettait en jeu des considérations sociales et économiques.  Selon les actes de procédure, le Canada a élaboré cette politique par souci pour la santé des Canadiens et Canadiennes </w:t>
      </w:r>
      <w:r w:rsidR="00CD494E" w:rsidRPr="00403220">
        <w:rPr>
          <w:rFonts w:cs="Times New Roman"/>
          <w:szCs w:val="24"/>
          <w:lang w:val="fr-CA"/>
        </w:rPr>
        <w:t xml:space="preserve">et en raison des </w:t>
      </w:r>
      <w:r w:rsidRPr="00403220">
        <w:rPr>
          <w:rFonts w:cs="Times New Roman"/>
          <w:szCs w:val="24"/>
          <w:lang w:val="fr-CA"/>
        </w:rPr>
        <w:t>coûts individuels et institutionnels associés aux maladies causées par le tabac.  Il m</w:t>
      </w:r>
      <w:r w:rsidR="008372AA" w:rsidRPr="00403220">
        <w:rPr>
          <w:rFonts w:cs="Times New Roman"/>
          <w:szCs w:val="24"/>
          <w:lang w:val="fr-CA"/>
        </w:rPr>
        <w:t>’</w:t>
      </w:r>
      <w:r w:rsidRPr="00403220">
        <w:rPr>
          <w:rFonts w:cs="Times New Roman"/>
          <w:szCs w:val="24"/>
          <w:lang w:val="fr-CA"/>
        </w:rPr>
        <w:t xml:space="preserve">apparaît évident et manifeste que les déclarations alléguées relevaient de la politique </w:t>
      </w:r>
      <w:r w:rsidR="00DD352E" w:rsidRPr="00403220">
        <w:rPr>
          <w:rFonts w:cs="Times New Roman"/>
          <w:szCs w:val="24"/>
          <w:lang w:val="fr-CA"/>
        </w:rPr>
        <w:t xml:space="preserve">générale du </w:t>
      </w:r>
      <w:r w:rsidRPr="00403220">
        <w:rPr>
          <w:rFonts w:cs="Times New Roman"/>
          <w:szCs w:val="24"/>
          <w:lang w:val="fr-CA"/>
        </w:rPr>
        <w:t>gouvernement, de sorte que les allégations de déclaration</w:t>
      </w:r>
      <w:r w:rsidR="00566993" w:rsidRPr="00403220">
        <w:rPr>
          <w:rFonts w:cs="Times New Roman"/>
          <w:szCs w:val="24"/>
          <w:lang w:val="fr-CA"/>
        </w:rPr>
        <w:t>s</w:t>
      </w:r>
      <w:r w:rsidRPr="00403220">
        <w:rPr>
          <w:rFonts w:cs="Times New Roman"/>
          <w:szCs w:val="24"/>
          <w:lang w:val="fr-CA"/>
        </w:rPr>
        <w:t xml:space="preserve"> inexacte</w:t>
      </w:r>
      <w:r w:rsidR="00566993" w:rsidRPr="00403220">
        <w:rPr>
          <w:rFonts w:cs="Times New Roman"/>
          <w:szCs w:val="24"/>
          <w:lang w:val="fr-CA"/>
        </w:rPr>
        <w:t>s</w:t>
      </w:r>
      <w:r w:rsidRPr="00403220">
        <w:rPr>
          <w:rFonts w:cs="Times New Roman"/>
          <w:szCs w:val="24"/>
          <w:lang w:val="fr-CA"/>
        </w:rPr>
        <w:t xml:space="preserve"> faite</w:t>
      </w:r>
      <w:r w:rsidR="00566993" w:rsidRPr="00403220">
        <w:rPr>
          <w:rFonts w:cs="Times New Roman"/>
          <w:szCs w:val="24"/>
          <w:lang w:val="fr-CA"/>
        </w:rPr>
        <w:t>s</w:t>
      </w:r>
      <w:r w:rsidRPr="00403220">
        <w:rPr>
          <w:rFonts w:cs="Times New Roman"/>
          <w:szCs w:val="24"/>
          <w:lang w:val="fr-CA"/>
        </w:rPr>
        <w:t xml:space="preserve"> par négligence qu</w:t>
      </w:r>
      <w:r w:rsidR="008372AA" w:rsidRPr="00403220">
        <w:rPr>
          <w:rFonts w:cs="Times New Roman"/>
          <w:szCs w:val="24"/>
          <w:lang w:val="fr-CA"/>
        </w:rPr>
        <w:t>’</w:t>
      </w:r>
      <w:r w:rsidRPr="00403220">
        <w:rPr>
          <w:rFonts w:cs="Times New Roman"/>
          <w:szCs w:val="24"/>
          <w:lang w:val="fr-CA"/>
        </w:rPr>
        <w:t>ont formulées les compagnies de tabac à l</w:t>
      </w:r>
      <w:r w:rsidR="008372AA" w:rsidRPr="00403220">
        <w:rPr>
          <w:rFonts w:cs="Times New Roman"/>
          <w:szCs w:val="24"/>
          <w:lang w:val="fr-CA"/>
        </w:rPr>
        <w:t>’</w:t>
      </w:r>
      <w:r w:rsidRPr="00403220">
        <w:rPr>
          <w:rFonts w:cs="Times New Roman"/>
          <w:szCs w:val="24"/>
          <w:lang w:val="fr-CA"/>
        </w:rPr>
        <w:t xml:space="preserve">encontre du Canada doivent être radiées. </w:t>
      </w:r>
    </w:p>
    <w:p w:rsidR="0047179D" w:rsidRPr="00403220" w:rsidRDefault="0047179D" w:rsidP="009168E8">
      <w:pPr>
        <w:pStyle w:val="ParaNoNdepar-AltN"/>
        <w:rPr>
          <w:rFonts w:cs="Times New Roman"/>
          <w:szCs w:val="24"/>
          <w:lang w:val="fr-CA"/>
        </w:rPr>
      </w:pPr>
      <w:r w:rsidRPr="00403220">
        <w:rPr>
          <w:rFonts w:cs="Times New Roman"/>
          <w:szCs w:val="24"/>
          <w:lang w:val="fr-CA"/>
        </w:rPr>
        <w:lastRenderedPageBreak/>
        <w:t>Vu ma conclusion que les allégations de déclaration</w:t>
      </w:r>
      <w:r w:rsidR="00A4754D" w:rsidRPr="00403220">
        <w:rPr>
          <w:rFonts w:cs="Times New Roman"/>
          <w:szCs w:val="24"/>
          <w:lang w:val="fr-CA"/>
        </w:rPr>
        <w:t>s</w:t>
      </w:r>
      <w:r w:rsidRPr="00403220">
        <w:rPr>
          <w:rFonts w:cs="Times New Roman"/>
          <w:szCs w:val="24"/>
          <w:lang w:val="fr-CA"/>
        </w:rPr>
        <w:t xml:space="preserve"> inexacte</w:t>
      </w:r>
      <w:r w:rsidR="00A4754D" w:rsidRPr="00403220">
        <w:rPr>
          <w:rFonts w:cs="Times New Roman"/>
          <w:szCs w:val="24"/>
          <w:lang w:val="fr-CA"/>
        </w:rPr>
        <w:t>s</w:t>
      </w:r>
      <w:r w:rsidRPr="00403220">
        <w:rPr>
          <w:rFonts w:cs="Times New Roman"/>
          <w:szCs w:val="24"/>
          <w:lang w:val="fr-CA"/>
        </w:rPr>
        <w:t xml:space="preserve"> faite</w:t>
      </w:r>
      <w:r w:rsidR="00A4754D" w:rsidRPr="00403220">
        <w:rPr>
          <w:rFonts w:cs="Times New Roman"/>
          <w:szCs w:val="24"/>
          <w:lang w:val="fr-CA"/>
        </w:rPr>
        <w:t>s</w:t>
      </w:r>
      <w:r w:rsidRPr="00403220">
        <w:rPr>
          <w:rFonts w:cs="Times New Roman"/>
          <w:szCs w:val="24"/>
          <w:lang w:val="fr-CA"/>
        </w:rPr>
        <w:t xml:space="preserve"> par négligence ne peuvent fonder une action parce que les déclarations alléguées relevaient de la politique </w:t>
      </w:r>
      <w:r w:rsidR="00DD352E" w:rsidRPr="00403220">
        <w:rPr>
          <w:rFonts w:cs="Times New Roman"/>
          <w:szCs w:val="24"/>
          <w:lang w:val="fr-CA"/>
        </w:rPr>
        <w:t xml:space="preserve">générale du </w:t>
      </w:r>
      <w:r w:rsidRPr="00403220">
        <w:rPr>
          <w:rFonts w:cs="Times New Roman"/>
          <w:szCs w:val="24"/>
          <w:lang w:val="fr-CA"/>
        </w:rPr>
        <w:t>gouvernement, point n</w:t>
      </w:r>
      <w:r w:rsidR="008372AA" w:rsidRPr="00403220">
        <w:rPr>
          <w:rFonts w:cs="Times New Roman"/>
          <w:szCs w:val="24"/>
          <w:lang w:val="fr-CA"/>
        </w:rPr>
        <w:t>’</w:t>
      </w:r>
      <w:r w:rsidRPr="00403220">
        <w:rPr>
          <w:rFonts w:cs="Times New Roman"/>
          <w:szCs w:val="24"/>
          <w:lang w:val="fr-CA"/>
        </w:rPr>
        <w:t xml:space="preserve">est besoin de passer en revue les autres motifs </w:t>
      </w:r>
      <w:r w:rsidR="00DD352E" w:rsidRPr="00403220">
        <w:rPr>
          <w:rFonts w:cs="Times New Roman"/>
          <w:szCs w:val="24"/>
          <w:lang w:val="fr-CA"/>
        </w:rPr>
        <w:t>d</w:t>
      </w:r>
      <w:r w:rsidRPr="00403220">
        <w:rPr>
          <w:rFonts w:cs="Times New Roman"/>
          <w:szCs w:val="24"/>
          <w:lang w:val="fr-CA"/>
        </w:rPr>
        <w:t>e politique</w:t>
      </w:r>
      <w:r w:rsidR="00DD352E" w:rsidRPr="00403220">
        <w:rPr>
          <w:rFonts w:cs="Times New Roman"/>
          <w:szCs w:val="24"/>
          <w:lang w:val="fr-CA"/>
        </w:rPr>
        <w:t xml:space="preserve"> générale</w:t>
      </w:r>
      <w:r w:rsidRPr="00403220">
        <w:rPr>
          <w:rFonts w:cs="Times New Roman"/>
          <w:szCs w:val="24"/>
          <w:lang w:val="fr-CA"/>
        </w:rPr>
        <w:t xml:space="preserve"> — liés à la deuxième étape de l</w:t>
      </w:r>
      <w:r w:rsidR="008372AA" w:rsidRPr="00403220">
        <w:rPr>
          <w:rFonts w:cs="Times New Roman"/>
          <w:szCs w:val="24"/>
          <w:lang w:val="fr-CA"/>
        </w:rPr>
        <w:t>’</w:t>
      </w:r>
      <w:r w:rsidRPr="00403220">
        <w:rPr>
          <w:rFonts w:cs="Times New Roman"/>
          <w:szCs w:val="24"/>
          <w:lang w:val="fr-CA"/>
        </w:rPr>
        <w:t>analyse — qu</w:t>
      </w:r>
      <w:r w:rsidR="008372AA" w:rsidRPr="00403220">
        <w:rPr>
          <w:rFonts w:cs="Times New Roman"/>
          <w:szCs w:val="24"/>
          <w:lang w:val="fr-CA"/>
        </w:rPr>
        <w:t>’</w:t>
      </w:r>
      <w:r w:rsidRPr="00403220">
        <w:rPr>
          <w:rFonts w:cs="Times New Roman"/>
          <w:szCs w:val="24"/>
          <w:lang w:val="fr-CA"/>
        </w:rPr>
        <w:t>a invoqués le Canada à l</w:t>
      </w:r>
      <w:r w:rsidR="008372AA" w:rsidRPr="00403220">
        <w:rPr>
          <w:rFonts w:cs="Times New Roman"/>
          <w:szCs w:val="24"/>
          <w:lang w:val="fr-CA"/>
        </w:rPr>
        <w:t>’</w:t>
      </w:r>
      <w:r w:rsidRPr="00403220">
        <w:rPr>
          <w:rFonts w:cs="Times New Roman"/>
          <w:szCs w:val="24"/>
          <w:lang w:val="fr-CA"/>
        </w:rPr>
        <w:t xml:space="preserve">encontre des demandes de mise en cause </w:t>
      </w:r>
      <w:r w:rsidR="00A4754D" w:rsidRPr="00403220">
        <w:rPr>
          <w:rFonts w:cs="Times New Roman"/>
          <w:szCs w:val="24"/>
          <w:lang w:val="fr-CA"/>
        </w:rPr>
        <w:t>pour</w:t>
      </w:r>
      <w:r w:rsidRPr="00403220">
        <w:rPr>
          <w:rFonts w:cs="Times New Roman"/>
          <w:szCs w:val="24"/>
          <w:lang w:val="fr-CA"/>
        </w:rPr>
        <w:t xml:space="preserve"> déclaration</w:t>
      </w:r>
      <w:r w:rsidR="00A4754D" w:rsidRPr="00403220">
        <w:rPr>
          <w:rFonts w:cs="Times New Roman"/>
          <w:szCs w:val="24"/>
          <w:lang w:val="fr-CA"/>
        </w:rPr>
        <w:t>s</w:t>
      </w:r>
      <w:r w:rsidRPr="00403220">
        <w:rPr>
          <w:rFonts w:cs="Times New Roman"/>
          <w:szCs w:val="24"/>
          <w:lang w:val="fr-CA"/>
        </w:rPr>
        <w:t xml:space="preserve"> inexacte</w:t>
      </w:r>
      <w:r w:rsidR="00A4754D" w:rsidRPr="00403220">
        <w:rPr>
          <w:rFonts w:cs="Times New Roman"/>
          <w:szCs w:val="24"/>
          <w:lang w:val="fr-CA"/>
        </w:rPr>
        <w:t>s</w:t>
      </w:r>
      <w:r w:rsidRPr="00403220">
        <w:rPr>
          <w:rFonts w:cs="Times New Roman"/>
          <w:szCs w:val="24"/>
          <w:lang w:val="fr-CA"/>
        </w:rPr>
        <w:t xml:space="preserve"> faite</w:t>
      </w:r>
      <w:r w:rsidR="00A4754D" w:rsidRPr="00403220">
        <w:rPr>
          <w:rFonts w:cs="Times New Roman"/>
          <w:szCs w:val="24"/>
          <w:lang w:val="fr-CA"/>
        </w:rPr>
        <w:t>s</w:t>
      </w:r>
      <w:r w:rsidRPr="00403220">
        <w:rPr>
          <w:rFonts w:cs="Times New Roman"/>
          <w:szCs w:val="24"/>
          <w:lang w:val="fr-CA"/>
        </w:rPr>
        <w:t xml:space="preserve"> par négligence. </w:t>
      </w:r>
      <w:r w:rsidR="003B54EE" w:rsidRPr="00403220">
        <w:rPr>
          <w:rFonts w:cs="Times New Roman"/>
          <w:szCs w:val="24"/>
          <w:lang w:val="fr-CA"/>
        </w:rPr>
        <w:t xml:space="preserve"> </w:t>
      </w:r>
      <w:r w:rsidRPr="00403220">
        <w:rPr>
          <w:rFonts w:cs="Times New Roman"/>
          <w:szCs w:val="24"/>
          <w:lang w:val="fr-CA"/>
        </w:rPr>
        <w:t>Mais, comme l</w:t>
      </w:r>
      <w:r w:rsidR="008372AA" w:rsidRPr="00403220">
        <w:rPr>
          <w:rFonts w:cs="Times New Roman"/>
          <w:szCs w:val="24"/>
          <w:lang w:val="fr-CA"/>
        </w:rPr>
        <w:t>’</w:t>
      </w:r>
      <w:r w:rsidRPr="00403220">
        <w:rPr>
          <w:rFonts w:cs="Times New Roman"/>
          <w:szCs w:val="24"/>
          <w:lang w:val="fr-CA"/>
        </w:rPr>
        <w:t>argument relatif à la responsabilité indéterminée a été débattu à fond, je vais l</w:t>
      </w:r>
      <w:r w:rsidR="008372AA" w:rsidRPr="00403220">
        <w:rPr>
          <w:rFonts w:cs="Times New Roman"/>
          <w:szCs w:val="24"/>
          <w:lang w:val="fr-CA"/>
        </w:rPr>
        <w:t>’</w:t>
      </w:r>
      <w:r w:rsidRPr="00403220">
        <w:rPr>
          <w:rFonts w:cs="Times New Roman"/>
          <w:szCs w:val="24"/>
          <w:lang w:val="fr-CA"/>
        </w:rPr>
        <w:t xml:space="preserve">analyser brièvement.  À mon avis, cet argument confirme que la responsabilité délictuelle du Canada ne doit pas être </w:t>
      </w:r>
      <w:r w:rsidR="00CD494E" w:rsidRPr="00403220">
        <w:rPr>
          <w:rFonts w:cs="Times New Roman"/>
          <w:szCs w:val="24"/>
          <w:lang w:val="fr-CA"/>
        </w:rPr>
        <w:t xml:space="preserve">reconnue à l’égard </w:t>
      </w:r>
      <w:r w:rsidRPr="00403220">
        <w:rPr>
          <w:rFonts w:cs="Times New Roman"/>
          <w:szCs w:val="24"/>
          <w:lang w:val="fr-CA"/>
        </w:rPr>
        <w:t>des déclarations inexactes qu</w:t>
      </w:r>
      <w:r w:rsidR="008372AA" w:rsidRPr="00403220">
        <w:rPr>
          <w:rFonts w:cs="Times New Roman"/>
          <w:szCs w:val="24"/>
          <w:lang w:val="fr-CA"/>
        </w:rPr>
        <w:t>’</w:t>
      </w:r>
      <w:r w:rsidRPr="00403220">
        <w:rPr>
          <w:rFonts w:cs="Times New Roman"/>
          <w:szCs w:val="24"/>
          <w:lang w:val="fr-CA"/>
        </w:rPr>
        <w:t xml:space="preserve">il aurait faites.   </w:t>
      </w:r>
    </w:p>
    <w:p w:rsidR="0047179D" w:rsidRPr="00403220" w:rsidRDefault="008230AF" w:rsidP="0086265E">
      <w:pPr>
        <w:pStyle w:val="TitleTitre-AltT"/>
        <w:keepNext/>
        <w:tabs>
          <w:tab w:val="clear" w:pos="360"/>
        </w:tabs>
        <w:spacing w:after="720"/>
        <w:ind w:left="1526"/>
        <w:rPr>
          <w:rFonts w:cs="Times New Roman"/>
          <w:i/>
          <w:szCs w:val="24"/>
          <w:lang w:val="fr-CA"/>
        </w:rPr>
      </w:pPr>
      <w:bookmarkStart w:id="20" w:name="_Toc285751395"/>
      <w:bookmarkStart w:id="21" w:name="_Toc314735121"/>
      <w:r w:rsidRPr="00403220">
        <w:rPr>
          <w:rFonts w:cs="Times New Roman"/>
          <w:szCs w:val="24"/>
          <w:lang w:val="fr-CA"/>
        </w:rPr>
        <w:t>b)</w:t>
      </w:r>
      <w:r w:rsidR="0086265E" w:rsidRPr="00403220">
        <w:rPr>
          <w:rFonts w:cs="Times New Roman"/>
          <w:szCs w:val="24"/>
          <w:lang w:val="fr-CA"/>
        </w:rPr>
        <w:tab/>
      </w:r>
      <w:r w:rsidR="00A131C1" w:rsidRPr="00403220">
        <w:rPr>
          <w:rFonts w:cs="Times New Roman"/>
          <w:i/>
          <w:szCs w:val="24"/>
          <w:lang w:val="fr-CA"/>
        </w:rPr>
        <w:t>R</w:t>
      </w:r>
      <w:r w:rsidR="0047179D" w:rsidRPr="00403220">
        <w:rPr>
          <w:rFonts w:cs="Times New Roman"/>
          <w:i/>
          <w:szCs w:val="24"/>
          <w:lang w:val="fr-CA"/>
        </w:rPr>
        <w:t>esponsabilité indéterminée</w:t>
      </w:r>
      <w:bookmarkEnd w:id="20"/>
      <w:bookmarkEnd w:id="21"/>
    </w:p>
    <w:p w:rsidR="0047179D" w:rsidRPr="00403220" w:rsidRDefault="0047179D" w:rsidP="009168E8">
      <w:pPr>
        <w:pStyle w:val="ParaNoNdepar-AltN"/>
        <w:rPr>
          <w:rFonts w:cs="Times New Roman"/>
          <w:szCs w:val="24"/>
          <w:lang w:val="fr-CA"/>
        </w:rPr>
      </w:pPr>
      <w:r w:rsidRPr="00403220">
        <w:rPr>
          <w:rFonts w:cs="Times New Roman"/>
          <w:szCs w:val="24"/>
          <w:lang w:val="fr-CA"/>
        </w:rPr>
        <w:t>Le Canada soutient que, si l</w:t>
      </w:r>
      <w:r w:rsidR="008372AA" w:rsidRPr="00403220">
        <w:rPr>
          <w:rFonts w:cs="Times New Roman"/>
          <w:szCs w:val="24"/>
          <w:lang w:val="fr-CA"/>
        </w:rPr>
        <w:t>’</w:t>
      </w:r>
      <w:r w:rsidRPr="00403220">
        <w:rPr>
          <w:rFonts w:cs="Times New Roman"/>
          <w:szCs w:val="24"/>
          <w:lang w:val="fr-CA"/>
        </w:rPr>
        <w:t>on accepte les allégations des défenderesses en matière de déclaration inexacte faite par négligence, cela entraînerait une responsabilité indéterminée de sa part, et qu</w:t>
      </w:r>
      <w:r w:rsidR="008372AA" w:rsidRPr="00403220">
        <w:rPr>
          <w:rFonts w:cs="Times New Roman"/>
          <w:szCs w:val="24"/>
          <w:lang w:val="fr-CA"/>
        </w:rPr>
        <w:t>’</w:t>
      </w:r>
      <w:r w:rsidRPr="00403220">
        <w:rPr>
          <w:rFonts w:cs="Times New Roman"/>
          <w:szCs w:val="24"/>
          <w:lang w:val="fr-CA"/>
        </w:rPr>
        <w:t xml:space="preserve">il faut donc les rejeter.  Le Canada affirme que le nombre de cigarettes vendues était indépendant de sa volonté. En outre, dans les cas de perte </w:t>
      </w:r>
      <w:r w:rsidR="00DF40DF" w:rsidRPr="00403220">
        <w:rPr>
          <w:rFonts w:cs="Times New Roman"/>
          <w:szCs w:val="24"/>
          <w:lang w:val="fr-CA"/>
        </w:rPr>
        <w:t>financière</w:t>
      </w:r>
      <w:r w:rsidRPr="00403220">
        <w:rPr>
          <w:rFonts w:cs="Times New Roman"/>
          <w:szCs w:val="24"/>
          <w:lang w:val="fr-CA"/>
        </w:rPr>
        <w:t xml:space="preserve">, les tribunaux ne doivent conclure à la responsabilité </w:t>
      </w:r>
      <w:r w:rsidR="00CB39E3" w:rsidRPr="00403220">
        <w:rPr>
          <w:rFonts w:cs="Times New Roman"/>
          <w:szCs w:val="24"/>
          <w:lang w:val="fr-CA"/>
        </w:rPr>
        <w:t xml:space="preserve">du mis en </w:t>
      </w:r>
      <w:r w:rsidR="00DD352E" w:rsidRPr="00403220">
        <w:rPr>
          <w:rFonts w:cs="Times New Roman"/>
          <w:szCs w:val="24"/>
          <w:lang w:val="fr-CA"/>
        </w:rPr>
        <w:t>cause</w:t>
      </w:r>
      <w:r w:rsidRPr="00403220">
        <w:rPr>
          <w:rFonts w:cs="Times New Roman"/>
          <w:szCs w:val="24"/>
          <w:lang w:val="fr-CA"/>
        </w:rPr>
        <w:t xml:space="preserve"> que lorsque </w:t>
      </w:r>
      <w:proofErr w:type="spellStart"/>
      <w:r w:rsidRPr="00403220">
        <w:rPr>
          <w:rFonts w:cs="Times New Roman"/>
          <w:szCs w:val="24"/>
          <w:lang w:val="fr-CA"/>
        </w:rPr>
        <w:t>celui</w:t>
      </w:r>
      <w:r w:rsidR="00A54DAC" w:rsidRPr="00403220">
        <w:rPr>
          <w:rFonts w:cs="Times New Roman"/>
          <w:szCs w:val="24"/>
          <w:lang w:val="fr-CA"/>
        </w:rPr>
        <w:noBreakHyphen/>
      </w:r>
      <w:r w:rsidRPr="00403220">
        <w:rPr>
          <w:rFonts w:cs="Times New Roman"/>
          <w:szCs w:val="24"/>
          <w:lang w:val="fr-CA"/>
        </w:rPr>
        <w:t>ci</w:t>
      </w:r>
      <w:proofErr w:type="spellEnd"/>
      <w:r w:rsidRPr="00403220">
        <w:rPr>
          <w:rFonts w:cs="Times New Roman"/>
          <w:szCs w:val="24"/>
          <w:lang w:val="fr-CA"/>
        </w:rPr>
        <w:t xml:space="preserve"> est à même d</w:t>
      </w:r>
      <w:r w:rsidR="008372AA" w:rsidRPr="00403220">
        <w:rPr>
          <w:rFonts w:cs="Times New Roman"/>
          <w:szCs w:val="24"/>
          <w:lang w:val="fr-CA"/>
        </w:rPr>
        <w:t>’</w:t>
      </w:r>
      <w:r w:rsidRPr="00403220">
        <w:rPr>
          <w:rFonts w:cs="Times New Roman"/>
          <w:szCs w:val="24"/>
          <w:lang w:val="fr-CA"/>
        </w:rPr>
        <w:t xml:space="preserve">en </w:t>
      </w:r>
      <w:r w:rsidR="00A4754D" w:rsidRPr="00403220">
        <w:rPr>
          <w:rFonts w:cs="Times New Roman"/>
          <w:szCs w:val="24"/>
          <w:lang w:val="fr-CA"/>
        </w:rPr>
        <w:t>contrôler</w:t>
      </w:r>
      <w:r w:rsidRPr="00403220">
        <w:rPr>
          <w:rFonts w:cs="Times New Roman"/>
          <w:szCs w:val="24"/>
          <w:lang w:val="fr-CA"/>
        </w:rPr>
        <w:t xml:space="preserve"> la portée.</w:t>
      </w:r>
    </w:p>
    <w:p w:rsidR="0047179D" w:rsidRPr="00403220" w:rsidRDefault="0047179D" w:rsidP="009168E8">
      <w:pPr>
        <w:pStyle w:val="ParaNoNdepar-AltN"/>
        <w:rPr>
          <w:rFonts w:cs="Times New Roman"/>
          <w:szCs w:val="24"/>
          <w:lang w:val="fr-CA"/>
        </w:rPr>
      </w:pPr>
      <w:r w:rsidRPr="00403220">
        <w:rPr>
          <w:rFonts w:cs="Times New Roman"/>
          <w:szCs w:val="24"/>
          <w:lang w:val="fr-CA"/>
        </w:rPr>
        <w:lastRenderedPageBreak/>
        <w:t>Les compagnies de tabac répondent que la responsabilité à laquelle s</w:t>
      </w:r>
      <w:r w:rsidR="008372AA" w:rsidRPr="00403220">
        <w:rPr>
          <w:rFonts w:cs="Times New Roman"/>
          <w:szCs w:val="24"/>
          <w:lang w:val="fr-CA"/>
        </w:rPr>
        <w:t>’</w:t>
      </w:r>
      <w:r w:rsidRPr="00403220">
        <w:rPr>
          <w:rFonts w:cs="Times New Roman"/>
          <w:szCs w:val="24"/>
          <w:lang w:val="fr-CA"/>
        </w:rPr>
        <w:t xml:space="preserve">expose le Canada est considérable, mais non indéterminée.  </w:t>
      </w:r>
      <w:r w:rsidR="00997FBD" w:rsidRPr="00403220">
        <w:rPr>
          <w:rFonts w:cs="Times New Roman"/>
          <w:szCs w:val="24"/>
          <w:lang w:val="fr-CA"/>
        </w:rPr>
        <w:t xml:space="preserve">Selon </w:t>
      </w:r>
      <w:r w:rsidRPr="00403220">
        <w:rPr>
          <w:rFonts w:cs="Times New Roman"/>
          <w:szCs w:val="24"/>
          <w:lang w:val="fr-CA"/>
        </w:rPr>
        <w:t>les compagnies de tabac, la responsabilité du Canada envers elles se limite au délit de déclaration inexacte faite par négligence.  Le Canada ne serait responsable qu</w:t>
      </w:r>
      <w:r w:rsidR="008372AA" w:rsidRPr="00403220">
        <w:rPr>
          <w:rFonts w:cs="Times New Roman"/>
          <w:szCs w:val="24"/>
          <w:lang w:val="fr-CA"/>
        </w:rPr>
        <w:t>’</w:t>
      </w:r>
      <w:r w:rsidRPr="00403220">
        <w:rPr>
          <w:rFonts w:cs="Times New Roman"/>
          <w:szCs w:val="24"/>
          <w:lang w:val="fr-CA"/>
        </w:rPr>
        <w:t xml:space="preserve">envers les fumeurs de cigarettes légères et les compagnies de tabac. </w:t>
      </w:r>
    </w:p>
    <w:p w:rsidR="0047179D" w:rsidRPr="00403220" w:rsidRDefault="0047179D" w:rsidP="009168E8">
      <w:pPr>
        <w:pStyle w:val="ParaNoNdepar-AltN"/>
        <w:rPr>
          <w:rFonts w:cs="Times New Roman"/>
          <w:szCs w:val="24"/>
          <w:lang w:val="fr-CA"/>
        </w:rPr>
      </w:pPr>
      <w:r w:rsidRPr="00403220">
        <w:rPr>
          <w:rFonts w:cs="Times New Roman"/>
          <w:szCs w:val="24"/>
          <w:lang w:val="fr-CA"/>
        </w:rPr>
        <w:t>Je suis d</w:t>
      </w:r>
      <w:r w:rsidR="008372AA" w:rsidRPr="00403220">
        <w:rPr>
          <w:rFonts w:cs="Times New Roman"/>
          <w:szCs w:val="24"/>
          <w:lang w:val="fr-CA"/>
        </w:rPr>
        <w:t>’</w:t>
      </w:r>
      <w:r w:rsidRPr="00403220">
        <w:rPr>
          <w:rFonts w:cs="Times New Roman"/>
          <w:szCs w:val="24"/>
          <w:lang w:val="fr-CA"/>
        </w:rPr>
        <w:t>accord avec le Canada pour dire que la possibilité d</w:t>
      </w:r>
      <w:r w:rsidR="008372AA" w:rsidRPr="00403220">
        <w:rPr>
          <w:rFonts w:cs="Times New Roman"/>
          <w:szCs w:val="24"/>
          <w:lang w:val="fr-CA"/>
        </w:rPr>
        <w:t>’</w:t>
      </w:r>
      <w:r w:rsidRPr="00403220">
        <w:rPr>
          <w:rFonts w:cs="Times New Roman"/>
          <w:szCs w:val="24"/>
          <w:lang w:val="fr-CA"/>
        </w:rPr>
        <w:t xml:space="preserve">une responsabilité indéterminée porte un coup fatal aux allégations des compagnies de tabac </w:t>
      </w:r>
      <w:r w:rsidR="00997FBD" w:rsidRPr="00403220">
        <w:rPr>
          <w:rFonts w:cs="Times New Roman"/>
          <w:szCs w:val="24"/>
          <w:lang w:val="fr-CA"/>
        </w:rPr>
        <w:t xml:space="preserve">relatives aux </w:t>
      </w:r>
      <w:r w:rsidRPr="00403220">
        <w:rPr>
          <w:rFonts w:cs="Times New Roman"/>
          <w:szCs w:val="24"/>
          <w:lang w:val="fr-CA"/>
        </w:rPr>
        <w:t>déclaration</w:t>
      </w:r>
      <w:r w:rsidR="00997FBD" w:rsidRPr="00403220">
        <w:rPr>
          <w:rFonts w:cs="Times New Roman"/>
          <w:szCs w:val="24"/>
          <w:lang w:val="fr-CA"/>
        </w:rPr>
        <w:t>s</w:t>
      </w:r>
      <w:r w:rsidRPr="00403220">
        <w:rPr>
          <w:rFonts w:cs="Times New Roman"/>
          <w:szCs w:val="24"/>
          <w:lang w:val="fr-CA"/>
        </w:rPr>
        <w:t xml:space="preserve"> inexacte</w:t>
      </w:r>
      <w:r w:rsidR="00997FBD" w:rsidRPr="00403220">
        <w:rPr>
          <w:rFonts w:cs="Times New Roman"/>
          <w:szCs w:val="24"/>
          <w:lang w:val="fr-CA"/>
        </w:rPr>
        <w:t>s</w:t>
      </w:r>
      <w:r w:rsidRPr="00403220">
        <w:rPr>
          <w:rFonts w:cs="Times New Roman"/>
          <w:szCs w:val="24"/>
          <w:lang w:val="fr-CA"/>
        </w:rPr>
        <w:t xml:space="preserve"> faite</w:t>
      </w:r>
      <w:r w:rsidR="00997FBD" w:rsidRPr="00403220">
        <w:rPr>
          <w:rFonts w:cs="Times New Roman"/>
          <w:szCs w:val="24"/>
          <w:lang w:val="fr-CA"/>
        </w:rPr>
        <w:t>s</w:t>
      </w:r>
      <w:r w:rsidRPr="00403220">
        <w:rPr>
          <w:rFonts w:cs="Times New Roman"/>
          <w:szCs w:val="24"/>
          <w:lang w:val="fr-CA"/>
        </w:rPr>
        <w:t xml:space="preserve"> par négligence.  Dans la mesure où les allégations reposent sur des déclarations faites aux consommateurs, le Canada n</w:t>
      </w:r>
      <w:r w:rsidR="008372AA" w:rsidRPr="00403220">
        <w:rPr>
          <w:rFonts w:cs="Times New Roman"/>
          <w:szCs w:val="24"/>
          <w:lang w:val="fr-CA"/>
        </w:rPr>
        <w:t>’</w:t>
      </w:r>
      <w:r w:rsidRPr="00403220">
        <w:rPr>
          <w:rFonts w:cs="Times New Roman"/>
          <w:szCs w:val="24"/>
          <w:lang w:val="fr-CA"/>
        </w:rPr>
        <w:t>exerçait aucun contrôle sur le nombre de fumeurs de cigarettes légères. Cette situation est analogue à celle dans l</w:t>
      </w:r>
      <w:r w:rsidR="008372AA" w:rsidRPr="00403220">
        <w:rPr>
          <w:rFonts w:cs="Times New Roman"/>
          <w:szCs w:val="24"/>
          <w:lang w:val="fr-CA"/>
        </w:rPr>
        <w:t>’</w:t>
      </w:r>
      <w:r w:rsidRPr="00403220">
        <w:rPr>
          <w:rFonts w:cs="Times New Roman"/>
          <w:szCs w:val="24"/>
          <w:lang w:val="fr-CA"/>
        </w:rPr>
        <w:t xml:space="preserve">arrêt </w:t>
      </w:r>
      <w:r w:rsidRPr="00403220">
        <w:rPr>
          <w:rFonts w:cs="Times New Roman"/>
          <w:i/>
          <w:szCs w:val="24"/>
          <w:lang w:val="fr-CA"/>
        </w:rPr>
        <w:t>Cooper</w:t>
      </w:r>
      <w:r w:rsidRPr="00403220">
        <w:rPr>
          <w:rFonts w:cs="Times New Roman"/>
          <w:szCs w:val="24"/>
          <w:lang w:val="fr-CA"/>
        </w:rPr>
        <w:t xml:space="preserve"> </w:t>
      </w:r>
      <w:r w:rsidR="00997FBD" w:rsidRPr="00403220">
        <w:rPr>
          <w:rFonts w:cs="Times New Roman"/>
          <w:szCs w:val="24"/>
          <w:lang w:val="fr-CA"/>
        </w:rPr>
        <w:t xml:space="preserve">dans lequel </w:t>
      </w:r>
      <w:r w:rsidRPr="00403220">
        <w:rPr>
          <w:rFonts w:cs="Times New Roman"/>
          <w:szCs w:val="24"/>
          <w:lang w:val="fr-CA"/>
        </w:rPr>
        <w:t>notre Cour a affirmé qu</w:t>
      </w:r>
      <w:r w:rsidR="008372AA" w:rsidRPr="00403220">
        <w:rPr>
          <w:rFonts w:cs="Times New Roman"/>
          <w:szCs w:val="24"/>
          <w:lang w:val="fr-CA"/>
        </w:rPr>
        <w:t>’</w:t>
      </w:r>
      <w:r w:rsidRPr="00403220">
        <w:rPr>
          <w:rFonts w:cs="Times New Roman"/>
          <w:szCs w:val="24"/>
          <w:lang w:val="fr-CA"/>
        </w:rPr>
        <w:t>elle aurait refusé d</w:t>
      </w:r>
      <w:r w:rsidR="008372AA" w:rsidRPr="00403220">
        <w:rPr>
          <w:rFonts w:cs="Times New Roman"/>
          <w:szCs w:val="24"/>
          <w:lang w:val="fr-CA"/>
        </w:rPr>
        <w:t>’</w:t>
      </w:r>
      <w:r w:rsidRPr="00403220">
        <w:rPr>
          <w:rFonts w:cs="Times New Roman"/>
          <w:szCs w:val="24"/>
          <w:lang w:val="fr-CA"/>
        </w:rPr>
        <w:t xml:space="preserve">attribuer au </w:t>
      </w:r>
      <w:proofErr w:type="spellStart"/>
      <w:r w:rsidRPr="00403220">
        <w:rPr>
          <w:rFonts w:cs="Times New Roman"/>
          <w:szCs w:val="24"/>
          <w:lang w:val="fr-CA"/>
        </w:rPr>
        <w:t>registrateur</w:t>
      </w:r>
      <w:proofErr w:type="spellEnd"/>
      <w:r w:rsidRPr="00403220">
        <w:rPr>
          <w:rFonts w:cs="Times New Roman"/>
          <w:szCs w:val="24"/>
          <w:lang w:val="fr-CA"/>
        </w:rPr>
        <w:t xml:space="preserve"> des courtiers en hypothèques une obligation de diligence à l</w:t>
      </w:r>
      <w:r w:rsidR="008372AA" w:rsidRPr="00403220">
        <w:rPr>
          <w:rFonts w:cs="Times New Roman"/>
          <w:szCs w:val="24"/>
          <w:lang w:val="fr-CA"/>
        </w:rPr>
        <w:t>’</w:t>
      </w:r>
      <w:r w:rsidRPr="00403220">
        <w:rPr>
          <w:rFonts w:cs="Times New Roman"/>
          <w:szCs w:val="24"/>
          <w:lang w:val="fr-CA"/>
        </w:rPr>
        <w:t xml:space="preserve">égard des pertes </w:t>
      </w:r>
      <w:r w:rsidR="00DF40DF" w:rsidRPr="00403220">
        <w:rPr>
          <w:rFonts w:cs="Times New Roman"/>
          <w:szCs w:val="24"/>
          <w:lang w:val="fr-CA"/>
        </w:rPr>
        <w:t>financières</w:t>
      </w:r>
      <w:r w:rsidRPr="00403220">
        <w:rPr>
          <w:rFonts w:cs="Times New Roman"/>
          <w:szCs w:val="24"/>
          <w:lang w:val="fr-CA"/>
        </w:rPr>
        <w:t xml:space="preserve"> subies par les invest</w:t>
      </w:r>
      <w:r w:rsidR="00EB7DB6" w:rsidRPr="00403220">
        <w:rPr>
          <w:rFonts w:cs="Times New Roman"/>
          <w:szCs w:val="24"/>
          <w:lang w:val="fr-CA"/>
        </w:rPr>
        <w:t>isseurs, parce que « </w:t>
      </w:r>
      <w:r w:rsidRPr="00403220">
        <w:rPr>
          <w:rFonts w:cs="Times New Roman"/>
          <w:szCs w:val="24"/>
          <w:lang w:val="fr-CA"/>
        </w:rPr>
        <w:t>[l]a Loi elle</w:t>
      </w:r>
      <w:r w:rsidR="00B85006">
        <w:rPr>
          <w:rFonts w:cs="Times New Roman"/>
          <w:szCs w:val="24"/>
          <w:lang w:val="fr-CA"/>
        </w:rPr>
        <w:t>-</w:t>
      </w:r>
      <w:r w:rsidRPr="00403220">
        <w:rPr>
          <w:rFonts w:cs="Times New Roman"/>
          <w:szCs w:val="24"/>
          <w:lang w:val="fr-CA"/>
        </w:rPr>
        <w:t>même n</w:t>
      </w:r>
      <w:r w:rsidR="008372AA" w:rsidRPr="00403220">
        <w:rPr>
          <w:rFonts w:cs="Times New Roman"/>
          <w:szCs w:val="24"/>
          <w:lang w:val="fr-CA"/>
        </w:rPr>
        <w:t>’</w:t>
      </w:r>
      <w:r w:rsidRPr="00403220">
        <w:rPr>
          <w:rFonts w:cs="Times New Roman"/>
          <w:szCs w:val="24"/>
          <w:lang w:val="fr-CA"/>
        </w:rPr>
        <w:t>impose aucune limite au nombre de</w:t>
      </w:r>
      <w:r w:rsidR="00566993" w:rsidRPr="00403220">
        <w:rPr>
          <w:rFonts w:cs="Times New Roman"/>
          <w:szCs w:val="24"/>
          <w:lang w:val="fr-CA"/>
        </w:rPr>
        <w:t>s investisseurs et aux montants</w:t>
      </w:r>
      <w:r w:rsidR="00B85006">
        <w:rPr>
          <w:rFonts w:cs="Times New Roman"/>
          <w:szCs w:val="24"/>
          <w:lang w:val="fr-CA"/>
        </w:rPr>
        <w:t xml:space="preserve"> d’argent </w:t>
      </w:r>
      <w:r w:rsidRPr="00403220">
        <w:rPr>
          <w:rFonts w:cs="Times New Roman"/>
          <w:szCs w:val="24"/>
          <w:lang w:val="fr-CA"/>
        </w:rPr>
        <w:t xml:space="preserve">investis dans le système de courtage en hypothèques, et le </w:t>
      </w:r>
      <w:proofErr w:type="spellStart"/>
      <w:r w:rsidRPr="00403220">
        <w:rPr>
          <w:rFonts w:cs="Times New Roman"/>
          <w:szCs w:val="24"/>
          <w:lang w:val="fr-CA"/>
        </w:rPr>
        <w:t>registrateur</w:t>
      </w:r>
      <w:proofErr w:type="spellEnd"/>
      <w:r w:rsidRPr="00403220">
        <w:rPr>
          <w:rFonts w:cs="Times New Roman"/>
          <w:szCs w:val="24"/>
          <w:lang w:val="fr-CA"/>
        </w:rPr>
        <w:t xml:space="preserve"> ne dispose d</w:t>
      </w:r>
      <w:r w:rsidR="008372AA" w:rsidRPr="00403220">
        <w:rPr>
          <w:rFonts w:cs="Times New Roman"/>
          <w:szCs w:val="24"/>
          <w:lang w:val="fr-CA"/>
        </w:rPr>
        <w:t>’</w:t>
      </w:r>
      <w:r w:rsidRPr="00403220">
        <w:rPr>
          <w:rFonts w:cs="Times New Roman"/>
          <w:szCs w:val="24"/>
          <w:lang w:val="fr-CA"/>
        </w:rPr>
        <w:t>aucun moyen pour les contrôler » (</w:t>
      </w:r>
      <w:r w:rsidR="00A54DAC" w:rsidRPr="00403220">
        <w:rPr>
          <w:rFonts w:cs="Times New Roman"/>
          <w:szCs w:val="24"/>
          <w:lang w:val="fr-CA"/>
        </w:rPr>
        <w:t>par. </w:t>
      </w:r>
      <w:r w:rsidRPr="00403220">
        <w:rPr>
          <w:rFonts w:cs="Times New Roman"/>
          <w:szCs w:val="24"/>
          <w:lang w:val="fr-CA"/>
        </w:rPr>
        <w:t xml:space="preserve">54).  Cette affirmation </w:t>
      </w:r>
      <w:r w:rsidR="00997FBD" w:rsidRPr="00403220">
        <w:rPr>
          <w:rFonts w:cs="Times New Roman"/>
          <w:szCs w:val="24"/>
          <w:lang w:val="fr-CA"/>
        </w:rPr>
        <w:t xml:space="preserve">constituait </w:t>
      </w:r>
      <w:r w:rsidRPr="00403220">
        <w:rPr>
          <w:rFonts w:cs="Times New Roman"/>
          <w:szCs w:val="24"/>
          <w:lang w:val="fr-CA"/>
        </w:rPr>
        <w:t>une remarque incidente, mais il s</w:t>
      </w:r>
      <w:r w:rsidR="008372AA" w:rsidRPr="00403220">
        <w:rPr>
          <w:rFonts w:cs="Times New Roman"/>
          <w:szCs w:val="24"/>
          <w:lang w:val="fr-CA"/>
        </w:rPr>
        <w:t>’</w:t>
      </w:r>
      <w:r w:rsidRPr="00403220">
        <w:rPr>
          <w:rFonts w:cs="Times New Roman"/>
          <w:szCs w:val="24"/>
          <w:lang w:val="fr-CA"/>
        </w:rPr>
        <w:t>agit d</w:t>
      </w:r>
      <w:r w:rsidR="008372AA" w:rsidRPr="00403220">
        <w:rPr>
          <w:rFonts w:cs="Times New Roman"/>
          <w:szCs w:val="24"/>
          <w:lang w:val="fr-CA"/>
        </w:rPr>
        <w:t>’</w:t>
      </w:r>
      <w:r w:rsidRPr="00403220">
        <w:rPr>
          <w:rFonts w:cs="Times New Roman"/>
          <w:szCs w:val="24"/>
          <w:lang w:val="fr-CA"/>
        </w:rPr>
        <w:t>un argument</w:t>
      </w:r>
      <w:r w:rsidR="00997FBD" w:rsidRPr="00403220">
        <w:rPr>
          <w:rFonts w:cs="Times New Roman"/>
          <w:szCs w:val="24"/>
          <w:lang w:val="fr-CA"/>
        </w:rPr>
        <w:t xml:space="preserve"> convaincant</w:t>
      </w:r>
      <w:r w:rsidRPr="00403220">
        <w:rPr>
          <w:rFonts w:cs="Times New Roman"/>
          <w:szCs w:val="24"/>
          <w:lang w:val="fr-CA"/>
        </w:rPr>
        <w:t>.</w:t>
      </w:r>
    </w:p>
    <w:p w:rsidR="0047179D" w:rsidRPr="00403220" w:rsidRDefault="0047179D" w:rsidP="009168E8">
      <w:pPr>
        <w:pStyle w:val="ParaNoNdepar-AltN"/>
        <w:rPr>
          <w:rFonts w:cs="Times New Roman"/>
          <w:szCs w:val="24"/>
          <w:lang w:val="fr-CA"/>
        </w:rPr>
      </w:pPr>
      <w:r w:rsidRPr="00403220">
        <w:rPr>
          <w:rFonts w:cs="Times New Roman"/>
          <w:szCs w:val="24"/>
          <w:lang w:val="fr-CA"/>
        </w:rPr>
        <w:lastRenderedPageBreak/>
        <w:t xml:space="preserve">Le risque de responsabilité indéterminée est aggravé par le caractère purement </w:t>
      </w:r>
      <w:r w:rsidR="00997FBD" w:rsidRPr="00403220">
        <w:rPr>
          <w:rFonts w:cs="Times New Roman"/>
          <w:szCs w:val="24"/>
          <w:lang w:val="fr-CA"/>
        </w:rPr>
        <w:t xml:space="preserve">financier </w:t>
      </w:r>
      <w:r w:rsidRPr="00403220">
        <w:rPr>
          <w:rFonts w:cs="Times New Roman"/>
          <w:szCs w:val="24"/>
          <w:lang w:val="fr-CA"/>
        </w:rPr>
        <w:t>de</w:t>
      </w:r>
      <w:r w:rsidR="00997FBD" w:rsidRPr="00403220">
        <w:rPr>
          <w:rFonts w:cs="Times New Roman"/>
          <w:szCs w:val="24"/>
          <w:lang w:val="fr-CA"/>
        </w:rPr>
        <w:t xml:space="preserve"> la perte </w:t>
      </w:r>
      <w:r w:rsidRPr="00403220">
        <w:rPr>
          <w:rFonts w:cs="Times New Roman"/>
          <w:szCs w:val="24"/>
          <w:lang w:val="fr-CA"/>
        </w:rPr>
        <w:t>allég</w:t>
      </w:r>
      <w:r w:rsidR="00997FBD" w:rsidRPr="00403220">
        <w:rPr>
          <w:rFonts w:cs="Times New Roman"/>
          <w:szCs w:val="24"/>
          <w:lang w:val="fr-CA"/>
        </w:rPr>
        <w:t>uée</w:t>
      </w:r>
      <w:r w:rsidRPr="00403220">
        <w:rPr>
          <w:rFonts w:cs="Times New Roman"/>
          <w:szCs w:val="24"/>
          <w:lang w:val="fr-CA"/>
        </w:rPr>
        <w:t xml:space="preserve">.  Dans </w:t>
      </w:r>
      <w:r w:rsidRPr="00403220">
        <w:rPr>
          <w:rFonts w:cs="Times New Roman"/>
          <w:i/>
          <w:szCs w:val="24"/>
          <w:lang w:val="fr-CA"/>
        </w:rPr>
        <w:t xml:space="preserve">Design Services </w:t>
      </w:r>
      <w:r w:rsidR="00997FBD" w:rsidRPr="00403220">
        <w:rPr>
          <w:rFonts w:cs="Times New Roman"/>
          <w:i/>
          <w:szCs w:val="24"/>
          <w:lang w:val="fr-CA"/>
        </w:rPr>
        <w:t xml:space="preserve">Ltd. </w:t>
      </w:r>
      <w:r w:rsidRPr="00403220">
        <w:rPr>
          <w:rFonts w:cs="Times New Roman"/>
          <w:i/>
          <w:szCs w:val="24"/>
          <w:lang w:val="fr-CA"/>
        </w:rPr>
        <w:t>c. Canada</w:t>
      </w:r>
      <w:r w:rsidRPr="00403220">
        <w:rPr>
          <w:rFonts w:cs="Times New Roman"/>
          <w:szCs w:val="24"/>
          <w:lang w:val="fr-CA"/>
        </w:rPr>
        <w:t xml:space="preserve">, </w:t>
      </w:r>
      <w:r w:rsidR="00997FBD" w:rsidRPr="00403220">
        <w:rPr>
          <w:rFonts w:cs="Times New Roman"/>
          <w:szCs w:val="24"/>
          <w:lang w:val="fr-CA"/>
        </w:rPr>
        <w:t xml:space="preserve">2008 CSC 22, </w:t>
      </w:r>
      <w:r w:rsidRPr="00403220">
        <w:rPr>
          <w:rFonts w:cs="Times New Roman"/>
          <w:szCs w:val="24"/>
          <w:lang w:val="fr-CA"/>
        </w:rPr>
        <w:t xml:space="preserve">[2008] 1 R.C.S. 737, sous la plume du juge </w:t>
      </w:r>
      <w:proofErr w:type="spellStart"/>
      <w:r w:rsidRPr="00403220">
        <w:rPr>
          <w:rFonts w:cs="Times New Roman"/>
          <w:szCs w:val="24"/>
          <w:lang w:val="fr-CA"/>
        </w:rPr>
        <w:t>Rothstein</w:t>
      </w:r>
      <w:proofErr w:type="spellEnd"/>
      <w:r w:rsidRPr="00403220">
        <w:rPr>
          <w:rFonts w:cs="Times New Roman"/>
          <w:szCs w:val="24"/>
          <w:lang w:val="fr-CA"/>
        </w:rPr>
        <w:t xml:space="preserve">, la Cour </w:t>
      </w:r>
      <w:r w:rsidR="006B6EFC" w:rsidRPr="00403220">
        <w:rPr>
          <w:rFonts w:cs="Times New Roman"/>
          <w:szCs w:val="24"/>
          <w:lang w:val="fr-CA"/>
        </w:rPr>
        <w:t>a mentionné que « </w:t>
      </w:r>
      <w:r w:rsidRPr="00403220">
        <w:rPr>
          <w:rFonts w:cs="Times New Roman"/>
          <w:szCs w:val="24"/>
          <w:lang w:val="fr-CA"/>
        </w:rPr>
        <w:t xml:space="preserve">dans les cas de perte purement </w:t>
      </w:r>
      <w:r w:rsidR="00997FBD" w:rsidRPr="00403220">
        <w:rPr>
          <w:rFonts w:cs="Times New Roman"/>
          <w:szCs w:val="24"/>
          <w:lang w:val="fr-CA"/>
        </w:rPr>
        <w:t>financière</w:t>
      </w:r>
      <w:r w:rsidRPr="00403220">
        <w:rPr>
          <w:rFonts w:cs="Times New Roman"/>
          <w:szCs w:val="24"/>
          <w:lang w:val="fr-CA"/>
        </w:rPr>
        <w:t xml:space="preserve">, il faut, pour paraphraser le juge en chef </w:t>
      </w:r>
      <w:proofErr w:type="spellStart"/>
      <w:r w:rsidRPr="00403220">
        <w:rPr>
          <w:rFonts w:cs="Times New Roman"/>
          <w:szCs w:val="24"/>
          <w:lang w:val="fr-CA"/>
        </w:rPr>
        <w:t>Cardozo</w:t>
      </w:r>
      <w:proofErr w:type="spellEnd"/>
      <w:r w:rsidRPr="00403220">
        <w:rPr>
          <w:rFonts w:cs="Times New Roman"/>
          <w:szCs w:val="24"/>
          <w:lang w:val="fr-CA"/>
        </w:rPr>
        <w:t>, prendre soin de ne reconnaître une obligation que dans la mesure où l</w:t>
      </w:r>
      <w:r w:rsidR="008372AA" w:rsidRPr="00403220">
        <w:rPr>
          <w:rFonts w:cs="Times New Roman"/>
          <w:szCs w:val="24"/>
          <w:lang w:val="fr-CA"/>
        </w:rPr>
        <w:t>’</w:t>
      </w:r>
      <w:r w:rsidRPr="00403220">
        <w:rPr>
          <w:rFonts w:cs="Times New Roman"/>
          <w:szCs w:val="24"/>
          <w:lang w:val="fr-CA"/>
        </w:rPr>
        <w:t>on peut déterminer la catégorie des demandeurs, la p</w:t>
      </w:r>
      <w:r w:rsidR="006B6EFC" w:rsidRPr="00403220">
        <w:rPr>
          <w:rFonts w:cs="Times New Roman"/>
          <w:szCs w:val="24"/>
          <w:lang w:val="fr-CA"/>
        </w:rPr>
        <w:t>ériode et les montants en cause </w:t>
      </w:r>
      <w:r w:rsidRPr="00403220">
        <w:rPr>
          <w:rFonts w:cs="Times New Roman"/>
          <w:szCs w:val="24"/>
          <w:lang w:val="fr-CA"/>
        </w:rPr>
        <w:t>»</w:t>
      </w:r>
      <w:r w:rsidR="006B6EFC" w:rsidRPr="00403220">
        <w:rPr>
          <w:rFonts w:cs="Times New Roman"/>
          <w:szCs w:val="24"/>
          <w:lang w:val="fr-CA"/>
        </w:rPr>
        <w:t xml:space="preserve"> </w:t>
      </w:r>
      <w:r w:rsidRPr="00403220">
        <w:rPr>
          <w:rFonts w:cs="Times New Roman"/>
          <w:szCs w:val="24"/>
          <w:lang w:val="fr-CA"/>
        </w:rPr>
        <w:t>(</w:t>
      </w:r>
      <w:r w:rsidR="00A54DAC" w:rsidRPr="00403220">
        <w:rPr>
          <w:rFonts w:cs="Times New Roman"/>
          <w:szCs w:val="24"/>
          <w:lang w:val="fr-CA"/>
        </w:rPr>
        <w:t>par. </w:t>
      </w:r>
      <w:r w:rsidRPr="00403220">
        <w:rPr>
          <w:rFonts w:cs="Times New Roman"/>
          <w:szCs w:val="24"/>
          <w:lang w:val="fr-CA"/>
        </w:rPr>
        <w:t>62).  Si le Canada avait une obligation de diligence envers les fumeurs de cigarettes légères, le nombre potentiel de demandeurs et l</w:t>
      </w:r>
      <w:r w:rsidR="008372AA" w:rsidRPr="00403220">
        <w:rPr>
          <w:rFonts w:cs="Times New Roman"/>
          <w:szCs w:val="24"/>
          <w:lang w:val="fr-CA"/>
        </w:rPr>
        <w:t>’</w:t>
      </w:r>
      <w:r w:rsidRPr="00403220">
        <w:rPr>
          <w:rFonts w:cs="Times New Roman"/>
          <w:szCs w:val="24"/>
          <w:lang w:val="fr-CA"/>
        </w:rPr>
        <w:t xml:space="preserve">ampleur de la responsabilité seraient indéterminés. </w:t>
      </w:r>
    </w:p>
    <w:p w:rsidR="0047179D" w:rsidRPr="00403220" w:rsidRDefault="0047179D" w:rsidP="009168E8">
      <w:pPr>
        <w:pStyle w:val="ParaNoNdepar-AltN"/>
        <w:rPr>
          <w:rFonts w:cs="Times New Roman"/>
          <w:szCs w:val="24"/>
          <w:lang w:val="fr-CA"/>
        </w:rPr>
      </w:pPr>
      <w:r w:rsidRPr="00403220">
        <w:rPr>
          <w:rFonts w:cs="Times New Roman"/>
          <w:szCs w:val="24"/>
          <w:lang w:val="fr-CA"/>
        </w:rPr>
        <w:t>Dans la mesure où les allégations reposent sur des déclarations faites aux compagnies de tabac, elles semblent plus limitées à première vue.  Cette distinction ne résiste toutefois pas à l</w:t>
      </w:r>
      <w:r w:rsidR="008372AA" w:rsidRPr="00403220">
        <w:rPr>
          <w:rFonts w:cs="Times New Roman"/>
          <w:szCs w:val="24"/>
          <w:lang w:val="fr-CA"/>
        </w:rPr>
        <w:t>’</w:t>
      </w:r>
      <w:r w:rsidRPr="00403220">
        <w:rPr>
          <w:rFonts w:cs="Times New Roman"/>
          <w:szCs w:val="24"/>
          <w:lang w:val="fr-CA"/>
        </w:rPr>
        <w:t>analyse.  Si l</w:t>
      </w:r>
      <w:r w:rsidR="008372AA" w:rsidRPr="00403220">
        <w:rPr>
          <w:rFonts w:cs="Times New Roman"/>
          <w:szCs w:val="24"/>
          <w:lang w:val="fr-CA"/>
        </w:rPr>
        <w:t>’</w:t>
      </w:r>
      <w:r w:rsidRPr="00403220">
        <w:rPr>
          <w:rFonts w:cs="Times New Roman"/>
          <w:szCs w:val="24"/>
          <w:lang w:val="fr-CA"/>
        </w:rPr>
        <w:t>on reconnaissait une obligation de diligence à l</w:t>
      </w:r>
      <w:r w:rsidR="008372AA" w:rsidRPr="00403220">
        <w:rPr>
          <w:rFonts w:cs="Times New Roman"/>
          <w:szCs w:val="24"/>
          <w:lang w:val="fr-CA"/>
        </w:rPr>
        <w:t>’</w:t>
      </w:r>
      <w:r w:rsidRPr="00403220">
        <w:rPr>
          <w:rFonts w:cs="Times New Roman"/>
          <w:szCs w:val="24"/>
          <w:lang w:val="fr-CA"/>
        </w:rPr>
        <w:t xml:space="preserve">égard des déclarations faites aux compagnies de tabac, cela reviendrait effectivement à </w:t>
      </w:r>
      <w:r w:rsidR="000E2CB4" w:rsidRPr="00403220">
        <w:rPr>
          <w:rFonts w:cs="Times New Roman"/>
          <w:szCs w:val="24"/>
          <w:lang w:val="fr-CA"/>
        </w:rPr>
        <w:t xml:space="preserve">reconnaître </w:t>
      </w:r>
      <w:r w:rsidRPr="00403220">
        <w:rPr>
          <w:rFonts w:cs="Times New Roman"/>
          <w:szCs w:val="24"/>
          <w:lang w:val="fr-CA"/>
        </w:rPr>
        <w:t xml:space="preserve">une obligation envers les consommateurs, vu que le montant des </w:t>
      </w:r>
      <w:proofErr w:type="spellStart"/>
      <w:r w:rsidRPr="00403220">
        <w:rPr>
          <w:rFonts w:cs="Times New Roman"/>
          <w:szCs w:val="24"/>
          <w:lang w:val="fr-CA"/>
        </w:rPr>
        <w:t>dommages</w:t>
      </w:r>
      <w:r w:rsidR="00A54DAC" w:rsidRPr="00403220">
        <w:rPr>
          <w:rFonts w:cs="Times New Roman"/>
          <w:szCs w:val="24"/>
          <w:lang w:val="fr-CA"/>
        </w:rPr>
        <w:noBreakHyphen/>
      </w:r>
      <w:r w:rsidRPr="00403220">
        <w:rPr>
          <w:rFonts w:cs="Times New Roman"/>
          <w:szCs w:val="24"/>
          <w:lang w:val="fr-CA"/>
        </w:rPr>
        <w:t>intérêts</w:t>
      </w:r>
      <w:proofErr w:type="spellEnd"/>
      <w:r w:rsidRPr="00403220">
        <w:rPr>
          <w:rFonts w:cs="Times New Roman"/>
          <w:szCs w:val="24"/>
          <w:lang w:val="fr-CA"/>
        </w:rPr>
        <w:t xml:space="preserve"> dus aux compagnies de tabac dans les deux cas dépendrait du nombre de fumeurs et </w:t>
      </w:r>
      <w:r w:rsidR="000E2CB4" w:rsidRPr="00403220">
        <w:rPr>
          <w:rFonts w:cs="Times New Roman"/>
          <w:szCs w:val="24"/>
          <w:lang w:val="fr-CA"/>
        </w:rPr>
        <w:t xml:space="preserve">du nombre </w:t>
      </w:r>
      <w:r w:rsidRPr="00403220">
        <w:rPr>
          <w:rFonts w:cs="Times New Roman"/>
          <w:szCs w:val="24"/>
          <w:lang w:val="fr-CA"/>
        </w:rPr>
        <w:t>de cigarettes vendues.  Il s</w:t>
      </w:r>
      <w:r w:rsidR="008372AA" w:rsidRPr="00403220">
        <w:rPr>
          <w:rFonts w:cs="Times New Roman"/>
          <w:szCs w:val="24"/>
          <w:lang w:val="fr-CA"/>
        </w:rPr>
        <w:t>’</w:t>
      </w:r>
      <w:r w:rsidRPr="00403220">
        <w:rPr>
          <w:rFonts w:cs="Times New Roman"/>
          <w:szCs w:val="24"/>
          <w:lang w:val="fr-CA"/>
        </w:rPr>
        <w:t>agit d</w:t>
      </w:r>
      <w:r w:rsidR="008372AA" w:rsidRPr="00403220">
        <w:rPr>
          <w:rFonts w:cs="Times New Roman"/>
          <w:szCs w:val="24"/>
          <w:lang w:val="fr-CA"/>
        </w:rPr>
        <w:t>’</w:t>
      </w:r>
      <w:r w:rsidRPr="00403220">
        <w:rPr>
          <w:rFonts w:cs="Times New Roman"/>
          <w:szCs w:val="24"/>
          <w:lang w:val="fr-CA"/>
        </w:rPr>
        <w:t xml:space="preserve">allégations de déclaration inexacte faite par négligence par lesquelles les compagnies de tabac détournent leur responsabilité potentielle vers les consommateurs et la province de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xml:space="preserve">.  À mon avis, il faut rejeter </w:t>
      </w:r>
      <w:r w:rsidRPr="00403220">
        <w:rPr>
          <w:rFonts w:cs="Times New Roman"/>
          <w:szCs w:val="24"/>
          <w:lang w:val="fr-CA"/>
        </w:rPr>
        <w:lastRenderedPageBreak/>
        <w:t>ces allégations dans les deux cas</w:t>
      </w:r>
      <w:r w:rsidR="00EF30DB" w:rsidRPr="00403220">
        <w:rPr>
          <w:rFonts w:cs="Times New Roman"/>
          <w:szCs w:val="24"/>
          <w:lang w:val="fr-CA"/>
        </w:rPr>
        <w:t>,</w:t>
      </w:r>
      <w:r w:rsidRPr="00403220">
        <w:rPr>
          <w:rFonts w:cs="Times New Roman"/>
          <w:szCs w:val="24"/>
          <w:lang w:val="fr-CA"/>
        </w:rPr>
        <w:t xml:space="preserve"> parce que le Canada </w:t>
      </w:r>
      <w:r w:rsidR="00EF30DB" w:rsidRPr="00403220">
        <w:rPr>
          <w:rFonts w:cs="Times New Roman"/>
          <w:szCs w:val="24"/>
          <w:lang w:val="fr-CA"/>
        </w:rPr>
        <w:t>n’avait aucune prise sur</w:t>
      </w:r>
      <w:r w:rsidRPr="00403220">
        <w:rPr>
          <w:rFonts w:cs="Times New Roman"/>
          <w:szCs w:val="24"/>
          <w:lang w:val="fr-CA"/>
        </w:rPr>
        <w:t xml:space="preserve"> l</w:t>
      </w:r>
      <w:r w:rsidR="008372AA" w:rsidRPr="00403220">
        <w:rPr>
          <w:rFonts w:cs="Times New Roman"/>
          <w:szCs w:val="24"/>
          <w:lang w:val="fr-CA"/>
        </w:rPr>
        <w:t>’</w:t>
      </w:r>
      <w:r w:rsidRPr="00403220">
        <w:rPr>
          <w:rFonts w:cs="Times New Roman"/>
          <w:szCs w:val="24"/>
          <w:lang w:val="fr-CA"/>
        </w:rPr>
        <w:t xml:space="preserve">ampleur de sa responsabilité potentielle.   </w:t>
      </w:r>
    </w:p>
    <w:p w:rsidR="0047179D" w:rsidRPr="00403220" w:rsidRDefault="00B85006" w:rsidP="00B85006">
      <w:pPr>
        <w:pStyle w:val="TitleTitre-AltT"/>
        <w:keepNext/>
        <w:tabs>
          <w:tab w:val="clear" w:pos="360"/>
          <w:tab w:val="left" w:pos="1170"/>
        </w:tabs>
        <w:spacing w:after="720"/>
        <w:ind w:left="1620" w:hanging="1620"/>
        <w:rPr>
          <w:rFonts w:cs="Times New Roman"/>
          <w:i/>
          <w:szCs w:val="24"/>
          <w:lang w:val="fr-CA"/>
        </w:rPr>
      </w:pPr>
      <w:r>
        <w:rPr>
          <w:rFonts w:cs="Times New Roman"/>
          <w:szCs w:val="24"/>
          <w:lang w:val="fr-CA"/>
        </w:rPr>
        <w:tab/>
      </w:r>
      <w:bookmarkStart w:id="22" w:name="_Toc314735122"/>
      <w:r w:rsidR="008230AF" w:rsidRPr="00403220">
        <w:rPr>
          <w:rFonts w:cs="Times New Roman"/>
          <w:szCs w:val="24"/>
          <w:lang w:val="fr-CA"/>
        </w:rPr>
        <w:t>c)</w:t>
      </w:r>
      <w:r w:rsidR="0086265E" w:rsidRPr="00403220">
        <w:rPr>
          <w:rFonts w:cs="Times New Roman"/>
          <w:i/>
          <w:szCs w:val="24"/>
          <w:lang w:val="fr-CA"/>
        </w:rPr>
        <w:tab/>
      </w:r>
      <w:r w:rsidR="00DF40DF" w:rsidRPr="00403220">
        <w:rPr>
          <w:rFonts w:cs="Times New Roman"/>
          <w:i/>
          <w:szCs w:val="24"/>
          <w:lang w:val="fr-CA"/>
        </w:rPr>
        <w:t xml:space="preserve">Résumé quant </w:t>
      </w:r>
      <w:r w:rsidR="000E2CB4" w:rsidRPr="00403220">
        <w:rPr>
          <w:rFonts w:cs="Times New Roman"/>
          <w:i/>
          <w:szCs w:val="24"/>
          <w:lang w:val="fr-CA"/>
        </w:rPr>
        <w:t xml:space="preserve">aux </w:t>
      </w:r>
      <w:r w:rsidR="0047179D" w:rsidRPr="00403220">
        <w:rPr>
          <w:rFonts w:cs="Times New Roman"/>
          <w:i/>
          <w:szCs w:val="24"/>
          <w:lang w:val="fr-CA"/>
        </w:rPr>
        <w:t xml:space="preserve">arguments </w:t>
      </w:r>
      <w:r w:rsidR="00EF30DB" w:rsidRPr="00403220">
        <w:rPr>
          <w:rFonts w:cs="Times New Roman"/>
          <w:i/>
          <w:szCs w:val="24"/>
          <w:lang w:val="fr-CA"/>
        </w:rPr>
        <w:t>de politique générale</w:t>
      </w:r>
      <w:r w:rsidR="000E2CB4" w:rsidRPr="00403220">
        <w:rPr>
          <w:rFonts w:cs="Times New Roman"/>
          <w:i/>
          <w:szCs w:val="24"/>
          <w:lang w:val="fr-CA"/>
        </w:rPr>
        <w:t xml:space="preserve"> </w:t>
      </w:r>
      <w:r w:rsidR="00A4754D" w:rsidRPr="00403220">
        <w:rPr>
          <w:rFonts w:cs="Times New Roman"/>
          <w:i/>
          <w:szCs w:val="24"/>
          <w:lang w:val="fr-CA"/>
        </w:rPr>
        <w:t xml:space="preserve">soulevés </w:t>
      </w:r>
      <w:r w:rsidR="00EF30DB" w:rsidRPr="00403220">
        <w:rPr>
          <w:rFonts w:cs="Times New Roman"/>
          <w:i/>
          <w:szCs w:val="24"/>
          <w:lang w:val="fr-CA"/>
        </w:rPr>
        <w:t>à</w:t>
      </w:r>
      <w:r w:rsidR="000E2CB4" w:rsidRPr="00403220">
        <w:rPr>
          <w:rFonts w:cs="Times New Roman"/>
          <w:i/>
          <w:szCs w:val="24"/>
          <w:lang w:val="fr-CA"/>
        </w:rPr>
        <w:t xml:space="preserve"> la </w:t>
      </w:r>
      <w:r w:rsidR="0047179D" w:rsidRPr="00403220">
        <w:rPr>
          <w:rFonts w:cs="Times New Roman"/>
          <w:i/>
          <w:szCs w:val="24"/>
          <w:lang w:val="fr-CA"/>
        </w:rPr>
        <w:t>deuxième étape de l</w:t>
      </w:r>
      <w:r w:rsidR="008372AA" w:rsidRPr="00403220">
        <w:rPr>
          <w:rFonts w:cs="Times New Roman"/>
          <w:i/>
          <w:szCs w:val="24"/>
          <w:lang w:val="fr-CA"/>
        </w:rPr>
        <w:t>’</w:t>
      </w:r>
      <w:r w:rsidR="0047179D" w:rsidRPr="00403220">
        <w:rPr>
          <w:rFonts w:cs="Times New Roman"/>
          <w:i/>
          <w:szCs w:val="24"/>
          <w:lang w:val="fr-CA"/>
        </w:rPr>
        <w:t>analyse</w:t>
      </w:r>
      <w:bookmarkEnd w:id="22"/>
      <w:r w:rsidR="0047179D" w:rsidRPr="00403220">
        <w:rPr>
          <w:rFonts w:cs="Times New Roman"/>
          <w:i/>
          <w:szCs w:val="24"/>
          <w:lang w:val="fr-CA"/>
        </w:rPr>
        <w:t xml:space="preserve"> </w:t>
      </w:r>
    </w:p>
    <w:p w:rsidR="0047179D" w:rsidRPr="00403220" w:rsidRDefault="0047179D" w:rsidP="009168E8">
      <w:pPr>
        <w:pStyle w:val="ParaNoNdepar-AltN"/>
        <w:rPr>
          <w:rFonts w:cs="Times New Roman"/>
          <w:szCs w:val="24"/>
          <w:lang w:val="fr-CA"/>
        </w:rPr>
      </w:pPr>
      <w:r w:rsidRPr="00403220">
        <w:rPr>
          <w:rFonts w:cs="Times New Roman"/>
          <w:szCs w:val="24"/>
          <w:lang w:val="fr-CA"/>
        </w:rPr>
        <w:t>J</w:t>
      </w:r>
      <w:r w:rsidR="008372AA" w:rsidRPr="00403220">
        <w:rPr>
          <w:rFonts w:cs="Times New Roman"/>
          <w:szCs w:val="24"/>
          <w:lang w:val="fr-CA"/>
        </w:rPr>
        <w:t>’</w:t>
      </w:r>
      <w:r w:rsidRPr="00403220">
        <w:rPr>
          <w:rFonts w:cs="Times New Roman"/>
          <w:szCs w:val="24"/>
          <w:lang w:val="fr-CA"/>
        </w:rPr>
        <w:t>estime que notre Cour doit radier les allégations de déclaration</w:t>
      </w:r>
      <w:r w:rsidR="00A4754D" w:rsidRPr="00403220">
        <w:rPr>
          <w:rFonts w:cs="Times New Roman"/>
          <w:szCs w:val="24"/>
          <w:lang w:val="fr-CA"/>
        </w:rPr>
        <w:t>s</w:t>
      </w:r>
      <w:r w:rsidRPr="00403220">
        <w:rPr>
          <w:rFonts w:cs="Times New Roman"/>
          <w:szCs w:val="24"/>
          <w:lang w:val="fr-CA"/>
        </w:rPr>
        <w:t xml:space="preserve"> inexacte</w:t>
      </w:r>
      <w:r w:rsidR="00A4754D" w:rsidRPr="00403220">
        <w:rPr>
          <w:rFonts w:cs="Times New Roman"/>
          <w:szCs w:val="24"/>
          <w:lang w:val="fr-CA"/>
        </w:rPr>
        <w:t>s</w:t>
      </w:r>
      <w:r w:rsidRPr="00403220">
        <w:rPr>
          <w:rFonts w:cs="Times New Roman"/>
          <w:szCs w:val="24"/>
          <w:lang w:val="fr-CA"/>
        </w:rPr>
        <w:t xml:space="preserve"> faite</w:t>
      </w:r>
      <w:r w:rsidR="00A4754D" w:rsidRPr="00403220">
        <w:rPr>
          <w:rFonts w:cs="Times New Roman"/>
          <w:szCs w:val="24"/>
          <w:lang w:val="fr-CA"/>
        </w:rPr>
        <w:t>s</w:t>
      </w:r>
      <w:r w:rsidRPr="00403220">
        <w:rPr>
          <w:rFonts w:cs="Times New Roman"/>
          <w:szCs w:val="24"/>
          <w:lang w:val="fr-CA"/>
        </w:rPr>
        <w:t xml:space="preserve"> par négligence dans les deux </w:t>
      </w:r>
      <w:r w:rsidR="00EF30DB" w:rsidRPr="00403220">
        <w:rPr>
          <w:rFonts w:cs="Times New Roman"/>
          <w:szCs w:val="24"/>
          <w:lang w:val="fr-CA"/>
        </w:rPr>
        <w:t>pourvois</w:t>
      </w:r>
      <w:r w:rsidRPr="00403220">
        <w:rPr>
          <w:rFonts w:cs="Times New Roman"/>
          <w:szCs w:val="24"/>
          <w:lang w:val="fr-CA"/>
        </w:rPr>
        <w:t xml:space="preserve"> en raison de</w:t>
      </w:r>
      <w:r w:rsidR="00EF30DB" w:rsidRPr="00403220">
        <w:rPr>
          <w:rFonts w:cs="Times New Roman"/>
          <w:szCs w:val="24"/>
          <w:lang w:val="fr-CA"/>
        </w:rPr>
        <w:t xml:space="preserve"> considérations de politique générale</w:t>
      </w:r>
      <w:r w:rsidRPr="00403220">
        <w:rPr>
          <w:rFonts w:cs="Times New Roman"/>
          <w:szCs w:val="24"/>
          <w:lang w:val="fr-CA"/>
        </w:rPr>
        <w:t xml:space="preserve"> </w:t>
      </w:r>
      <w:r w:rsidR="00F507EA" w:rsidRPr="00403220">
        <w:rPr>
          <w:rFonts w:cs="Times New Roman"/>
          <w:szCs w:val="24"/>
          <w:lang w:val="fr-CA"/>
        </w:rPr>
        <w:t xml:space="preserve">soulevées </w:t>
      </w:r>
      <w:r w:rsidR="00EF30DB" w:rsidRPr="00403220">
        <w:rPr>
          <w:rFonts w:cs="Times New Roman"/>
          <w:szCs w:val="24"/>
          <w:lang w:val="fr-CA"/>
        </w:rPr>
        <w:t>à</w:t>
      </w:r>
      <w:r w:rsidR="000E2CB4" w:rsidRPr="00403220">
        <w:rPr>
          <w:rFonts w:cs="Times New Roman"/>
          <w:szCs w:val="24"/>
          <w:lang w:val="fr-CA"/>
        </w:rPr>
        <w:t xml:space="preserve"> </w:t>
      </w:r>
      <w:r w:rsidRPr="00403220">
        <w:rPr>
          <w:rFonts w:cs="Times New Roman"/>
          <w:szCs w:val="24"/>
          <w:lang w:val="fr-CA"/>
        </w:rPr>
        <w:t>la deuxième étape de l</w:t>
      </w:r>
      <w:r w:rsidR="008372AA" w:rsidRPr="00403220">
        <w:rPr>
          <w:rFonts w:cs="Times New Roman"/>
          <w:szCs w:val="24"/>
          <w:lang w:val="fr-CA"/>
        </w:rPr>
        <w:t>’</w:t>
      </w:r>
      <w:r w:rsidRPr="00403220">
        <w:rPr>
          <w:rFonts w:cs="Times New Roman"/>
          <w:szCs w:val="24"/>
          <w:lang w:val="fr-CA"/>
        </w:rPr>
        <w:t>analyse</w:t>
      </w:r>
      <w:r w:rsidR="000E2CB4" w:rsidRPr="00403220">
        <w:rPr>
          <w:rFonts w:cs="Times New Roman"/>
          <w:szCs w:val="24"/>
          <w:lang w:val="fr-CA"/>
        </w:rPr>
        <w:t>,</w:t>
      </w:r>
      <w:r w:rsidRPr="00403220">
        <w:rPr>
          <w:rFonts w:cs="Times New Roman"/>
          <w:szCs w:val="24"/>
          <w:lang w:val="fr-CA"/>
        </w:rPr>
        <w:t xml:space="preserve"> </w:t>
      </w:r>
      <w:r w:rsidR="00F507EA" w:rsidRPr="00403220">
        <w:rPr>
          <w:rFonts w:cs="Times New Roman"/>
          <w:szCs w:val="24"/>
          <w:lang w:val="fr-CA"/>
        </w:rPr>
        <w:t>à savoir</w:t>
      </w:r>
      <w:r w:rsidRPr="00403220">
        <w:rPr>
          <w:rFonts w:cs="Times New Roman"/>
          <w:szCs w:val="24"/>
          <w:lang w:val="fr-CA"/>
        </w:rPr>
        <w:t xml:space="preserve"> l</w:t>
      </w:r>
      <w:r w:rsidR="008372AA" w:rsidRPr="00403220">
        <w:rPr>
          <w:rFonts w:cs="Times New Roman"/>
          <w:szCs w:val="24"/>
          <w:lang w:val="fr-CA"/>
        </w:rPr>
        <w:t>’</w:t>
      </w:r>
      <w:r w:rsidRPr="00403220">
        <w:rPr>
          <w:rFonts w:cs="Times New Roman"/>
          <w:szCs w:val="24"/>
          <w:lang w:val="fr-CA"/>
        </w:rPr>
        <w:t>immixtion dans les décisions de politique</w:t>
      </w:r>
      <w:r w:rsidR="00F507EA" w:rsidRPr="00403220">
        <w:rPr>
          <w:rFonts w:cs="Times New Roman"/>
          <w:szCs w:val="24"/>
          <w:lang w:val="fr-CA"/>
        </w:rPr>
        <w:t xml:space="preserve"> générale</w:t>
      </w:r>
      <w:r w:rsidRPr="00403220">
        <w:rPr>
          <w:rFonts w:cs="Times New Roman"/>
          <w:szCs w:val="24"/>
          <w:lang w:val="fr-CA"/>
        </w:rPr>
        <w:t xml:space="preserve"> du gouvernement et la possibilité de responsabilité indéterminée.  </w:t>
      </w:r>
      <w:bookmarkStart w:id="23" w:name="_Toc285751398"/>
      <w:bookmarkStart w:id="24" w:name="_Toc285751654"/>
    </w:p>
    <w:p w:rsidR="0047179D" w:rsidRPr="00403220" w:rsidRDefault="008230AF" w:rsidP="00B85006">
      <w:pPr>
        <w:pStyle w:val="TitleTitre-AltT"/>
        <w:keepNext/>
        <w:tabs>
          <w:tab w:val="clear" w:pos="360"/>
          <w:tab w:val="left" w:pos="540"/>
          <w:tab w:val="left" w:pos="1530"/>
        </w:tabs>
        <w:spacing w:after="720"/>
        <w:ind w:left="1166" w:hanging="1166"/>
        <w:rPr>
          <w:rFonts w:cs="Times New Roman"/>
          <w:szCs w:val="24"/>
          <w:lang w:val="fr-CA"/>
        </w:rPr>
      </w:pPr>
      <w:bookmarkStart w:id="25" w:name="_Toc314735123"/>
      <w:r w:rsidRPr="00403220">
        <w:rPr>
          <w:rFonts w:cs="Times New Roman"/>
          <w:szCs w:val="24"/>
          <w:lang w:val="fr-CA"/>
        </w:rPr>
        <w:t>D.</w:t>
      </w:r>
      <w:r w:rsidR="001F15E8" w:rsidRPr="00403220">
        <w:rPr>
          <w:rFonts w:cs="Times New Roman"/>
          <w:szCs w:val="24"/>
          <w:lang w:val="fr-CA"/>
        </w:rPr>
        <w:tab/>
      </w:r>
      <w:r w:rsidR="00B175DF">
        <w:rPr>
          <w:rFonts w:cs="Times New Roman"/>
          <w:i/>
          <w:szCs w:val="24"/>
          <w:lang w:val="fr-CA"/>
        </w:rPr>
        <w:t>Le défaut de mise en garde</w:t>
      </w:r>
      <w:bookmarkEnd w:id="23"/>
      <w:bookmarkEnd w:id="24"/>
      <w:bookmarkEnd w:id="25"/>
    </w:p>
    <w:p w:rsidR="0047179D" w:rsidRPr="00403220" w:rsidRDefault="0047179D" w:rsidP="00AC08A1">
      <w:pPr>
        <w:pStyle w:val="ParaNoNdepar-AltN"/>
        <w:rPr>
          <w:rFonts w:cs="Times New Roman"/>
          <w:szCs w:val="24"/>
          <w:lang w:val="fr-CA"/>
        </w:rPr>
      </w:pPr>
      <w:r w:rsidRPr="00403220">
        <w:rPr>
          <w:rFonts w:cs="Times New Roman"/>
          <w:szCs w:val="24"/>
          <w:lang w:val="fr-CA"/>
        </w:rPr>
        <w:t xml:space="preserve">Les compagnies de tabac formulent deux allégations au sujet </w:t>
      </w:r>
      <w:r w:rsidR="006640F5">
        <w:rPr>
          <w:rFonts w:cs="Times New Roman"/>
          <w:szCs w:val="24"/>
          <w:lang w:val="fr-CA"/>
        </w:rPr>
        <w:t>du défaut de mise en garde</w:t>
      </w:r>
      <w:r w:rsidR="00A54DAC" w:rsidRPr="00403220">
        <w:rPr>
          <w:rFonts w:cs="Times New Roman"/>
          <w:szCs w:val="24"/>
          <w:lang w:val="fr-CA"/>
        </w:rPr>
        <w:t> :</w:t>
      </w:r>
      <w:r w:rsidR="00676BA5" w:rsidRPr="00403220">
        <w:rPr>
          <w:rFonts w:cs="Times New Roman"/>
          <w:szCs w:val="24"/>
          <w:lang w:val="fr-CA"/>
        </w:rPr>
        <w:t xml:space="preserve"> </w:t>
      </w:r>
      <w:r w:rsidRPr="00403220">
        <w:rPr>
          <w:rFonts w:cs="Times New Roman"/>
          <w:szCs w:val="24"/>
          <w:lang w:val="fr-CA"/>
        </w:rPr>
        <w:t>B</w:t>
      </w:r>
      <w:r w:rsidR="00676BA5" w:rsidRPr="00403220">
        <w:rPr>
          <w:rFonts w:cs="Times New Roman"/>
          <w:szCs w:val="24"/>
          <w:lang w:val="fr-CA"/>
        </w:rPr>
        <w:t>.A.T.</w:t>
      </w:r>
      <w:r w:rsidRPr="00403220">
        <w:rPr>
          <w:rFonts w:cs="Times New Roman"/>
          <w:szCs w:val="24"/>
          <w:lang w:val="fr-CA"/>
        </w:rPr>
        <w:t xml:space="preserve"> prétend que le Canada a interdit aux compagnies de tabac d</w:t>
      </w:r>
      <w:r w:rsidR="008372AA" w:rsidRPr="00403220">
        <w:rPr>
          <w:rFonts w:cs="Times New Roman"/>
          <w:szCs w:val="24"/>
          <w:lang w:val="fr-CA"/>
        </w:rPr>
        <w:t>’</w:t>
      </w:r>
      <w:r w:rsidRPr="00403220">
        <w:rPr>
          <w:rFonts w:cs="Times New Roman"/>
          <w:szCs w:val="24"/>
          <w:lang w:val="fr-CA"/>
        </w:rPr>
        <w:t xml:space="preserve">apposer sur les paquets de </w:t>
      </w:r>
      <w:r w:rsidR="00566993" w:rsidRPr="00403220">
        <w:rPr>
          <w:rFonts w:cs="Times New Roman"/>
          <w:szCs w:val="24"/>
          <w:lang w:val="fr-CA"/>
        </w:rPr>
        <w:t>cigarettes</w:t>
      </w:r>
      <w:r w:rsidRPr="00403220">
        <w:rPr>
          <w:rFonts w:cs="Times New Roman"/>
          <w:szCs w:val="24"/>
          <w:lang w:val="fr-CA"/>
        </w:rPr>
        <w:t xml:space="preserve"> des mises en garde (</w:t>
      </w:r>
      <w:r w:rsidR="006C2DF9" w:rsidRPr="00403220">
        <w:rPr>
          <w:rFonts w:cs="Times New Roman"/>
          <w:szCs w:val="24"/>
          <w:lang w:val="fr-CA"/>
        </w:rPr>
        <w:t>l’</w:t>
      </w:r>
      <w:r w:rsidRPr="00403220">
        <w:rPr>
          <w:rFonts w:cs="Times New Roman"/>
          <w:szCs w:val="24"/>
          <w:lang w:val="fr-CA"/>
        </w:rPr>
        <w:t>allégation relative à l</w:t>
      </w:r>
      <w:r w:rsidR="008372AA" w:rsidRPr="00403220">
        <w:rPr>
          <w:rFonts w:cs="Times New Roman"/>
          <w:szCs w:val="24"/>
          <w:lang w:val="fr-CA"/>
        </w:rPr>
        <w:t>’</w:t>
      </w:r>
      <w:r w:rsidRPr="00403220">
        <w:rPr>
          <w:rFonts w:cs="Times New Roman"/>
          <w:szCs w:val="24"/>
          <w:lang w:val="fr-CA"/>
        </w:rPr>
        <w:t>étiquetage) à l</w:t>
      </w:r>
      <w:r w:rsidR="008372AA" w:rsidRPr="00403220">
        <w:rPr>
          <w:rFonts w:cs="Times New Roman"/>
          <w:szCs w:val="24"/>
          <w:lang w:val="fr-CA"/>
        </w:rPr>
        <w:t>’</w:t>
      </w:r>
      <w:r w:rsidRPr="00403220">
        <w:rPr>
          <w:rFonts w:cs="Times New Roman"/>
          <w:szCs w:val="24"/>
          <w:lang w:val="fr-CA"/>
        </w:rPr>
        <w:t xml:space="preserve">égard des dangers que </w:t>
      </w:r>
      <w:r w:rsidR="006C2DF9" w:rsidRPr="00403220">
        <w:rPr>
          <w:rFonts w:cs="Times New Roman"/>
          <w:szCs w:val="24"/>
          <w:lang w:val="fr-CA"/>
        </w:rPr>
        <w:t xml:space="preserve">présentent les cigarettes pour </w:t>
      </w:r>
      <w:r w:rsidRPr="00403220">
        <w:rPr>
          <w:rFonts w:cs="Times New Roman"/>
          <w:szCs w:val="24"/>
          <w:lang w:val="fr-CA"/>
        </w:rPr>
        <w:t xml:space="preserve">la santé; </w:t>
      </w:r>
      <w:r w:rsidR="00847C22" w:rsidRPr="00403220">
        <w:rPr>
          <w:rFonts w:cs="Times New Roman"/>
          <w:szCs w:val="24"/>
          <w:lang w:val="fr-CA"/>
        </w:rPr>
        <w:t>Imperial</w:t>
      </w:r>
      <w:r w:rsidRPr="00403220">
        <w:rPr>
          <w:rFonts w:cs="Times New Roman"/>
          <w:szCs w:val="24"/>
          <w:lang w:val="fr-CA"/>
        </w:rPr>
        <w:t xml:space="preserve">, quant à elle, prétend que le Canada </w:t>
      </w:r>
      <w:r w:rsidR="006640F5">
        <w:rPr>
          <w:rFonts w:cs="Times New Roman"/>
          <w:szCs w:val="24"/>
          <w:lang w:val="fr-CA"/>
        </w:rPr>
        <w:t xml:space="preserve">a fait défaut de mettre </w:t>
      </w:r>
      <w:r w:rsidR="006C2DF9" w:rsidRPr="00403220">
        <w:rPr>
          <w:rFonts w:cs="Times New Roman"/>
          <w:szCs w:val="24"/>
          <w:lang w:val="fr-CA"/>
        </w:rPr>
        <w:t xml:space="preserve">les compagnies de tabac </w:t>
      </w:r>
      <w:r w:rsidR="006640F5">
        <w:rPr>
          <w:rFonts w:cs="Times New Roman"/>
          <w:szCs w:val="24"/>
          <w:lang w:val="fr-CA"/>
        </w:rPr>
        <w:t>en garde contre les</w:t>
      </w:r>
      <w:r w:rsidRPr="00403220">
        <w:rPr>
          <w:rFonts w:cs="Times New Roman"/>
          <w:szCs w:val="24"/>
          <w:lang w:val="fr-CA"/>
        </w:rPr>
        <w:t xml:space="preserve"> dangers que </w:t>
      </w:r>
      <w:r w:rsidR="006C2DF9" w:rsidRPr="00403220">
        <w:rPr>
          <w:rFonts w:cs="Times New Roman"/>
          <w:szCs w:val="24"/>
          <w:lang w:val="fr-CA"/>
        </w:rPr>
        <w:t xml:space="preserve">présentent </w:t>
      </w:r>
      <w:r w:rsidRPr="00403220">
        <w:rPr>
          <w:rFonts w:cs="Times New Roman"/>
          <w:szCs w:val="24"/>
          <w:lang w:val="fr-CA"/>
        </w:rPr>
        <w:t>les souches de tabac conçues par le Canada et pour lesquelles il a octroyé des licences.</w:t>
      </w:r>
    </w:p>
    <w:p w:rsidR="0047179D" w:rsidRPr="00403220" w:rsidRDefault="00B85006" w:rsidP="00B85006">
      <w:pPr>
        <w:pStyle w:val="TitleTitre-AltT"/>
        <w:keepNext/>
        <w:tabs>
          <w:tab w:val="clear" w:pos="360"/>
          <w:tab w:val="left" w:pos="1170"/>
        </w:tabs>
        <w:spacing w:after="720"/>
        <w:ind w:left="1800" w:hanging="1800"/>
        <w:rPr>
          <w:rFonts w:cs="Times New Roman"/>
          <w:szCs w:val="24"/>
          <w:lang w:val="fr-CA"/>
        </w:rPr>
      </w:pPr>
      <w:r>
        <w:rPr>
          <w:rFonts w:cs="Times New Roman"/>
          <w:szCs w:val="24"/>
          <w:lang w:val="fr-CA"/>
        </w:rPr>
        <w:lastRenderedPageBreak/>
        <w:tab/>
      </w:r>
      <w:bookmarkStart w:id="26" w:name="_Toc314735124"/>
      <w:r w:rsidR="008230AF" w:rsidRPr="00403220">
        <w:rPr>
          <w:rFonts w:cs="Times New Roman"/>
          <w:szCs w:val="24"/>
          <w:lang w:val="fr-CA"/>
        </w:rPr>
        <w:t>(1</w:t>
      </w:r>
      <w:r w:rsidR="0047179D" w:rsidRPr="00403220">
        <w:rPr>
          <w:rFonts w:cs="Times New Roman"/>
          <w:szCs w:val="24"/>
          <w:lang w:val="fr-CA"/>
        </w:rPr>
        <w:t>)</w:t>
      </w:r>
      <w:r w:rsidR="00591784" w:rsidRPr="00403220">
        <w:rPr>
          <w:rFonts w:cs="Times New Roman"/>
          <w:szCs w:val="24"/>
          <w:lang w:val="fr-CA"/>
        </w:rPr>
        <w:tab/>
      </w:r>
      <w:r w:rsidR="006C2DF9" w:rsidRPr="00403220">
        <w:rPr>
          <w:rFonts w:cs="Times New Roman"/>
          <w:szCs w:val="24"/>
          <w:u w:val="single"/>
          <w:lang w:val="fr-CA"/>
        </w:rPr>
        <w:t>L’a</w:t>
      </w:r>
      <w:r w:rsidR="0047179D" w:rsidRPr="00403220">
        <w:rPr>
          <w:rFonts w:cs="Times New Roman"/>
          <w:szCs w:val="24"/>
          <w:u w:val="single"/>
          <w:lang w:val="fr-CA"/>
        </w:rPr>
        <w:t>llégation relative à l</w:t>
      </w:r>
      <w:r w:rsidR="008372AA" w:rsidRPr="00403220">
        <w:rPr>
          <w:rFonts w:cs="Times New Roman"/>
          <w:szCs w:val="24"/>
          <w:u w:val="single"/>
          <w:lang w:val="fr-CA"/>
        </w:rPr>
        <w:t>’</w:t>
      </w:r>
      <w:r w:rsidR="0047179D" w:rsidRPr="00403220">
        <w:rPr>
          <w:rFonts w:cs="Times New Roman"/>
          <w:szCs w:val="24"/>
          <w:u w:val="single"/>
          <w:lang w:val="fr-CA"/>
        </w:rPr>
        <w:t>étiquetage</w:t>
      </w:r>
      <w:bookmarkEnd w:id="26"/>
    </w:p>
    <w:p w:rsidR="0047179D" w:rsidRPr="00403220" w:rsidRDefault="0047179D" w:rsidP="00AC08A1">
      <w:pPr>
        <w:pStyle w:val="ParaNoNdepar-AltN"/>
        <w:rPr>
          <w:rFonts w:cs="Times New Roman"/>
          <w:szCs w:val="24"/>
          <w:lang w:val="fr-CA"/>
        </w:rPr>
      </w:pPr>
      <w:r w:rsidRPr="00403220">
        <w:rPr>
          <w:rFonts w:cs="Times New Roman"/>
          <w:szCs w:val="24"/>
          <w:lang w:val="fr-CA"/>
        </w:rPr>
        <w:t>B.A.T. allègue qu</w:t>
      </w:r>
      <w:r w:rsidR="00F507EA" w:rsidRPr="00403220">
        <w:rPr>
          <w:rFonts w:cs="Times New Roman"/>
          <w:szCs w:val="24"/>
          <w:lang w:val="fr-CA"/>
        </w:rPr>
        <w:t xml:space="preserve">e, </w:t>
      </w:r>
      <w:r w:rsidRPr="00403220">
        <w:rPr>
          <w:rFonts w:cs="Times New Roman"/>
          <w:szCs w:val="24"/>
          <w:lang w:val="fr-CA"/>
        </w:rPr>
        <w:t>en donnant à l</w:t>
      </w:r>
      <w:r w:rsidR="008372AA" w:rsidRPr="00403220">
        <w:rPr>
          <w:rFonts w:cs="Times New Roman"/>
          <w:szCs w:val="24"/>
          <w:lang w:val="fr-CA"/>
        </w:rPr>
        <w:t>’</w:t>
      </w:r>
      <w:r w:rsidRPr="00403220">
        <w:rPr>
          <w:rFonts w:cs="Times New Roman"/>
          <w:szCs w:val="24"/>
          <w:lang w:val="fr-CA"/>
        </w:rPr>
        <w:t xml:space="preserve">industrie </w:t>
      </w:r>
      <w:r w:rsidR="006C2DF9" w:rsidRPr="00403220">
        <w:rPr>
          <w:rFonts w:cs="Times New Roman"/>
          <w:szCs w:val="24"/>
          <w:lang w:val="fr-CA"/>
        </w:rPr>
        <w:t xml:space="preserve">la directive </w:t>
      </w:r>
      <w:r w:rsidRPr="00403220">
        <w:rPr>
          <w:rFonts w:cs="Times New Roman"/>
          <w:szCs w:val="24"/>
          <w:lang w:val="fr-CA"/>
        </w:rPr>
        <w:t xml:space="preserve">de ne pas apposer de mise en garde sur ses paquets de cigarettes, le Canada a engagé sa responsabilité délictuelle pour </w:t>
      </w:r>
      <w:r w:rsidR="00043A1D">
        <w:rPr>
          <w:rFonts w:cs="Times New Roman"/>
          <w:szCs w:val="24"/>
          <w:lang w:val="fr-CA"/>
        </w:rPr>
        <w:t>défaut de mise en garde</w:t>
      </w:r>
      <w:r w:rsidRPr="00403220">
        <w:rPr>
          <w:rFonts w:cs="Times New Roman"/>
          <w:szCs w:val="24"/>
          <w:lang w:val="fr-CA"/>
        </w:rPr>
        <w:t xml:space="preserve">.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xml:space="preserve">,  le juge </w:t>
      </w:r>
      <w:proofErr w:type="spellStart"/>
      <w:r w:rsidRPr="00403220">
        <w:rPr>
          <w:rFonts w:cs="Times New Roman"/>
          <w:szCs w:val="24"/>
          <w:lang w:val="fr-CA"/>
        </w:rPr>
        <w:t>Tysoe</w:t>
      </w:r>
      <w:proofErr w:type="spellEnd"/>
      <w:r w:rsidRPr="00403220">
        <w:rPr>
          <w:rFonts w:cs="Times New Roman"/>
          <w:szCs w:val="24"/>
          <w:lang w:val="fr-CA"/>
        </w:rPr>
        <w:t xml:space="preserve"> n</w:t>
      </w:r>
      <w:r w:rsidR="008372AA" w:rsidRPr="00403220">
        <w:rPr>
          <w:rFonts w:cs="Times New Roman"/>
          <w:szCs w:val="24"/>
          <w:lang w:val="fr-CA"/>
        </w:rPr>
        <w:t>’</w:t>
      </w:r>
      <w:r w:rsidRPr="00403220">
        <w:rPr>
          <w:rFonts w:cs="Times New Roman"/>
          <w:szCs w:val="24"/>
          <w:lang w:val="fr-CA"/>
        </w:rPr>
        <w:t xml:space="preserve">a pas abordé les allégations </w:t>
      </w:r>
      <w:r w:rsidR="006C2DF9" w:rsidRPr="00403220">
        <w:rPr>
          <w:rFonts w:cs="Times New Roman"/>
          <w:szCs w:val="24"/>
          <w:lang w:val="fr-CA"/>
        </w:rPr>
        <w:t xml:space="preserve">relatives </w:t>
      </w:r>
      <w:r w:rsidR="00936545">
        <w:rPr>
          <w:rFonts w:cs="Times New Roman"/>
          <w:szCs w:val="24"/>
          <w:lang w:val="fr-CA"/>
        </w:rPr>
        <w:t>au défaut de mise en garde</w:t>
      </w:r>
      <w:r w:rsidRPr="00403220">
        <w:rPr>
          <w:rFonts w:cs="Times New Roman"/>
          <w:szCs w:val="24"/>
          <w:lang w:val="fr-CA"/>
        </w:rPr>
        <w:t>.  Pour sa part, le juge Hall, exprimant l</w:t>
      </w:r>
      <w:r w:rsidR="008372AA" w:rsidRPr="00403220">
        <w:rPr>
          <w:rFonts w:cs="Times New Roman"/>
          <w:szCs w:val="24"/>
          <w:lang w:val="fr-CA"/>
        </w:rPr>
        <w:t>’</w:t>
      </w:r>
      <w:r w:rsidRPr="00403220">
        <w:rPr>
          <w:rFonts w:cs="Times New Roman"/>
          <w:szCs w:val="24"/>
          <w:lang w:val="fr-CA"/>
        </w:rPr>
        <w:t>opinion de la minorité, aurait rejeté ces allégations pour des motifs liés à l</w:t>
      </w:r>
      <w:r w:rsidR="008372AA" w:rsidRPr="00403220">
        <w:rPr>
          <w:rFonts w:cs="Times New Roman"/>
          <w:szCs w:val="24"/>
          <w:lang w:val="fr-CA"/>
        </w:rPr>
        <w:t>’</w:t>
      </w:r>
      <w:r w:rsidRPr="00403220">
        <w:rPr>
          <w:rFonts w:cs="Times New Roman"/>
          <w:szCs w:val="24"/>
          <w:lang w:val="fr-CA"/>
        </w:rPr>
        <w:t>étape deux de l</w:t>
      </w:r>
      <w:r w:rsidR="008372AA" w:rsidRPr="00403220">
        <w:rPr>
          <w:rFonts w:cs="Times New Roman"/>
          <w:szCs w:val="24"/>
          <w:lang w:val="fr-CA"/>
        </w:rPr>
        <w:t>’</w:t>
      </w:r>
      <w:r w:rsidRPr="00403220">
        <w:rPr>
          <w:rFonts w:cs="Times New Roman"/>
          <w:szCs w:val="24"/>
          <w:lang w:val="fr-CA"/>
        </w:rPr>
        <w:t>analyse, estimant que la décision du Canada était une décision de politique</w:t>
      </w:r>
      <w:r w:rsidR="00F507EA" w:rsidRPr="00403220">
        <w:rPr>
          <w:rFonts w:cs="Times New Roman"/>
          <w:szCs w:val="24"/>
          <w:lang w:val="fr-CA"/>
        </w:rPr>
        <w:t xml:space="preserve"> générale</w:t>
      </w:r>
      <w:r w:rsidRPr="00403220">
        <w:rPr>
          <w:rFonts w:cs="Times New Roman"/>
          <w:szCs w:val="24"/>
          <w:lang w:val="fr-CA"/>
        </w:rPr>
        <w:t xml:space="preserve"> et que la responsabilité </w:t>
      </w:r>
      <w:r w:rsidR="006C2DF9" w:rsidRPr="00403220">
        <w:rPr>
          <w:rFonts w:cs="Times New Roman"/>
          <w:szCs w:val="24"/>
          <w:lang w:val="fr-CA"/>
        </w:rPr>
        <w:t xml:space="preserve">du Canada </w:t>
      </w:r>
      <w:r w:rsidRPr="00403220">
        <w:rPr>
          <w:rFonts w:cs="Times New Roman"/>
          <w:szCs w:val="24"/>
          <w:lang w:val="fr-CA"/>
        </w:rPr>
        <w:t>serait indéterminée.  Il a aussi conclu qu</w:t>
      </w:r>
      <w:r w:rsidR="008372AA" w:rsidRPr="00403220">
        <w:rPr>
          <w:rFonts w:cs="Times New Roman"/>
          <w:szCs w:val="24"/>
          <w:lang w:val="fr-CA"/>
        </w:rPr>
        <w:t>’</w:t>
      </w:r>
      <w:r w:rsidRPr="00403220">
        <w:rPr>
          <w:rFonts w:cs="Times New Roman"/>
          <w:szCs w:val="24"/>
          <w:lang w:val="fr-CA"/>
        </w:rPr>
        <w:t>imposer cette responsabilité au gouvernement irait à l</w:t>
      </w:r>
      <w:r w:rsidR="008372AA" w:rsidRPr="00403220">
        <w:rPr>
          <w:rFonts w:cs="Times New Roman"/>
          <w:szCs w:val="24"/>
          <w:lang w:val="fr-CA"/>
        </w:rPr>
        <w:t>’</w:t>
      </w:r>
      <w:r w:rsidRPr="00403220">
        <w:rPr>
          <w:rFonts w:cs="Times New Roman"/>
          <w:szCs w:val="24"/>
          <w:lang w:val="fr-CA"/>
        </w:rPr>
        <w:t xml:space="preserve">encontre des obligations </w:t>
      </w:r>
      <w:r w:rsidR="006C2DF9" w:rsidRPr="00403220">
        <w:rPr>
          <w:rFonts w:cs="Times New Roman"/>
          <w:szCs w:val="24"/>
          <w:lang w:val="fr-CA"/>
        </w:rPr>
        <w:t xml:space="preserve">du Canada envers la population </w:t>
      </w:r>
      <w:r w:rsidRPr="00403220">
        <w:rPr>
          <w:rFonts w:cs="Times New Roman"/>
          <w:szCs w:val="24"/>
          <w:lang w:val="fr-CA"/>
        </w:rPr>
        <w:t>(</w:t>
      </w:r>
      <w:r w:rsidR="00A54DAC" w:rsidRPr="00403220">
        <w:rPr>
          <w:rFonts w:cs="Times New Roman"/>
          <w:szCs w:val="24"/>
          <w:lang w:val="fr-CA"/>
        </w:rPr>
        <w:t>par. </w:t>
      </w:r>
      <w:r w:rsidRPr="00403220">
        <w:rPr>
          <w:rFonts w:cs="Times New Roman"/>
          <w:szCs w:val="24"/>
          <w:lang w:val="fr-CA"/>
        </w:rPr>
        <w:t>99).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 xml:space="preserve">ffaire </w:t>
      </w:r>
      <w:r w:rsidR="00321EF3" w:rsidRPr="00403220">
        <w:rPr>
          <w:rFonts w:cs="Times New Roman"/>
          <w:i/>
          <w:szCs w:val="24"/>
          <w:lang w:val="fr-CA"/>
        </w:rPr>
        <w:t xml:space="preserve">du </w:t>
      </w:r>
      <w:r w:rsidRPr="00403220">
        <w:rPr>
          <w:rFonts w:cs="Times New Roman"/>
          <w:i/>
          <w:szCs w:val="24"/>
          <w:lang w:val="fr-CA"/>
        </w:rPr>
        <w:t>recouvrement des coûts</w:t>
      </w:r>
      <w:r w:rsidRPr="00403220">
        <w:rPr>
          <w:rFonts w:cs="Times New Roman"/>
          <w:szCs w:val="24"/>
          <w:lang w:val="fr-CA"/>
        </w:rPr>
        <w:t xml:space="preserve">, le juge </w:t>
      </w:r>
      <w:proofErr w:type="spellStart"/>
      <w:r w:rsidRPr="00403220">
        <w:rPr>
          <w:rFonts w:cs="Times New Roman"/>
          <w:szCs w:val="24"/>
          <w:lang w:val="fr-CA"/>
        </w:rPr>
        <w:t>Tysoe</w:t>
      </w:r>
      <w:proofErr w:type="spellEnd"/>
      <w:r w:rsidRPr="00403220">
        <w:rPr>
          <w:rFonts w:cs="Times New Roman"/>
          <w:szCs w:val="24"/>
          <w:lang w:val="fr-CA"/>
        </w:rPr>
        <w:t xml:space="preserve"> a souscrit à l</w:t>
      </w:r>
      <w:r w:rsidR="008372AA" w:rsidRPr="00403220">
        <w:rPr>
          <w:rFonts w:cs="Times New Roman"/>
          <w:szCs w:val="24"/>
          <w:lang w:val="fr-CA"/>
        </w:rPr>
        <w:t>’</w:t>
      </w:r>
      <w:r w:rsidRPr="00403220">
        <w:rPr>
          <w:rFonts w:cs="Times New Roman"/>
          <w:szCs w:val="24"/>
          <w:lang w:val="fr-CA"/>
        </w:rPr>
        <w:t xml:space="preserve">analyse faite par le juge Hall dans </w:t>
      </w:r>
      <w:r w:rsidR="00B85006">
        <w:rPr>
          <w:rFonts w:cs="Times New Roman"/>
          <w:szCs w:val="24"/>
          <w:lang w:val="fr-CA"/>
        </w:rPr>
        <w:t>l’</w:t>
      </w:r>
      <w:r w:rsidR="00B85006" w:rsidRPr="00B85006">
        <w:rPr>
          <w:rFonts w:cs="Times New Roman"/>
          <w:i/>
          <w:szCs w:val="24"/>
          <w:lang w:val="fr-CA"/>
        </w:rPr>
        <w:t>Affaire</w:t>
      </w:r>
      <w:r w:rsidR="00B85006">
        <w:rPr>
          <w:rFonts w:cs="Times New Roman"/>
          <w:szCs w:val="24"/>
          <w:lang w:val="fr-CA"/>
        </w:rPr>
        <w:t xml:space="preserve"> </w:t>
      </w:r>
      <w:r w:rsidRPr="00403220">
        <w:rPr>
          <w:rFonts w:cs="Times New Roman"/>
          <w:i/>
          <w:szCs w:val="24"/>
          <w:lang w:val="fr-CA"/>
        </w:rPr>
        <w:t>Knight</w:t>
      </w:r>
      <w:r w:rsidRPr="00403220">
        <w:rPr>
          <w:rFonts w:cs="Times New Roman"/>
          <w:szCs w:val="24"/>
          <w:lang w:val="fr-CA"/>
        </w:rPr>
        <w:t xml:space="preserve"> en rejetant l</w:t>
      </w:r>
      <w:r w:rsidR="008372AA" w:rsidRPr="00403220">
        <w:rPr>
          <w:rFonts w:cs="Times New Roman"/>
          <w:szCs w:val="24"/>
          <w:lang w:val="fr-CA"/>
        </w:rPr>
        <w:t>’</w:t>
      </w:r>
      <w:r w:rsidRPr="00403220">
        <w:rPr>
          <w:rFonts w:cs="Times New Roman"/>
          <w:szCs w:val="24"/>
          <w:lang w:val="fr-CA"/>
        </w:rPr>
        <w:t xml:space="preserve">allégation </w:t>
      </w:r>
      <w:r w:rsidR="006C2DF9" w:rsidRPr="00403220">
        <w:rPr>
          <w:rFonts w:cs="Times New Roman"/>
          <w:szCs w:val="24"/>
          <w:lang w:val="fr-CA"/>
        </w:rPr>
        <w:t xml:space="preserve">relative </w:t>
      </w:r>
      <w:r w:rsidR="00CE4D0F">
        <w:rPr>
          <w:rFonts w:cs="Times New Roman"/>
          <w:szCs w:val="24"/>
          <w:lang w:val="fr-CA"/>
        </w:rPr>
        <w:t xml:space="preserve">au défaut </w:t>
      </w:r>
      <w:r w:rsidR="006C2DF9" w:rsidRPr="00403220">
        <w:rPr>
          <w:rFonts w:cs="Times New Roman"/>
          <w:szCs w:val="24"/>
          <w:lang w:val="fr-CA"/>
        </w:rPr>
        <w:t xml:space="preserve">du Canada </w:t>
      </w:r>
      <w:r w:rsidR="00CE4D0F">
        <w:rPr>
          <w:rFonts w:cs="Times New Roman"/>
          <w:szCs w:val="24"/>
          <w:lang w:val="fr-CA"/>
        </w:rPr>
        <w:t xml:space="preserve">de mettre en garde les </w:t>
      </w:r>
      <w:r w:rsidRPr="00403220">
        <w:rPr>
          <w:rFonts w:cs="Times New Roman"/>
          <w:szCs w:val="24"/>
          <w:lang w:val="fr-CA"/>
        </w:rPr>
        <w:t>compagnies de tabac (</w:t>
      </w:r>
      <w:r w:rsidR="00A54DAC" w:rsidRPr="00403220">
        <w:rPr>
          <w:rFonts w:cs="Times New Roman"/>
          <w:szCs w:val="24"/>
          <w:lang w:val="fr-CA"/>
        </w:rPr>
        <w:t>par. </w:t>
      </w:r>
      <w:r w:rsidRPr="00403220">
        <w:rPr>
          <w:rFonts w:cs="Times New Roman"/>
          <w:szCs w:val="24"/>
          <w:lang w:val="fr-CA"/>
        </w:rPr>
        <w:t>89). B.A.T. conteste ces conclusions.</w:t>
      </w:r>
    </w:p>
    <w:p w:rsidR="0047179D" w:rsidRPr="00403220" w:rsidRDefault="006C2DF9" w:rsidP="00AC08A1">
      <w:pPr>
        <w:pStyle w:val="ParaNoNdepar-AltN"/>
        <w:rPr>
          <w:rFonts w:cs="Times New Roman"/>
          <w:szCs w:val="24"/>
          <w:lang w:val="fr-CA"/>
        </w:rPr>
      </w:pPr>
      <w:r w:rsidRPr="00403220">
        <w:rPr>
          <w:rFonts w:cs="Times New Roman"/>
          <w:szCs w:val="24"/>
          <w:lang w:val="fr-CA"/>
        </w:rPr>
        <w:t xml:space="preserve">L’élément crucial </w:t>
      </w:r>
      <w:r w:rsidR="0047179D" w:rsidRPr="00403220">
        <w:rPr>
          <w:rFonts w:cs="Times New Roman"/>
          <w:szCs w:val="24"/>
          <w:lang w:val="fr-CA"/>
        </w:rPr>
        <w:t xml:space="preserve">de cette allégation </w:t>
      </w:r>
      <w:r w:rsidRPr="00403220">
        <w:rPr>
          <w:rFonts w:cs="Times New Roman"/>
          <w:szCs w:val="24"/>
          <w:lang w:val="fr-CA"/>
        </w:rPr>
        <w:t xml:space="preserve">relative </w:t>
      </w:r>
      <w:r w:rsidR="005A7564">
        <w:rPr>
          <w:rFonts w:cs="Times New Roman"/>
          <w:szCs w:val="24"/>
          <w:lang w:val="fr-CA"/>
        </w:rPr>
        <w:t xml:space="preserve">au défaut de mise en garde </w:t>
      </w:r>
      <w:r w:rsidR="0047179D" w:rsidRPr="00403220">
        <w:rPr>
          <w:rFonts w:cs="Times New Roman"/>
          <w:szCs w:val="24"/>
          <w:lang w:val="fr-CA"/>
        </w:rPr>
        <w:t xml:space="preserve">est essentiellement le même que celui </w:t>
      </w:r>
      <w:r w:rsidR="00A4754D" w:rsidRPr="00403220">
        <w:rPr>
          <w:rFonts w:cs="Times New Roman"/>
          <w:szCs w:val="24"/>
          <w:lang w:val="fr-CA"/>
        </w:rPr>
        <w:t xml:space="preserve">des </w:t>
      </w:r>
      <w:r w:rsidR="0047179D" w:rsidRPr="00403220">
        <w:rPr>
          <w:rFonts w:cs="Times New Roman"/>
          <w:szCs w:val="24"/>
          <w:lang w:val="fr-CA"/>
        </w:rPr>
        <w:t>allégation</w:t>
      </w:r>
      <w:r w:rsidR="00A4754D" w:rsidRPr="00403220">
        <w:rPr>
          <w:rFonts w:cs="Times New Roman"/>
          <w:szCs w:val="24"/>
          <w:lang w:val="fr-CA"/>
        </w:rPr>
        <w:t>s</w:t>
      </w:r>
      <w:r w:rsidR="0047179D" w:rsidRPr="00403220">
        <w:rPr>
          <w:rFonts w:cs="Times New Roman"/>
          <w:szCs w:val="24"/>
          <w:lang w:val="fr-CA"/>
        </w:rPr>
        <w:t xml:space="preserve"> de déclaration</w:t>
      </w:r>
      <w:r w:rsidR="00A4754D" w:rsidRPr="00403220">
        <w:rPr>
          <w:rFonts w:cs="Times New Roman"/>
          <w:szCs w:val="24"/>
          <w:lang w:val="fr-CA"/>
        </w:rPr>
        <w:t>s</w:t>
      </w:r>
      <w:r w:rsidR="0047179D" w:rsidRPr="00403220">
        <w:rPr>
          <w:rFonts w:cs="Times New Roman"/>
          <w:szCs w:val="24"/>
          <w:lang w:val="fr-CA"/>
        </w:rPr>
        <w:t xml:space="preserve"> inexacte</w:t>
      </w:r>
      <w:r w:rsidR="00A4754D" w:rsidRPr="00403220">
        <w:rPr>
          <w:rFonts w:cs="Times New Roman"/>
          <w:szCs w:val="24"/>
          <w:lang w:val="fr-CA"/>
        </w:rPr>
        <w:t>s</w:t>
      </w:r>
      <w:r w:rsidR="0047179D" w:rsidRPr="00403220">
        <w:rPr>
          <w:rFonts w:cs="Times New Roman"/>
          <w:szCs w:val="24"/>
          <w:lang w:val="fr-CA"/>
        </w:rPr>
        <w:t xml:space="preserve"> faite</w:t>
      </w:r>
      <w:r w:rsidR="00A4754D" w:rsidRPr="00403220">
        <w:rPr>
          <w:rFonts w:cs="Times New Roman"/>
          <w:szCs w:val="24"/>
          <w:lang w:val="fr-CA"/>
        </w:rPr>
        <w:t>s</w:t>
      </w:r>
      <w:r w:rsidR="0047179D" w:rsidRPr="00403220">
        <w:rPr>
          <w:rFonts w:cs="Times New Roman"/>
          <w:szCs w:val="24"/>
          <w:lang w:val="fr-CA"/>
        </w:rPr>
        <w:t xml:space="preserve"> par </w:t>
      </w:r>
      <w:r w:rsidR="00A4754D" w:rsidRPr="00403220">
        <w:rPr>
          <w:rFonts w:cs="Times New Roman"/>
          <w:szCs w:val="24"/>
          <w:lang w:val="fr-CA"/>
        </w:rPr>
        <w:t>négligence, et il y a lieu de la</w:t>
      </w:r>
      <w:r w:rsidR="0047179D" w:rsidRPr="00403220">
        <w:rPr>
          <w:rFonts w:cs="Times New Roman"/>
          <w:szCs w:val="24"/>
          <w:lang w:val="fr-CA"/>
        </w:rPr>
        <w:t xml:space="preserve"> rejeter pour les mêmes </w:t>
      </w:r>
      <w:r w:rsidR="00F507EA" w:rsidRPr="00403220">
        <w:rPr>
          <w:rFonts w:cs="Times New Roman"/>
          <w:szCs w:val="24"/>
          <w:lang w:val="fr-CA"/>
        </w:rPr>
        <w:t>considérations de politique générale</w:t>
      </w:r>
      <w:r w:rsidR="0047179D" w:rsidRPr="00403220">
        <w:rPr>
          <w:rFonts w:cs="Times New Roman"/>
          <w:szCs w:val="24"/>
          <w:lang w:val="fr-CA"/>
        </w:rPr>
        <w:t xml:space="preserve">.  Les recommandations du ministre de la Santé sur les mises en garde faisaient partie intégrante de la politique </w:t>
      </w:r>
      <w:r w:rsidR="00A4754D" w:rsidRPr="00403220">
        <w:rPr>
          <w:rFonts w:cs="Times New Roman"/>
          <w:szCs w:val="24"/>
          <w:lang w:val="fr-CA"/>
        </w:rPr>
        <w:t xml:space="preserve">générale </w:t>
      </w:r>
      <w:r w:rsidR="0047179D" w:rsidRPr="00403220">
        <w:rPr>
          <w:rFonts w:cs="Times New Roman"/>
          <w:szCs w:val="24"/>
          <w:lang w:val="fr-CA"/>
        </w:rPr>
        <w:t xml:space="preserve">du gouvernement </w:t>
      </w:r>
      <w:r w:rsidRPr="00403220">
        <w:rPr>
          <w:rFonts w:cs="Times New Roman"/>
          <w:szCs w:val="24"/>
          <w:lang w:val="fr-CA"/>
        </w:rPr>
        <w:t xml:space="preserve">visant à </w:t>
      </w:r>
      <w:r w:rsidR="0047179D" w:rsidRPr="00403220">
        <w:rPr>
          <w:rFonts w:cs="Times New Roman"/>
          <w:szCs w:val="24"/>
          <w:lang w:val="fr-CA"/>
        </w:rPr>
        <w:t xml:space="preserve">inciter les </w:t>
      </w:r>
      <w:r w:rsidR="0047179D" w:rsidRPr="00403220">
        <w:rPr>
          <w:rFonts w:cs="Times New Roman"/>
          <w:szCs w:val="24"/>
          <w:lang w:val="fr-CA"/>
        </w:rPr>
        <w:lastRenderedPageBreak/>
        <w:t xml:space="preserve">fumeurs à opter pour des cigarettes à faible teneur en goudron.  </w:t>
      </w:r>
      <w:r w:rsidR="00F507EA" w:rsidRPr="00403220">
        <w:rPr>
          <w:rFonts w:cs="Times New Roman"/>
          <w:szCs w:val="24"/>
          <w:lang w:val="fr-CA"/>
        </w:rPr>
        <w:t>En tant que te</w:t>
      </w:r>
      <w:r w:rsidR="0047179D" w:rsidRPr="00403220">
        <w:rPr>
          <w:rFonts w:cs="Times New Roman"/>
          <w:szCs w:val="24"/>
          <w:lang w:val="fr-CA"/>
        </w:rPr>
        <w:t>lles</w:t>
      </w:r>
      <w:r w:rsidR="00F507EA" w:rsidRPr="00403220">
        <w:rPr>
          <w:rFonts w:cs="Times New Roman"/>
          <w:szCs w:val="24"/>
          <w:lang w:val="fr-CA"/>
        </w:rPr>
        <w:t>, elles</w:t>
      </w:r>
      <w:r w:rsidR="0047179D" w:rsidRPr="00403220">
        <w:rPr>
          <w:rFonts w:cs="Times New Roman"/>
          <w:szCs w:val="24"/>
          <w:lang w:val="fr-CA"/>
        </w:rPr>
        <w:t xml:space="preserve"> ne peuvent fonder une action </w:t>
      </w:r>
      <w:r w:rsidR="00A4754D" w:rsidRPr="00403220">
        <w:rPr>
          <w:rFonts w:cs="Times New Roman"/>
          <w:szCs w:val="24"/>
          <w:lang w:val="fr-CA"/>
        </w:rPr>
        <w:t xml:space="preserve">pour </w:t>
      </w:r>
      <w:r w:rsidR="005A7564">
        <w:rPr>
          <w:rFonts w:cs="Times New Roman"/>
          <w:szCs w:val="24"/>
          <w:lang w:val="fr-CA"/>
        </w:rPr>
        <w:t>défaut de mise en garde</w:t>
      </w:r>
      <w:r w:rsidR="0047179D" w:rsidRPr="00403220">
        <w:rPr>
          <w:rFonts w:cs="Times New Roman"/>
          <w:szCs w:val="24"/>
          <w:lang w:val="fr-CA"/>
        </w:rPr>
        <w:t xml:space="preserve">. </w:t>
      </w:r>
    </w:p>
    <w:p w:rsidR="0047179D" w:rsidRPr="00B85006" w:rsidRDefault="00B85006" w:rsidP="00B85006">
      <w:pPr>
        <w:pStyle w:val="TitleTitre-AltT"/>
        <w:keepNext/>
        <w:tabs>
          <w:tab w:val="clear" w:pos="360"/>
          <w:tab w:val="left" w:pos="1170"/>
        </w:tabs>
        <w:spacing w:after="720"/>
        <w:ind w:left="1800" w:hanging="1800"/>
        <w:rPr>
          <w:rFonts w:cs="Times New Roman"/>
          <w:szCs w:val="24"/>
          <w:u w:val="single"/>
          <w:lang w:val="fr-CA"/>
        </w:rPr>
      </w:pPr>
      <w:r w:rsidRPr="00B85006">
        <w:rPr>
          <w:rFonts w:cs="Times New Roman"/>
          <w:szCs w:val="24"/>
          <w:lang w:val="fr-CA"/>
        </w:rPr>
        <w:tab/>
      </w:r>
      <w:bookmarkStart w:id="27" w:name="_Toc314735125"/>
      <w:r w:rsidR="008230AF" w:rsidRPr="00B85006">
        <w:rPr>
          <w:rFonts w:cs="Times New Roman"/>
          <w:szCs w:val="24"/>
          <w:lang w:val="fr-CA"/>
        </w:rPr>
        <w:t>(2</w:t>
      </w:r>
      <w:r w:rsidR="0047179D" w:rsidRPr="00B85006">
        <w:rPr>
          <w:rFonts w:cs="Times New Roman"/>
          <w:szCs w:val="24"/>
          <w:lang w:val="fr-CA"/>
        </w:rPr>
        <w:t>)</w:t>
      </w:r>
      <w:r w:rsidR="00591784" w:rsidRPr="00B85006">
        <w:rPr>
          <w:rFonts w:cs="Times New Roman"/>
          <w:szCs w:val="24"/>
          <w:lang w:val="fr-CA"/>
        </w:rPr>
        <w:tab/>
      </w:r>
      <w:r w:rsidR="008304F7" w:rsidRPr="00403220">
        <w:rPr>
          <w:rFonts w:cs="Times New Roman"/>
          <w:szCs w:val="24"/>
          <w:u w:val="single"/>
          <w:lang w:val="fr-CA"/>
        </w:rPr>
        <w:t>L</w:t>
      </w:r>
      <w:r w:rsidR="00334234">
        <w:rPr>
          <w:rFonts w:cs="Times New Roman"/>
          <w:szCs w:val="24"/>
          <w:u w:val="single"/>
          <w:lang w:val="fr-CA"/>
        </w:rPr>
        <w:t xml:space="preserve">e défaut de mettre </w:t>
      </w:r>
      <w:r w:rsidR="00847C22" w:rsidRPr="00403220">
        <w:rPr>
          <w:rFonts w:cs="Times New Roman"/>
          <w:szCs w:val="24"/>
          <w:u w:val="single"/>
          <w:lang w:val="fr-CA"/>
        </w:rPr>
        <w:t xml:space="preserve">Imperial </w:t>
      </w:r>
      <w:r w:rsidR="00334234">
        <w:rPr>
          <w:rFonts w:cs="Times New Roman"/>
          <w:szCs w:val="24"/>
          <w:u w:val="single"/>
          <w:lang w:val="fr-CA"/>
        </w:rPr>
        <w:t xml:space="preserve">en garde contre </w:t>
      </w:r>
      <w:r w:rsidR="0047179D" w:rsidRPr="00403220">
        <w:rPr>
          <w:rFonts w:cs="Times New Roman"/>
          <w:szCs w:val="24"/>
          <w:u w:val="single"/>
          <w:lang w:val="fr-CA"/>
        </w:rPr>
        <w:t>les dangers pour la santé</w:t>
      </w:r>
      <w:bookmarkEnd w:id="27"/>
    </w:p>
    <w:p w:rsidR="0047179D" w:rsidRPr="00403220" w:rsidRDefault="0047179D" w:rsidP="00AC08A1">
      <w:pPr>
        <w:pStyle w:val="ParaNoNdepar-AltN"/>
        <w:rPr>
          <w:rFonts w:cs="Times New Roman"/>
          <w:szCs w:val="24"/>
          <w:lang w:val="fr-CA"/>
        </w:rPr>
      </w:pPr>
      <w:r w:rsidRPr="00403220">
        <w:rPr>
          <w:rFonts w:cs="Times New Roman"/>
          <w:szCs w:val="24"/>
          <w:lang w:val="fr-CA"/>
        </w:rPr>
        <w:t>S</w:t>
      </w:r>
      <w:r w:rsidR="008372AA" w:rsidRPr="00403220">
        <w:rPr>
          <w:rFonts w:cs="Times New Roman"/>
          <w:szCs w:val="24"/>
          <w:lang w:val="fr-CA"/>
        </w:rPr>
        <w:t>’</w:t>
      </w:r>
      <w:r w:rsidRPr="00403220">
        <w:rPr>
          <w:rFonts w:cs="Times New Roman"/>
          <w:szCs w:val="24"/>
          <w:lang w:val="fr-CA"/>
        </w:rPr>
        <w:t>exprimant au nom de la Cour d</w:t>
      </w:r>
      <w:r w:rsidR="008372AA" w:rsidRPr="00403220">
        <w:rPr>
          <w:rFonts w:cs="Times New Roman"/>
          <w:szCs w:val="24"/>
          <w:lang w:val="fr-CA"/>
        </w:rPr>
        <w:t>’</w:t>
      </w:r>
      <w:r w:rsidRPr="00403220">
        <w:rPr>
          <w:rFonts w:cs="Times New Roman"/>
          <w:szCs w:val="24"/>
          <w:lang w:val="fr-CA"/>
        </w:rPr>
        <w:t xml:space="preserve">appel, le juge </w:t>
      </w:r>
      <w:proofErr w:type="spellStart"/>
      <w:r w:rsidRPr="00403220">
        <w:rPr>
          <w:rFonts w:cs="Times New Roman"/>
          <w:szCs w:val="24"/>
          <w:lang w:val="fr-CA"/>
        </w:rPr>
        <w:t>Tysoe</w:t>
      </w:r>
      <w:proofErr w:type="spellEnd"/>
      <w:r w:rsidRPr="00403220">
        <w:rPr>
          <w:rFonts w:cs="Times New Roman"/>
          <w:szCs w:val="24"/>
          <w:lang w:val="fr-CA"/>
        </w:rPr>
        <w:t xml:space="preserve"> a conclu </w:t>
      </w:r>
      <w:r w:rsidR="008304F7" w:rsidRPr="00403220">
        <w:rPr>
          <w:rFonts w:cs="Times New Roman"/>
          <w:szCs w:val="24"/>
          <w:lang w:val="fr-CA"/>
        </w:rPr>
        <w:t>que l’</w:t>
      </w:r>
      <w:r w:rsidRPr="00403220">
        <w:rPr>
          <w:rFonts w:cs="Times New Roman"/>
          <w:szCs w:val="24"/>
          <w:lang w:val="fr-CA"/>
        </w:rPr>
        <w:t>on n</w:t>
      </w:r>
      <w:r w:rsidR="008372AA" w:rsidRPr="00403220">
        <w:rPr>
          <w:rFonts w:cs="Times New Roman"/>
          <w:szCs w:val="24"/>
          <w:lang w:val="fr-CA"/>
        </w:rPr>
        <w:t>’</w:t>
      </w:r>
      <w:r w:rsidRPr="00403220">
        <w:rPr>
          <w:rFonts w:cs="Times New Roman"/>
          <w:szCs w:val="24"/>
          <w:lang w:val="fr-CA"/>
        </w:rPr>
        <w:t>avait pas suffisamment plaidé</w:t>
      </w:r>
      <w:r w:rsidR="008304F7" w:rsidRPr="00403220">
        <w:rPr>
          <w:rFonts w:cs="Times New Roman"/>
          <w:szCs w:val="24"/>
          <w:lang w:val="fr-CA"/>
        </w:rPr>
        <w:t>,</w:t>
      </w:r>
      <w:r w:rsidRPr="00403220">
        <w:rPr>
          <w:rFonts w:cs="Times New Roman"/>
          <w:szCs w:val="24"/>
          <w:lang w:val="fr-CA"/>
        </w:rPr>
        <w:t xml:space="preserve"> dans les avis de mise en cause</w:t>
      </w:r>
      <w:r w:rsidR="008304F7" w:rsidRPr="00403220">
        <w:rPr>
          <w:rFonts w:cs="Times New Roman"/>
          <w:szCs w:val="24"/>
          <w:lang w:val="fr-CA"/>
        </w:rPr>
        <w:t>,</w:t>
      </w:r>
      <w:r w:rsidRPr="00403220">
        <w:rPr>
          <w:rFonts w:cs="Times New Roman"/>
          <w:szCs w:val="24"/>
          <w:lang w:val="fr-CA"/>
        </w:rPr>
        <w:t xml:space="preserve"> que le Canada avait </w:t>
      </w:r>
      <w:r w:rsidR="00213440">
        <w:rPr>
          <w:rFonts w:cs="Times New Roman"/>
          <w:szCs w:val="24"/>
          <w:lang w:val="fr-CA"/>
        </w:rPr>
        <w:t xml:space="preserve">fait défaut de mettre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 xml:space="preserve">industrie </w:t>
      </w:r>
      <w:r w:rsidR="00213440">
        <w:rPr>
          <w:rFonts w:cs="Times New Roman"/>
          <w:szCs w:val="24"/>
          <w:lang w:val="fr-CA"/>
        </w:rPr>
        <w:t xml:space="preserve">en garde contre </w:t>
      </w:r>
      <w:r w:rsidRPr="00403220">
        <w:rPr>
          <w:rFonts w:cs="Times New Roman"/>
          <w:szCs w:val="24"/>
          <w:lang w:val="fr-CA"/>
        </w:rPr>
        <w:t xml:space="preserve">les dangers </w:t>
      </w:r>
      <w:r w:rsidR="008304F7" w:rsidRPr="00403220">
        <w:rPr>
          <w:rFonts w:cs="Times New Roman"/>
          <w:szCs w:val="24"/>
          <w:lang w:val="fr-CA"/>
        </w:rPr>
        <w:t xml:space="preserve">pour la santé </w:t>
      </w:r>
      <w:r w:rsidRPr="00403220">
        <w:rPr>
          <w:rFonts w:cs="Times New Roman"/>
          <w:szCs w:val="24"/>
          <w:lang w:val="fr-CA"/>
        </w:rPr>
        <w:t>que présentai</w:t>
      </w:r>
      <w:r w:rsidR="00F507EA" w:rsidRPr="00403220">
        <w:rPr>
          <w:rFonts w:cs="Times New Roman"/>
          <w:szCs w:val="24"/>
          <w:lang w:val="fr-CA"/>
        </w:rPr>
        <w:t>en</w:t>
      </w:r>
      <w:r w:rsidRPr="00403220">
        <w:rPr>
          <w:rFonts w:cs="Times New Roman"/>
          <w:szCs w:val="24"/>
          <w:lang w:val="fr-CA"/>
        </w:rPr>
        <w:t xml:space="preserve">t </w:t>
      </w:r>
      <w:r w:rsidR="00F507EA" w:rsidRPr="00403220">
        <w:rPr>
          <w:rFonts w:cs="Times New Roman"/>
          <w:szCs w:val="24"/>
          <w:lang w:val="fr-CA"/>
        </w:rPr>
        <w:t>ses</w:t>
      </w:r>
      <w:r w:rsidRPr="00403220">
        <w:rPr>
          <w:rFonts w:cs="Times New Roman"/>
          <w:szCs w:val="24"/>
          <w:lang w:val="fr-CA"/>
        </w:rPr>
        <w:t xml:space="preserve"> souche</w:t>
      </w:r>
      <w:r w:rsidR="00F507EA" w:rsidRPr="00403220">
        <w:rPr>
          <w:rFonts w:cs="Times New Roman"/>
          <w:szCs w:val="24"/>
          <w:lang w:val="fr-CA"/>
        </w:rPr>
        <w:t>s</w:t>
      </w:r>
      <w:r w:rsidRPr="00403220">
        <w:rPr>
          <w:rFonts w:cs="Times New Roman"/>
          <w:szCs w:val="24"/>
          <w:lang w:val="fr-CA"/>
        </w:rPr>
        <w:t xml:space="preserve"> de tabac.  </w:t>
      </w:r>
      <w:r w:rsidR="00847C22" w:rsidRPr="00403220">
        <w:rPr>
          <w:rFonts w:cs="Times New Roman"/>
          <w:szCs w:val="24"/>
          <w:lang w:val="fr-CA"/>
        </w:rPr>
        <w:t xml:space="preserve">Imperial </w:t>
      </w:r>
      <w:r w:rsidRPr="00403220">
        <w:rPr>
          <w:rFonts w:cs="Times New Roman"/>
          <w:szCs w:val="24"/>
          <w:lang w:val="fr-CA"/>
        </w:rPr>
        <w:t xml:space="preserve">prétend que cette conclusion était erronée, car les éléments </w:t>
      </w:r>
      <w:r w:rsidR="00F507EA" w:rsidRPr="00403220">
        <w:rPr>
          <w:rFonts w:cs="Times New Roman"/>
          <w:szCs w:val="24"/>
          <w:lang w:val="fr-CA"/>
        </w:rPr>
        <w:t>de l’</w:t>
      </w:r>
      <w:r w:rsidRPr="00403220">
        <w:rPr>
          <w:rFonts w:cs="Times New Roman"/>
          <w:szCs w:val="24"/>
          <w:lang w:val="fr-CA"/>
        </w:rPr>
        <w:t>allégation d</w:t>
      </w:r>
      <w:r w:rsidR="00614051">
        <w:rPr>
          <w:rFonts w:cs="Times New Roman"/>
          <w:szCs w:val="24"/>
          <w:lang w:val="fr-CA"/>
        </w:rPr>
        <w:t xml:space="preserve">e défaut de mise en garde </w:t>
      </w:r>
      <w:r w:rsidRPr="00403220">
        <w:rPr>
          <w:rFonts w:cs="Times New Roman"/>
          <w:szCs w:val="24"/>
          <w:lang w:val="fr-CA"/>
        </w:rPr>
        <w:t>sont identiques à ceux de l</w:t>
      </w:r>
      <w:r w:rsidR="008372AA" w:rsidRPr="00403220">
        <w:rPr>
          <w:rFonts w:cs="Times New Roman"/>
          <w:szCs w:val="24"/>
          <w:lang w:val="fr-CA"/>
        </w:rPr>
        <w:t>’</w:t>
      </w:r>
      <w:r w:rsidRPr="00403220">
        <w:rPr>
          <w:rFonts w:cs="Times New Roman"/>
          <w:szCs w:val="24"/>
          <w:lang w:val="fr-CA"/>
        </w:rPr>
        <w:t xml:space="preserve">allégation de négligence qui, elle, </w:t>
      </w:r>
      <w:r w:rsidR="009F2B57" w:rsidRPr="00403220">
        <w:rPr>
          <w:rFonts w:cs="Times New Roman"/>
          <w:szCs w:val="24"/>
          <w:lang w:val="fr-CA"/>
        </w:rPr>
        <w:t>avait suffisamment été plaidée.</w:t>
      </w:r>
    </w:p>
    <w:p w:rsidR="0047179D" w:rsidRPr="00403220" w:rsidRDefault="0047179D" w:rsidP="00AC08A1">
      <w:pPr>
        <w:pStyle w:val="ParaNoNdepar-AltN"/>
        <w:rPr>
          <w:rFonts w:cs="Times New Roman"/>
          <w:szCs w:val="24"/>
          <w:lang w:val="fr-CA"/>
        </w:rPr>
      </w:pPr>
      <w:r w:rsidRPr="00403220">
        <w:rPr>
          <w:rFonts w:cs="Times New Roman"/>
          <w:szCs w:val="24"/>
          <w:lang w:val="fr-CA"/>
        </w:rPr>
        <w:t xml:space="preserve">Le Canada souligne que les deux paragraphes des avis de mise en cause où il est question </w:t>
      </w:r>
      <w:r w:rsidR="002B084C">
        <w:rPr>
          <w:rFonts w:cs="Times New Roman"/>
          <w:szCs w:val="24"/>
          <w:lang w:val="fr-CA"/>
        </w:rPr>
        <w:t xml:space="preserve">du défaut de mise en garde </w:t>
      </w:r>
      <w:r w:rsidRPr="00403220">
        <w:rPr>
          <w:rFonts w:cs="Times New Roman"/>
          <w:szCs w:val="24"/>
          <w:lang w:val="fr-CA"/>
        </w:rPr>
        <w:t>ne font allusion qu</w:t>
      </w:r>
      <w:r w:rsidR="008372AA" w:rsidRPr="00403220">
        <w:rPr>
          <w:rFonts w:cs="Times New Roman"/>
          <w:szCs w:val="24"/>
          <w:lang w:val="fr-CA"/>
        </w:rPr>
        <w:t>’</w:t>
      </w:r>
      <w:r w:rsidRPr="00403220">
        <w:rPr>
          <w:rFonts w:cs="Times New Roman"/>
          <w:szCs w:val="24"/>
          <w:lang w:val="fr-CA"/>
        </w:rPr>
        <w:t>aux allégations concernant l</w:t>
      </w:r>
      <w:r w:rsidR="008372AA" w:rsidRPr="00403220">
        <w:rPr>
          <w:rFonts w:cs="Times New Roman"/>
          <w:szCs w:val="24"/>
          <w:lang w:val="fr-CA"/>
        </w:rPr>
        <w:t>’</w:t>
      </w:r>
      <w:r w:rsidRPr="00403220">
        <w:rPr>
          <w:rFonts w:cs="Times New Roman"/>
          <w:szCs w:val="24"/>
          <w:lang w:val="fr-CA"/>
        </w:rPr>
        <w:t>étiquetage, et non à l</w:t>
      </w:r>
      <w:r w:rsidR="008372AA" w:rsidRPr="00403220">
        <w:rPr>
          <w:rFonts w:cs="Times New Roman"/>
          <w:szCs w:val="24"/>
          <w:lang w:val="fr-CA"/>
        </w:rPr>
        <w:t>’</w:t>
      </w:r>
      <w:r w:rsidRPr="00403220">
        <w:rPr>
          <w:rFonts w:cs="Times New Roman"/>
          <w:szCs w:val="24"/>
          <w:lang w:val="fr-CA"/>
        </w:rPr>
        <w:t xml:space="preserve">allégation que le Canada </w:t>
      </w:r>
      <w:r w:rsidR="002B084C">
        <w:rPr>
          <w:rFonts w:cs="Times New Roman"/>
          <w:szCs w:val="24"/>
          <w:lang w:val="fr-CA"/>
        </w:rPr>
        <w:t xml:space="preserve">a fait défaut de mettre </w:t>
      </w:r>
      <w:r w:rsidR="00847C22" w:rsidRPr="00403220">
        <w:rPr>
          <w:rFonts w:cs="Times New Roman"/>
          <w:szCs w:val="24"/>
          <w:lang w:val="fr-CA"/>
        </w:rPr>
        <w:t xml:space="preserve">Imperial </w:t>
      </w:r>
      <w:r w:rsidR="002B084C">
        <w:rPr>
          <w:rFonts w:cs="Times New Roman"/>
          <w:szCs w:val="24"/>
          <w:lang w:val="fr-CA"/>
        </w:rPr>
        <w:t xml:space="preserve">en garde contre </w:t>
      </w:r>
      <w:r w:rsidRPr="00403220">
        <w:rPr>
          <w:rFonts w:cs="Times New Roman"/>
          <w:szCs w:val="24"/>
          <w:lang w:val="fr-CA"/>
        </w:rPr>
        <w:t xml:space="preserve">les dangers </w:t>
      </w:r>
      <w:r w:rsidR="008304F7" w:rsidRPr="00403220">
        <w:rPr>
          <w:rFonts w:cs="Times New Roman"/>
          <w:szCs w:val="24"/>
          <w:lang w:val="fr-CA"/>
        </w:rPr>
        <w:t xml:space="preserve">possibles </w:t>
      </w:r>
      <w:r w:rsidRPr="00403220">
        <w:rPr>
          <w:rFonts w:cs="Times New Roman"/>
          <w:szCs w:val="24"/>
          <w:lang w:val="fr-CA"/>
        </w:rPr>
        <w:t>pour la santé</w:t>
      </w:r>
      <w:r w:rsidR="00F507EA" w:rsidRPr="00403220">
        <w:rPr>
          <w:rFonts w:cs="Times New Roman"/>
          <w:szCs w:val="24"/>
          <w:lang w:val="fr-CA"/>
        </w:rPr>
        <w:t xml:space="preserve"> que présentaient les souches de tabac</w:t>
      </w:r>
      <w:r w:rsidRPr="00403220">
        <w:rPr>
          <w:rFonts w:cs="Times New Roman"/>
          <w:szCs w:val="24"/>
          <w:lang w:val="fr-CA"/>
        </w:rPr>
        <w:t xml:space="preserve">.  Le Canada soutient également que pour étayer une allégation </w:t>
      </w:r>
      <w:r w:rsidR="008B23A6">
        <w:rPr>
          <w:rFonts w:cs="Times New Roman"/>
          <w:szCs w:val="24"/>
          <w:lang w:val="fr-CA"/>
        </w:rPr>
        <w:t>de défaut de mise en garde</w:t>
      </w:r>
      <w:r w:rsidRPr="00403220">
        <w:rPr>
          <w:rFonts w:cs="Times New Roman"/>
          <w:szCs w:val="24"/>
          <w:lang w:val="fr-CA"/>
        </w:rPr>
        <w:t xml:space="preserve">, le demandeur doit non seulement démontrer que le défendeur a fait preuve de négligence, mais aussi que </w:t>
      </w:r>
      <w:proofErr w:type="spellStart"/>
      <w:r w:rsidRPr="00403220">
        <w:rPr>
          <w:rFonts w:cs="Times New Roman"/>
          <w:szCs w:val="24"/>
          <w:lang w:val="fr-CA"/>
        </w:rPr>
        <w:t>celui</w:t>
      </w:r>
      <w:r w:rsidR="00A54DAC" w:rsidRPr="00403220">
        <w:rPr>
          <w:rFonts w:cs="Times New Roman"/>
          <w:szCs w:val="24"/>
          <w:lang w:val="fr-CA"/>
        </w:rPr>
        <w:noBreakHyphen/>
      </w:r>
      <w:r w:rsidRPr="00403220">
        <w:rPr>
          <w:rFonts w:cs="Times New Roman"/>
          <w:szCs w:val="24"/>
          <w:lang w:val="fr-CA"/>
        </w:rPr>
        <w:t>ci</w:t>
      </w:r>
      <w:proofErr w:type="spellEnd"/>
      <w:r w:rsidRPr="00403220">
        <w:rPr>
          <w:rFonts w:cs="Times New Roman"/>
          <w:szCs w:val="24"/>
          <w:lang w:val="fr-CA"/>
        </w:rPr>
        <w:t xml:space="preserve"> avait l</w:t>
      </w:r>
      <w:r w:rsidR="008372AA" w:rsidRPr="00403220">
        <w:rPr>
          <w:rFonts w:cs="Times New Roman"/>
          <w:szCs w:val="24"/>
          <w:lang w:val="fr-CA"/>
        </w:rPr>
        <w:t>’</w:t>
      </w:r>
      <w:r w:rsidRPr="00403220">
        <w:rPr>
          <w:rFonts w:cs="Times New Roman"/>
          <w:szCs w:val="24"/>
          <w:lang w:val="fr-CA"/>
        </w:rPr>
        <w:t xml:space="preserve">obligation </w:t>
      </w:r>
      <w:r w:rsidR="00C21FA2" w:rsidRPr="00403220">
        <w:rPr>
          <w:rFonts w:cs="Times New Roman"/>
          <w:szCs w:val="24"/>
          <w:lang w:val="fr-CA"/>
        </w:rPr>
        <w:lastRenderedPageBreak/>
        <w:t xml:space="preserve">positive </w:t>
      </w: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agir.  Toujours selon le Canada, les avis de mise en cause ne donnent aucunement matière à croire qu</w:t>
      </w:r>
      <w:r w:rsidR="008372AA" w:rsidRPr="00403220">
        <w:rPr>
          <w:rFonts w:cs="Times New Roman"/>
          <w:szCs w:val="24"/>
          <w:lang w:val="fr-CA"/>
        </w:rPr>
        <w:t>’</w:t>
      </w:r>
      <w:r w:rsidRPr="00403220">
        <w:rPr>
          <w:rFonts w:cs="Times New Roman"/>
          <w:szCs w:val="24"/>
          <w:lang w:val="fr-CA"/>
        </w:rPr>
        <w:t>il avait une telle obligation en l</w:t>
      </w:r>
      <w:r w:rsidR="008372AA" w:rsidRPr="00403220">
        <w:rPr>
          <w:rFonts w:cs="Times New Roman"/>
          <w:szCs w:val="24"/>
          <w:lang w:val="fr-CA"/>
        </w:rPr>
        <w:t>’</w:t>
      </w:r>
      <w:r w:rsidRPr="00403220">
        <w:rPr>
          <w:rFonts w:cs="Times New Roman"/>
          <w:szCs w:val="24"/>
          <w:lang w:val="fr-CA"/>
        </w:rPr>
        <w:t xml:space="preserve">espèce. </w:t>
      </w:r>
    </w:p>
    <w:p w:rsidR="0047179D" w:rsidRPr="00403220" w:rsidRDefault="0047179D" w:rsidP="00AC08A1">
      <w:pPr>
        <w:pStyle w:val="ParaNoNdepar-AltN"/>
        <w:rPr>
          <w:rFonts w:cs="Times New Roman"/>
          <w:szCs w:val="24"/>
          <w:lang w:val="fr-CA"/>
        </w:rPr>
      </w:pPr>
      <w:r w:rsidRPr="00403220">
        <w:rPr>
          <w:rFonts w:cs="Times New Roman"/>
          <w:szCs w:val="24"/>
          <w:lang w:val="fr-CA"/>
        </w:rPr>
        <w:t xml:space="preserve">Je conviens avec le Canada que le délit </w:t>
      </w:r>
      <w:r w:rsidR="00E22E92">
        <w:rPr>
          <w:rFonts w:cs="Times New Roman"/>
          <w:szCs w:val="24"/>
          <w:lang w:val="fr-CA"/>
        </w:rPr>
        <w:t xml:space="preserve">de défaut de mise en garde </w:t>
      </w:r>
      <w:r w:rsidRPr="00403220">
        <w:rPr>
          <w:rFonts w:cs="Times New Roman"/>
          <w:szCs w:val="24"/>
          <w:lang w:val="fr-CA"/>
        </w:rPr>
        <w:t>requiert la preuve d</w:t>
      </w:r>
      <w:r w:rsidR="008372AA" w:rsidRPr="00403220">
        <w:rPr>
          <w:rFonts w:cs="Times New Roman"/>
          <w:szCs w:val="24"/>
          <w:lang w:val="fr-CA"/>
        </w:rPr>
        <w:t>’</w:t>
      </w:r>
      <w:r w:rsidRPr="00403220">
        <w:rPr>
          <w:rFonts w:cs="Times New Roman"/>
          <w:szCs w:val="24"/>
          <w:lang w:val="fr-CA"/>
        </w:rPr>
        <w:t>une obligation positive envers le demandeur.  En droit des délits, les obligations positives constituent l</w:t>
      </w:r>
      <w:r w:rsidR="008372AA" w:rsidRPr="00403220">
        <w:rPr>
          <w:rFonts w:cs="Times New Roman"/>
          <w:szCs w:val="24"/>
          <w:lang w:val="fr-CA"/>
        </w:rPr>
        <w:t>’</w:t>
      </w:r>
      <w:r w:rsidRPr="00403220">
        <w:rPr>
          <w:rFonts w:cs="Times New Roman"/>
          <w:szCs w:val="24"/>
          <w:lang w:val="fr-CA"/>
        </w:rPr>
        <w:t xml:space="preserve">exception et non la règle.  Dans </w:t>
      </w:r>
      <w:proofErr w:type="spellStart"/>
      <w:r w:rsidRPr="00403220">
        <w:rPr>
          <w:rFonts w:cs="Times New Roman"/>
          <w:i/>
          <w:szCs w:val="24"/>
          <w:lang w:val="fr-CA"/>
        </w:rPr>
        <w:t>Childs</w:t>
      </w:r>
      <w:proofErr w:type="spellEnd"/>
      <w:r w:rsidRPr="00403220">
        <w:rPr>
          <w:rFonts w:cs="Times New Roman"/>
          <w:i/>
          <w:szCs w:val="24"/>
          <w:lang w:val="fr-CA"/>
        </w:rPr>
        <w:t xml:space="preserve"> c. </w:t>
      </w:r>
      <w:proofErr w:type="spellStart"/>
      <w:r w:rsidRPr="00403220">
        <w:rPr>
          <w:rFonts w:cs="Times New Roman"/>
          <w:i/>
          <w:szCs w:val="24"/>
          <w:lang w:val="fr-CA"/>
        </w:rPr>
        <w:t>Desormeaux</w:t>
      </w:r>
      <w:proofErr w:type="spellEnd"/>
      <w:r w:rsidRPr="00403220">
        <w:rPr>
          <w:rFonts w:cs="Times New Roman"/>
          <w:szCs w:val="24"/>
          <w:lang w:val="fr-CA"/>
        </w:rPr>
        <w:t>, la Cour a affirmé ce qui suit</w:t>
      </w:r>
      <w:r w:rsidR="00A54DAC" w:rsidRPr="00403220">
        <w:rPr>
          <w:rFonts w:cs="Times New Roman"/>
          <w:szCs w:val="24"/>
          <w:lang w:val="fr-CA"/>
        </w:rPr>
        <w:t> :</w:t>
      </w:r>
    </w:p>
    <w:p w:rsidR="0047179D" w:rsidRPr="00403220" w:rsidRDefault="009F2B57" w:rsidP="009F2B57">
      <w:pPr>
        <w:pStyle w:val="Citation-AltC"/>
        <w:ind w:hanging="1166"/>
        <w:rPr>
          <w:szCs w:val="24"/>
          <w:lang w:val="fr-CA"/>
        </w:rPr>
      </w:pPr>
      <w:r w:rsidRPr="00403220">
        <w:rPr>
          <w:szCs w:val="24"/>
          <w:lang w:val="fr-CA"/>
        </w:rPr>
        <w:tab/>
      </w:r>
      <w:r w:rsidR="00A4754D" w:rsidRPr="00403220">
        <w:rPr>
          <w:szCs w:val="24"/>
          <w:lang w:val="fr-CA"/>
        </w:rPr>
        <w:t>B</w:t>
      </w:r>
      <w:r w:rsidR="0047179D" w:rsidRPr="00403220">
        <w:rPr>
          <w:szCs w:val="24"/>
          <w:lang w:val="fr-CA"/>
        </w:rPr>
        <w:t>ien qu</w:t>
      </w:r>
      <w:r w:rsidR="008372AA" w:rsidRPr="00403220">
        <w:rPr>
          <w:szCs w:val="24"/>
          <w:lang w:val="fr-CA"/>
        </w:rPr>
        <w:t>’</w:t>
      </w:r>
      <w:r w:rsidR="0047179D" w:rsidRPr="00403220">
        <w:rPr>
          <w:szCs w:val="24"/>
          <w:lang w:val="fr-CA"/>
        </w:rPr>
        <w:t>il ne fasse aucun doute qu</w:t>
      </w:r>
      <w:r w:rsidR="008372AA" w:rsidRPr="00403220">
        <w:rPr>
          <w:szCs w:val="24"/>
          <w:lang w:val="fr-CA"/>
        </w:rPr>
        <w:t>’</w:t>
      </w:r>
      <w:r w:rsidR="0047179D" w:rsidRPr="00403220">
        <w:rPr>
          <w:szCs w:val="24"/>
          <w:lang w:val="fr-CA"/>
        </w:rPr>
        <w:t xml:space="preserve">une omission peut emporter négligence, la </w:t>
      </w:r>
      <w:proofErr w:type="spellStart"/>
      <w:r w:rsidR="0047179D" w:rsidRPr="00403220">
        <w:rPr>
          <w:szCs w:val="24"/>
          <w:lang w:val="fr-CA"/>
        </w:rPr>
        <w:t>common</w:t>
      </w:r>
      <w:proofErr w:type="spellEnd"/>
      <w:r w:rsidR="0047179D" w:rsidRPr="00403220">
        <w:rPr>
          <w:szCs w:val="24"/>
          <w:lang w:val="fr-CA"/>
        </w:rPr>
        <w:t xml:space="preserve"> </w:t>
      </w:r>
      <w:proofErr w:type="spellStart"/>
      <w:r w:rsidR="0047179D" w:rsidRPr="00403220">
        <w:rPr>
          <w:szCs w:val="24"/>
          <w:lang w:val="fr-CA"/>
        </w:rPr>
        <w:t>law</w:t>
      </w:r>
      <w:proofErr w:type="spellEnd"/>
      <w:r w:rsidR="0047179D" w:rsidRPr="00403220">
        <w:rPr>
          <w:szCs w:val="24"/>
          <w:lang w:val="fr-CA"/>
        </w:rPr>
        <w:t>, en règle générale, est une fervente protectrice de l</w:t>
      </w:r>
      <w:r w:rsidR="008372AA" w:rsidRPr="00403220">
        <w:rPr>
          <w:szCs w:val="24"/>
          <w:lang w:val="fr-CA"/>
        </w:rPr>
        <w:t>’</w:t>
      </w:r>
      <w:r w:rsidR="0047179D" w:rsidRPr="00403220">
        <w:rPr>
          <w:szCs w:val="24"/>
          <w:lang w:val="fr-CA"/>
        </w:rPr>
        <w:t>autonomie individuelle.  L</w:t>
      </w:r>
      <w:r w:rsidR="008372AA" w:rsidRPr="00403220">
        <w:rPr>
          <w:szCs w:val="24"/>
          <w:lang w:val="fr-CA"/>
        </w:rPr>
        <w:t>’</w:t>
      </w:r>
      <w:r w:rsidR="0047179D" w:rsidRPr="00403220">
        <w:rPr>
          <w:szCs w:val="24"/>
          <w:lang w:val="fr-CA"/>
        </w:rPr>
        <w:t xml:space="preserve">obligation de prendre des mesures concrètes </w:t>
      </w:r>
      <w:r w:rsidR="003B54EE" w:rsidRPr="00403220">
        <w:rPr>
          <w:szCs w:val="24"/>
          <w:lang w:val="fr-CA"/>
        </w:rPr>
        <w:t xml:space="preserve">face à un risque ou à un danger </w:t>
      </w:r>
      <w:r w:rsidR="0047179D" w:rsidRPr="00403220">
        <w:rPr>
          <w:szCs w:val="24"/>
          <w:lang w:val="fr-CA"/>
        </w:rPr>
        <w:t>n</w:t>
      </w:r>
      <w:r w:rsidR="008372AA" w:rsidRPr="00403220">
        <w:rPr>
          <w:szCs w:val="24"/>
          <w:lang w:val="fr-CA"/>
        </w:rPr>
        <w:t>’</w:t>
      </w:r>
      <w:r w:rsidR="0047179D" w:rsidRPr="00403220">
        <w:rPr>
          <w:szCs w:val="24"/>
          <w:lang w:val="fr-CA"/>
        </w:rPr>
        <w:t>est pas une obligation distincte.  Généralement, le simple fait qu</w:t>
      </w:r>
      <w:r w:rsidR="008372AA" w:rsidRPr="00403220">
        <w:rPr>
          <w:szCs w:val="24"/>
          <w:lang w:val="fr-CA"/>
        </w:rPr>
        <w:t>’</w:t>
      </w:r>
      <w:r w:rsidR="0047179D" w:rsidRPr="00403220">
        <w:rPr>
          <w:szCs w:val="24"/>
          <w:lang w:val="fr-CA"/>
        </w:rPr>
        <w:t>une personne court un danger ou constitue un danger pour autrui n</w:t>
      </w:r>
      <w:r w:rsidR="008372AA" w:rsidRPr="00403220">
        <w:rPr>
          <w:szCs w:val="24"/>
          <w:lang w:val="fr-CA"/>
        </w:rPr>
        <w:t>’</w:t>
      </w:r>
      <w:r w:rsidR="0047179D" w:rsidRPr="00403220">
        <w:rPr>
          <w:szCs w:val="24"/>
          <w:lang w:val="fr-CA"/>
        </w:rPr>
        <w:t>impose pas en soi une quelconque obligation aux personnes susceptibles d</w:t>
      </w:r>
      <w:r w:rsidR="008372AA" w:rsidRPr="00403220">
        <w:rPr>
          <w:szCs w:val="24"/>
          <w:lang w:val="fr-CA"/>
        </w:rPr>
        <w:t>’</w:t>
      </w:r>
      <w:r w:rsidR="0047179D" w:rsidRPr="00403220">
        <w:rPr>
          <w:szCs w:val="24"/>
          <w:lang w:val="fr-CA"/>
        </w:rPr>
        <w:t xml:space="preserve">intervenir. </w:t>
      </w:r>
      <w:r w:rsidR="008230AF" w:rsidRPr="00403220">
        <w:rPr>
          <w:szCs w:val="24"/>
          <w:lang w:val="fr-CA"/>
        </w:rPr>
        <w:t>[</w:t>
      </w:r>
      <w:proofErr w:type="gramStart"/>
      <w:r w:rsidR="00A54DAC" w:rsidRPr="00403220">
        <w:rPr>
          <w:szCs w:val="24"/>
          <w:lang w:val="fr-CA"/>
        </w:rPr>
        <w:t>par</w:t>
      </w:r>
      <w:proofErr w:type="gramEnd"/>
      <w:r w:rsidR="00A54DAC" w:rsidRPr="00403220">
        <w:rPr>
          <w:szCs w:val="24"/>
          <w:lang w:val="fr-CA"/>
        </w:rPr>
        <w:t>. </w:t>
      </w:r>
      <w:r w:rsidR="0047179D" w:rsidRPr="00403220">
        <w:rPr>
          <w:szCs w:val="24"/>
          <w:lang w:val="fr-CA"/>
        </w:rPr>
        <w:t>31</w:t>
      </w:r>
      <w:r w:rsidR="008230AF" w:rsidRPr="00403220">
        <w:rPr>
          <w:szCs w:val="24"/>
          <w:lang w:val="fr-CA"/>
        </w:rPr>
        <w:t>]</w:t>
      </w:r>
    </w:p>
    <w:p w:rsidR="0047179D" w:rsidRPr="00403220" w:rsidRDefault="0047179D" w:rsidP="00AC08A1">
      <w:pPr>
        <w:pStyle w:val="ContinueParaSuitedupar-AltP"/>
        <w:rPr>
          <w:rFonts w:cs="Times New Roman"/>
          <w:szCs w:val="24"/>
          <w:lang w:val="fr-CA"/>
        </w:rPr>
      </w:pPr>
      <w:r w:rsidRPr="00403220">
        <w:rPr>
          <w:rFonts w:cs="Times New Roman"/>
          <w:szCs w:val="24"/>
          <w:lang w:val="fr-CA"/>
        </w:rPr>
        <w:t xml:space="preserve">Qui plus est, aucune des décisions citées par </w:t>
      </w:r>
      <w:r w:rsidR="00847C22" w:rsidRPr="00403220">
        <w:rPr>
          <w:rFonts w:cs="Times New Roman"/>
          <w:szCs w:val="24"/>
          <w:lang w:val="fr-CA"/>
        </w:rPr>
        <w:t xml:space="preserve">Imperial </w:t>
      </w:r>
      <w:r w:rsidRPr="00403220">
        <w:rPr>
          <w:rFonts w:cs="Times New Roman"/>
          <w:szCs w:val="24"/>
          <w:lang w:val="fr-CA"/>
        </w:rPr>
        <w:t>n</w:t>
      </w:r>
      <w:r w:rsidR="008372AA" w:rsidRPr="00403220">
        <w:rPr>
          <w:rFonts w:cs="Times New Roman"/>
          <w:szCs w:val="24"/>
          <w:lang w:val="fr-CA"/>
        </w:rPr>
        <w:t>’</w:t>
      </w:r>
      <w:r w:rsidRPr="00403220">
        <w:rPr>
          <w:rFonts w:cs="Times New Roman"/>
          <w:szCs w:val="24"/>
          <w:lang w:val="fr-CA"/>
        </w:rPr>
        <w:t>étaye l</w:t>
      </w:r>
      <w:r w:rsidR="008372AA" w:rsidRPr="00403220">
        <w:rPr>
          <w:rFonts w:cs="Times New Roman"/>
          <w:szCs w:val="24"/>
          <w:lang w:val="fr-CA"/>
        </w:rPr>
        <w:t>’</w:t>
      </w:r>
      <w:r w:rsidRPr="00403220">
        <w:rPr>
          <w:rFonts w:cs="Times New Roman"/>
          <w:szCs w:val="24"/>
          <w:lang w:val="fr-CA"/>
        </w:rPr>
        <w:t>argument qu</w:t>
      </w:r>
      <w:r w:rsidR="008372AA" w:rsidRPr="00403220">
        <w:rPr>
          <w:rFonts w:cs="Times New Roman"/>
          <w:szCs w:val="24"/>
          <w:lang w:val="fr-CA"/>
        </w:rPr>
        <w:t>’</w:t>
      </w:r>
      <w:r w:rsidRPr="00403220">
        <w:rPr>
          <w:rFonts w:cs="Times New Roman"/>
          <w:szCs w:val="24"/>
          <w:lang w:val="fr-CA"/>
        </w:rPr>
        <w:t>une allégation de négligence</w:t>
      </w:r>
      <w:r w:rsidR="00452247" w:rsidRPr="00403220">
        <w:rPr>
          <w:rFonts w:cs="Times New Roman"/>
          <w:szCs w:val="24"/>
          <w:lang w:val="fr-CA"/>
        </w:rPr>
        <w:t xml:space="preserve">, sans plus, </w:t>
      </w:r>
      <w:r w:rsidRPr="00403220">
        <w:rPr>
          <w:rFonts w:cs="Times New Roman"/>
          <w:szCs w:val="24"/>
          <w:lang w:val="fr-CA"/>
        </w:rPr>
        <w:t>est suffisante</w:t>
      </w:r>
      <w:r w:rsidR="00C21FA2" w:rsidRPr="00403220">
        <w:rPr>
          <w:rFonts w:cs="Times New Roman"/>
          <w:szCs w:val="24"/>
          <w:lang w:val="fr-CA"/>
        </w:rPr>
        <w:t xml:space="preserve"> pour imposer une </w:t>
      </w:r>
      <w:r w:rsidRPr="00403220">
        <w:rPr>
          <w:rFonts w:cs="Times New Roman"/>
          <w:szCs w:val="24"/>
          <w:lang w:val="fr-CA"/>
        </w:rPr>
        <w:t xml:space="preserve">obligation de </w:t>
      </w:r>
      <w:r w:rsidR="00E01FC9">
        <w:rPr>
          <w:rFonts w:cs="Times New Roman"/>
          <w:szCs w:val="24"/>
          <w:lang w:val="fr-CA"/>
        </w:rPr>
        <w:t>mise en garde</w:t>
      </w:r>
      <w:r w:rsidR="00A54DAC" w:rsidRPr="00403220">
        <w:rPr>
          <w:rFonts w:cs="Times New Roman"/>
          <w:szCs w:val="24"/>
          <w:lang w:val="fr-CA"/>
        </w:rPr>
        <w:t> :</w:t>
      </w:r>
      <w:r w:rsidRPr="00403220">
        <w:rPr>
          <w:rFonts w:cs="Times New Roman"/>
          <w:szCs w:val="24"/>
          <w:lang w:val="fr-CA"/>
        </w:rPr>
        <w:t xml:space="preserve"> </w:t>
      </w:r>
      <w:r w:rsidRPr="00403220">
        <w:rPr>
          <w:rFonts w:cs="Times New Roman"/>
          <w:i/>
          <w:szCs w:val="24"/>
          <w:lang w:val="fr-CA"/>
        </w:rPr>
        <w:t xml:space="preserve">Day c. Central </w:t>
      </w:r>
      <w:proofErr w:type="spellStart"/>
      <w:r w:rsidRPr="00403220">
        <w:rPr>
          <w:rFonts w:cs="Times New Roman"/>
          <w:i/>
          <w:szCs w:val="24"/>
          <w:lang w:val="fr-CA"/>
        </w:rPr>
        <w:t>Okanagan</w:t>
      </w:r>
      <w:proofErr w:type="spellEnd"/>
      <w:r w:rsidRPr="00403220">
        <w:rPr>
          <w:rFonts w:cs="Times New Roman"/>
          <w:i/>
          <w:szCs w:val="24"/>
          <w:lang w:val="fr-CA"/>
        </w:rPr>
        <w:t xml:space="preserve"> (</w:t>
      </w:r>
      <w:proofErr w:type="spellStart"/>
      <w:r w:rsidRPr="00403220">
        <w:rPr>
          <w:rFonts w:cs="Times New Roman"/>
          <w:i/>
          <w:szCs w:val="24"/>
          <w:lang w:val="fr-CA"/>
        </w:rPr>
        <w:t>Regional</w:t>
      </w:r>
      <w:proofErr w:type="spellEnd"/>
      <w:r w:rsidRPr="00403220">
        <w:rPr>
          <w:rFonts w:cs="Times New Roman"/>
          <w:i/>
          <w:szCs w:val="24"/>
          <w:lang w:val="fr-CA"/>
        </w:rPr>
        <w:t xml:space="preserve"> District)</w:t>
      </w:r>
      <w:r w:rsidRPr="00403220">
        <w:rPr>
          <w:rFonts w:cs="Times New Roman"/>
          <w:szCs w:val="24"/>
          <w:lang w:val="fr-CA"/>
        </w:rPr>
        <w:t xml:space="preserve">, 2000 BCSC 1134, </w:t>
      </w:r>
      <w:r w:rsidR="00452247" w:rsidRPr="00403220">
        <w:rPr>
          <w:rFonts w:cs="Times New Roman"/>
          <w:szCs w:val="24"/>
          <w:lang w:val="fr-CA"/>
        </w:rPr>
        <w:t xml:space="preserve">79 B.C.L.R. (3d) 36, </w:t>
      </w:r>
      <w:r w:rsidRPr="00403220">
        <w:rPr>
          <w:rFonts w:cs="Times New Roman"/>
          <w:szCs w:val="24"/>
          <w:lang w:val="fr-CA"/>
        </w:rPr>
        <w:t xml:space="preserve">le juge </w:t>
      </w:r>
      <w:proofErr w:type="spellStart"/>
      <w:r w:rsidRPr="00403220">
        <w:rPr>
          <w:rFonts w:cs="Times New Roman"/>
          <w:szCs w:val="24"/>
          <w:lang w:val="fr-CA"/>
        </w:rPr>
        <w:t>Drossos</w:t>
      </w:r>
      <w:proofErr w:type="spellEnd"/>
      <w:r w:rsidRPr="00403220">
        <w:rPr>
          <w:rFonts w:cs="Times New Roman"/>
          <w:szCs w:val="24"/>
          <w:lang w:val="fr-CA"/>
        </w:rPr>
        <w:t xml:space="preserve">; voir aussi </w:t>
      </w:r>
      <w:r w:rsidRPr="00403220">
        <w:rPr>
          <w:rFonts w:cs="Times New Roman"/>
          <w:i/>
          <w:iCs/>
          <w:szCs w:val="24"/>
          <w:lang w:val="fr-CA"/>
        </w:rPr>
        <w:t xml:space="preserve">Elias c. </w:t>
      </w:r>
      <w:proofErr w:type="spellStart"/>
      <w:r w:rsidRPr="00403220">
        <w:rPr>
          <w:rFonts w:cs="Times New Roman"/>
          <w:i/>
          <w:iCs/>
          <w:szCs w:val="24"/>
          <w:lang w:val="fr-CA"/>
        </w:rPr>
        <w:t>Headache</w:t>
      </w:r>
      <w:proofErr w:type="spellEnd"/>
      <w:r w:rsidRPr="00403220">
        <w:rPr>
          <w:rFonts w:cs="Times New Roman"/>
          <w:i/>
          <w:iCs/>
          <w:szCs w:val="24"/>
          <w:lang w:val="fr-CA"/>
        </w:rPr>
        <w:t xml:space="preserve"> and Pain Management </w:t>
      </w:r>
      <w:proofErr w:type="spellStart"/>
      <w:r w:rsidRPr="00403220">
        <w:rPr>
          <w:rFonts w:cs="Times New Roman"/>
          <w:i/>
          <w:iCs/>
          <w:szCs w:val="24"/>
          <w:lang w:val="fr-CA"/>
        </w:rPr>
        <w:t>Clinic</w:t>
      </w:r>
      <w:proofErr w:type="spellEnd"/>
      <w:r w:rsidR="00A4754D" w:rsidRPr="00403220">
        <w:rPr>
          <w:rFonts w:cs="Times New Roman"/>
          <w:iCs/>
          <w:szCs w:val="24"/>
          <w:lang w:val="fr-CA"/>
        </w:rPr>
        <w:t>,</w:t>
      </w:r>
      <w:r w:rsidRPr="00403220">
        <w:rPr>
          <w:rFonts w:cs="Times New Roman"/>
          <w:i/>
          <w:iCs/>
          <w:szCs w:val="24"/>
          <w:lang w:val="fr-CA"/>
        </w:rPr>
        <w:t xml:space="preserve"> </w:t>
      </w:r>
      <w:r w:rsidRPr="00403220">
        <w:rPr>
          <w:rFonts w:cs="Times New Roman"/>
          <w:szCs w:val="24"/>
          <w:lang w:val="fr-CA"/>
        </w:rPr>
        <w:t xml:space="preserve">2008 </w:t>
      </w:r>
      <w:proofErr w:type="spellStart"/>
      <w:r w:rsidR="008230AF" w:rsidRPr="00403220">
        <w:rPr>
          <w:rFonts w:cs="Times New Roman"/>
          <w:szCs w:val="24"/>
          <w:lang w:val="fr-CA"/>
        </w:rPr>
        <w:t>CanLII</w:t>
      </w:r>
      <w:proofErr w:type="spellEnd"/>
      <w:r w:rsidRPr="00403220">
        <w:rPr>
          <w:rFonts w:cs="Times New Roman"/>
          <w:szCs w:val="24"/>
          <w:lang w:val="fr-CA"/>
        </w:rPr>
        <w:t xml:space="preserve"> </w:t>
      </w:r>
      <w:r w:rsidR="008230AF" w:rsidRPr="00403220">
        <w:rPr>
          <w:rFonts w:cs="Times New Roman"/>
          <w:szCs w:val="24"/>
          <w:lang w:val="fr-CA"/>
        </w:rPr>
        <w:t>53133</w:t>
      </w:r>
      <w:r w:rsidRPr="00403220">
        <w:rPr>
          <w:rFonts w:cs="Times New Roman"/>
          <w:szCs w:val="24"/>
          <w:lang w:val="fr-CA"/>
        </w:rPr>
        <w:t xml:space="preserve"> (C.S.J.</w:t>
      </w:r>
      <w:r w:rsidR="008230AF" w:rsidRPr="00403220">
        <w:rPr>
          <w:rFonts w:cs="Times New Roman"/>
          <w:szCs w:val="24"/>
          <w:lang w:val="fr-CA"/>
        </w:rPr>
        <w:t xml:space="preserve"> Ont.</w:t>
      </w:r>
      <w:r w:rsidRPr="00403220">
        <w:rPr>
          <w:rFonts w:cs="Times New Roman"/>
          <w:szCs w:val="24"/>
          <w:lang w:val="fr-CA"/>
        </w:rPr>
        <w:t>), le juge Macdonald (</w:t>
      </w:r>
      <w:r w:rsidR="00A54DAC" w:rsidRPr="00403220">
        <w:rPr>
          <w:rFonts w:cs="Times New Roman"/>
          <w:szCs w:val="24"/>
          <w:lang w:val="fr-CA"/>
        </w:rPr>
        <w:t>par. </w:t>
      </w:r>
      <w:r w:rsidRPr="00403220">
        <w:rPr>
          <w:rFonts w:cs="Times New Roman"/>
          <w:szCs w:val="24"/>
          <w:lang w:val="fr-CA"/>
        </w:rPr>
        <w:t>6</w:t>
      </w:r>
      <w:r w:rsidR="00C21FA2" w:rsidRPr="00403220">
        <w:rPr>
          <w:rFonts w:cs="Times New Roman"/>
          <w:szCs w:val="24"/>
          <w:lang w:val="fr-CA"/>
        </w:rPr>
        <w:t xml:space="preserve"> à 9</w:t>
      </w:r>
      <w:r w:rsidRPr="00403220">
        <w:rPr>
          <w:rFonts w:cs="Times New Roman"/>
          <w:szCs w:val="24"/>
          <w:lang w:val="fr-CA"/>
        </w:rPr>
        <w:t xml:space="preserve">).  </w:t>
      </w:r>
    </w:p>
    <w:p w:rsidR="0047179D" w:rsidRPr="00403220" w:rsidRDefault="0047179D" w:rsidP="00AC08A1">
      <w:pPr>
        <w:pStyle w:val="ParaNoNdepar-AltN"/>
        <w:rPr>
          <w:rFonts w:cs="Times New Roman"/>
          <w:szCs w:val="24"/>
          <w:lang w:val="fr-CA"/>
        </w:rPr>
      </w:pPr>
      <w:r w:rsidRPr="00403220">
        <w:rPr>
          <w:rFonts w:cs="Times New Roman"/>
          <w:szCs w:val="24"/>
          <w:lang w:val="fr-CA"/>
        </w:rPr>
        <w:t>Même si l</w:t>
      </w:r>
      <w:r w:rsidR="008372AA" w:rsidRPr="00403220">
        <w:rPr>
          <w:rFonts w:cs="Times New Roman"/>
          <w:szCs w:val="24"/>
          <w:lang w:val="fr-CA"/>
        </w:rPr>
        <w:t>’</w:t>
      </w:r>
      <w:r w:rsidRPr="00403220">
        <w:rPr>
          <w:rFonts w:cs="Times New Roman"/>
          <w:szCs w:val="24"/>
          <w:lang w:val="fr-CA"/>
        </w:rPr>
        <w:t>on considérait qu</w:t>
      </w:r>
      <w:r w:rsidR="008372AA" w:rsidRPr="00403220">
        <w:rPr>
          <w:rFonts w:cs="Times New Roman"/>
          <w:szCs w:val="24"/>
          <w:lang w:val="fr-CA"/>
        </w:rPr>
        <w:t>’</w:t>
      </w:r>
      <w:r w:rsidRPr="00403220">
        <w:rPr>
          <w:rFonts w:cs="Times New Roman"/>
          <w:szCs w:val="24"/>
          <w:lang w:val="fr-CA"/>
        </w:rPr>
        <w:t>il suffit de plaider la négligence pour formuler une allégation d</w:t>
      </w:r>
      <w:r w:rsidR="008372AA" w:rsidRPr="00403220">
        <w:rPr>
          <w:rFonts w:cs="Times New Roman"/>
          <w:szCs w:val="24"/>
          <w:lang w:val="fr-CA"/>
        </w:rPr>
        <w:t>’</w:t>
      </w:r>
      <w:r w:rsidRPr="00403220">
        <w:rPr>
          <w:rFonts w:cs="Times New Roman"/>
          <w:szCs w:val="24"/>
          <w:lang w:val="fr-CA"/>
        </w:rPr>
        <w:t xml:space="preserve">obligation de </w:t>
      </w:r>
      <w:r w:rsidR="00E01FC9">
        <w:rPr>
          <w:rFonts w:cs="Times New Roman"/>
          <w:szCs w:val="24"/>
          <w:lang w:val="fr-CA"/>
        </w:rPr>
        <w:t>mise en garde</w:t>
      </w:r>
      <w:r w:rsidRPr="00403220">
        <w:rPr>
          <w:rFonts w:cs="Times New Roman"/>
          <w:szCs w:val="24"/>
          <w:lang w:val="fr-CA"/>
        </w:rPr>
        <w:t xml:space="preserve">, </w:t>
      </w:r>
      <w:r w:rsidR="00452247" w:rsidRPr="00403220">
        <w:rPr>
          <w:rFonts w:cs="Times New Roman"/>
          <w:szCs w:val="24"/>
          <w:lang w:val="fr-CA"/>
        </w:rPr>
        <w:t>ce que je ne puis accepter</w:t>
      </w:r>
      <w:r w:rsidRPr="00403220">
        <w:rPr>
          <w:rFonts w:cs="Times New Roman"/>
          <w:szCs w:val="24"/>
          <w:lang w:val="fr-CA"/>
        </w:rPr>
        <w:t xml:space="preserve">, </w:t>
      </w:r>
      <w:r w:rsidRPr="00403220">
        <w:rPr>
          <w:rFonts w:cs="Times New Roman"/>
          <w:szCs w:val="24"/>
          <w:lang w:val="fr-CA"/>
        </w:rPr>
        <w:lastRenderedPageBreak/>
        <w:t>l</w:t>
      </w:r>
      <w:r w:rsidR="008372AA" w:rsidRPr="00403220">
        <w:rPr>
          <w:rFonts w:cs="Times New Roman"/>
          <w:szCs w:val="24"/>
          <w:lang w:val="fr-CA"/>
        </w:rPr>
        <w:t>’</w:t>
      </w:r>
      <w:r w:rsidRPr="00403220">
        <w:rPr>
          <w:rFonts w:cs="Times New Roman"/>
          <w:szCs w:val="24"/>
          <w:lang w:val="fr-CA"/>
        </w:rPr>
        <w:t xml:space="preserve">allégation serait rejetée pour les </w:t>
      </w:r>
      <w:r w:rsidR="00C21FA2" w:rsidRPr="00403220">
        <w:rPr>
          <w:rFonts w:cs="Times New Roman"/>
          <w:szCs w:val="24"/>
          <w:lang w:val="fr-CA"/>
        </w:rPr>
        <w:t>considérations de</w:t>
      </w:r>
      <w:r w:rsidRPr="00403220">
        <w:rPr>
          <w:rFonts w:cs="Times New Roman"/>
          <w:szCs w:val="24"/>
          <w:lang w:val="fr-CA"/>
        </w:rPr>
        <w:t xml:space="preserve"> politique</w:t>
      </w:r>
      <w:r w:rsidR="00C21FA2" w:rsidRPr="00403220">
        <w:rPr>
          <w:rFonts w:cs="Times New Roman"/>
          <w:szCs w:val="24"/>
          <w:lang w:val="fr-CA"/>
        </w:rPr>
        <w:t xml:space="preserve"> générale</w:t>
      </w:r>
      <w:r w:rsidRPr="00403220">
        <w:rPr>
          <w:rFonts w:cs="Times New Roman"/>
          <w:szCs w:val="24"/>
          <w:lang w:val="fr-CA"/>
        </w:rPr>
        <w:t xml:space="preserve"> lié</w:t>
      </w:r>
      <w:r w:rsidR="00B85006">
        <w:rPr>
          <w:rFonts w:cs="Times New Roman"/>
          <w:szCs w:val="24"/>
          <w:lang w:val="fr-CA"/>
        </w:rPr>
        <w:t>e</w:t>
      </w:r>
      <w:r w:rsidRPr="00403220">
        <w:rPr>
          <w:rFonts w:cs="Times New Roman"/>
          <w:szCs w:val="24"/>
          <w:lang w:val="fr-CA"/>
        </w:rPr>
        <w:t>s à la deuxième étape de l</w:t>
      </w:r>
      <w:r w:rsidR="008372AA" w:rsidRPr="00403220">
        <w:rPr>
          <w:rFonts w:cs="Times New Roman"/>
          <w:szCs w:val="24"/>
          <w:lang w:val="fr-CA"/>
        </w:rPr>
        <w:t>’</w:t>
      </w:r>
      <w:r w:rsidRPr="00403220">
        <w:rPr>
          <w:rFonts w:cs="Times New Roman"/>
          <w:szCs w:val="24"/>
          <w:lang w:val="fr-CA"/>
        </w:rPr>
        <w:t xml:space="preserve">analyse </w:t>
      </w:r>
      <w:r w:rsidR="00452247" w:rsidRPr="00403220">
        <w:rPr>
          <w:rFonts w:cs="Times New Roman"/>
          <w:szCs w:val="24"/>
          <w:lang w:val="fr-CA"/>
        </w:rPr>
        <w:t xml:space="preserve">et </w:t>
      </w:r>
      <w:r w:rsidRPr="00403220">
        <w:rPr>
          <w:rFonts w:cs="Times New Roman"/>
          <w:szCs w:val="24"/>
          <w:lang w:val="fr-CA"/>
        </w:rPr>
        <w:t xml:space="preserve">qui </w:t>
      </w:r>
      <w:r w:rsidR="00A4754D" w:rsidRPr="00403220">
        <w:rPr>
          <w:rFonts w:cs="Times New Roman"/>
          <w:szCs w:val="24"/>
          <w:lang w:val="fr-CA"/>
        </w:rPr>
        <w:t>s’appliqu</w:t>
      </w:r>
      <w:r w:rsidRPr="00403220">
        <w:rPr>
          <w:rFonts w:cs="Times New Roman"/>
          <w:szCs w:val="24"/>
          <w:lang w:val="fr-CA"/>
        </w:rPr>
        <w:t xml:space="preserve">ent </w:t>
      </w:r>
      <w:r w:rsidR="00A4754D" w:rsidRPr="00403220">
        <w:rPr>
          <w:rFonts w:cs="Times New Roman"/>
          <w:szCs w:val="24"/>
          <w:lang w:val="fr-CA"/>
        </w:rPr>
        <w:t xml:space="preserve">à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 xml:space="preserve">allégation de déclaration inexacte faite par négligence.  </w:t>
      </w:r>
    </w:p>
    <w:p w:rsidR="0047179D" w:rsidRPr="00403220" w:rsidRDefault="008230AF" w:rsidP="00B95136">
      <w:pPr>
        <w:pStyle w:val="TitleTitre-AltT"/>
        <w:keepNext/>
        <w:tabs>
          <w:tab w:val="clear" w:pos="360"/>
          <w:tab w:val="left" w:pos="540"/>
          <w:tab w:val="left" w:pos="1530"/>
        </w:tabs>
        <w:spacing w:after="720"/>
        <w:ind w:left="1166" w:hanging="1166"/>
        <w:rPr>
          <w:rFonts w:cs="Times New Roman"/>
          <w:szCs w:val="24"/>
          <w:lang w:val="fr-CA"/>
        </w:rPr>
      </w:pPr>
      <w:bookmarkStart w:id="28" w:name="_Toc314735126"/>
      <w:r w:rsidRPr="00403220">
        <w:rPr>
          <w:rFonts w:cs="Times New Roman"/>
          <w:szCs w:val="24"/>
          <w:lang w:val="fr-CA"/>
        </w:rPr>
        <w:t>E</w:t>
      </w:r>
      <w:r w:rsidR="0047179D" w:rsidRPr="00403220">
        <w:rPr>
          <w:rFonts w:cs="Times New Roman"/>
          <w:szCs w:val="24"/>
          <w:lang w:val="fr-CA"/>
        </w:rPr>
        <w:t>.</w:t>
      </w:r>
      <w:r w:rsidR="007C188B" w:rsidRPr="00403220">
        <w:rPr>
          <w:rFonts w:cs="Times New Roman"/>
          <w:szCs w:val="24"/>
          <w:lang w:val="fr-CA"/>
        </w:rPr>
        <w:tab/>
      </w:r>
      <w:r w:rsidR="00452247" w:rsidRPr="00403220">
        <w:rPr>
          <w:rFonts w:cs="Times New Roman"/>
          <w:i/>
          <w:szCs w:val="24"/>
          <w:lang w:val="fr-CA"/>
        </w:rPr>
        <w:t>L</w:t>
      </w:r>
      <w:r w:rsidR="00C21FA2" w:rsidRPr="00403220">
        <w:rPr>
          <w:rFonts w:cs="Times New Roman"/>
          <w:i/>
          <w:szCs w:val="24"/>
          <w:lang w:val="fr-CA"/>
        </w:rPr>
        <w:t>a</w:t>
      </w:r>
      <w:r w:rsidR="00452247" w:rsidRPr="00403220">
        <w:rPr>
          <w:rFonts w:cs="Times New Roman"/>
          <w:i/>
          <w:szCs w:val="24"/>
          <w:lang w:val="fr-CA"/>
        </w:rPr>
        <w:t xml:space="preserve"> c</w:t>
      </w:r>
      <w:r w:rsidR="0047179D" w:rsidRPr="00403220">
        <w:rPr>
          <w:rFonts w:cs="Times New Roman"/>
          <w:i/>
          <w:szCs w:val="24"/>
          <w:lang w:val="fr-CA"/>
        </w:rPr>
        <w:t>onception</w:t>
      </w:r>
      <w:r w:rsidR="00C21FA2" w:rsidRPr="00403220">
        <w:rPr>
          <w:rFonts w:cs="Times New Roman"/>
          <w:i/>
          <w:szCs w:val="24"/>
          <w:lang w:val="fr-CA"/>
        </w:rPr>
        <w:t xml:space="preserve"> négligente</w:t>
      </w:r>
      <w:bookmarkEnd w:id="28"/>
    </w:p>
    <w:p w:rsidR="0047179D" w:rsidRPr="00403220" w:rsidRDefault="0047179D" w:rsidP="00AC08A1">
      <w:pPr>
        <w:pStyle w:val="ParaNoNdepar-AltN"/>
        <w:rPr>
          <w:rFonts w:cs="Times New Roman"/>
          <w:szCs w:val="24"/>
          <w:lang w:val="fr-CA"/>
        </w:rPr>
      </w:pPr>
      <w:r w:rsidRPr="00403220">
        <w:rPr>
          <w:rFonts w:cs="Times New Roman"/>
          <w:szCs w:val="24"/>
          <w:lang w:val="fr-CA"/>
        </w:rPr>
        <w:t xml:space="preserve">Les compagnies de tabac ont </w:t>
      </w:r>
      <w:r w:rsidR="00452247" w:rsidRPr="00403220">
        <w:rPr>
          <w:rFonts w:cs="Times New Roman"/>
          <w:szCs w:val="24"/>
          <w:lang w:val="fr-CA"/>
        </w:rPr>
        <w:t>soulev</w:t>
      </w:r>
      <w:r w:rsidRPr="00403220">
        <w:rPr>
          <w:rFonts w:cs="Times New Roman"/>
          <w:szCs w:val="24"/>
          <w:lang w:val="fr-CA"/>
        </w:rPr>
        <w:t xml:space="preserve">é </w:t>
      </w:r>
      <w:r w:rsidR="00452247" w:rsidRPr="00403220">
        <w:rPr>
          <w:rFonts w:cs="Times New Roman"/>
          <w:szCs w:val="24"/>
          <w:lang w:val="fr-CA"/>
        </w:rPr>
        <w:t xml:space="preserve">à l’encontre du Canada </w:t>
      </w:r>
      <w:r w:rsidRPr="00403220">
        <w:rPr>
          <w:rFonts w:cs="Times New Roman"/>
          <w:szCs w:val="24"/>
          <w:lang w:val="fr-CA"/>
        </w:rPr>
        <w:t>deux types d</w:t>
      </w:r>
      <w:r w:rsidR="008372AA" w:rsidRPr="00403220">
        <w:rPr>
          <w:rFonts w:cs="Times New Roman"/>
          <w:szCs w:val="24"/>
          <w:lang w:val="fr-CA"/>
        </w:rPr>
        <w:t>’</w:t>
      </w:r>
      <w:r w:rsidRPr="00403220">
        <w:rPr>
          <w:rFonts w:cs="Times New Roman"/>
          <w:szCs w:val="24"/>
          <w:lang w:val="fr-CA"/>
        </w:rPr>
        <w:t>allégation</w:t>
      </w:r>
      <w:r w:rsidR="00452247" w:rsidRPr="00403220">
        <w:rPr>
          <w:rFonts w:cs="Times New Roman"/>
          <w:szCs w:val="24"/>
          <w:lang w:val="fr-CA"/>
        </w:rPr>
        <w:t>s</w:t>
      </w:r>
      <w:r w:rsidRPr="00403220">
        <w:rPr>
          <w:rFonts w:cs="Times New Roman"/>
          <w:szCs w:val="24"/>
          <w:lang w:val="fr-CA"/>
        </w:rPr>
        <w:t xml:space="preserve"> de conception </w:t>
      </w:r>
      <w:r w:rsidR="00C21FA2" w:rsidRPr="00403220">
        <w:rPr>
          <w:rFonts w:cs="Times New Roman"/>
          <w:szCs w:val="24"/>
          <w:lang w:val="fr-CA"/>
        </w:rPr>
        <w:t xml:space="preserve">négligente </w:t>
      </w:r>
      <w:r w:rsidRPr="00403220">
        <w:rPr>
          <w:rFonts w:cs="Times New Roman"/>
          <w:szCs w:val="24"/>
          <w:lang w:val="fr-CA"/>
        </w:rPr>
        <w:t>qu</w:t>
      </w:r>
      <w:r w:rsidR="008372AA" w:rsidRPr="00403220">
        <w:rPr>
          <w:rFonts w:cs="Times New Roman"/>
          <w:szCs w:val="24"/>
          <w:lang w:val="fr-CA"/>
        </w:rPr>
        <w:t>’</w:t>
      </w:r>
      <w:r w:rsidRPr="00403220">
        <w:rPr>
          <w:rFonts w:cs="Times New Roman"/>
          <w:szCs w:val="24"/>
          <w:lang w:val="fr-CA"/>
        </w:rPr>
        <w:t>il reste à examiner.  Premièrement, elles affirment que le Canada a manqué à son obligation de diligence envers elles en concevant de manière négligente ses souches de tabac à faible teneur en goudron.  La Cour d</w:t>
      </w:r>
      <w:r w:rsidR="008372AA" w:rsidRPr="00403220">
        <w:rPr>
          <w:rFonts w:cs="Times New Roman"/>
          <w:szCs w:val="24"/>
          <w:lang w:val="fr-CA"/>
        </w:rPr>
        <w:t>’</w:t>
      </w:r>
      <w:r w:rsidRPr="00403220">
        <w:rPr>
          <w:rFonts w:cs="Times New Roman"/>
          <w:szCs w:val="24"/>
          <w:lang w:val="fr-CA"/>
        </w:rPr>
        <w:t xml:space="preserve">appel a jugé que les actes de procédure appuyaient une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i/>
          <w:szCs w:val="24"/>
          <w:lang w:val="fr-CA"/>
        </w:rPr>
        <w:t xml:space="preserve"> </w:t>
      </w:r>
      <w:r w:rsidRPr="00403220">
        <w:rPr>
          <w:rFonts w:cs="Times New Roman"/>
          <w:szCs w:val="24"/>
          <w:lang w:val="fr-CA"/>
        </w:rPr>
        <w:t xml:space="preserve">à cet égard, mais que </w:t>
      </w:r>
      <w:r w:rsidR="00452247" w:rsidRPr="00403220">
        <w:rPr>
          <w:rFonts w:cs="Times New Roman"/>
          <w:szCs w:val="24"/>
          <w:lang w:val="fr-CA"/>
        </w:rPr>
        <w:t>cette obligation était écarté</w:t>
      </w:r>
      <w:r w:rsidR="00152D1A" w:rsidRPr="00403220">
        <w:rPr>
          <w:rFonts w:cs="Times New Roman"/>
          <w:szCs w:val="24"/>
          <w:lang w:val="fr-CA"/>
        </w:rPr>
        <w:t>e</w:t>
      </w:r>
      <w:r w:rsidR="00452247" w:rsidRPr="00403220">
        <w:rPr>
          <w:rFonts w:cs="Times New Roman"/>
          <w:szCs w:val="24"/>
          <w:lang w:val="fr-CA"/>
        </w:rPr>
        <w:t xml:space="preserve"> par </w:t>
      </w:r>
      <w:r w:rsidRPr="00403220">
        <w:rPr>
          <w:rFonts w:cs="Times New Roman"/>
          <w:szCs w:val="24"/>
          <w:lang w:val="fr-CA"/>
        </w:rPr>
        <w:t xml:space="preserve">la </w:t>
      </w:r>
      <w:r w:rsidR="00C21FA2" w:rsidRPr="00403220">
        <w:rPr>
          <w:rFonts w:cs="Times New Roman"/>
          <w:szCs w:val="24"/>
          <w:lang w:val="fr-CA"/>
        </w:rPr>
        <w:t>considération de</w:t>
      </w:r>
      <w:r w:rsidRPr="00403220">
        <w:rPr>
          <w:rFonts w:cs="Times New Roman"/>
          <w:szCs w:val="24"/>
          <w:lang w:val="fr-CA"/>
        </w:rPr>
        <w:t xml:space="preserve"> politique</w:t>
      </w:r>
      <w:r w:rsidR="00C21FA2" w:rsidRPr="00403220">
        <w:rPr>
          <w:rFonts w:cs="Times New Roman"/>
          <w:szCs w:val="24"/>
          <w:lang w:val="fr-CA"/>
        </w:rPr>
        <w:t xml:space="preserve"> générale</w:t>
      </w:r>
      <w:r w:rsidRPr="00403220">
        <w:rPr>
          <w:rFonts w:cs="Times New Roman"/>
          <w:szCs w:val="24"/>
          <w:lang w:val="fr-CA"/>
        </w:rPr>
        <w:t xml:space="preserve"> </w:t>
      </w:r>
      <w:r w:rsidR="00452247" w:rsidRPr="00403220">
        <w:rPr>
          <w:rFonts w:cs="Times New Roman"/>
          <w:szCs w:val="24"/>
          <w:lang w:val="fr-CA"/>
        </w:rPr>
        <w:t xml:space="preserve">liée à la responsabilité indéterminée, </w:t>
      </w:r>
      <w:r w:rsidR="00C21FA2" w:rsidRPr="00403220">
        <w:rPr>
          <w:rFonts w:cs="Times New Roman"/>
          <w:szCs w:val="24"/>
          <w:lang w:val="fr-CA"/>
        </w:rPr>
        <w:t>soulevée</w:t>
      </w:r>
      <w:r w:rsidRPr="00403220">
        <w:rPr>
          <w:rFonts w:cs="Times New Roman"/>
          <w:szCs w:val="24"/>
          <w:lang w:val="fr-CA"/>
        </w:rPr>
        <w:t xml:space="preserve"> à la deuxième étape de l</w:t>
      </w:r>
      <w:r w:rsidR="008372AA" w:rsidRPr="00403220">
        <w:rPr>
          <w:rFonts w:cs="Times New Roman"/>
          <w:szCs w:val="24"/>
          <w:lang w:val="fr-CA"/>
        </w:rPr>
        <w:t>’</w:t>
      </w:r>
      <w:r w:rsidRPr="00403220">
        <w:rPr>
          <w:rFonts w:cs="Times New Roman"/>
          <w:szCs w:val="24"/>
          <w:lang w:val="fr-CA"/>
        </w:rPr>
        <w:t xml:space="preserve">analyse.  Deuxièmement, </w:t>
      </w:r>
      <w:r w:rsidR="00847C22" w:rsidRPr="00403220">
        <w:rPr>
          <w:rFonts w:cs="Times New Roman"/>
          <w:szCs w:val="24"/>
          <w:lang w:val="fr-CA"/>
        </w:rPr>
        <w:t xml:space="preserve">Imperial </w:t>
      </w:r>
      <w:r w:rsidRPr="00403220">
        <w:rPr>
          <w:rFonts w:cs="Times New Roman"/>
          <w:szCs w:val="24"/>
          <w:lang w:val="fr-CA"/>
        </w:rPr>
        <w:t xml:space="preserve">fait valoir que le Canada a manqué à son obligation de diligence envers les </w:t>
      </w:r>
      <w:r w:rsidR="00452247" w:rsidRPr="00403220">
        <w:rPr>
          <w:rFonts w:cs="Times New Roman"/>
          <w:szCs w:val="24"/>
          <w:lang w:val="fr-CA"/>
        </w:rPr>
        <w:t xml:space="preserve">consommateurs </w:t>
      </w:r>
      <w:r w:rsidRPr="00403220">
        <w:rPr>
          <w:rFonts w:cs="Times New Roman"/>
          <w:szCs w:val="24"/>
          <w:lang w:val="fr-CA"/>
        </w:rPr>
        <w:t xml:space="preserve">de cigarettes légères et douces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La Cour d</w:t>
      </w:r>
      <w:r w:rsidR="008372AA" w:rsidRPr="00403220">
        <w:rPr>
          <w:rFonts w:cs="Times New Roman"/>
          <w:szCs w:val="24"/>
          <w:lang w:val="fr-CA"/>
        </w:rPr>
        <w:t>’</w:t>
      </w:r>
      <w:r w:rsidRPr="00403220">
        <w:rPr>
          <w:rFonts w:cs="Times New Roman"/>
          <w:szCs w:val="24"/>
          <w:lang w:val="fr-CA"/>
        </w:rPr>
        <w:t xml:space="preserve">appel a conclu à la majorité que cette allégation est matière à procès.  </w:t>
      </w:r>
    </w:p>
    <w:p w:rsidR="0047179D" w:rsidRPr="00403220" w:rsidRDefault="0047179D" w:rsidP="00AC08A1">
      <w:pPr>
        <w:pStyle w:val="ParaNoNdepar-AltN"/>
        <w:rPr>
          <w:rFonts w:cs="Times New Roman"/>
          <w:szCs w:val="24"/>
          <w:lang w:val="fr-CA"/>
        </w:rPr>
      </w:pPr>
      <w:r w:rsidRPr="00403220">
        <w:rPr>
          <w:rFonts w:cs="Times New Roman"/>
          <w:szCs w:val="24"/>
          <w:lang w:val="fr-CA"/>
        </w:rPr>
        <w:t>J</w:t>
      </w:r>
      <w:r w:rsidR="008372AA" w:rsidRPr="00403220">
        <w:rPr>
          <w:rFonts w:cs="Times New Roman"/>
          <w:szCs w:val="24"/>
          <w:lang w:val="fr-CA"/>
        </w:rPr>
        <w:t>’</w:t>
      </w:r>
      <w:r w:rsidRPr="00403220">
        <w:rPr>
          <w:rFonts w:cs="Times New Roman"/>
          <w:szCs w:val="24"/>
          <w:lang w:val="fr-CA"/>
        </w:rPr>
        <w:t xml:space="preserve">estime que ces deux allégations de </w:t>
      </w:r>
      <w:r w:rsidR="00C21FA2" w:rsidRPr="00403220">
        <w:rPr>
          <w:rFonts w:cs="Times New Roman"/>
          <w:szCs w:val="24"/>
          <w:lang w:val="fr-CA"/>
        </w:rPr>
        <w:t xml:space="preserve">conception négligente </w:t>
      </w:r>
      <w:r w:rsidRPr="00403220">
        <w:rPr>
          <w:rFonts w:cs="Times New Roman"/>
          <w:szCs w:val="24"/>
          <w:lang w:val="fr-CA"/>
        </w:rPr>
        <w:t>établissent l</w:t>
      </w:r>
      <w:r w:rsidR="008372AA" w:rsidRPr="00403220">
        <w:rPr>
          <w:rFonts w:cs="Times New Roman"/>
          <w:szCs w:val="24"/>
          <w:lang w:val="fr-CA"/>
        </w:rPr>
        <w:t>’</w:t>
      </w:r>
      <w:r w:rsidRPr="00403220">
        <w:rPr>
          <w:rFonts w:cs="Times New Roman"/>
          <w:szCs w:val="24"/>
          <w:lang w:val="fr-CA"/>
        </w:rPr>
        <w:t>existence d</w:t>
      </w:r>
      <w:r w:rsidR="008372AA" w:rsidRPr="00403220">
        <w:rPr>
          <w:rFonts w:cs="Times New Roman"/>
          <w:szCs w:val="24"/>
          <w:lang w:val="fr-CA"/>
        </w:rPr>
        <w:t>’</w:t>
      </w:r>
      <w:r w:rsidRPr="00403220">
        <w:rPr>
          <w:rFonts w:cs="Times New Roman"/>
          <w:szCs w:val="24"/>
          <w:lang w:val="fr-CA"/>
        </w:rPr>
        <w:t xml:space="preserve">une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szCs w:val="24"/>
          <w:lang w:val="fr-CA"/>
        </w:rPr>
        <w:t xml:space="preserve">, mais doivent être rejetées à la </w:t>
      </w:r>
      <w:r w:rsidRPr="00403220">
        <w:rPr>
          <w:rFonts w:cs="Times New Roman"/>
          <w:szCs w:val="24"/>
          <w:lang w:val="fr-CA"/>
        </w:rPr>
        <w:lastRenderedPageBreak/>
        <w:t>deuxième étape de l</w:t>
      </w:r>
      <w:r w:rsidR="008372AA" w:rsidRPr="00403220">
        <w:rPr>
          <w:rFonts w:cs="Times New Roman"/>
          <w:szCs w:val="24"/>
          <w:lang w:val="fr-CA"/>
        </w:rPr>
        <w:t>’</w:t>
      </w:r>
      <w:r w:rsidRPr="00403220">
        <w:rPr>
          <w:rFonts w:cs="Times New Roman"/>
          <w:szCs w:val="24"/>
          <w:lang w:val="fr-CA"/>
        </w:rPr>
        <w:t>analyse parce qu</w:t>
      </w:r>
      <w:r w:rsidR="008372AA" w:rsidRPr="00403220">
        <w:rPr>
          <w:rFonts w:cs="Times New Roman"/>
          <w:szCs w:val="24"/>
          <w:lang w:val="fr-CA"/>
        </w:rPr>
        <w:t>’</w:t>
      </w:r>
      <w:r w:rsidRPr="00403220">
        <w:rPr>
          <w:rFonts w:cs="Times New Roman"/>
          <w:szCs w:val="24"/>
          <w:lang w:val="fr-CA"/>
        </w:rPr>
        <w:t xml:space="preserve">elles </w:t>
      </w:r>
      <w:r w:rsidR="00452247" w:rsidRPr="00403220">
        <w:rPr>
          <w:rFonts w:cs="Times New Roman"/>
          <w:szCs w:val="24"/>
          <w:lang w:val="fr-CA"/>
        </w:rPr>
        <w:t xml:space="preserve">ont trait à </w:t>
      </w:r>
      <w:r w:rsidRPr="00403220">
        <w:rPr>
          <w:rFonts w:cs="Times New Roman"/>
          <w:szCs w:val="24"/>
          <w:lang w:val="fr-CA"/>
        </w:rPr>
        <w:t xml:space="preserve">des décisions de politique </w:t>
      </w:r>
      <w:r w:rsidR="00C21FA2" w:rsidRPr="00403220">
        <w:rPr>
          <w:rFonts w:cs="Times New Roman"/>
          <w:szCs w:val="24"/>
          <w:lang w:val="fr-CA"/>
        </w:rPr>
        <w:t>générale fondamentale du gouvernement</w:t>
      </w:r>
      <w:r w:rsidRPr="00403220">
        <w:rPr>
          <w:rFonts w:cs="Times New Roman"/>
          <w:szCs w:val="24"/>
          <w:lang w:val="fr-CA"/>
        </w:rPr>
        <w:t xml:space="preserve">.  </w:t>
      </w:r>
    </w:p>
    <w:p w:rsidR="0047179D" w:rsidRPr="00403220" w:rsidRDefault="00B85006" w:rsidP="00B85006">
      <w:pPr>
        <w:pStyle w:val="TitleTitre-AltT"/>
        <w:keepNext/>
        <w:tabs>
          <w:tab w:val="clear" w:pos="360"/>
          <w:tab w:val="left" w:pos="1170"/>
        </w:tabs>
        <w:spacing w:after="720"/>
        <w:ind w:left="1710" w:hanging="1710"/>
        <w:rPr>
          <w:rFonts w:cs="Times New Roman"/>
          <w:szCs w:val="24"/>
          <w:lang w:val="fr-CA"/>
        </w:rPr>
      </w:pPr>
      <w:bookmarkStart w:id="29" w:name="_Toc285751401"/>
      <w:r>
        <w:rPr>
          <w:rFonts w:cs="Times New Roman"/>
          <w:szCs w:val="24"/>
          <w:lang w:val="fr-CA"/>
        </w:rPr>
        <w:tab/>
      </w:r>
      <w:bookmarkStart w:id="30" w:name="_Toc314735127"/>
      <w:r w:rsidR="00EB62DC" w:rsidRPr="00403220">
        <w:rPr>
          <w:rFonts w:cs="Times New Roman"/>
          <w:szCs w:val="24"/>
          <w:lang w:val="fr-CA"/>
        </w:rPr>
        <w:t>(1</w:t>
      </w:r>
      <w:r w:rsidR="004631C2" w:rsidRPr="00403220">
        <w:rPr>
          <w:rFonts w:cs="Times New Roman"/>
          <w:szCs w:val="24"/>
          <w:lang w:val="fr-CA"/>
        </w:rPr>
        <w:t>)</w:t>
      </w:r>
      <w:r w:rsidR="004631C2" w:rsidRPr="00403220">
        <w:rPr>
          <w:rFonts w:cs="Times New Roman"/>
          <w:i/>
          <w:szCs w:val="24"/>
          <w:lang w:val="fr-CA"/>
        </w:rPr>
        <w:tab/>
      </w:r>
      <w:r w:rsidR="0047179D" w:rsidRPr="00403220">
        <w:rPr>
          <w:rFonts w:cs="Times New Roman"/>
          <w:szCs w:val="24"/>
          <w:u w:val="single"/>
          <w:lang w:val="fr-CA"/>
        </w:rPr>
        <w:t>Obligation de diligence</w:t>
      </w:r>
      <w:r w:rsidR="0047179D" w:rsidRPr="00403220">
        <w:rPr>
          <w:rFonts w:cs="Times New Roman"/>
          <w:i/>
          <w:szCs w:val="24"/>
          <w:u w:val="single"/>
          <w:lang w:val="fr-CA"/>
        </w:rPr>
        <w:t xml:space="preserve"> prima </w:t>
      </w:r>
      <w:proofErr w:type="spellStart"/>
      <w:r w:rsidR="0047179D" w:rsidRPr="00403220">
        <w:rPr>
          <w:rFonts w:cs="Times New Roman"/>
          <w:i/>
          <w:szCs w:val="24"/>
          <w:u w:val="single"/>
          <w:lang w:val="fr-CA"/>
        </w:rPr>
        <w:t>facie</w:t>
      </w:r>
      <w:bookmarkEnd w:id="30"/>
      <w:proofErr w:type="spellEnd"/>
      <w:r w:rsidR="0047179D" w:rsidRPr="00403220">
        <w:rPr>
          <w:rFonts w:cs="Times New Roman"/>
          <w:i/>
          <w:szCs w:val="24"/>
          <w:lang w:val="fr-CA"/>
        </w:rPr>
        <w:t xml:space="preserve"> </w:t>
      </w:r>
      <w:bookmarkEnd w:id="29"/>
    </w:p>
    <w:p w:rsidR="0047179D" w:rsidRPr="00403220" w:rsidRDefault="0047179D" w:rsidP="00AC08A1">
      <w:pPr>
        <w:pStyle w:val="ParaNoNdepar-AltN"/>
        <w:rPr>
          <w:rFonts w:cs="Times New Roman"/>
          <w:szCs w:val="24"/>
          <w:lang w:val="fr-CA"/>
        </w:rPr>
      </w:pPr>
      <w:r w:rsidRPr="00403220">
        <w:rPr>
          <w:rFonts w:cs="Times New Roman"/>
          <w:szCs w:val="24"/>
          <w:lang w:val="fr-CA"/>
        </w:rPr>
        <w:t>Je commence par l</w:t>
      </w:r>
      <w:r w:rsidR="008372AA" w:rsidRPr="00403220">
        <w:rPr>
          <w:rFonts w:cs="Times New Roman"/>
          <w:szCs w:val="24"/>
          <w:lang w:val="fr-CA"/>
        </w:rPr>
        <w:t>’</w:t>
      </w:r>
      <w:r w:rsidRPr="00403220">
        <w:rPr>
          <w:rFonts w:cs="Times New Roman"/>
          <w:szCs w:val="24"/>
          <w:lang w:val="fr-CA"/>
        </w:rPr>
        <w:t xml:space="preserve">allégation que le Canada avait une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szCs w:val="24"/>
          <w:lang w:val="fr-CA"/>
        </w:rPr>
        <w:t xml:space="preserve"> envers les compagnies de tabac.  Se fondant sur les mêmes arguments qu</w:t>
      </w:r>
      <w:r w:rsidR="008372AA" w:rsidRPr="00403220">
        <w:rPr>
          <w:rFonts w:cs="Times New Roman"/>
          <w:szCs w:val="24"/>
          <w:lang w:val="fr-CA"/>
        </w:rPr>
        <w:t>’</w:t>
      </w:r>
      <w:r w:rsidRPr="00403220">
        <w:rPr>
          <w:rFonts w:cs="Times New Roman"/>
          <w:szCs w:val="24"/>
          <w:lang w:val="fr-CA"/>
        </w:rPr>
        <w:t>il avance à l</w:t>
      </w:r>
      <w:r w:rsidR="008372AA" w:rsidRPr="00403220">
        <w:rPr>
          <w:rFonts w:cs="Times New Roman"/>
          <w:szCs w:val="24"/>
          <w:lang w:val="fr-CA"/>
        </w:rPr>
        <w:t>’</w:t>
      </w:r>
      <w:r w:rsidRPr="00403220">
        <w:rPr>
          <w:rFonts w:cs="Times New Roman"/>
          <w:szCs w:val="24"/>
          <w:lang w:val="fr-CA"/>
        </w:rPr>
        <w:t>encontre des allégations de déclaration</w:t>
      </w:r>
      <w:r w:rsidR="002B6005" w:rsidRPr="00403220">
        <w:rPr>
          <w:rFonts w:cs="Times New Roman"/>
          <w:szCs w:val="24"/>
          <w:lang w:val="fr-CA"/>
        </w:rPr>
        <w:t>s</w:t>
      </w:r>
      <w:r w:rsidRPr="00403220">
        <w:rPr>
          <w:rFonts w:cs="Times New Roman"/>
          <w:szCs w:val="24"/>
          <w:lang w:val="fr-CA"/>
        </w:rPr>
        <w:t xml:space="preserve"> inexacte</w:t>
      </w:r>
      <w:r w:rsidR="002B6005" w:rsidRPr="00403220">
        <w:rPr>
          <w:rFonts w:cs="Times New Roman"/>
          <w:szCs w:val="24"/>
          <w:lang w:val="fr-CA"/>
        </w:rPr>
        <w:t>s</w:t>
      </w:r>
      <w:r w:rsidRPr="00403220">
        <w:rPr>
          <w:rFonts w:cs="Times New Roman"/>
          <w:szCs w:val="24"/>
          <w:lang w:val="fr-CA"/>
        </w:rPr>
        <w:t xml:space="preserve"> faite</w:t>
      </w:r>
      <w:r w:rsidR="002B6005" w:rsidRPr="00403220">
        <w:rPr>
          <w:rFonts w:cs="Times New Roman"/>
          <w:szCs w:val="24"/>
          <w:lang w:val="fr-CA"/>
        </w:rPr>
        <w:t>s</w:t>
      </w:r>
      <w:r w:rsidRPr="00403220">
        <w:rPr>
          <w:rFonts w:cs="Times New Roman"/>
          <w:szCs w:val="24"/>
          <w:lang w:val="fr-CA"/>
        </w:rPr>
        <w:t xml:space="preserve"> par négligence, le Canada affirme ne pas avoir d</w:t>
      </w:r>
      <w:r w:rsidR="008372AA" w:rsidRPr="00403220">
        <w:rPr>
          <w:rFonts w:cs="Times New Roman"/>
          <w:szCs w:val="24"/>
          <w:lang w:val="fr-CA"/>
        </w:rPr>
        <w:t>’</w:t>
      </w:r>
      <w:r w:rsidRPr="00403220">
        <w:rPr>
          <w:rFonts w:cs="Times New Roman"/>
          <w:szCs w:val="24"/>
          <w:lang w:val="fr-CA"/>
        </w:rPr>
        <w:t>obligation de cette nature</w:t>
      </w:r>
      <w:r w:rsidR="00C21FA2" w:rsidRPr="00403220">
        <w:rPr>
          <w:rFonts w:cs="Times New Roman"/>
          <w:szCs w:val="24"/>
          <w:lang w:val="fr-CA"/>
        </w:rPr>
        <w:t>,</w:t>
      </w:r>
      <w:r w:rsidRPr="00403220">
        <w:rPr>
          <w:rFonts w:cs="Times New Roman"/>
          <w:szCs w:val="24"/>
          <w:lang w:val="fr-CA"/>
        </w:rPr>
        <w:t xml:space="preserve"> parce qu</w:t>
      </w:r>
      <w:r w:rsidR="008372AA" w:rsidRPr="00403220">
        <w:rPr>
          <w:rFonts w:cs="Times New Roman"/>
          <w:szCs w:val="24"/>
          <w:lang w:val="fr-CA"/>
        </w:rPr>
        <w:t>’</w:t>
      </w:r>
      <w:r w:rsidRPr="00403220">
        <w:rPr>
          <w:rFonts w:cs="Times New Roman"/>
          <w:szCs w:val="24"/>
          <w:lang w:val="fr-CA"/>
        </w:rPr>
        <w:t>il n</w:t>
      </w:r>
      <w:r w:rsidR="008372AA" w:rsidRPr="00403220">
        <w:rPr>
          <w:rFonts w:cs="Times New Roman"/>
          <w:szCs w:val="24"/>
          <w:lang w:val="fr-CA"/>
        </w:rPr>
        <w:t>’</w:t>
      </w:r>
      <w:r w:rsidR="002B6005" w:rsidRPr="00403220">
        <w:rPr>
          <w:rFonts w:cs="Times New Roman"/>
          <w:szCs w:val="24"/>
          <w:lang w:val="fr-CA"/>
        </w:rPr>
        <w:t>existe pas de lien de proximité</w:t>
      </w:r>
      <w:r w:rsidRPr="00403220">
        <w:rPr>
          <w:rFonts w:cs="Times New Roman"/>
          <w:szCs w:val="24"/>
          <w:lang w:val="fr-CA"/>
        </w:rPr>
        <w:t xml:space="preserve"> entre lui et les compagnies de tabac. </w:t>
      </w:r>
    </w:p>
    <w:p w:rsidR="0047179D" w:rsidRPr="00403220" w:rsidRDefault="0047179D" w:rsidP="00AC08A1">
      <w:pPr>
        <w:pStyle w:val="ParaNoNdepar-AltN"/>
        <w:rPr>
          <w:rFonts w:cs="Times New Roman"/>
          <w:szCs w:val="24"/>
          <w:lang w:val="fr-CA"/>
        </w:rPr>
      </w:pPr>
      <w:r w:rsidRPr="00403220">
        <w:rPr>
          <w:rFonts w:cs="Times New Roman"/>
          <w:szCs w:val="24"/>
          <w:lang w:val="fr-CA"/>
        </w:rPr>
        <w:t>À mon sens, la Cour d</w:t>
      </w:r>
      <w:r w:rsidR="008372AA" w:rsidRPr="00403220">
        <w:rPr>
          <w:rFonts w:cs="Times New Roman"/>
          <w:szCs w:val="24"/>
          <w:lang w:val="fr-CA"/>
        </w:rPr>
        <w:t>’</w:t>
      </w:r>
      <w:r w:rsidRPr="00403220">
        <w:rPr>
          <w:rFonts w:cs="Times New Roman"/>
          <w:szCs w:val="24"/>
          <w:lang w:val="fr-CA"/>
        </w:rPr>
        <w:t xml:space="preserve">appel a conclu avec raison que le Canada avait une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i/>
          <w:szCs w:val="24"/>
          <w:lang w:val="fr-CA"/>
        </w:rPr>
        <w:t xml:space="preserve"> </w:t>
      </w:r>
      <w:r w:rsidRPr="00403220">
        <w:rPr>
          <w:rFonts w:cs="Times New Roman"/>
          <w:szCs w:val="24"/>
          <w:lang w:val="fr-CA"/>
        </w:rPr>
        <w:t xml:space="preserve">envers les compagnies de tabac relativement </w:t>
      </w:r>
      <w:r w:rsidR="00C21FA2" w:rsidRPr="00403220">
        <w:rPr>
          <w:rFonts w:cs="Times New Roman"/>
          <w:szCs w:val="24"/>
          <w:lang w:val="fr-CA"/>
        </w:rPr>
        <w:t>à la conception des</w:t>
      </w:r>
      <w:r w:rsidRPr="00403220">
        <w:rPr>
          <w:rFonts w:cs="Times New Roman"/>
          <w:szCs w:val="24"/>
          <w:lang w:val="fr-CA"/>
        </w:rPr>
        <w:t xml:space="preserve"> souches de tabac à faible teneur en goudron.  Je suis d</w:t>
      </w:r>
      <w:r w:rsidR="008372AA" w:rsidRPr="00403220">
        <w:rPr>
          <w:rFonts w:cs="Times New Roman"/>
          <w:szCs w:val="24"/>
          <w:lang w:val="fr-CA"/>
        </w:rPr>
        <w:t>’</w:t>
      </w:r>
      <w:r w:rsidRPr="00403220">
        <w:rPr>
          <w:rFonts w:cs="Times New Roman"/>
          <w:szCs w:val="24"/>
          <w:lang w:val="fr-CA"/>
        </w:rPr>
        <w:t xml:space="preserve">accord avec le juge </w:t>
      </w:r>
      <w:proofErr w:type="spellStart"/>
      <w:r w:rsidRPr="00403220">
        <w:rPr>
          <w:rFonts w:cs="Times New Roman"/>
          <w:szCs w:val="24"/>
          <w:lang w:val="fr-CA"/>
        </w:rPr>
        <w:t>Tysoe</w:t>
      </w:r>
      <w:proofErr w:type="spellEnd"/>
      <w:r w:rsidRPr="00403220">
        <w:rPr>
          <w:rFonts w:cs="Times New Roman"/>
          <w:szCs w:val="24"/>
          <w:lang w:val="fr-CA"/>
        </w:rPr>
        <w:t xml:space="preserve"> pour dire que les rapports </w:t>
      </w:r>
      <w:r w:rsidR="00C21FA2" w:rsidRPr="00403220">
        <w:rPr>
          <w:rFonts w:cs="Times New Roman"/>
          <w:szCs w:val="24"/>
          <w:lang w:val="fr-CA"/>
        </w:rPr>
        <w:t xml:space="preserve">invoqués </w:t>
      </w:r>
      <w:r w:rsidRPr="00403220">
        <w:rPr>
          <w:rFonts w:cs="Times New Roman"/>
          <w:szCs w:val="24"/>
          <w:lang w:val="fr-CA"/>
        </w:rPr>
        <w:t>en l</w:t>
      </w:r>
      <w:r w:rsidR="008372AA" w:rsidRPr="00403220">
        <w:rPr>
          <w:rFonts w:cs="Times New Roman"/>
          <w:szCs w:val="24"/>
          <w:lang w:val="fr-CA"/>
        </w:rPr>
        <w:t>’</w:t>
      </w:r>
      <w:r w:rsidRPr="00403220">
        <w:rPr>
          <w:rFonts w:cs="Times New Roman"/>
          <w:szCs w:val="24"/>
          <w:lang w:val="fr-CA"/>
        </w:rPr>
        <w:t>espèce répondent aux conditions de proximité</w:t>
      </w:r>
      <w:r w:rsidR="00A54DAC" w:rsidRPr="00403220">
        <w:rPr>
          <w:rFonts w:cs="Times New Roman"/>
          <w:szCs w:val="24"/>
          <w:lang w:val="fr-CA"/>
        </w:rPr>
        <w:t> :</w:t>
      </w:r>
    </w:p>
    <w:p w:rsidR="0047179D" w:rsidRPr="00403220" w:rsidRDefault="007C188B" w:rsidP="001B0976">
      <w:pPr>
        <w:pStyle w:val="Citation-AltC"/>
        <w:keepNext/>
        <w:tabs>
          <w:tab w:val="left" w:pos="1170"/>
          <w:tab w:val="left" w:pos="1800"/>
        </w:tabs>
        <w:ind w:hanging="1166"/>
        <w:contextualSpacing w:val="0"/>
        <w:rPr>
          <w:szCs w:val="24"/>
          <w:lang w:val="fr-CA"/>
        </w:rPr>
      </w:pPr>
      <w:r w:rsidRPr="00403220">
        <w:rPr>
          <w:szCs w:val="24"/>
          <w:lang w:val="fr-CA"/>
        </w:rPr>
        <w:tab/>
      </w:r>
      <w:r w:rsidR="0047179D" w:rsidRPr="00403220">
        <w:rPr>
          <w:szCs w:val="24"/>
          <w:lang w:val="fr-CA"/>
        </w:rPr>
        <w:t>[</w:t>
      </w:r>
      <w:r w:rsidR="0047179D" w:rsidRPr="00403220">
        <w:rPr>
          <w:smallCaps/>
          <w:szCs w:val="24"/>
          <w:lang w:val="fr-CA"/>
        </w:rPr>
        <w:t>traduction</w:t>
      </w:r>
      <w:r w:rsidR="0047179D" w:rsidRPr="00403220">
        <w:rPr>
          <w:szCs w:val="24"/>
          <w:lang w:val="fr-CA"/>
        </w:rPr>
        <w:t>]</w:t>
      </w:r>
      <w:r w:rsidR="00B85006">
        <w:rPr>
          <w:szCs w:val="24"/>
          <w:lang w:val="fr-CA"/>
        </w:rPr>
        <w:t xml:space="preserve"> </w:t>
      </w:r>
      <w:r w:rsidR="00980541" w:rsidRPr="00403220">
        <w:rPr>
          <w:szCs w:val="24"/>
          <w:lang w:val="fr-CA"/>
        </w:rPr>
        <w:t>S</w:t>
      </w:r>
      <w:r w:rsidR="0047179D" w:rsidRPr="00403220">
        <w:rPr>
          <w:szCs w:val="24"/>
          <w:lang w:val="fr-CA"/>
        </w:rPr>
        <w:t>i les rapports entre le concepteur et l</w:t>
      </w:r>
      <w:r w:rsidR="008372AA" w:rsidRPr="00403220">
        <w:rPr>
          <w:szCs w:val="24"/>
          <w:lang w:val="fr-CA"/>
        </w:rPr>
        <w:t>’</w:t>
      </w:r>
      <w:r w:rsidR="0047179D" w:rsidRPr="00403220">
        <w:rPr>
          <w:szCs w:val="24"/>
          <w:lang w:val="fr-CA"/>
        </w:rPr>
        <w:t>acheteur d</w:t>
      </w:r>
      <w:r w:rsidR="008372AA" w:rsidRPr="00403220">
        <w:rPr>
          <w:szCs w:val="24"/>
          <w:lang w:val="fr-CA"/>
        </w:rPr>
        <w:t>’</w:t>
      </w:r>
      <w:r w:rsidR="0047179D" w:rsidRPr="00403220">
        <w:rPr>
          <w:szCs w:val="24"/>
          <w:lang w:val="fr-CA"/>
        </w:rPr>
        <w:t>un produit sont suffisamment étroits, il s</w:t>
      </w:r>
      <w:r w:rsidR="008372AA" w:rsidRPr="00403220">
        <w:rPr>
          <w:szCs w:val="24"/>
          <w:lang w:val="fr-CA"/>
        </w:rPr>
        <w:t>’</w:t>
      </w:r>
      <w:r w:rsidR="0047179D" w:rsidRPr="00403220">
        <w:rPr>
          <w:szCs w:val="24"/>
          <w:lang w:val="fr-CA"/>
        </w:rPr>
        <w:t>ensuit, à mon avis, qu</w:t>
      </w:r>
      <w:r w:rsidR="008372AA" w:rsidRPr="00403220">
        <w:rPr>
          <w:szCs w:val="24"/>
          <w:lang w:val="fr-CA"/>
        </w:rPr>
        <w:t>’</w:t>
      </w:r>
      <w:r w:rsidR="0047179D" w:rsidRPr="00403220">
        <w:rPr>
          <w:szCs w:val="24"/>
          <w:lang w:val="fr-CA"/>
        </w:rPr>
        <w:t>il existe un lien suffisamment étroit entre le concepteur d</w:t>
      </w:r>
      <w:r w:rsidR="008372AA" w:rsidRPr="00403220">
        <w:rPr>
          <w:szCs w:val="24"/>
          <w:lang w:val="fr-CA"/>
        </w:rPr>
        <w:t>’</w:t>
      </w:r>
      <w:r w:rsidR="0047179D" w:rsidRPr="00403220">
        <w:rPr>
          <w:szCs w:val="24"/>
          <w:lang w:val="fr-CA"/>
        </w:rPr>
        <w:t>un produit et celui qui s</w:t>
      </w:r>
      <w:r w:rsidR="008372AA" w:rsidRPr="00403220">
        <w:rPr>
          <w:szCs w:val="24"/>
          <w:lang w:val="fr-CA"/>
        </w:rPr>
        <w:t>’</w:t>
      </w:r>
      <w:r w:rsidR="0047179D" w:rsidRPr="00403220">
        <w:rPr>
          <w:szCs w:val="24"/>
          <w:lang w:val="fr-CA"/>
        </w:rPr>
        <w:t>en sert pour fabriquer des biens vendus au public.  En outre, dans le contexte de la présente affaire, le concepteur du produit devrait raisonnablement s</w:t>
      </w:r>
      <w:r w:rsidR="008372AA" w:rsidRPr="00403220">
        <w:rPr>
          <w:szCs w:val="24"/>
          <w:lang w:val="fr-CA"/>
        </w:rPr>
        <w:t>’</w:t>
      </w:r>
      <w:r w:rsidR="0047179D" w:rsidRPr="00403220">
        <w:rPr>
          <w:szCs w:val="24"/>
          <w:lang w:val="fr-CA"/>
        </w:rPr>
        <w:t>attendre à ce que sa conception ait une incidence sur le fabricant.  Le concepteur pouvait raisonnablement prévoir qu</w:t>
      </w:r>
      <w:r w:rsidR="008372AA" w:rsidRPr="00403220">
        <w:rPr>
          <w:szCs w:val="24"/>
          <w:lang w:val="fr-CA"/>
        </w:rPr>
        <w:t>’</w:t>
      </w:r>
      <w:r w:rsidR="0047179D" w:rsidRPr="00403220">
        <w:rPr>
          <w:szCs w:val="24"/>
          <w:lang w:val="fr-CA"/>
        </w:rPr>
        <w:t xml:space="preserve">un fabricant de biens </w:t>
      </w:r>
      <w:r w:rsidR="00980541" w:rsidRPr="00403220">
        <w:rPr>
          <w:szCs w:val="24"/>
          <w:lang w:val="fr-CA"/>
        </w:rPr>
        <w:t>auxquels</w:t>
      </w:r>
      <w:r w:rsidR="0047179D" w:rsidRPr="00403220">
        <w:rPr>
          <w:szCs w:val="24"/>
          <w:lang w:val="fr-CA"/>
        </w:rPr>
        <w:t xml:space="preserve"> le produit </w:t>
      </w:r>
      <w:r w:rsidR="00980541" w:rsidRPr="00403220">
        <w:rPr>
          <w:szCs w:val="24"/>
          <w:lang w:val="fr-CA"/>
        </w:rPr>
        <w:t xml:space="preserve">est intégré </w:t>
      </w:r>
      <w:r w:rsidR="0047179D" w:rsidRPr="00403220">
        <w:rPr>
          <w:szCs w:val="24"/>
          <w:lang w:val="fr-CA"/>
        </w:rPr>
        <w:t>serait tenu de rembourser le prix d</w:t>
      </w:r>
      <w:r w:rsidR="008372AA" w:rsidRPr="00403220">
        <w:rPr>
          <w:szCs w:val="24"/>
          <w:lang w:val="fr-CA"/>
        </w:rPr>
        <w:t>’</w:t>
      </w:r>
      <w:r w:rsidR="0047179D" w:rsidRPr="00403220">
        <w:rPr>
          <w:szCs w:val="24"/>
          <w:lang w:val="fr-CA"/>
        </w:rPr>
        <w:t xml:space="preserve">achat </w:t>
      </w:r>
      <w:r w:rsidR="0047179D" w:rsidRPr="00403220">
        <w:rPr>
          <w:szCs w:val="24"/>
          <w:lang w:val="fr-CA"/>
        </w:rPr>
        <w:lastRenderedPageBreak/>
        <w:t>payé par des consommateurs si la conception du produit n</w:t>
      </w:r>
      <w:r w:rsidR="008372AA" w:rsidRPr="00403220">
        <w:rPr>
          <w:szCs w:val="24"/>
          <w:lang w:val="fr-CA"/>
        </w:rPr>
        <w:t>’</w:t>
      </w:r>
      <w:r w:rsidR="0047179D" w:rsidRPr="00403220">
        <w:rPr>
          <w:szCs w:val="24"/>
          <w:lang w:val="fr-CA"/>
        </w:rPr>
        <w:t>atteignait pas l</w:t>
      </w:r>
      <w:r w:rsidR="008372AA" w:rsidRPr="00403220">
        <w:rPr>
          <w:szCs w:val="24"/>
          <w:lang w:val="fr-CA"/>
        </w:rPr>
        <w:t>’</w:t>
      </w:r>
      <w:r w:rsidR="0047179D" w:rsidRPr="00403220">
        <w:rPr>
          <w:szCs w:val="24"/>
          <w:lang w:val="fr-CA"/>
        </w:rPr>
        <w:t>objectif qu</w:t>
      </w:r>
      <w:r w:rsidR="008372AA" w:rsidRPr="00403220">
        <w:rPr>
          <w:szCs w:val="24"/>
          <w:lang w:val="fr-CA"/>
        </w:rPr>
        <w:t>’</w:t>
      </w:r>
      <w:r w:rsidR="0047179D" w:rsidRPr="00403220">
        <w:rPr>
          <w:szCs w:val="24"/>
          <w:lang w:val="fr-CA"/>
        </w:rPr>
        <w:t xml:space="preserve">elle était censée atteindre. </w:t>
      </w:r>
      <w:r w:rsidR="00EB62DC" w:rsidRPr="00403220">
        <w:rPr>
          <w:szCs w:val="24"/>
          <w:lang w:val="fr-CA"/>
        </w:rPr>
        <w:t>[</w:t>
      </w:r>
      <w:r w:rsidR="00980541" w:rsidRPr="00403220">
        <w:rPr>
          <w:szCs w:val="24"/>
          <w:lang w:val="fr-CA"/>
        </w:rPr>
        <w:t>L’</w:t>
      </w:r>
      <w:r w:rsidR="00C21FA2" w:rsidRPr="00403220">
        <w:rPr>
          <w:i/>
          <w:szCs w:val="24"/>
          <w:lang w:val="fr-CA"/>
        </w:rPr>
        <w:t>Affaire</w:t>
      </w:r>
      <w:r w:rsidR="00C21FA2" w:rsidRPr="00403220">
        <w:rPr>
          <w:szCs w:val="24"/>
          <w:lang w:val="fr-CA"/>
        </w:rPr>
        <w:t xml:space="preserve"> </w:t>
      </w:r>
      <w:r w:rsidR="00C21FA2" w:rsidRPr="00403220">
        <w:rPr>
          <w:i/>
          <w:szCs w:val="24"/>
          <w:lang w:val="fr-CA"/>
        </w:rPr>
        <w:t>Knight</w:t>
      </w:r>
      <w:r w:rsidR="00C21FA2" w:rsidRPr="00403220">
        <w:rPr>
          <w:szCs w:val="24"/>
          <w:lang w:val="fr-CA"/>
        </w:rPr>
        <w:t xml:space="preserve">, </w:t>
      </w:r>
      <w:r w:rsidR="00A54DAC" w:rsidRPr="00403220">
        <w:rPr>
          <w:szCs w:val="24"/>
          <w:lang w:val="fr-CA"/>
        </w:rPr>
        <w:t>par. </w:t>
      </w:r>
      <w:r w:rsidR="00EB62DC" w:rsidRPr="00403220">
        <w:rPr>
          <w:szCs w:val="24"/>
          <w:lang w:val="fr-CA"/>
        </w:rPr>
        <w:t>67]</w:t>
      </w:r>
      <w:r w:rsidR="0047179D" w:rsidRPr="00403220">
        <w:rPr>
          <w:szCs w:val="24"/>
          <w:lang w:val="fr-CA"/>
        </w:rPr>
        <w:t xml:space="preserve"> </w:t>
      </w:r>
    </w:p>
    <w:p w:rsidR="0047179D" w:rsidRPr="00403220" w:rsidRDefault="0047179D" w:rsidP="000016DF">
      <w:pPr>
        <w:pStyle w:val="ParaNoNdepar-AltN"/>
        <w:rPr>
          <w:rFonts w:cs="Times New Roman"/>
          <w:szCs w:val="24"/>
          <w:lang w:val="fr-CA"/>
        </w:rPr>
      </w:pPr>
      <w:r w:rsidRPr="00403220">
        <w:rPr>
          <w:rFonts w:cs="Times New Roman"/>
          <w:szCs w:val="24"/>
          <w:lang w:val="fr-CA"/>
        </w:rPr>
        <w:t xml:space="preserve">On allègue que le Canada se comportait comme une société </w:t>
      </w:r>
      <w:r w:rsidR="00E512B0" w:rsidRPr="00403220">
        <w:rPr>
          <w:rFonts w:cs="Times New Roman"/>
          <w:szCs w:val="24"/>
          <w:lang w:val="fr-CA"/>
        </w:rPr>
        <w:t xml:space="preserve">commerciale </w:t>
      </w:r>
      <w:r w:rsidRPr="00403220">
        <w:rPr>
          <w:rFonts w:cs="Times New Roman"/>
          <w:szCs w:val="24"/>
          <w:lang w:val="fr-CA"/>
        </w:rPr>
        <w:t>privée et entretenait des rapports étroits avec les compagnies de tabac.  Le prétendu lien de proximité se fonde non pas sur une obligation prévue par la loi, mais sur les rapports entre le Canada et les compagnies de tabac.  L</w:t>
      </w:r>
      <w:r w:rsidR="008372AA" w:rsidRPr="00403220">
        <w:rPr>
          <w:rFonts w:cs="Times New Roman"/>
          <w:szCs w:val="24"/>
          <w:lang w:val="fr-CA"/>
        </w:rPr>
        <w:t>’</w:t>
      </w:r>
      <w:r w:rsidRPr="00403220">
        <w:rPr>
          <w:rFonts w:cs="Times New Roman"/>
          <w:szCs w:val="24"/>
          <w:lang w:val="fr-CA"/>
        </w:rPr>
        <w:t>argument du Canada selon lequel une obligation de diligence donnerait lieu à un conflit entre des obligations de droit privé et des obligations de droit public n</w:t>
      </w:r>
      <w:r w:rsidR="008372AA" w:rsidRPr="00403220">
        <w:rPr>
          <w:rFonts w:cs="Times New Roman"/>
          <w:szCs w:val="24"/>
          <w:lang w:val="fr-CA"/>
        </w:rPr>
        <w:t>’</w:t>
      </w:r>
      <w:r w:rsidRPr="00403220">
        <w:rPr>
          <w:rFonts w:cs="Times New Roman"/>
          <w:szCs w:val="24"/>
          <w:lang w:val="fr-CA"/>
        </w:rPr>
        <w:t>écarte pas la possibilité qu</w:t>
      </w:r>
      <w:r w:rsidR="008372AA" w:rsidRPr="00403220">
        <w:rPr>
          <w:rFonts w:cs="Times New Roman"/>
          <w:szCs w:val="24"/>
          <w:lang w:val="fr-CA"/>
        </w:rPr>
        <w:t>’</w:t>
      </w:r>
      <w:r w:rsidRPr="00403220">
        <w:rPr>
          <w:rFonts w:cs="Times New Roman"/>
          <w:szCs w:val="24"/>
          <w:lang w:val="fr-CA"/>
        </w:rPr>
        <w:t>u</w:t>
      </w:r>
      <w:r w:rsidR="002B6005" w:rsidRPr="00403220">
        <w:rPr>
          <w:rFonts w:cs="Times New Roman"/>
          <w:szCs w:val="24"/>
          <w:lang w:val="fr-CA"/>
        </w:rPr>
        <w:t>n lien de proximité découle de s</w:t>
      </w:r>
      <w:r w:rsidRPr="00403220">
        <w:rPr>
          <w:rFonts w:cs="Times New Roman"/>
          <w:szCs w:val="24"/>
          <w:lang w:val="fr-CA"/>
        </w:rPr>
        <w:t xml:space="preserve">a conduite, mais il peut constituer une considération </w:t>
      </w:r>
      <w:r w:rsidR="00E512B0" w:rsidRPr="00403220">
        <w:rPr>
          <w:rFonts w:cs="Times New Roman"/>
          <w:szCs w:val="24"/>
          <w:lang w:val="fr-CA"/>
        </w:rPr>
        <w:t xml:space="preserve">de </w:t>
      </w:r>
      <w:r w:rsidRPr="00403220">
        <w:rPr>
          <w:rFonts w:cs="Times New Roman"/>
          <w:szCs w:val="24"/>
          <w:lang w:val="fr-CA"/>
        </w:rPr>
        <w:t xml:space="preserve">politique </w:t>
      </w:r>
      <w:r w:rsidR="00E512B0" w:rsidRPr="00403220">
        <w:rPr>
          <w:rFonts w:cs="Times New Roman"/>
          <w:szCs w:val="24"/>
          <w:lang w:val="fr-CA"/>
        </w:rPr>
        <w:t xml:space="preserve">générale </w:t>
      </w:r>
      <w:r w:rsidRPr="00403220">
        <w:rPr>
          <w:rFonts w:cs="Times New Roman"/>
          <w:szCs w:val="24"/>
          <w:lang w:val="fr-CA"/>
        </w:rPr>
        <w:t>pertinente à la deuxième étape de l</w:t>
      </w:r>
      <w:r w:rsidR="008372AA" w:rsidRPr="00403220">
        <w:rPr>
          <w:rFonts w:cs="Times New Roman"/>
          <w:szCs w:val="24"/>
          <w:lang w:val="fr-CA"/>
        </w:rPr>
        <w:t>’</w:t>
      </w:r>
      <w:r w:rsidRPr="00403220">
        <w:rPr>
          <w:rFonts w:cs="Times New Roman"/>
          <w:szCs w:val="24"/>
          <w:lang w:val="fr-CA"/>
        </w:rPr>
        <w:t xml:space="preserve">analyse.  </w:t>
      </w:r>
    </w:p>
    <w:p w:rsidR="0047179D" w:rsidRPr="00403220" w:rsidRDefault="0047179D" w:rsidP="000016DF">
      <w:pPr>
        <w:pStyle w:val="ParaNoNdepar-AltN"/>
        <w:rPr>
          <w:rFonts w:cs="Times New Roman"/>
          <w:szCs w:val="24"/>
          <w:lang w:val="fr-CA"/>
        </w:rPr>
      </w:pPr>
      <w:r w:rsidRPr="00403220">
        <w:rPr>
          <w:rFonts w:cs="Times New Roman"/>
          <w:szCs w:val="24"/>
          <w:lang w:val="fr-CA"/>
        </w:rPr>
        <w:t xml:space="preserve">Pour des motifs semblables et compte tenu des faits allégués, je conclus que le Canada avait une 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i/>
          <w:szCs w:val="24"/>
          <w:lang w:val="fr-CA"/>
        </w:rPr>
        <w:t xml:space="preserve"> </w:t>
      </w:r>
      <w:r w:rsidRPr="00403220">
        <w:rPr>
          <w:rFonts w:cs="Times New Roman"/>
          <w:szCs w:val="24"/>
          <w:lang w:val="fr-CA"/>
        </w:rPr>
        <w:t xml:space="preserve">envers les </w:t>
      </w:r>
      <w:r w:rsidR="00E512B0" w:rsidRPr="00403220">
        <w:rPr>
          <w:rFonts w:cs="Times New Roman"/>
          <w:szCs w:val="24"/>
          <w:lang w:val="fr-CA"/>
        </w:rPr>
        <w:t xml:space="preserve">consommateurs </w:t>
      </w:r>
      <w:r w:rsidRPr="00403220">
        <w:rPr>
          <w:rFonts w:cs="Times New Roman"/>
          <w:szCs w:val="24"/>
          <w:lang w:val="fr-CA"/>
        </w:rPr>
        <w:t xml:space="preserve">de cigarettes légères et douces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Vu ces faits, il est au moins possible de soutenir que le Canada agissait comme une entreprise commerciale lorsqu</w:t>
      </w:r>
      <w:r w:rsidR="008372AA" w:rsidRPr="00403220">
        <w:rPr>
          <w:rFonts w:cs="Times New Roman"/>
          <w:szCs w:val="24"/>
          <w:lang w:val="fr-CA"/>
        </w:rPr>
        <w:t>’</w:t>
      </w:r>
      <w:r w:rsidRPr="00403220">
        <w:rPr>
          <w:rFonts w:cs="Times New Roman"/>
          <w:szCs w:val="24"/>
          <w:lang w:val="fr-CA"/>
        </w:rPr>
        <w:t>il a conçu ses souches de tabac.  Comme l</w:t>
      </w:r>
      <w:r w:rsidR="008372AA" w:rsidRPr="00403220">
        <w:rPr>
          <w:rFonts w:cs="Times New Roman"/>
          <w:szCs w:val="24"/>
          <w:lang w:val="fr-CA"/>
        </w:rPr>
        <w:t>’</w:t>
      </w:r>
      <w:r w:rsidRPr="00403220">
        <w:rPr>
          <w:rFonts w:cs="Times New Roman"/>
          <w:szCs w:val="24"/>
          <w:lang w:val="fr-CA"/>
        </w:rPr>
        <w:t xml:space="preserve">a affirmé le juge </w:t>
      </w:r>
      <w:proofErr w:type="spellStart"/>
      <w:r w:rsidRPr="00403220">
        <w:rPr>
          <w:rFonts w:cs="Times New Roman"/>
          <w:szCs w:val="24"/>
          <w:lang w:val="fr-CA"/>
        </w:rPr>
        <w:t>Tysoe</w:t>
      </w:r>
      <w:proofErr w:type="spellEnd"/>
      <w:r w:rsidRPr="00403220">
        <w:rPr>
          <w:rFonts w:cs="Times New Roman"/>
          <w:szCs w:val="24"/>
          <w:lang w:val="fr-CA"/>
        </w:rPr>
        <w:t xml:space="preserve"> de la Cour d</w:t>
      </w:r>
      <w:r w:rsidR="008372AA" w:rsidRPr="00403220">
        <w:rPr>
          <w:rFonts w:cs="Times New Roman"/>
          <w:szCs w:val="24"/>
          <w:lang w:val="fr-CA"/>
        </w:rPr>
        <w:t>’</w:t>
      </w:r>
      <w:r w:rsidRPr="00403220">
        <w:rPr>
          <w:rFonts w:cs="Times New Roman"/>
          <w:szCs w:val="24"/>
          <w:lang w:val="fr-CA"/>
        </w:rPr>
        <w:t>appel, [</w:t>
      </w:r>
      <w:r w:rsidRPr="00403220">
        <w:rPr>
          <w:rFonts w:cs="Times New Roman"/>
          <w:smallCaps/>
          <w:szCs w:val="24"/>
          <w:lang w:val="fr-CA"/>
        </w:rPr>
        <w:t>traduction</w:t>
      </w:r>
      <w:r w:rsidRPr="00403220">
        <w:rPr>
          <w:rFonts w:cs="Times New Roman"/>
          <w:szCs w:val="24"/>
          <w:lang w:val="fr-CA"/>
        </w:rPr>
        <w:t>] « le concepteur d</w:t>
      </w:r>
      <w:r w:rsidR="008372AA" w:rsidRPr="00403220">
        <w:rPr>
          <w:rFonts w:cs="Times New Roman"/>
          <w:szCs w:val="24"/>
          <w:lang w:val="fr-CA"/>
        </w:rPr>
        <w:t>’</w:t>
      </w:r>
      <w:r w:rsidRPr="00403220">
        <w:rPr>
          <w:rFonts w:cs="Times New Roman"/>
          <w:szCs w:val="24"/>
          <w:lang w:val="fr-CA"/>
        </w:rPr>
        <w:t xml:space="preserve">un produit destiné à être vendu au public a une obligation de diligence </w:t>
      </w:r>
      <w:r w:rsidRPr="00403220">
        <w:rPr>
          <w:rFonts w:cs="Times New Roman"/>
          <w:i/>
          <w:iCs/>
          <w:szCs w:val="24"/>
          <w:lang w:val="fr-CA"/>
        </w:rPr>
        <w:t xml:space="preserve">prima </w:t>
      </w:r>
      <w:proofErr w:type="spellStart"/>
      <w:r w:rsidRPr="00403220">
        <w:rPr>
          <w:rFonts w:cs="Times New Roman"/>
          <w:i/>
          <w:iCs/>
          <w:szCs w:val="24"/>
          <w:lang w:val="fr-CA"/>
        </w:rPr>
        <w:t>facie</w:t>
      </w:r>
      <w:proofErr w:type="spellEnd"/>
      <w:r w:rsidRPr="00403220">
        <w:rPr>
          <w:rFonts w:cs="Times New Roman"/>
          <w:i/>
          <w:iCs/>
          <w:szCs w:val="24"/>
          <w:lang w:val="fr-CA"/>
        </w:rPr>
        <w:t xml:space="preserve"> </w:t>
      </w:r>
      <w:r w:rsidRPr="00403220">
        <w:rPr>
          <w:rFonts w:cs="Times New Roman"/>
          <w:iCs/>
          <w:szCs w:val="24"/>
          <w:lang w:val="fr-CA"/>
        </w:rPr>
        <w:t xml:space="preserve">envers ceux et celles qui </w:t>
      </w:r>
      <w:r w:rsidR="006B6EFC" w:rsidRPr="00403220">
        <w:rPr>
          <w:rFonts w:cs="Times New Roman"/>
          <w:iCs/>
          <w:szCs w:val="24"/>
          <w:lang w:val="fr-CA"/>
        </w:rPr>
        <w:t>achètent</w:t>
      </w:r>
      <w:r w:rsidR="00152D1A" w:rsidRPr="00403220">
        <w:rPr>
          <w:rFonts w:cs="Times New Roman"/>
          <w:iCs/>
          <w:szCs w:val="24"/>
          <w:lang w:val="fr-CA"/>
        </w:rPr>
        <w:t xml:space="preserve"> ce produit</w:t>
      </w:r>
      <w:r w:rsidR="006B6EFC" w:rsidRPr="00403220">
        <w:rPr>
          <w:rFonts w:cs="Times New Roman"/>
          <w:iCs/>
          <w:szCs w:val="24"/>
          <w:lang w:val="fr-CA"/>
        </w:rPr>
        <w:t> </w:t>
      </w:r>
      <w:r w:rsidR="00152D1A" w:rsidRPr="00403220">
        <w:rPr>
          <w:rFonts w:cs="Times New Roman"/>
          <w:iCs/>
          <w:szCs w:val="24"/>
          <w:lang w:val="fr-CA"/>
        </w:rPr>
        <w:t xml:space="preserve">» </w:t>
      </w:r>
      <w:r w:rsidRPr="00403220">
        <w:rPr>
          <w:rFonts w:cs="Times New Roman"/>
          <w:szCs w:val="24"/>
          <w:lang w:val="fr-CA"/>
        </w:rPr>
        <w:t>(</w:t>
      </w:r>
      <w:r w:rsidR="00A54DAC" w:rsidRPr="00403220">
        <w:rPr>
          <w:rFonts w:cs="Times New Roman"/>
          <w:szCs w:val="24"/>
          <w:lang w:val="fr-CA"/>
        </w:rPr>
        <w:t>par. </w:t>
      </w:r>
      <w:r w:rsidRPr="00403220">
        <w:rPr>
          <w:rFonts w:cs="Times New Roman"/>
          <w:szCs w:val="24"/>
          <w:lang w:val="fr-CA"/>
        </w:rPr>
        <w:t xml:space="preserve">48).  </w:t>
      </w:r>
    </w:p>
    <w:p w:rsidR="0047179D" w:rsidRPr="00403220" w:rsidRDefault="00BD5125" w:rsidP="00BD5125">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lastRenderedPageBreak/>
        <w:tab/>
      </w:r>
      <w:bookmarkStart w:id="31" w:name="_Toc314735128"/>
      <w:r w:rsidR="00EB62DC" w:rsidRPr="00403220">
        <w:rPr>
          <w:rFonts w:cs="Times New Roman"/>
          <w:szCs w:val="24"/>
          <w:lang w:val="fr-CA"/>
        </w:rPr>
        <w:t>(2</w:t>
      </w:r>
      <w:r w:rsidR="004631C2" w:rsidRPr="00403220">
        <w:rPr>
          <w:rFonts w:cs="Times New Roman"/>
          <w:szCs w:val="24"/>
          <w:lang w:val="fr-CA"/>
        </w:rPr>
        <w:t>)</w:t>
      </w:r>
      <w:r w:rsidR="004631C2" w:rsidRPr="00403220">
        <w:rPr>
          <w:rFonts w:cs="Times New Roman"/>
          <w:szCs w:val="24"/>
          <w:lang w:val="fr-CA"/>
        </w:rPr>
        <w:tab/>
      </w:r>
      <w:r w:rsidR="0047179D" w:rsidRPr="00403220">
        <w:rPr>
          <w:rFonts w:cs="Times New Roman"/>
          <w:szCs w:val="24"/>
          <w:u w:val="single"/>
          <w:lang w:val="fr-CA"/>
        </w:rPr>
        <w:t xml:space="preserve">Considérations </w:t>
      </w:r>
      <w:r w:rsidR="00CF1EFC" w:rsidRPr="00403220">
        <w:rPr>
          <w:rFonts w:cs="Times New Roman"/>
          <w:szCs w:val="24"/>
          <w:u w:val="single"/>
          <w:lang w:val="fr-CA"/>
        </w:rPr>
        <w:t>de politique générale</w:t>
      </w:r>
      <w:r w:rsidR="00441D84" w:rsidRPr="00403220">
        <w:rPr>
          <w:rFonts w:cs="Times New Roman"/>
          <w:szCs w:val="24"/>
          <w:u w:val="single"/>
          <w:lang w:val="fr-CA"/>
        </w:rPr>
        <w:t xml:space="preserve"> </w:t>
      </w:r>
      <w:r w:rsidR="00C21FA2" w:rsidRPr="00403220">
        <w:rPr>
          <w:rFonts w:cs="Times New Roman"/>
          <w:szCs w:val="24"/>
          <w:u w:val="single"/>
          <w:lang w:val="fr-CA"/>
        </w:rPr>
        <w:t>soulevées à</w:t>
      </w:r>
      <w:r w:rsidR="00441D84" w:rsidRPr="00403220">
        <w:rPr>
          <w:rFonts w:cs="Times New Roman"/>
          <w:szCs w:val="24"/>
          <w:u w:val="single"/>
          <w:lang w:val="fr-CA"/>
        </w:rPr>
        <w:t xml:space="preserve"> la</w:t>
      </w:r>
      <w:r w:rsidR="0047179D" w:rsidRPr="00403220">
        <w:rPr>
          <w:rFonts w:cs="Times New Roman"/>
          <w:szCs w:val="24"/>
          <w:u w:val="single"/>
          <w:lang w:val="fr-CA"/>
        </w:rPr>
        <w:t xml:space="preserve"> deuxième étape de l</w:t>
      </w:r>
      <w:r w:rsidR="008372AA" w:rsidRPr="00403220">
        <w:rPr>
          <w:rFonts w:cs="Times New Roman"/>
          <w:szCs w:val="24"/>
          <w:u w:val="single"/>
          <w:lang w:val="fr-CA"/>
        </w:rPr>
        <w:t>’</w:t>
      </w:r>
      <w:r w:rsidR="0047179D" w:rsidRPr="00403220">
        <w:rPr>
          <w:rFonts w:cs="Times New Roman"/>
          <w:szCs w:val="24"/>
          <w:u w:val="single"/>
          <w:lang w:val="fr-CA"/>
        </w:rPr>
        <w:t>analyse</w:t>
      </w:r>
      <w:bookmarkEnd w:id="31"/>
      <w:r w:rsidR="0047179D" w:rsidRPr="00403220">
        <w:rPr>
          <w:rFonts w:cs="Times New Roman"/>
          <w:i/>
          <w:szCs w:val="24"/>
          <w:lang w:val="fr-CA"/>
        </w:rPr>
        <w:t xml:space="preserve"> </w:t>
      </w:r>
    </w:p>
    <w:p w:rsidR="0047179D" w:rsidRPr="00403220" w:rsidRDefault="0047179D" w:rsidP="000016DF">
      <w:pPr>
        <w:pStyle w:val="ParaNoNdepar-AltN"/>
        <w:rPr>
          <w:rFonts w:cs="Times New Roman"/>
          <w:szCs w:val="24"/>
          <w:lang w:val="fr-CA"/>
        </w:rPr>
      </w:pPr>
      <w:r w:rsidRPr="00403220">
        <w:rPr>
          <w:rFonts w:cs="Times New Roman"/>
          <w:szCs w:val="24"/>
          <w:lang w:val="fr-CA"/>
        </w:rPr>
        <w:t>Pour les motifs fournis à l</w:t>
      </w:r>
      <w:r w:rsidR="008372AA" w:rsidRPr="00403220">
        <w:rPr>
          <w:rFonts w:cs="Times New Roman"/>
          <w:szCs w:val="24"/>
          <w:lang w:val="fr-CA"/>
        </w:rPr>
        <w:t>’</w:t>
      </w:r>
      <w:r w:rsidRPr="00403220">
        <w:rPr>
          <w:rFonts w:cs="Times New Roman"/>
          <w:szCs w:val="24"/>
          <w:lang w:val="fr-CA"/>
        </w:rPr>
        <w:t xml:space="preserve">égard </w:t>
      </w:r>
      <w:r w:rsidR="002B6005" w:rsidRPr="00403220">
        <w:rPr>
          <w:rFonts w:cs="Times New Roman"/>
          <w:szCs w:val="24"/>
          <w:lang w:val="fr-CA"/>
        </w:rPr>
        <w:t xml:space="preserve">des </w:t>
      </w:r>
      <w:r w:rsidRPr="00403220">
        <w:rPr>
          <w:rFonts w:cs="Times New Roman"/>
          <w:szCs w:val="24"/>
          <w:lang w:val="fr-CA"/>
        </w:rPr>
        <w:t>allégation</w:t>
      </w:r>
      <w:r w:rsidR="002B6005" w:rsidRPr="00403220">
        <w:rPr>
          <w:rFonts w:cs="Times New Roman"/>
          <w:szCs w:val="24"/>
          <w:lang w:val="fr-CA"/>
        </w:rPr>
        <w:t>s</w:t>
      </w:r>
      <w:r w:rsidRPr="00403220">
        <w:rPr>
          <w:rFonts w:cs="Times New Roman"/>
          <w:szCs w:val="24"/>
          <w:lang w:val="fr-CA"/>
        </w:rPr>
        <w:t xml:space="preserve"> de déclaration</w:t>
      </w:r>
      <w:r w:rsidR="002B6005" w:rsidRPr="00403220">
        <w:rPr>
          <w:rFonts w:cs="Times New Roman"/>
          <w:szCs w:val="24"/>
          <w:lang w:val="fr-CA"/>
        </w:rPr>
        <w:t>s</w:t>
      </w:r>
      <w:r w:rsidRPr="00403220">
        <w:rPr>
          <w:rFonts w:cs="Times New Roman"/>
          <w:szCs w:val="24"/>
          <w:lang w:val="fr-CA"/>
        </w:rPr>
        <w:t xml:space="preserve"> inexacte</w:t>
      </w:r>
      <w:r w:rsidR="002B6005" w:rsidRPr="00403220">
        <w:rPr>
          <w:rFonts w:cs="Times New Roman"/>
          <w:szCs w:val="24"/>
          <w:lang w:val="fr-CA"/>
        </w:rPr>
        <w:t>s</w:t>
      </w:r>
      <w:r w:rsidRPr="00403220">
        <w:rPr>
          <w:rFonts w:cs="Times New Roman"/>
          <w:szCs w:val="24"/>
          <w:lang w:val="fr-CA"/>
        </w:rPr>
        <w:t xml:space="preserve"> faite</w:t>
      </w:r>
      <w:r w:rsidR="002B6005" w:rsidRPr="00403220">
        <w:rPr>
          <w:rFonts w:cs="Times New Roman"/>
          <w:szCs w:val="24"/>
          <w:lang w:val="fr-CA"/>
        </w:rPr>
        <w:t>s</w:t>
      </w:r>
      <w:r w:rsidRPr="00403220">
        <w:rPr>
          <w:rFonts w:cs="Times New Roman"/>
          <w:szCs w:val="24"/>
          <w:lang w:val="fr-CA"/>
        </w:rPr>
        <w:t xml:space="preserve"> par négligence, j</w:t>
      </w:r>
      <w:r w:rsidR="008372AA" w:rsidRPr="00403220">
        <w:rPr>
          <w:rFonts w:cs="Times New Roman"/>
          <w:szCs w:val="24"/>
          <w:lang w:val="fr-CA"/>
        </w:rPr>
        <w:t>’</w:t>
      </w:r>
      <w:r w:rsidRPr="00403220">
        <w:rPr>
          <w:rFonts w:cs="Times New Roman"/>
          <w:szCs w:val="24"/>
          <w:lang w:val="fr-CA"/>
        </w:rPr>
        <w:t xml:space="preserve">estime que les considérations </w:t>
      </w:r>
      <w:r w:rsidR="00CF1EFC" w:rsidRPr="00403220">
        <w:rPr>
          <w:rFonts w:cs="Times New Roman"/>
          <w:szCs w:val="24"/>
          <w:lang w:val="fr-CA"/>
        </w:rPr>
        <w:t xml:space="preserve">de </w:t>
      </w:r>
      <w:r w:rsidRPr="00403220">
        <w:rPr>
          <w:rFonts w:cs="Times New Roman"/>
          <w:szCs w:val="24"/>
          <w:lang w:val="fr-CA"/>
        </w:rPr>
        <w:t xml:space="preserve">politique </w:t>
      </w:r>
      <w:r w:rsidR="00CF1EFC" w:rsidRPr="00403220">
        <w:rPr>
          <w:rFonts w:cs="Times New Roman"/>
          <w:szCs w:val="24"/>
          <w:lang w:val="fr-CA"/>
        </w:rPr>
        <w:t xml:space="preserve">générale qui entrent </w:t>
      </w:r>
      <w:r w:rsidRPr="00403220">
        <w:rPr>
          <w:rFonts w:cs="Times New Roman"/>
          <w:szCs w:val="24"/>
          <w:lang w:val="fr-CA"/>
        </w:rPr>
        <w:t>en jeu à la deuxième étape de l</w:t>
      </w:r>
      <w:r w:rsidR="008372AA" w:rsidRPr="00403220">
        <w:rPr>
          <w:rFonts w:cs="Times New Roman"/>
          <w:szCs w:val="24"/>
          <w:lang w:val="fr-CA"/>
        </w:rPr>
        <w:t>’</w:t>
      </w:r>
      <w:r w:rsidRPr="00403220">
        <w:rPr>
          <w:rFonts w:cs="Times New Roman"/>
          <w:szCs w:val="24"/>
          <w:lang w:val="fr-CA"/>
        </w:rPr>
        <w:t xml:space="preserve">analyse écartent </w:t>
      </w:r>
      <w:r w:rsidR="00CF1EFC" w:rsidRPr="00403220">
        <w:rPr>
          <w:rFonts w:cs="Times New Roman"/>
          <w:szCs w:val="24"/>
          <w:lang w:val="fr-CA"/>
        </w:rPr>
        <w:t>l’</w:t>
      </w:r>
      <w:r w:rsidRPr="00403220">
        <w:rPr>
          <w:rFonts w:cs="Times New Roman"/>
          <w:szCs w:val="24"/>
          <w:lang w:val="fr-CA"/>
        </w:rPr>
        <w:t xml:space="preserve">obligation de diligence </w:t>
      </w:r>
      <w:r w:rsidRPr="00403220">
        <w:rPr>
          <w:rFonts w:cs="Times New Roman"/>
          <w:i/>
          <w:szCs w:val="24"/>
          <w:lang w:val="fr-CA"/>
        </w:rPr>
        <w:t xml:space="preserve">prima </w:t>
      </w:r>
      <w:proofErr w:type="spellStart"/>
      <w:r w:rsidRPr="00403220">
        <w:rPr>
          <w:rFonts w:cs="Times New Roman"/>
          <w:i/>
          <w:szCs w:val="24"/>
          <w:lang w:val="fr-CA"/>
        </w:rPr>
        <w:t>facie</w:t>
      </w:r>
      <w:proofErr w:type="spellEnd"/>
      <w:r w:rsidRPr="00403220">
        <w:rPr>
          <w:rFonts w:cs="Times New Roman"/>
          <w:szCs w:val="24"/>
          <w:lang w:val="fr-CA"/>
        </w:rPr>
        <w:t xml:space="preserve"> </w:t>
      </w:r>
      <w:r w:rsidR="00441D84" w:rsidRPr="00403220">
        <w:rPr>
          <w:rFonts w:cs="Times New Roman"/>
          <w:szCs w:val="24"/>
          <w:lang w:val="fr-CA"/>
        </w:rPr>
        <w:t>à l’égard des</w:t>
      </w:r>
      <w:r w:rsidR="00CF1EFC" w:rsidRPr="00403220">
        <w:rPr>
          <w:rFonts w:cs="Times New Roman"/>
          <w:szCs w:val="24"/>
          <w:lang w:val="fr-CA"/>
        </w:rPr>
        <w:t xml:space="preserve"> </w:t>
      </w:r>
      <w:r w:rsidR="00C21FA2" w:rsidRPr="00403220">
        <w:rPr>
          <w:rFonts w:cs="Times New Roman"/>
          <w:szCs w:val="24"/>
          <w:lang w:val="fr-CA"/>
        </w:rPr>
        <w:t>allégations de conception négligente</w:t>
      </w:r>
      <w:r w:rsidR="00CF1EFC" w:rsidRPr="00403220">
        <w:rPr>
          <w:rFonts w:cs="Times New Roman"/>
          <w:szCs w:val="24"/>
          <w:lang w:val="fr-CA"/>
        </w:rPr>
        <w:t>.</w:t>
      </w:r>
      <w:r w:rsidRPr="00403220">
        <w:rPr>
          <w:rFonts w:cs="Times New Roman"/>
          <w:szCs w:val="24"/>
          <w:lang w:val="fr-CA"/>
        </w:rPr>
        <w:t xml:space="preserve">  La décision de concevoir des souches de tabac à faible teneur en goudron parce qu</w:t>
      </w:r>
      <w:r w:rsidR="008372AA" w:rsidRPr="00403220">
        <w:rPr>
          <w:rFonts w:cs="Times New Roman"/>
          <w:szCs w:val="24"/>
          <w:lang w:val="fr-CA"/>
        </w:rPr>
        <w:t>’</w:t>
      </w:r>
      <w:r w:rsidRPr="00403220">
        <w:rPr>
          <w:rFonts w:cs="Times New Roman"/>
          <w:szCs w:val="24"/>
          <w:lang w:val="fr-CA"/>
        </w:rPr>
        <w:t xml:space="preserve">on croit que les cigarettes fabriquées </w:t>
      </w:r>
      <w:r w:rsidR="000D3C28" w:rsidRPr="00403220">
        <w:rPr>
          <w:rFonts w:cs="Times New Roman"/>
          <w:szCs w:val="24"/>
          <w:lang w:val="fr-CA"/>
        </w:rPr>
        <w:t xml:space="preserve">avec ce tabac </w:t>
      </w:r>
      <w:r w:rsidRPr="00403220">
        <w:rPr>
          <w:rFonts w:cs="Times New Roman"/>
          <w:szCs w:val="24"/>
          <w:lang w:val="fr-CA"/>
        </w:rPr>
        <w:t xml:space="preserve">seraient moins nuisibles pour la santé constitue une ligne de conduite fondée sur la politique </w:t>
      </w:r>
      <w:r w:rsidR="002B6005" w:rsidRPr="00403220">
        <w:rPr>
          <w:rFonts w:cs="Times New Roman"/>
          <w:szCs w:val="24"/>
          <w:lang w:val="fr-CA"/>
        </w:rPr>
        <w:t xml:space="preserve">générale </w:t>
      </w:r>
      <w:r w:rsidRPr="00403220">
        <w:rPr>
          <w:rFonts w:cs="Times New Roman"/>
          <w:szCs w:val="24"/>
          <w:lang w:val="fr-CA"/>
        </w:rPr>
        <w:t>du Canada en matière de santé.  Il s</w:t>
      </w:r>
      <w:r w:rsidR="008372AA" w:rsidRPr="00403220">
        <w:rPr>
          <w:rFonts w:cs="Times New Roman"/>
          <w:szCs w:val="24"/>
          <w:lang w:val="fr-CA"/>
        </w:rPr>
        <w:t>’</w:t>
      </w:r>
      <w:r w:rsidRPr="00403220">
        <w:rPr>
          <w:rFonts w:cs="Times New Roman"/>
          <w:szCs w:val="24"/>
          <w:lang w:val="fr-CA"/>
        </w:rPr>
        <w:t>agissait d</w:t>
      </w:r>
      <w:r w:rsidR="008372AA" w:rsidRPr="00403220">
        <w:rPr>
          <w:rFonts w:cs="Times New Roman"/>
          <w:szCs w:val="24"/>
          <w:lang w:val="fr-CA"/>
        </w:rPr>
        <w:t>’</w:t>
      </w:r>
      <w:r w:rsidRPr="00403220">
        <w:rPr>
          <w:rFonts w:cs="Times New Roman"/>
          <w:szCs w:val="24"/>
          <w:lang w:val="fr-CA"/>
        </w:rPr>
        <w:t xml:space="preserve">une décision reposant sur des facteurs sociaux et économiques.  Cette décision de politique </w:t>
      </w:r>
      <w:r w:rsidR="00C21FA2" w:rsidRPr="00403220">
        <w:rPr>
          <w:rFonts w:cs="Times New Roman"/>
          <w:szCs w:val="24"/>
          <w:lang w:val="fr-CA"/>
        </w:rPr>
        <w:t xml:space="preserve">générale </w:t>
      </w:r>
      <w:r w:rsidRPr="00403220">
        <w:rPr>
          <w:rFonts w:cs="Times New Roman"/>
          <w:szCs w:val="24"/>
          <w:lang w:val="fr-CA"/>
        </w:rPr>
        <w:t>fondamentale du gouvernement ne saurait fonder une poursuite pour conception</w:t>
      </w:r>
      <w:r w:rsidR="00D63B65" w:rsidRPr="00403220">
        <w:rPr>
          <w:rFonts w:cs="Times New Roman"/>
          <w:szCs w:val="24"/>
          <w:lang w:val="fr-CA"/>
        </w:rPr>
        <w:t xml:space="preserve"> négligente</w:t>
      </w:r>
      <w:r w:rsidR="000D3C28" w:rsidRPr="00403220">
        <w:rPr>
          <w:rFonts w:cs="Times New Roman"/>
          <w:szCs w:val="24"/>
          <w:lang w:val="fr-CA"/>
        </w:rPr>
        <w:t>.</w:t>
      </w:r>
      <w:r w:rsidRPr="00403220">
        <w:rPr>
          <w:rFonts w:cs="Times New Roman"/>
          <w:szCs w:val="24"/>
          <w:lang w:val="fr-CA"/>
        </w:rPr>
        <w:t xml:space="preserve">  Vu cette conclusion, point n</w:t>
      </w:r>
      <w:r w:rsidR="008372AA" w:rsidRPr="00403220">
        <w:rPr>
          <w:rFonts w:cs="Times New Roman"/>
          <w:szCs w:val="24"/>
          <w:lang w:val="fr-CA"/>
        </w:rPr>
        <w:t>’</w:t>
      </w:r>
      <w:r w:rsidRPr="00403220">
        <w:rPr>
          <w:rFonts w:cs="Times New Roman"/>
          <w:szCs w:val="24"/>
          <w:lang w:val="fr-CA"/>
        </w:rPr>
        <w:t>est besoin d</w:t>
      </w:r>
      <w:r w:rsidR="008372AA" w:rsidRPr="00403220">
        <w:rPr>
          <w:rFonts w:cs="Times New Roman"/>
          <w:szCs w:val="24"/>
          <w:lang w:val="fr-CA"/>
        </w:rPr>
        <w:t>’</w:t>
      </w:r>
      <w:r w:rsidRPr="00403220">
        <w:rPr>
          <w:rFonts w:cs="Times New Roman"/>
          <w:szCs w:val="24"/>
          <w:lang w:val="fr-CA"/>
        </w:rPr>
        <w:t>examiner l</w:t>
      </w:r>
      <w:r w:rsidR="008372AA" w:rsidRPr="00403220">
        <w:rPr>
          <w:rFonts w:cs="Times New Roman"/>
          <w:szCs w:val="24"/>
          <w:lang w:val="fr-CA"/>
        </w:rPr>
        <w:t>’</w:t>
      </w:r>
      <w:r w:rsidRPr="00403220">
        <w:rPr>
          <w:rFonts w:cs="Times New Roman"/>
          <w:szCs w:val="24"/>
          <w:lang w:val="fr-CA"/>
        </w:rPr>
        <w:t>argument relatif à la responsabilité indéterminée</w:t>
      </w:r>
      <w:r w:rsidR="000D3C28" w:rsidRPr="00403220">
        <w:rPr>
          <w:rFonts w:cs="Times New Roman"/>
          <w:szCs w:val="24"/>
          <w:lang w:val="fr-CA"/>
        </w:rPr>
        <w:t>,</w:t>
      </w:r>
      <w:r w:rsidRPr="00403220">
        <w:rPr>
          <w:rFonts w:cs="Times New Roman"/>
          <w:szCs w:val="24"/>
          <w:lang w:val="fr-CA"/>
        </w:rPr>
        <w:t xml:space="preserve"> </w:t>
      </w:r>
      <w:r w:rsidR="00C21FA2" w:rsidRPr="00403220">
        <w:rPr>
          <w:rFonts w:cs="Times New Roman"/>
          <w:szCs w:val="24"/>
          <w:lang w:val="fr-CA"/>
        </w:rPr>
        <w:t>oppos</w:t>
      </w:r>
      <w:r w:rsidRPr="00403220">
        <w:rPr>
          <w:rFonts w:cs="Times New Roman"/>
          <w:szCs w:val="24"/>
          <w:lang w:val="fr-CA"/>
        </w:rPr>
        <w:t xml:space="preserve">é </w:t>
      </w:r>
      <w:r w:rsidR="00C21FA2" w:rsidRPr="00403220">
        <w:rPr>
          <w:rFonts w:cs="Times New Roman"/>
          <w:szCs w:val="24"/>
          <w:lang w:val="fr-CA"/>
        </w:rPr>
        <w:t xml:space="preserve">lui </w:t>
      </w:r>
      <w:r w:rsidR="000D3C28" w:rsidRPr="00403220">
        <w:rPr>
          <w:rFonts w:cs="Times New Roman"/>
          <w:szCs w:val="24"/>
          <w:lang w:val="fr-CA"/>
        </w:rPr>
        <w:t xml:space="preserve">aussi </w:t>
      </w:r>
      <w:r w:rsidR="00C21FA2" w:rsidRPr="00403220">
        <w:rPr>
          <w:rFonts w:cs="Times New Roman"/>
          <w:szCs w:val="24"/>
          <w:lang w:val="fr-CA"/>
        </w:rPr>
        <w:t xml:space="preserve">à l’allégation de conception négligente </w:t>
      </w:r>
      <w:r w:rsidRPr="00403220">
        <w:rPr>
          <w:rFonts w:cs="Times New Roman"/>
          <w:szCs w:val="24"/>
          <w:lang w:val="fr-CA"/>
        </w:rPr>
        <w:t xml:space="preserve">en tant </w:t>
      </w:r>
      <w:r w:rsidR="00C21FA2" w:rsidRPr="00403220">
        <w:rPr>
          <w:rFonts w:cs="Times New Roman"/>
          <w:szCs w:val="24"/>
          <w:lang w:val="fr-CA"/>
        </w:rPr>
        <w:t>que considération de</w:t>
      </w:r>
      <w:r w:rsidRPr="00403220">
        <w:rPr>
          <w:rFonts w:cs="Times New Roman"/>
          <w:szCs w:val="24"/>
          <w:lang w:val="fr-CA"/>
        </w:rPr>
        <w:t xml:space="preserve"> politique</w:t>
      </w:r>
      <w:r w:rsidR="00C21FA2" w:rsidRPr="00403220">
        <w:rPr>
          <w:rFonts w:cs="Times New Roman"/>
          <w:szCs w:val="24"/>
          <w:lang w:val="fr-CA"/>
        </w:rPr>
        <w:t xml:space="preserve"> générale</w:t>
      </w:r>
      <w:r w:rsidRPr="00403220">
        <w:rPr>
          <w:rFonts w:cs="Times New Roman"/>
          <w:szCs w:val="24"/>
          <w:lang w:val="fr-CA"/>
        </w:rPr>
        <w:t xml:space="preserve"> </w:t>
      </w:r>
      <w:r w:rsidR="00441D84" w:rsidRPr="00403220">
        <w:rPr>
          <w:rFonts w:cs="Times New Roman"/>
          <w:szCs w:val="24"/>
          <w:lang w:val="fr-CA"/>
        </w:rPr>
        <w:t>à</w:t>
      </w:r>
      <w:r w:rsidRPr="00403220">
        <w:rPr>
          <w:rFonts w:cs="Times New Roman"/>
          <w:szCs w:val="24"/>
          <w:lang w:val="fr-CA"/>
        </w:rPr>
        <w:t xml:space="preserve"> la deuxième étape de l</w:t>
      </w:r>
      <w:r w:rsidR="008372AA" w:rsidRPr="00403220">
        <w:rPr>
          <w:rFonts w:cs="Times New Roman"/>
          <w:szCs w:val="24"/>
          <w:lang w:val="fr-CA"/>
        </w:rPr>
        <w:t>’</w:t>
      </w:r>
      <w:r w:rsidRPr="00403220">
        <w:rPr>
          <w:rFonts w:cs="Times New Roman"/>
          <w:szCs w:val="24"/>
          <w:lang w:val="fr-CA"/>
        </w:rPr>
        <w:t>analyse.</w:t>
      </w:r>
    </w:p>
    <w:p w:rsidR="0047179D" w:rsidRPr="00403220" w:rsidRDefault="00EB62DC" w:rsidP="00B95136">
      <w:pPr>
        <w:pStyle w:val="TitleTitre-AltT"/>
        <w:keepNext/>
        <w:tabs>
          <w:tab w:val="clear" w:pos="360"/>
          <w:tab w:val="left" w:pos="540"/>
        </w:tabs>
        <w:spacing w:after="720"/>
        <w:ind w:left="540" w:hanging="540"/>
        <w:rPr>
          <w:rFonts w:cs="Times New Roman"/>
          <w:szCs w:val="24"/>
          <w:lang w:val="fr-CA"/>
        </w:rPr>
      </w:pPr>
      <w:bookmarkStart w:id="32" w:name="_Toc314735129"/>
      <w:bookmarkStart w:id="33" w:name="_Toc285751405"/>
      <w:bookmarkStart w:id="34" w:name="_Toc285751658"/>
      <w:r w:rsidRPr="00403220">
        <w:rPr>
          <w:rFonts w:cs="Times New Roman"/>
          <w:szCs w:val="24"/>
          <w:lang w:val="fr-CA"/>
        </w:rPr>
        <w:t>F</w:t>
      </w:r>
      <w:r w:rsidR="0047179D" w:rsidRPr="00403220">
        <w:rPr>
          <w:rFonts w:cs="Times New Roman"/>
          <w:szCs w:val="24"/>
          <w:lang w:val="fr-CA"/>
        </w:rPr>
        <w:t>.</w:t>
      </w:r>
      <w:r w:rsidR="00A8207A" w:rsidRPr="00403220">
        <w:rPr>
          <w:rFonts w:cs="Times New Roman"/>
          <w:szCs w:val="24"/>
          <w:lang w:val="fr-CA"/>
        </w:rPr>
        <w:tab/>
      </w:r>
      <w:r w:rsidR="0047179D" w:rsidRPr="00403220">
        <w:rPr>
          <w:rFonts w:cs="Times New Roman"/>
          <w:i/>
          <w:szCs w:val="24"/>
          <w:lang w:val="fr-CA"/>
        </w:rPr>
        <w:t>Les allégations directes faites en vertu de</w:t>
      </w:r>
      <w:r w:rsidR="00BD5125">
        <w:rPr>
          <w:rFonts w:cs="Times New Roman"/>
          <w:i/>
          <w:szCs w:val="24"/>
          <w:lang w:val="fr-CA"/>
        </w:rPr>
        <w:t>s lois sur le recouvrement des coûts</w:t>
      </w:r>
      <w:bookmarkEnd w:id="32"/>
      <w:r w:rsidR="0047179D" w:rsidRPr="00403220">
        <w:rPr>
          <w:rFonts w:cs="Times New Roman"/>
          <w:i/>
          <w:szCs w:val="24"/>
          <w:lang w:val="fr-CA"/>
        </w:rPr>
        <w:t xml:space="preserve"> </w:t>
      </w:r>
      <w:bookmarkEnd w:id="33"/>
      <w:bookmarkEnd w:id="34"/>
    </w:p>
    <w:p w:rsidR="0047179D" w:rsidRPr="00403220" w:rsidRDefault="0047179D" w:rsidP="000016DF">
      <w:pPr>
        <w:pStyle w:val="ParaNoNdepar-AltN"/>
        <w:rPr>
          <w:rFonts w:cs="Times New Roman"/>
          <w:szCs w:val="24"/>
          <w:lang w:val="fr-CA"/>
        </w:rPr>
      </w:pPr>
      <w:r w:rsidRPr="00403220">
        <w:rPr>
          <w:rFonts w:cs="Times New Roman"/>
          <w:szCs w:val="24"/>
          <w:lang w:val="fr-CA"/>
        </w:rPr>
        <w:t>Selon les compagnies de tabac, la Cour d</w:t>
      </w:r>
      <w:r w:rsidR="008372AA" w:rsidRPr="00403220">
        <w:rPr>
          <w:rFonts w:cs="Times New Roman"/>
          <w:szCs w:val="24"/>
          <w:lang w:val="fr-CA"/>
        </w:rPr>
        <w:t>’</w:t>
      </w:r>
      <w:r w:rsidRPr="00403220">
        <w:rPr>
          <w:rFonts w:cs="Times New Roman"/>
          <w:szCs w:val="24"/>
          <w:lang w:val="fr-CA"/>
        </w:rPr>
        <w:t>appel a conclu à tort qu</w:t>
      </w:r>
      <w:r w:rsidR="008372AA" w:rsidRPr="00403220">
        <w:rPr>
          <w:rFonts w:cs="Times New Roman"/>
          <w:szCs w:val="24"/>
          <w:lang w:val="fr-CA"/>
        </w:rPr>
        <w:t>’</w:t>
      </w:r>
      <w:r w:rsidRPr="00403220">
        <w:rPr>
          <w:rFonts w:cs="Times New Roman"/>
          <w:szCs w:val="24"/>
          <w:lang w:val="fr-CA"/>
        </w:rPr>
        <w:t>il était  manifeste et évident que le Canada ne pouvait pas être un</w:t>
      </w:r>
      <w:r w:rsidR="00FE3BE7">
        <w:rPr>
          <w:rFonts w:cs="Times New Roman"/>
          <w:szCs w:val="24"/>
          <w:lang w:val="fr-CA"/>
        </w:rPr>
        <w:t xml:space="preserve"> </w:t>
      </w:r>
      <w:r w:rsidRPr="00403220">
        <w:rPr>
          <w:rFonts w:cs="Times New Roman"/>
          <w:szCs w:val="24"/>
          <w:lang w:val="fr-CA"/>
        </w:rPr>
        <w:t>fabricant</w:t>
      </w:r>
      <w:r w:rsidR="00FE3BE7">
        <w:rPr>
          <w:rFonts w:cs="Times New Roman"/>
          <w:szCs w:val="24"/>
          <w:lang w:val="fr-CA"/>
        </w:rPr>
        <w:t xml:space="preserve"> </w:t>
      </w:r>
      <w:r w:rsidRPr="00403220">
        <w:rPr>
          <w:rFonts w:cs="Times New Roman"/>
          <w:szCs w:val="24"/>
          <w:lang w:val="fr-CA"/>
        </w:rPr>
        <w:t xml:space="preserve">au sens de la </w:t>
      </w:r>
      <w:r w:rsidRPr="00403220">
        <w:rPr>
          <w:rFonts w:cs="Times New Roman"/>
          <w:i/>
          <w:szCs w:val="24"/>
          <w:lang w:val="fr-CA"/>
        </w:rPr>
        <w:lastRenderedPageBreak/>
        <w:t>CRA</w:t>
      </w:r>
      <w:r w:rsidRPr="00403220">
        <w:rPr>
          <w:rFonts w:cs="Times New Roman"/>
          <w:szCs w:val="24"/>
          <w:lang w:val="fr-CA"/>
        </w:rPr>
        <w:t xml:space="preserve">. </w:t>
      </w:r>
      <w:r w:rsidR="003B54EE" w:rsidRPr="00403220">
        <w:rPr>
          <w:rFonts w:cs="Times New Roman"/>
          <w:szCs w:val="24"/>
          <w:lang w:val="fr-CA"/>
        </w:rPr>
        <w:t xml:space="preserve"> </w:t>
      </w:r>
      <w:r w:rsidRPr="00403220">
        <w:rPr>
          <w:rFonts w:cs="Times New Roman"/>
          <w:szCs w:val="24"/>
          <w:lang w:val="fr-CA"/>
        </w:rPr>
        <w:t>Elles présentent également trois arguments subsidiaires</w:t>
      </w:r>
      <w:r w:rsidR="00A54DAC" w:rsidRPr="00403220">
        <w:rPr>
          <w:rFonts w:cs="Times New Roman"/>
          <w:szCs w:val="24"/>
          <w:lang w:val="fr-CA"/>
        </w:rPr>
        <w:t> :</w:t>
      </w:r>
      <w:r w:rsidRPr="00403220">
        <w:rPr>
          <w:rFonts w:cs="Times New Roman"/>
          <w:szCs w:val="24"/>
          <w:lang w:val="fr-CA"/>
        </w:rPr>
        <w:t xml:space="preserve"> </w:t>
      </w:r>
      <w:r w:rsidR="00C21FA2" w:rsidRPr="00403220">
        <w:rPr>
          <w:rFonts w:cs="Times New Roman"/>
          <w:szCs w:val="24"/>
          <w:lang w:val="fr-CA"/>
        </w:rPr>
        <w:t>(</w:t>
      </w:r>
      <w:r w:rsidRPr="00403220">
        <w:rPr>
          <w:rFonts w:cs="Times New Roman"/>
          <w:szCs w:val="24"/>
          <w:lang w:val="fr-CA"/>
        </w:rPr>
        <w:t>1)</w:t>
      </w:r>
      <w:r w:rsidR="006B6EFC" w:rsidRPr="00403220">
        <w:rPr>
          <w:rFonts w:cs="Times New Roman"/>
          <w:szCs w:val="24"/>
          <w:lang w:val="fr-CA"/>
        </w:rPr>
        <w:t> </w:t>
      </w:r>
      <w:r w:rsidRPr="00403220">
        <w:rPr>
          <w:rFonts w:cs="Times New Roman"/>
          <w:szCs w:val="24"/>
          <w:lang w:val="fr-CA"/>
        </w:rPr>
        <w:t>si la responsabilité du Canada n</w:t>
      </w:r>
      <w:r w:rsidR="008372AA" w:rsidRPr="00403220">
        <w:rPr>
          <w:rFonts w:cs="Times New Roman"/>
          <w:szCs w:val="24"/>
          <w:lang w:val="fr-CA"/>
        </w:rPr>
        <w:t>’</w:t>
      </w:r>
      <w:r w:rsidRPr="00403220">
        <w:rPr>
          <w:rFonts w:cs="Times New Roman"/>
          <w:szCs w:val="24"/>
          <w:lang w:val="fr-CA"/>
        </w:rPr>
        <w:t xml:space="preserve">est pas engagée en application de la </w:t>
      </w:r>
      <w:r w:rsidRPr="00403220">
        <w:rPr>
          <w:rFonts w:cs="Times New Roman"/>
          <w:i/>
          <w:szCs w:val="24"/>
          <w:lang w:val="fr-CA"/>
        </w:rPr>
        <w:t>CRA</w:t>
      </w:r>
      <w:r w:rsidRPr="00403220">
        <w:rPr>
          <w:rFonts w:cs="Times New Roman"/>
          <w:szCs w:val="24"/>
          <w:lang w:val="fr-CA"/>
        </w:rPr>
        <w:t>, elle l</w:t>
      </w:r>
      <w:r w:rsidR="008372AA" w:rsidRPr="00403220">
        <w:rPr>
          <w:rFonts w:cs="Times New Roman"/>
          <w:szCs w:val="24"/>
          <w:lang w:val="fr-CA"/>
        </w:rPr>
        <w:t>’</w:t>
      </w:r>
      <w:r w:rsidRPr="00403220">
        <w:rPr>
          <w:rFonts w:cs="Times New Roman"/>
          <w:szCs w:val="24"/>
          <w:lang w:val="fr-CA"/>
        </w:rPr>
        <w:t xml:space="preserve">est </w:t>
      </w:r>
      <w:r w:rsidR="000D3C28" w:rsidRPr="00403220">
        <w:rPr>
          <w:rFonts w:cs="Times New Roman"/>
          <w:szCs w:val="24"/>
          <w:lang w:val="fr-CA"/>
        </w:rPr>
        <w:t xml:space="preserve">aux termes </w:t>
      </w:r>
      <w:r w:rsidRPr="00403220">
        <w:rPr>
          <w:rFonts w:cs="Times New Roman"/>
          <w:szCs w:val="24"/>
          <w:lang w:val="fr-CA"/>
        </w:rPr>
        <w:t xml:space="preserve">de la </w:t>
      </w:r>
      <w:proofErr w:type="spellStart"/>
      <w:r w:rsidRPr="00403220">
        <w:rPr>
          <w:rFonts w:cs="Times New Roman"/>
          <w:i/>
          <w:szCs w:val="24"/>
          <w:lang w:val="fr-CA"/>
        </w:rPr>
        <w:t>Health</w:t>
      </w:r>
      <w:proofErr w:type="spellEnd"/>
      <w:r w:rsidRPr="00403220">
        <w:rPr>
          <w:rFonts w:cs="Times New Roman"/>
          <w:i/>
          <w:szCs w:val="24"/>
          <w:lang w:val="fr-CA"/>
        </w:rPr>
        <w:t xml:space="preserve"> Care </w:t>
      </w:r>
      <w:proofErr w:type="spellStart"/>
      <w:r w:rsidRPr="00403220">
        <w:rPr>
          <w:rFonts w:cs="Times New Roman"/>
          <w:i/>
          <w:szCs w:val="24"/>
          <w:lang w:val="fr-CA"/>
        </w:rPr>
        <w:t>Costs</w:t>
      </w:r>
      <w:proofErr w:type="spellEnd"/>
      <w:r w:rsidRPr="00403220">
        <w:rPr>
          <w:rFonts w:cs="Times New Roman"/>
          <w:i/>
          <w:szCs w:val="24"/>
          <w:lang w:val="fr-CA"/>
        </w:rPr>
        <w:t xml:space="preserve"> </w:t>
      </w:r>
      <w:proofErr w:type="spellStart"/>
      <w:r w:rsidRPr="00403220">
        <w:rPr>
          <w:rFonts w:cs="Times New Roman"/>
          <w:i/>
          <w:szCs w:val="24"/>
          <w:lang w:val="fr-CA"/>
        </w:rPr>
        <w:t>Recovery</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szCs w:val="24"/>
          <w:lang w:val="fr-CA"/>
        </w:rPr>
        <w:t xml:space="preserve">, </w:t>
      </w:r>
      <w:r w:rsidRPr="00403220">
        <w:rPr>
          <w:rStyle w:val="reference"/>
          <w:rFonts w:cs="Times New Roman"/>
          <w:szCs w:val="24"/>
          <w:lang w:val="fr-CA"/>
        </w:rPr>
        <w:t xml:space="preserve">S.B.C. 2008, </w:t>
      </w:r>
      <w:r w:rsidR="00A54DAC" w:rsidRPr="00403220">
        <w:rPr>
          <w:rStyle w:val="reference"/>
          <w:rFonts w:cs="Times New Roman"/>
          <w:szCs w:val="24"/>
          <w:lang w:val="fr-CA"/>
        </w:rPr>
        <w:t>ch. </w:t>
      </w:r>
      <w:r w:rsidRPr="00403220">
        <w:rPr>
          <w:rStyle w:val="reference"/>
          <w:rFonts w:cs="Times New Roman"/>
          <w:szCs w:val="24"/>
          <w:lang w:val="fr-CA"/>
        </w:rPr>
        <w:t>27 (« </w:t>
      </w:r>
      <w:r w:rsidRPr="00403220">
        <w:rPr>
          <w:rStyle w:val="reference"/>
          <w:rFonts w:cs="Times New Roman"/>
          <w:i/>
          <w:szCs w:val="24"/>
          <w:lang w:val="fr-CA"/>
        </w:rPr>
        <w:t>HCCRA</w:t>
      </w:r>
      <w:r w:rsidR="006B6EFC" w:rsidRPr="00403220">
        <w:rPr>
          <w:rStyle w:val="reference"/>
          <w:rFonts w:cs="Times New Roman"/>
          <w:i/>
          <w:szCs w:val="24"/>
          <w:lang w:val="fr-CA"/>
        </w:rPr>
        <w:t> </w:t>
      </w:r>
      <w:r w:rsidRPr="00403220">
        <w:rPr>
          <w:rStyle w:val="reference"/>
          <w:rFonts w:cs="Times New Roman"/>
          <w:szCs w:val="24"/>
          <w:lang w:val="fr-CA"/>
        </w:rPr>
        <w:t xml:space="preserve">»), récemment édictée; </w:t>
      </w:r>
      <w:r w:rsidR="00C21FA2" w:rsidRPr="00403220">
        <w:rPr>
          <w:rStyle w:val="reference"/>
          <w:rFonts w:cs="Times New Roman"/>
          <w:szCs w:val="24"/>
          <w:lang w:val="fr-CA"/>
        </w:rPr>
        <w:t>(</w:t>
      </w:r>
      <w:r w:rsidRPr="00403220">
        <w:rPr>
          <w:rStyle w:val="reference"/>
          <w:rFonts w:cs="Times New Roman"/>
          <w:szCs w:val="24"/>
          <w:lang w:val="fr-CA"/>
        </w:rPr>
        <w:t>2)</w:t>
      </w:r>
      <w:r w:rsidR="006B6EFC" w:rsidRPr="00403220">
        <w:rPr>
          <w:rStyle w:val="reference"/>
          <w:rFonts w:cs="Times New Roman"/>
          <w:szCs w:val="24"/>
          <w:lang w:val="fr-CA"/>
        </w:rPr>
        <w:t> </w:t>
      </w:r>
      <w:r w:rsidRPr="00403220">
        <w:rPr>
          <w:rStyle w:val="reference"/>
          <w:rFonts w:cs="Times New Roman"/>
          <w:szCs w:val="24"/>
          <w:lang w:val="fr-CA"/>
        </w:rPr>
        <w:t>si la responsabilité du Canada n</w:t>
      </w:r>
      <w:r w:rsidR="008372AA" w:rsidRPr="00403220">
        <w:rPr>
          <w:rStyle w:val="reference"/>
          <w:rFonts w:cs="Times New Roman"/>
          <w:szCs w:val="24"/>
          <w:lang w:val="fr-CA"/>
        </w:rPr>
        <w:t>’</w:t>
      </w:r>
      <w:r w:rsidRPr="00403220">
        <w:rPr>
          <w:rStyle w:val="reference"/>
          <w:rFonts w:cs="Times New Roman"/>
          <w:szCs w:val="24"/>
          <w:lang w:val="fr-CA"/>
        </w:rPr>
        <w:t xml:space="preserve">est pas engagée </w:t>
      </w:r>
      <w:r w:rsidR="000D3C28" w:rsidRPr="00403220">
        <w:rPr>
          <w:rStyle w:val="reference"/>
          <w:rFonts w:cs="Times New Roman"/>
          <w:szCs w:val="24"/>
          <w:lang w:val="fr-CA"/>
        </w:rPr>
        <w:t xml:space="preserve">aux termes </w:t>
      </w:r>
      <w:r w:rsidRPr="00403220">
        <w:rPr>
          <w:rStyle w:val="reference"/>
          <w:rFonts w:cs="Times New Roman"/>
          <w:szCs w:val="24"/>
          <w:lang w:val="fr-CA"/>
        </w:rPr>
        <w:t>de l</w:t>
      </w:r>
      <w:r w:rsidR="008372AA" w:rsidRPr="00403220">
        <w:rPr>
          <w:rStyle w:val="reference"/>
          <w:rFonts w:cs="Times New Roman"/>
          <w:szCs w:val="24"/>
          <w:lang w:val="fr-CA"/>
        </w:rPr>
        <w:t>’</w:t>
      </w:r>
      <w:r w:rsidRPr="00403220">
        <w:rPr>
          <w:rStyle w:val="reference"/>
          <w:rFonts w:cs="Times New Roman"/>
          <w:szCs w:val="24"/>
          <w:lang w:val="fr-CA"/>
        </w:rPr>
        <w:t xml:space="preserve">une de ces deux </w:t>
      </w:r>
      <w:r w:rsidR="00DB482D" w:rsidRPr="00403220">
        <w:rPr>
          <w:rStyle w:val="reference"/>
          <w:rFonts w:cs="Times New Roman"/>
          <w:szCs w:val="24"/>
          <w:lang w:val="fr-CA"/>
        </w:rPr>
        <w:t>l</w:t>
      </w:r>
      <w:r w:rsidRPr="00403220">
        <w:rPr>
          <w:rStyle w:val="reference"/>
          <w:rFonts w:cs="Times New Roman"/>
          <w:szCs w:val="24"/>
          <w:lang w:val="fr-CA"/>
        </w:rPr>
        <w:t xml:space="preserve">ois, il est néanmoins tenu de verser aux défenderesses une contribution </w:t>
      </w:r>
      <w:r w:rsidR="000D3C28" w:rsidRPr="00403220">
        <w:rPr>
          <w:rFonts w:cs="Times New Roman"/>
          <w:szCs w:val="24"/>
          <w:lang w:val="fr-CA"/>
        </w:rPr>
        <w:t xml:space="preserve">aux termes de </w:t>
      </w:r>
      <w:r w:rsidRPr="00403220">
        <w:rPr>
          <w:rFonts w:cs="Times New Roman"/>
          <w:szCs w:val="24"/>
          <w:lang w:val="fr-CA"/>
        </w:rPr>
        <w:t xml:space="preserve">la </w:t>
      </w:r>
      <w:proofErr w:type="spellStart"/>
      <w:r w:rsidRPr="00403220">
        <w:rPr>
          <w:rFonts w:cs="Times New Roman"/>
          <w:i/>
          <w:szCs w:val="24"/>
          <w:lang w:val="fr-CA"/>
        </w:rPr>
        <w:t>Negligence</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szCs w:val="24"/>
          <w:lang w:val="fr-CA"/>
        </w:rPr>
        <w:t xml:space="preserve">; et </w:t>
      </w:r>
      <w:r w:rsidR="0044592F" w:rsidRPr="00403220">
        <w:rPr>
          <w:rFonts w:cs="Times New Roman"/>
          <w:szCs w:val="24"/>
          <w:lang w:val="fr-CA"/>
        </w:rPr>
        <w:t>(</w:t>
      </w:r>
      <w:r w:rsidRPr="00403220">
        <w:rPr>
          <w:rFonts w:cs="Times New Roman"/>
          <w:szCs w:val="24"/>
          <w:lang w:val="fr-CA"/>
        </w:rPr>
        <w:t>3)</w:t>
      </w:r>
      <w:r w:rsidR="006B6EFC" w:rsidRPr="00403220">
        <w:rPr>
          <w:rFonts w:cs="Times New Roman"/>
          <w:szCs w:val="24"/>
          <w:lang w:val="fr-CA"/>
        </w:rPr>
        <w:t> </w:t>
      </w:r>
      <w:r w:rsidR="0044592F" w:rsidRPr="00403220">
        <w:rPr>
          <w:rFonts w:cs="Times New Roman"/>
          <w:szCs w:val="24"/>
          <w:lang w:val="fr-CA"/>
        </w:rPr>
        <w:t>enfin</w:t>
      </w:r>
      <w:r w:rsidRPr="00403220">
        <w:rPr>
          <w:rFonts w:cs="Times New Roman"/>
          <w:szCs w:val="24"/>
          <w:lang w:val="fr-CA"/>
        </w:rPr>
        <w:t xml:space="preserve">, le Canada peut être tenu en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xml:space="preserve"> de verser une contribution (mémoire conjoint de </w:t>
      </w:r>
      <w:proofErr w:type="spellStart"/>
      <w:r w:rsidRPr="00403220">
        <w:rPr>
          <w:rFonts w:cs="Times New Roman"/>
          <w:szCs w:val="24"/>
          <w:lang w:val="fr-CA"/>
        </w:rPr>
        <w:t>R</w:t>
      </w:r>
      <w:r w:rsidR="00EB62DC" w:rsidRPr="00403220">
        <w:rPr>
          <w:rFonts w:cs="Times New Roman"/>
          <w:szCs w:val="24"/>
          <w:lang w:val="fr-CA"/>
        </w:rPr>
        <w:t>othmans</w:t>
      </w:r>
      <w:proofErr w:type="spellEnd"/>
      <w:r w:rsidR="00EB62DC" w:rsidRPr="00403220">
        <w:rPr>
          <w:rFonts w:cs="Times New Roman"/>
          <w:szCs w:val="24"/>
          <w:lang w:val="fr-CA"/>
        </w:rPr>
        <w:t xml:space="preserve">, </w:t>
      </w:r>
      <w:r w:rsidRPr="00403220">
        <w:rPr>
          <w:rFonts w:cs="Times New Roman"/>
          <w:szCs w:val="24"/>
          <w:lang w:val="fr-CA"/>
        </w:rPr>
        <w:t>B</w:t>
      </w:r>
      <w:r w:rsidR="00EB62DC" w:rsidRPr="00403220">
        <w:rPr>
          <w:rFonts w:cs="Times New Roman"/>
          <w:szCs w:val="24"/>
          <w:lang w:val="fr-CA"/>
        </w:rPr>
        <w:t xml:space="preserve">enson &amp; </w:t>
      </w:r>
      <w:proofErr w:type="spellStart"/>
      <w:r w:rsidRPr="00403220">
        <w:rPr>
          <w:rFonts w:cs="Times New Roman"/>
          <w:szCs w:val="24"/>
          <w:lang w:val="fr-CA"/>
        </w:rPr>
        <w:t>H</w:t>
      </w:r>
      <w:r w:rsidR="00EB62DC" w:rsidRPr="00403220">
        <w:rPr>
          <w:rFonts w:cs="Times New Roman"/>
          <w:szCs w:val="24"/>
          <w:lang w:val="fr-CA"/>
        </w:rPr>
        <w:t>edges</w:t>
      </w:r>
      <w:proofErr w:type="spellEnd"/>
      <w:r w:rsidRPr="00403220">
        <w:rPr>
          <w:rFonts w:cs="Times New Roman"/>
          <w:szCs w:val="24"/>
          <w:lang w:val="fr-CA"/>
        </w:rPr>
        <w:t xml:space="preserve"> </w:t>
      </w:r>
      <w:r w:rsidR="00EB62DC" w:rsidRPr="00403220">
        <w:rPr>
          <w:rFonts w:cs="Times New Roman"/>
          <w:szCs w:val="24"/>
          <w:lang w:val="fr-CA"/>
        </w:rPr>
        <w:t xml:space="preserve">(« RBH ») </w:t>
      </w:r>
      <w:r w:rsidRPr="00403220">
        <w:rPr>
          <w:rFonts w:cs="Times New Roman"/>
          <w:szCs w:val="24"/>
          <w:lang w:val="fr-CA"/>
        </w:rPr>
        <w:t>et de Philip Morris seulement).</w:t>
      </w:r>
    </w:p>
    <w:p w:rsidR="0047179D" w:rsidRPr="00403220" w:rsidRDefault="00B772D4" w:rsidP="00427B06">
      <w:pPr>
        <w:pStyle w:val="ParaNoNdepar-AltN"/>
        <w:rPr>
          <w:rFonts w:cs="Times New Roman"/>
          <w:szCs w:val="24"/>
          <w:lang w:val="fr-CA"/>
        </w:rPr>
      </w:pPr>
      <w:r w:rsidRPr="00403220">
        <w:rPr>
          <w:rFonts w:cs="Times New Roman"/>
          <w:szCs w:val="24"/>
          <w:lang w:val="fr-CA"/>
        </w:rPr>
        <w:t>Aux termes de l</w:t>
      </w:r>
      <w:r w:rsidR="008372AA" w:rsidRPr="00403220">
        <w:rPr>
          <w:rFonts w:cs="Times New Roman"/>
          <w:szCs w:val="24"/>
          <w:lang w:val="fr-CA"/>
        </w:rPr>
        <w:t>’</w:t>
      </w:r>
      <w:r w:rsidRPr="00403220">
        <w:rPr>
          <w:rFonts w:cs="Times New Roman"/>
          <w:szCs w:val="24"/>
          <w:lang w:val="fr-CA"/>
        </w:rPr>
        <w:t>art</w:t>
      </w:r>
      <w:r w:rsidR="00DB671D">
        <w:rPr>
          <w:rFonts w:cs="Times New Roman"/>
          <w:szCs w:val="24"/>
          <w:lang w:val="fr-CA"/>
        </w:rPr>
        <w:t>.</w:t>
      </w:r>
      <w:r w:rsidRPr="00403220">
        <w:rPr>
          <w:rFonts w:cs="Times New Roman"/>
          <w:szCs w:val="24"/>
          <w:lang w:val="fr-CA"/>
        </w:rPr>
        <w:t> </w:t>
      </w:r>
      <w:r w:rsidR="0047179D" w:rsidRPr="00403220">
        <w:rPr>
          <w:rFonts w:cs="Times New Roman"/>
          <w:szCs w:val="24"/>
          <w:lang w:val="fr-CA"/>
        </w:rPr>
        <w:t xml:space="preserve">2 de la </w:t>
      </w:r>
      <w:r w:rsidR="0047179D" w:rsidRPr="00403220">
        <w:rPr>
          <w:rFonts w:cs="Times New Roman"/>
          <w:i/>
          <w:szCs w:val="24"/>
          <w:lang w:val="fr-CA"/>
        </w:rPr>
        <w:t>CRA</w:t>
      </w:r>
      <w:r w:rsidR="0047179D" w:rsidRPr="00403220">
        <w:rPr>
          <w:rFonts w:cs="Times New Roman"/>
          <w:szCs w:val="24"/>
          <w:lang w:val="fr-CA"/>
        </w:rPr>
        <w:t>, [</w:t>
      </w:r>
      <w:r w:rsidR="0047179D" w:rsidRPr="00403220">
        <w:rPr>
          <w:rFonts w:cs="Times New Roman"/>
          <w:smallCaps/>
          <w:szCs w:val="24"/>
          <w:lang w:val="fr-CA"/>
        </w:rPr>
        <w:t>traduction</w:t>
      </w:r>
      <w:r w:rsidRPr="00403220">
        <w:rPr>
          <w:rFonts w:cs="Times New Roman"/>
          <w:szCs w:val="24"/>
          <w:lang w:val="fr-CA"/>
        </w:rPr>
        <w:t>] « </w:t>
      </w:r>
      <w:r w:rsidR="0047179D" w:rsidRPr="00403220">
        <w:rPr>
          <w:rFonts w:cs="Times New Roman"/>
          <w:szCs w:val="24"/>
          <w:lang w:val="fr-CA"/>
        </w:rPr>
        <w:t xml:space="preserve">[l]e gouvernement a </w:t>
      </w:r>
      <w:r w:rsidR="00911EF9" w:rsidRPr="00403220">
        <w:rPr>
          <w:rFonts w:cs="Times New Roman"/>
          <w:szCs w:val="24"/>
          <w:lang w:val="fr-CA"/>
        </w:rPr>
        <w:t xml:space="preserve">contre un fabricant </w:t>
      </w:r>
      <w:r w:rsidR="0047179D" w:rsidRPr="00403220">
        <w:rPr>
          <w:rFonts w:cs="Times New Roman"/>
          <w:szCs w:val="24"/>
          <w:lang w:val="fr-CA"/>
        </w:rPr>
        <w:t>un droit d</w:t>
      </w:r>
      <w:r w:rsidR="008372AA" w:rsidRPr="00403220">
        <w:rPr>
          <w:rFonts w:cs="Times New Roman"/>
          <w:szCs w:val="24"/>
          <w:lang w:val="fr-CA"/>
        </w:rPr>
        <w:t>’</w:t>
      </w:r>
      <w:r w:rsidR="0047179D" w:rsidRPr="00403220">
        <w:rPr>
          <w:rFonts w:cs="Times New Roman"/>
          <w:szCs w:val="24"/>
          <w:lang w:val="fr-CA"/>
        </w:rPr>
        <w:t xml:space="preserve">action direct et distinct </w:t>
      </w:r>
      <w:r w:rsidR="00911EF9" w:rsidRPr="00403220">
        <w:rPr>
          <w:rFonts w:cs="Times New Roman"/>
          <w:szCs w:val="24"/>
          <w:lang w:val="fr-CA"/>
        </w:rPr>
        <w:t>pour le recouvrement du coût des services de soins de santé occasionnés ou favorisés par une faute du fabricant</w:t>
      </w:r>
      <w:r w:rsidRPr="00403220">
        <w:rPr>
          <w:rFonts w:cs="Times New Roman"/>
          <w:szCs w:val="24"/>
          <w:lang w:val="fr-CA"/>
        </w:rPr>
        <w:t> </w:t>
      </w:r>
      <w:r w:rsidR="0047179D" w:rsidRPr="00403220">
        <w:rPr>
          <w:rFonts w:cs="Times New Roman"/>
          <w:szCs w:val="24"/>
          <w:lang w:val="fr-CA"/>
        </w:rPr>
        <w:t xml:space="preserve">».  </w:t>
      </w:r>
      <w:r w:rsidRPr="00403220">
        <w:rPr>
          <w:rFonts w:cs="Times New Roman"/>
          <w:szCs w:val="24"/>
          <w:lang w:val="fr-CA"/>
        </w:rPr>
        <w:t>Les termes « fabrication » et « </w:t>
      </w:r>
      <w:r w:rsidR="0047179D" w:rsidRPr="00403220">
        <w:rPr>
          <w:rFonts w:cs="Times New Roman"/>
          <w:szCs w:val="24"/>
          <w:lang w:val="fr-CA"/>
        </w:rPr>
        <w:t>fabricant</w:t>
      </w:r>
      <w:r w:rsidRPr="00403220">
        <w:rPr>
          <w:rFonts w:cs="Times New Roman"/>
          <w:szCs w:val="24"/>
          <w:lang w:val="fr-CA"/>
        </w:rPr>
        <w:t> </w:t>
      </w:r>
      <w:r w:rsidR="0047179D" w:rsidRPr="00403220">
        <w:rPr>
          <w:rFonts w:cs="Times New Roman"/>
          <w:szCs w:val="24"/>
          <w:lang w:val="fr-CA"/>
        </w:rPr>
        <w:t>» sont définis comme suit à l</w:t>
      </w:r>
      <w:r w:rsidR="008372AA" w:rsidRPr="00403220">
        <w:rPr>
          <w:rFonts w:cs="Times New Roman"/>
          <w:szCs w:val="24"/>
          <w:lang w:val="fr-CA"/>
        </w:rPr>
        <w:t>’</w:t>
      </w:r>
      <w:r w:rsidR="00CF657D" w:rsidRPr="00403220">
        <w:rPr>
          <w:rFonts w:cs="Times New Roman"/>
          <w:szCs w:val="24"/>
          <w:lang w:val="fr-CA"/>
        </w:rPr>
        <w:t>art</w:t>
      </w:r>
      <w:r w:rsidR="00FA2636">
        <w:rPr>
          <w:rFonts w:cs="Times New Roman"/>
          <w:szCs w:val="24"/>
          <w:lang w:val="fr-CA"/>
        </w:rPr>
        <w:t>.</w:t>
      </w:r>
      <w:r w:rsidR="00336CFE" w:rsidRPr="00403220">
        <w:rPr>
          <w:rFonts w:cs="Times New Roman"/>
          <w:szCs w:val="24"/>
          <w:lang w:val="fr-CA"/>
        </w:rPr>
        <w:t xml:space="preserve"> </w:t>
      </w:r>
      <w:r w:rsidR="00FA2636">
        <w:rPr>
          <w:rFonts w:cs="Times New Roman"/>
          <w:szCs w:val="24"/>
          <w:lang w:val="fr-CA"/>
        </w:rPr>
        <w:t xml:space="preserve">1(1) </w:t>
      </w:r>
      <w:r w:rsidR="0047179D" w:rsidRPr="00403220">
        <w:rPr>
          <w:rFonts w:cs="Times New Roman"/>
          <w:szCs w:val="24"/>
          <w:lang w:val="fr-CA"/>
        </w:rPr>
        <w:t xml:space="preserve">de la </w:t>
      </w:r>
      <w:r w:rsidR="0047179D" w:rsidRPr="00403220">
        <w:rPr>
          <w:rFonts w:cs="Times New Roman"/>
          <w:i/>
          <w:szCs w:val="24"/>
          <w:lang w:val="fr-CA"/>
        </w:rPr>
        <w:t>CRA</w:t>
      </w:r>
      <w:r w:rsidR="00A54DAC" w:rsidRPr="00403220">
        <w:rPr>
          <w:rFonts w:cs="Times New Roman"/>
          <w:szCs w:val="24"/>
          <w:lang w:val="fr-CA"/>
        </w:rPr>
        <w:t> :</w:t>
      </w:r>
      <w:r w:rsidR="0047179D" w:rsidRPr="00403220">
        <w:rPr>
          <w:rFonts w:cs="Times New Roman"/>
          <w:szCs w:val="24"/>
          <w:lang w:val="fr-CA"/>
        </w:rPr>
        <w:t xml:space="preserve"> </w:t>
      </w:r>
    </w:p>
    <w:p w:rsidR="0047179D" w:rsidRDefault="0047179D" w:rsidP="005B16C7">
      <w:pPr>
        <w:pStyle w:val="Citation-AltC"/>
        <w:keepNext/>
        <w:spacing w:after="240"/>
        <w:contextualSpacing w:val="0"/>
        <w:rPr>
          <w:rStyle w:val="Strong"/>
          <w:rFonts w:eastAsiaTheme="minorHAnsi"/>
          <w:smallCaps/>
          <w:szCs w:val="24"/>
          <w:lang w:val="fr-CA"/>
        </w:rPr>
      </w:pPr>
      <w:r w:rsidRPr="00B16FD1">
        <w:rPr>
          <w:rStyle w:val="Strong"/>
          <w:rFonts w:eastAsiaTheme="minorHAnsi"/>
          <w:b w:val="0"/>
          <w:smallCaps/>
          <w:szCs w:val="24"/>
          <w:lang w:val="fr-CA"/>
        </w:rPr>
        <w:t>[</w:t>
      </w:r>
      <w:r w:rsidRPr="00403220">
        <w:rPr>
          <w:bCs/>
          <w:smallCaps/>
          <w:szCs w:val="24"/>
          <w:lang w:val="fr-CA"/>
        </w:rPr>
        <w:t>traduction</w:t>
      </w:r>
      <w:r w:rsidRPr="00B16FD1">
        <w:rPr>
          <w:rStyle w:val="Strong"/>
          <w:rFonts w:eastAsiaTheme="minorHAnsi"/>
          <w:b w:val="0"/>
          <w:smallCaps/>
          <w:szCs w:val="24"/>
          <w:lang w:val="fr-CA"/>
        </w:rPr>
        <w:t>]</w:t>
      </w:r>
    </w:p>
    <w:p w:rsidR="00FA2636" w:rsidRPr="00FA2636" w:rsidRDefault="00FA2636" w:rsidP="005B16C7">
      <w:pPr>
        <w:pStyle w:val="Citation-AltC"/>
        <w:keepNext/>
        <w:spacing w:after="240"/>
        <w:contextualSpacing w:val="0"/>
        <w:rPr>
          <w:rStyle w:val="Strong"/>
          <w:rFonts w:eastAsiaTheme="minorHAnsi"/>
          <w:b w:val="0"/>
          <w:smallCaps/>
          <w:szCs w:val="24"/>
          <w:lang w:val="fr-CA"/>
        </w:rPr>
      </w:pPr>
      <w:r>
        <w:rPr>
          <w:rStyle w:val="Strong"/>
          <w:rFonts w:eastAsiaTheme="minorHAnsi"/>
          <w:smallCaps/>
          <w:szCs w:val="24"/>
          <w:lang w:val="fr-CA"/>
        </w:rPr>
        <w:t xml:space="preserve">1 </w:t>
      </w:r>
      <w:r w:rsidRPr="00FA2636">
        <w:rPr>
          <w:rStyle w:val="Strong"/>
          <w:rFonts w:eastAsiaTheme="minorHAnsi"/>
          <w:b w:val="0"/>
          <w:smallCaps/>
          <w:szCs w:val="24"/>
          <w:lang w:val="fr-CA"/>
        </w:rPr>
        <w:t>(1) . . .</w:t>
      </w:r>
    </w:p>
    <w:p w:rsidR="0047179D" w:rsidRPr="00403220" w:rsidRDefault="00B95136" w:rsidP="0056013A">
      <w:pPr>
        <w:pStyle w:val="Citation-AltC"/>
        <w:tabs>
          <w:tab w:val="left" w:pos="1440"/>
        </w:tabs>
        <w:spacing w:after="240"/>
        <w:ind w:left="1987" w:hanging="1987"/>
        <w:contextualSpacing w:val="0"/>
        <w:rPr>
          <w:szCs w:val="24"/>
          <w:lang w:val="fr-CA"/>
        </w:rPr>
      </w:pPr>
      <w:r>
        <w:rPr>
          <w:rStyle w:val="Strong"/>
          <w:rFonts w:eastAsiaTheme="minorHAnsi"/>
          <w:szCs w:val="24"/>
          <w:lang w:val="fr-CA"/>
        </w:rPr>
        <w:tab/>
      </w:r>
      <w:r w:rsidR="005B16C7" w:rsidRPr="00403220">
        <w:rPr>
          <w:rStyle w:val="Strong"/>
          <w:rFonts w:eastAsiaTheme="minorHAnsi"/>
          <w:szCs w:val="24"/>
          <w:lang w:val="fr-CA"/>
        </w:rPr>
        <w:t>« </w:t>
      </w:r>
      <w:proofErr w:type="gramStart"/>
      <w:r w:rsidR="005B16C7" w:rsidRPr="00403220">
        <w:rPr>
          <w:rStyle w:val="Strong"/>
          <w:rFonts w:eastAsiaTheme="minorHAnsi"/>
          <w:szCs w:val="24"/>
          <w:lang w:val="fr-CA"/>
        </w:rPr>
        <w:t>fabricant</w:t>
      </w:r>
      <w:proofErr w:type="gramEnd"/>
      <w:r w:rsidR="005B16C7" w:rsidRPr="00403220">
        <w:rPr>
          <w:rStyle w:val="Strong"/>
          <w:rFonts w:eastAsiaTheme="minorHAnsi"/>
          <w:szCs w:val="24"/>
          <w:lang w:val="fr-CA"/>
        </w:rPr>
        <w:t> </w:t>
      </w:r>
      <w:r w:rsidR="0047179D" w:rsidRPr="00403220">
        <w:rPr>
          <w:rStyle w:val="Strong"/>
          <w:rFonts w:eastAsiaTheme="minorHAnsi"/>
          <w:szCs w:val="24"/>
          <w:lang w:val="fr-CA"/>
        </w:rPr>
        <w:t>»</w:t>
      </w:r>
      <w:r w:rsidR="0047179D" w:rsidRPr="00403220">
        <w:rPr>
          <w:szCs w:val="24"/>
          <w:lang w:val="fr-CA"/>
        </w:rPr>
        <w:t xml:space="preserve"> Personne qui fabrique ou a fabriqué un produit du tabac, y compris la personne qui, selon le cas</w:t>
      </w:r>
      <w:r w:rsidR="00A54DAC" w:rsidRPr="00403220">
        <w:rPr>
          <w:szCs w:val="24"/>
          <w:lang w:val="fr-CA"/>
        </w:rPr>
        <w:t> :</w:t>
      </w:r>
      <w:r w:rsidR="0047179D" w:rsidRPr="00403220">
        <w:rPr>
          <w:szCs w:val="24"/>
          <w:lang w:val="fr-CA"/>
        </w:rPr>
        <w:t xml:space="preserve"> </w:t>
      </w:r>
    </w:p>
    <w:p w:rsidR="0047179D" w:rsidRPr="00403220" w:rsidRDefault="00B772D4" w:rsidP="00FE3BE7">
      <w:pPr>
        <w:pStyle w:val="Citation-AltC"/>
        <w:tabs>
          <w:tab w:val="left" w:pos="1980"/>
          <w:tab w:val="left" w:pos="2340"/>
        </w:tabs>
        <w:spacing w:after="240"/>
        <w:ind w:left="2340" w:hanging="2340"/>
        <w:contextualSpacing w:val="0"/>
        <w:rPr>
          <w:szCs w:val="24"/>
          <w:lang w:val="fr-CA"/>
        </w:rPr>
      </w:pPr>
      <w:r w:rsidRPr="00403220">
        <w:rPr>
          <w:i/>
          <w:szCs w:val="24"/>
          <w:lang w:val="fr-CA"/>
        </w:rPr>
        <w:tab/>
      </w:r>
      <w:r w:rsidR="0047179D" w:rsidRPr="00AB6B9E">
        <w:rPr>
          <w:szCs w:val="24"/>
          <w:lang w:val="fr-CA"/>
        </w:rPr>
        <w:t>a</w:t>
      </w:r>
      <w:r w:rsidR="005B16C7" w:rsidRPr="00403220">
        <w:rPr>
          <w:szCs w:val="24"/>
          <w:lang w:val="fr-CA"/>
        </w:rPr>
        <w:t>)</w:t>
      </w:r>
      <w:r w:rsidR="005B16C7" w:rsidRPr="00403220">
        <w:rPr>
          <w:szCs w:val="24"/>
          <w:lang w:val="fr-CA"/>
        </w:rPr>
        <w:tab/>
      </w:r>
      <w:r w:rsidR="0047179D" w:rsidRPr="00403220">
        <w:rPr>
          <w:szCs w:val="24"/>
          <w:lang w:val="fr-CA"/>
        </w:rPr>
        <w:t>directement ou indirectement, fait ou a fait fabriquer un produit du tabac dans le cadre d</w:t>
      </w:r>
      <w:r w:rsidR="008372AA" w:rsidRPr="00403220">
        <w:rPr>
          <w:szCs w:val="24"/>
          <w:lang w:val="fr-CA"/>
        </w:rPr>
        <w:t>’</w:t>
      </w:r>
      <w:r w:rsidR="0047179D" w:rsidRPr="00403220">
        <w:rPr>
          <w:szCs w:val="24"/>
          <w:lang w:val="fr-CA"/>
        </w:rPr>
        <w:t>ententes conclues avec des entrepreneurs, des sous</w:t>
      </w:r>
      <w:r w:rsidR="00FA2636">
        <w:rPr>
          <w:szCs w:val="24"/>
          <w:lang w:val="fr-CA"/>
        </w:rPr>
        <w:t>-</w:t>
      </w:r>
      <w:r w:rsidR="0047179D" w:rsidRPr="00403220">
        <w:rPr>
          <w:szCs w:val="24"/>
          <w:lang w:val="fr-CA"/>
        </w:rPr>
        <w:t>traitants, des titulaires de licence, des franchisés ou d</w:t>
      </w:r>
      <w:r w:rsidR="008372AA" w:rsidRPr="00403220">
        <w:rPr>
          <w:szCs w:val="24"/>
          <w:lang w:val="fr-CA"/>
        </w:rPr>
        <w:t>’</w:t>
      </w:r>
      <w:r w:rsidR="0047179D" w:rsidRPr="00403220">
        <w:rPr>
          <w:szCs w:val="24"/>
          <w:lang w:val="fr-CA"/>
        </w:rPr>
        <w:t xml:space="preserve">autres personnes; </w:t>
      </w:r>
    </w:p>
    <w:p w:rsidR="0047179D" w:rsidRPr="00403220" w:rsidRDefault="00B772D4" w:rsidP="00FE3BE7">
      <w:pPr>
        <w:pStyle w:val="Citation-AltC"/>
        <w:tabs>
          <w:tab w:val="left" w:pos="1980"/>
          <w:tab w:val="left" w:pos="2340"/>
        </w:tabs>
        <w:spacing w:after="240"/>
        <w:ind w:left="2340" w:hanging="2340"/>
        <w:contextualSpacing w:val="0"/>
        <w:rPr>
          <w:szCs w:val="24"/>
          <w:lang w:val="fr-CA"/>
        </w:rPr>
      </w:pPr>
      <w:r w:rsidRPr="00403220">
        <w:rPr>
          <w:i/>
          <w:szCs w:val="24"/>
          <w:lang w:val="fr-CA"/>
        </w:rPr>
        <w:lastRenderedPageBreak/>
        <w:tab/>
      </w:r>
      <w:r w:rsidR="0047179D" w:rsidRPr="00AB6B9E">
        <w:rPr>
          <w:szCs w:val="24"/>
          <w:lang w:val="fr-CA"/>
        </w:rPr>
        <w:t>b</w:t>
      </w:r>
      <w:r w:rsidR="005B16C7" w:rsidRPr="00403220">
        <w:rPr>
          <w:szCs w:val="24"/>
          <w:lang w:val="fr-CA"/>
        </w:rPr>
        <w:t>)</w:t>
      </w:r>
      <w:r w:rsidR="005B16C7" w:rsidRPr="00403220">
        <w:rPr>
          <w:szCs w:val="24"/>
          <w:lang w:val="fr-CA"/>
        </w:rPr>
        <w:tab/>
      </w:r>
      <w:r w:rsidR="0047179D" w:rsidRPr="00403220">
        <w:rPr>
          <w:szCs w:val="24"/>
          <w:lang w:val="fr-CA"/>
        </w:rPr>
        <w:t>au cours d</w:t>
      </w:r>
      <w:r w:rsidR="008372AA" w:rsidRPr="00403220">
        <w:rPr>
          <w:szCs w:val="24"/>
          <w:lang w:val="fr-CA"/>
        </w:rPr>
        <w:t>’</w:t>
      </w:r>
      <w:r w:rsidR="0047179D" w:rsidRPr="00403220">
        <w:rPr>
          <w:szCs w:val="24"/>
          <w:lang w:val="fr-CA"/>
        </w:rPr>
        <w:t xml:space="preserve">un de ses exercices, tire ou a tiré au moins 10 % de ses revenus, calculés sur une base consolidée conformément aux principes comptables généralement reconnus au Canada, de la fabrication ou de la promotion de produits du tabac par </w:t>
      </w:r>
      <w:proofErr w:type="spellStart"/>
      <w:r w:rsidR="0047179D" w:rsidRPr="00403220">
        <w:rPr>
          <w:szCs w:val="24"/>
          <w:lang w:val="fr-CA"/>
        </w:rPr>
        <w:t>elle</w:t>
      </w:r>
      <w:r w:rsidR="00A54DAC" w:rsidRPr="00403220">
        <w:rPr>
          <w:szCs w:val="24"/>
          <w:lang w:val="fr-CA"/>
        </w:rPr>
        <w:noBreakHyphen/>
      </w:r>
      <w:r w:rsidR="0047179D" w:rsidRPr="00403220">
        <w:rPr>
          <w:szCs w:val="24"/>
          <w:lang w:val="fr-CA"/>
        </w:rPr>
        <w:t>même</w:t>
      </w:r>
      <w:proofErr w:type="spellEnd"/>
      <w:r w:rsidR="0047179D" w:rsidRPr="00403220">
        <w:rPr>
          <w:szCs w:val="24"/>
          <w:lang w:val="fr-CA"/>
        </w:rPr>
        <w:t xml:space="preserve"> ou par d</w:t>
      </w:r>
      <w:r w:rsidR="008372AA" w:rsidRPr="00403220">
        <w:rPr>
          <w:szCs w:val="24"/>
          <w:lang w:val="fr-CA"/>
        </w:rPr>
        <w:t>’</w:t>
      </w:r>
      <w:r w:rsidR="0047179D" w:rsidRPr="00403220">
        <w:rPr>
          <w:szCs w:val="24"/>
          <w:lang w:val="fr-CA"/>
        </w:rPr>
        <w:t xml:space="preserve">autres personnes;  </w:t>
      </w:r>
    </w:p>
    <w:p w:rsidR="0047179D" w:rsidRPr="00403220" w:rsidRDefault="00B772D4" w:rsidP="00FE3BE7">
      <w:pPr>
        <w:pStyle w:val="Citation-AltC"/>
        <w:tabs>
          <w:tab w:val="left" w:pos="1980"/>
          <w:tab w:val="left" w:pos="2340"/>
        </w:tabs>
        <w:spacing w:after="240"/>
        <w:ind w:left="2340" w:hanging="2340"/>
        <w:contextualSpacing w:val="0"/>
        <w:rPr>
          <w:szCs w:val="24"/>
          <w:lang w:val="fr-CA"/>
        </w:rPr>
      </w:pPr>
      <w:r w:rsidRPr="00403220">
        <w:rPr>
          <w:i/>
          <w:szCs w:val="24"/>
          <w:lang w:val="fr-CA"/>
        </w:rPr>
        <w:tab/>
      </w:r>
      <w:r w:rsidR="0047179D" w:rsidRPr="00AB6B9E">
        <w:rPr>
          <w:szCs w:val="24"/>
          <w:lang w:val="fr-CA"/>
        </w:rPr>
        <w:t>c</w:t>
      </w:r>
      <w:r w:rsidR="005B16C7" w:rsidRPr="00403220">
        <w:rPr>
          <w:szCs w:val="24"/>
          <w:lang w:val="fr-CA"/>
        </w:rPr>
        <w:t>)</w:t>
      </w:r>
      <w:r w:rsidR="005B16C7" w:rsidRPr="00403220">
        <w:rPr>
          <w:szCs w:val="24"/>
          <w:lang w:val="fr-CA"/>
        </w:rPr>
        <w:tab/>
      </w:r>
      <w:r w:rsidR="0047179D" w:rsidRPr="00403220">
        <w:rPr>
          <w:szCs w:val="24"/>
          <w:lang w:val="fr-CA"/>
        </w:rPr>
        <w:t>se livre ou s</w:t>
      </w:r>
      <w:r w:rsidR="008372AA" w:rsidRPr="00403220">
        <w:rPr>
          <w:szCs w:val="24"/>
          <w:lang w:val="fr-CA"/>
        </w:rPr>
        <w:t>’</w:t>
      </w:r>
      <w:r w:rsidR="0047179D" w:rsidRPr="00403220">
        <w:rPr>
          <w:szCs w:val="24"/>
          <w:lang w:val="fr-CA"/>
        </w:rPr>
        <w:t>est livré</w:t>
      </w:r>
      <w:r w:rsidR="00080526" w:rsidRPr="00403220">
        <w:rPr>
          <w:szCs w:val="24"/>
          <w:lang w:val="fr-CA"/>
        </w:rPr>
        <w:t>e</w:t>
      </w:r>
      <w:r w:rsidR="0047179D" w:rsidRPr="00403220">
        <w:rPr>
          <w:szCs w:val="24"/>
          <w:lang w:val="fr-CA"/>
        </w:rPr>
        <w:t xml:space="preserve"> à la promotion d</w:t>
      </w:r>
      <w:r w:rsidR="008372AA" w:rsidRPr="00403220">
        <w:rPr>
          <w:szCs w:val="24"/>
          <w:lang w:val="fr-CA"/>
        </w:rPr>
        <w:t>’</w:t>
      </w:r>
      <w:r w:rsidR="0047179D" w:rsidRPr="00403220">
        <w:rPr>
          <w:szCs w:val="24"/>
          <w:lang w:val="fr-CA"/>
        </w:rPr>
        <w:t>un produit du tabac ou fait ou a fait, directement ou indirectement, que d</w:t>
      </w:r>
      <w:r w:rsidR="008372AA" w:rsidRPr="00403220">
        <w:rPr>
          <w:szCs w:val="24"/>
          <w:lang w:val="fr-CA"/>
        </w:rPr>
        <w:t>’</w:t>
      </w:r>
      <w:r w:rsidR="0047179D" w:rsidRPr="00403220">
        <w:rPr>
          <w:szCs w:val="24"/>
          <w:lang w:val="fr-CA"/>
        </w:rPr>
        <w:t>autres personnes s</w:t>
      </w:r>
      <w:r w:rsidR="008372AA" w:rsidRPr="00403220">
        <w:rPr>
          <w:szCs w:val="24"/>
          <w:lang w:val="fr-CA"/>
        </w:rPr>
        <w:t>’</w:t>
      </w:r>
      <w:r w:rsidR="0047179D" w:rsidRPr="00403220">
        <w:rPr>
          <w:szCs w:val="24"/>
          <w:lang w:val="fr-CA"/>
        </w:rPr>
        <w:t xml:space="preserve">y livrent; </w:t>
      </w:r>
    </w:p>
    <w:p w:rsidR="0047179D" w:rsidRPr="00403220" w:rsidRDefault="00B772D4" w:rsidP="00FE3BE7">
      <w:pPr>
        <w:pStyle w:val="Citation-AltC"/>
        <w:tabs>
          <w:tab w:val="left" w:pos="1980"/>
          <w:tab w:val="left" w:pos="2340"/>
        </w:tabs>
        <w:spacing w:after="240"/>
        <w:ind w:left="2340" w:hanging="2340"/>
        <w:contextualSpacing w:val="0"/>
        <w:rPr>
          <w:szCs w:val="24"/>
          <w:lang w:val="fr-CA"/>
        </w:rPr>
      </w:pPr>
      <w:r w:rsidRPr="00403220">
        <w:rPr>
          <w:i/>
          <w:szCs w:val="24"/>
          <w:lang w:val="fr-CA"/>
        </w:rPr>
        <w:tab/>
      </w:r>
      <w:r w:rsidR="0047179D" w:rsidRPr="00AB6B9E">
        <w:rPr>
          <w:szCs w:val="24"/>
          <w:lang w:val="fr-CA"/>
        </w:rPr>
        <w:t>d</w:t>
      </w:r>
      <w:r w:rsidR="005B16C7" w:rsidRPr="00403220">
        <w:rPr>
          <w:szCs w:val="24"/>
          <w:lang w:val="fr-CA"/>
        </w:rPr>
        <w:t>)</w:t>
      </w:r>
      <w:r w:rsidR="005B16C7" w:rsidRPr="00403220">
        <w:rPr>
          <w:szCs w:val="24"/>
          <w:lang w:val="fr-CA"/>
        </w:rPr>
        <w:tab/>
      </w:r>
      <w:r w:rsidR="0047179D" w:rsidRPr="00403220">
        <w:rPr>
          <w:szCs w:val="24"/>
          <w:lang w:val="fr-CA"/>
        </w:rPr>
        <w:t>est une association commerciale se consacrant principalement</w:t>
      </w:r>
      <w:r w:rsidR="00A54DAC" w:rsidRPr="00403220">
        <w:rPr>
          <w:szCs w:val="24"/>
          <w:lang w:val="fr-CA"/>
        </w:rPr>
        <w:t> :</w:t>
      </w:r>
      <w:r w:rsidR="0047179D" w:rsidRPr="00403220">
        <w:rPr>
          <w:szCs w:val="24"/>
          <w:lang w:val="fr-CA"/>
        </w:rPr>
        <w:t xml:space="preserve"> </w:t>
      </w:r>
    </w:p>
    <w:p w:rsidR="0047179D" w:rsidRPr="00403220" w:rsidRDefault="00B772D4" w:rsidP="00FE3BE7">
      <w:pPr>
        <w:pStyle w:val="Citation-AltC"/>
        <w:tabs>
          <w:tab w:val="left" w:pos="2340"/>
          <w:tab w:val="left" w:pos="2880"/>
        </w:tabs>
        <w:spacing w:after="240"/>
        <w:ind w:left="2880" w:hanging="2880"/>
        <w:contextualSpacing w:val="0"/>
        <w:rPr>
          <w:szCs w:val="24"/>
          <w:lang w:val="fr-CA"/>
        </w:rPr>
      </w:pPr>
      <w:r w:rsidRPr="00403220">
        <w:rPr>
          <w:szCs w:val="24"/>
          <w:lang w:val="fr-CA"/>
        </w:rPr>
        <w:tab/>
      </w:r>
      <w:r w:rsidR="0047179D" w:rsidRPr="00403220">
        <w:rPr>
          <w:szCs w:val="24"/>
          <w:lang w:val="fr-CA"/>
        </w:rPr>
        <w:t>(i)</w:t>
      </w:r>
      <w:r w:rsidR="005B16C7" w:rsidRPr="00403220">
        <w:rPr>
          <w:szCs w:val="24"/>
          <w:lang w:val="fr-CA"/>
        </w:rPr>
        <w:tab/>
      </w:r>
      <w:r w:rsidR="0047179D" w:rsidRPr="00403220">
        <w:rPr>
          <w:szCs w:val="24"/>
          <w:lang w:val="fr-CA"/>
        </w:rPr>
        <w:t>à l</w:t>
      </w:r>
      <w:r w:rsidR="008372AA" w:rsidRPr="00403220">
        <w:rPr>
          <w:szCs w:val="24"/>
          <w:lang w:val="fr-CA"/>
        </w:rPr>
        <w:t>’</w:t>
      </w:r>
      <w:r w:rsidR="0047179D" w:rsidRPr="00403220">
        <w:rPr>
          <w:szCs w:val="24"/>
          <w:lang w:val="fr-CA"/>
        </w:rPr>
        <w:t>avancement des intérêts des fabricants,</w:t>
      </w:r>
    </w:p>
    <w:p w:rsidR="0047179D" w:rsidRPr="00403220" w:rsidRDefault="00B772D4" w:rsidP="00FE3BE7">
      <w:pPr>
        <w:pStyle w:val="Citation-AltC"/>
        <w:tabs>
          <w:tab w:val="left" w:pos="2340"/>
          <w:tab w:val="left" w:pos="2880"/>
        </w:tabs>
        <w:spacing w:after="240"/>
        <w:ind w:left="2880" w:hanging="2880"/>
        <w:contextualSpacing w:val="0"/>
        <w:rPr>
          <w:szCs w:val="24"/>
          <w:lang w:val="fr-CA"/>
        </w:rPr>
      </w:pPr>
      <w:r w:rsidRPr="00403220">
        <w:rPr>
          <w:szCs w:val="24"/>
          <w:lang w:val="fr-CA"/>
        </w:rPr>
        <w:tab/>
      </w:r>
      <w:r w:rsidR="005B16C7" w:rsidRPr="00403220">
        <w:rPr>
          <w:szCs w:val="24"/>
          <w:lang w:val="fr-CA"/>
        </w:rPr>
        <w:t>(ii)</w:t>
      </w:r>
      <w:r w:rsidR="005B16C7" w:rsidRPr="00403220">
        <w:rPr>
          <w:szCs w:val="24"/>
          <w:lang w:val="fr-CA"/>
        </w:rPr>
        <w:tab/>
      </w:r>
      <w:r w:rsidR="0047179D" w:rsidRPr="00403220">
        <w:rPr>
          <w:szCs w:val="24"/>
          <w:lang w:val="fr-CA"/>
        </w:rPr>
        <w:t>à la promotion d</w:t>
      </w:r>
      <w:r w:rsidR="008372AA" w:rsidRPr="00403220">
        <w:rPr>
          <w:szCs w:val="24"/>
          <w:lang w:val="fr-CA"/>
        </w:rPr>
        <w:t>’</w:t>
      </w:r>
      <w:r w:rsidR="0047179D" w:rsidRPr="00403220">
        <w:rPr>
          <w:szCs w:val="24"/>
          <w:lang w:val="fr-CA"/>
        </w:rPr>
        <w:t xml:space="preserve">un produit du tabac, </w:t>
      </w:r>
      <w:r w:rsidR="00AB6B9E">
        <w:rPr>
          <w:szCs w:val="24"/>
          <w:lang w:val="fr-CA"/>
        </w:rPr>
        <w:t>ou</w:t>
      </w:r>
    </w:p>
    <w:p w:rsidR="0047179D" w:rsidRPr="00403220" w:rsidRDefault="00B772D4" w:rsidP="00FE3BE7">
      <w:pPr>
        <w:pStyle w:val="Citation-AltC"/>
        <w:tabs>
          <w:tab w:val="left" w:pos="2340"/>
          <w:tab w:val="left" w:pos="2880"/>
        </w:tabs>
        <w:spacing w:after="240"/>
        <w:ind w:left="2880" w:hanging="2880"/>
        <w:contextualSpacing w:val="0"/>
        <w:rPr>
          <w:szCs w:val="24"/>
          <w:lang w:val="fr-CA"/>
        </w:rPr>
      </w:pPr>
      <w:r w:rsidRPr="00403220">
        <w:rPr>
          <w:szCs w:val="24"/>
          <w:lang w:val="fr-CA"/>
        </w:rPr>
        <w:tab/>
      </w:r>
      <w:r w:rsidR="005B16C7" w:rsidRPr="00403220">
        <w:rPr>
          <w:szCs w:val="24"/>
          <w:lang w:val="fr-CA"/>
        </w:rPr>
        <w:t>(iii)</w:t>
      </w:r>
      <w:r w:rsidR="005B16C7" w:rsidRPr="00403220">
        <w:rPr>
          <w:szCs w:val="24"/>
          <w:lang w:val="fr-CA"/>
        </w:rPr>
        <w:tab/>
      </w:r>
      <w:r w:rsidR="0047179D" w:rsidRPr="00403220">
        <w:rPr>
          <w:szCs w:val="24"/>
          <w:lang w:val="fr-CA"/>
        </w:rPr>
        <w:t>à faire faire, directement ou indirectement, la promotion par d</w:t>
      </w:r>
      <w:r w:rsidR="008372AA" w:rsidRPr="00403220">
        <w:rPr>
          <w:szCs w:val="24"/>
          <w:lang w:val="fr-CA"/>
        </w:rPr>
        <w:t>’</w:t>
      </w:r>
      <w:r w:rsidR="0047179D" w:rsidRPr="00403220">
        <w:rPr>
          <w:szCs w:val="24"/>
          <w:lang w:val="fr-CA"/>
        </w:rPr>
        <w:t>autres personnes d</w:t>
      </w:r>
      <w:r w:rsidR="008372AA" w:rsidRPr="00403220">
        <w:rPr>
          <w:szCs w:val="24"/>
          <w:lang w:val="fr-CA"/>
        </w:rPr>
        <w:t>’</w:t>
      </w:r>
      <w:r w:rsidR="0047179D" w:rsidRPr="00403220">
        <w:rPr>
          <w:szCs w:val="24"/>
          <w:lang w:val="fr-CA"/>
        </w:rPr>
        <w:t xml:space="preserve">un produit du tabac. </w:t>
      </w:r>
    </w:p>
    <w:p w:rsidR="0047179D" w:rsidRPr="00403220" w:rsidRDefault="00B95136" w:rsidP="00B95136">
      <w:pPr>
        <w:pStyle w:val="Citation-AltC"/>
        <w:tabs>
          <w:tab w:val="left" w:pos="1440"/>
        </w:tabs>
        <w:ind w:left="1987" w:hanging="1987"/>
        <w:contextualSpacing w:val="0"/>
        <w:rPr>
          <w:szCs w:val="24"/>
          <w:lang w:val="fr-CA"/>
        </w:rPr>
      </w:pPr>
      <w:r>
        <w:rPr>
          <w:rStyle w:val="Strong"/>
          <w:rFonts w:eastAsiaTheme="minorHAnsi"/>
          <w:szCs w:val="24"/>
          <w:lang w:val="fr-CA"/>
        </w:rPr>
        <w:tab/>
      </w:r>
      <w:r w:rsidR="005B16C7" w:rsidRPr="00403220">
        <w:rPr>
          <w:rStyle w:val="Strong"/>
          <w:rFonts w:eastAsiaTheme="minorHAnsi"/>
          <w:szCs w:val="24"/>
          <w:lang w:val="fr-CA"/>
        </w:rPr>
        <w:t>« </w:t>
      </w:r>
      <w:proofErr w:type="gramStart"/>
      <w:r w:rsidR="005B16C7" w:rsidRPr="00403220">
        <w:rPr>
          <w:rStyle w:val="Strong"/>
          <w:rFonts w:eastAsiaTheme="minorHAnsi"/>
          <w:szCs w:val="24"/>
          <w:lang w:val="fr-CA"/>
        </w:rPr>
        <w:t>fabrication</w:t>
      </w:r>
      <w:proofErr w:type="gramEnd"/>
      <w:r w:rsidR="005B16C7" w:rsidRPr="00403220">
        <w:rPr>
          <w:rStyle w:val="Strong"/>
          <w:rFonts w:eastAsiaTheme="minorHAnsi"/>
          <w:szCs w:val="24"/>
          <w:lang w:val="fr-CA"/>
        </w:rPr>
        <w:t> </w:t>
      </w:r>
      <w:r w:rsidR="0047179D" w:rsidRPr="00403220">
        <w:rPr>
          <w:rStyle w:val="Strong"/>
          <w:rFonts w:eastAsiaTheme="minorHAnsi"/>
          <w:szCs w:val="24"/>
          <w:lang w:val="fr-CA"/>
        </w:rPr>
        <w:t>»</w:t>
      </w:r>
      <w:r w:rsidR="005B16C7" w:rsidRPr="00403220">
        <w:rPr>
          <w:szCs w:val="24"/>
          <w:lang w:val="fr-CA"/>
        </w:rPr>
        <w:t xml:space="preserve"> </w:t>
      </w:r>
      <w:r w:rsidR="0047179D" w:rsidRPr="00403220">
        <w:rPr>
          <w:szCs w:val="24"/>
          <w:lang w:val="fr-CA"/>
        </w:rPr>
        <w:t>Est assimilé à la fabrication d</w:t>
      </w:r>
      <w:r w:rsidR="008372AA" w:rsidRPr="00403220">
        <w:rPr>
          <w:szCs w:val="24"/>
          <w:lang w:val="fr-CA"/>
        </w:rPr>
        <w:t>’</w:t>
      </w:r>
      <w:r w:rsidR="0047179D" w:rsidRPr="00403220">
        <w:rPr>
          <w:szCs w:val="24"/>
          <w:lang w:val="fr-CA"/>
        </w:rPr>
        <w:t>un produit du tabac sa production, son assemblage ou son empaquetage;</w:t>
      </w:r>
    </w:p>
    <w:p w:rsidR="0047179D" w:rsidRPr="00403220" w:rsidRDefault="0047179D" w:rsidP="005077DA">
      <w:pPr>
        <w:pStyle w:val="ContinueParaSuitedupar-AltP"/>
        <w:rPr>
          <w:rFonts w:cs="Times New Roman"/>
          <w:szCs w:val="24"/>
          <w:lang w:val="fr-CA"/>
        </w:rPr>
      </w:pPr>
      <w:r w:rsidRPr="00403220">
        <w:rPr>
          <w:rFonts w:cs="Times New Roman"/>
          <w:szCs w:val="24"/>
          <w:lang w:val="fr-CA"/>
        </w:rPr>
        <w:t xml:space="preserve">On allègue dans les avis de mise en cause que le Canada a cultivé (fabriqué) du tabac et octroyé des licences visant </w:t>
      </w:r>
      <w:proofErr w:type="spellStart"/>
      <w:r w:rsidRPr="00403220">
        <w:rPr>
          <w:rFonts w:cs="Times New Roman"/>
          <w:szCs w:val="24"/>
          <w:lang w:val="fr-CA"/>
        </w:rPr>
        <w:t>celui</w:t>
      </w:r>
      <w:r w:rsidR="00A54DAC" w:rsidRPr="00403220">
        <w:rPr>
          <w:rFonts w:cs="Times New Roman"/>
          <w:szCs w:val="24"/>
          <w:lang w:val="fr-CA"/>
        </w:rPr>
        <w:noBreakHyphen/>
      </w:r>
      <w:r w:rsidRPr="00403220">
        <w:rPr>
          <w:rFonts w:cs="Times New Roman"/>
          <w:szCs w:val="24"/>
          <w:lang w:val="fr-CA"/>
        </w:rPr>
        <w:t>ci</w:t>
      </w:r>
      <w:proofErr w:type="spellEnd"/>
      <w:r w:rsidRPr="00403220">
        <w:rPr>
          <w:rFonts w:cs="Times New Roman"/>
          <w:szCs w:val="24"/>
          <w:lang w:val="fr-CA"/>
        </w:rPr>
        <w:t xml:space="preserve"> à l</w:t>
      </w:r>
      <w:r w:rsidR="008372AA" w:rsidRPr="00403220">
        <w:rPr>
          <w:rFonts w:cs="Times New Roman"/>
          <w:szCs w:val="24"/>
          <w:lang w:val="fr-CA"/>
        </w:rPr>
        <w:t>’</w:t>
      </w:r>
      <w:r w:rsidRPr="00403220">
        <w:rPr>
          <w:rFonts w:cs="Times New Roman"/>
          <w:szCs w:val="24"/>
          <w:lang w:val="fr-CA"/>
        </w:rPr>
        <w:t>industrie du tabac à des fins lucratives, et qu</w:t>
      </w:r>
      <w:r w:rsidR="008372AA" w:rsidRPr="00403220">
        <w:rPr>
          <w:rFonts w:cs="Times New Roman"/>
          <w:szCs w:val="24"/>
          <w:lang w:val="fr-CA"/>
        </w:rPr>
        <w:t>’</w:t>
      </w:r>
      <w:r w:rsidR="006B6EFC" w:rsidRPr="00403220">
        <w:rPr>
          <w:rFonts w:cs="Times New Roman"/>
          <w:szCs w:val="24"/>
          <w:lang w:val="fr-CA"/>
        </w:rPr>
        <w:t>il a « fait la promotion </w:t>
      </w:r>
      <w:r w:rsidRPr="00403220">
        <w:rPr>
          <w:rFonts w:cs="Times New Roman"/>
          <w:szCs w:val="24"/>
          <w:lang w:val="fr-CA"/>
        </w:rPr>
        <w:t>» des cigarettes douces ou légères auprès de l</w:t>
      </w:r>
      <w:r w:rsidR="008372AA" w:rsidRPr="00403220">
        <w:rPr>
          <w:rFonts w:cs="Times New Roman"/>
          <w:szCs w:val="24"/>
          <w:lang w:val="fr-CA"/>
        </w:rPr>
        <w:t>’</w:t>
      </w:r>
      <w:r w:rsidRPr="00403220">
        <w:rPr>
          <w:rFonts w:cs="Times New Roman"/>
          <w:szCs w:val="24"/>
          <w:lang w:val="fr-CA"/>
        </w:rPr>
        <w:t>industrie et de la population.  Selon les compagnies de tabac, ces faits font en sorte que le Canada répond à la définition de «</w:t>
      </w:r>
      <w:r w:rsidR="006B6EFC" w:rsidRPr="00403220">
        <w:rPr>
          <w:rFonts w:cs="Times New Roman"/>
          <w:szCs w:val="24"/>
          <w:lang w:val="fr-CA"/>
        </w:rPr>
        <w:t> fabricant </w:t>
      </w:r>
      <w:r w:rsidRPr="00403220">
        <w:rPr>
          <w:rFonts w:cs="Times New Roman"/>
          <w:szCs w:val="24"/>
          <w:lang w:val="fr-CA"/>
        </w:rPr>
        <w:t xml:space="preserve">» qui figure dans la </w:t>
      </w:r>
      <w:r w:rsidRPr="00403220">
        <w:rPr>
          <w:rFonts w:cs="Times New Roman"/>
          <w:i/>
          <w:szCs w:val="24"/>
          <w:lang w:val="fr-CA"/>
        </w:rPr>
        <w:t>CRA</w:t>
      </w:r>
      <w:r w:rsidRPr="00403220">
        <w:rPr>
          <w:rFonts w:cs="Times New Roman"/>
          <w:szCs w:val="24"/>
          <w:lang w:val="fr-CA"/>
        </w:rPr>
        <w:t>.</w:t>
      </w:r>
    </w:p>
    <w:p w:rsidR="0047179D" w:rsidRPr="00403220" w:rsidRDefault="0047179D" w:rsidP="005077DA">
      <w:pPr>
        <w:pStyle w:val="ParaNoNdepar-AltN"/>
        <w:rPr>
          <w:rFonts w:cs="Times New Roman"/>
          <w:szCs w:val="24"/>
          <w:lang w:val="fr-CA"/>
        </w:rPr>
      </w:pPr>
      <w:r w:rsidRPr="00403220">
        <w:rPr>
          <w:rFonts w:cs="Times New Roman"/>
          <w:szCs w:val="24"/>
          <w:lang w:val="fr-CA"/>
        </w:rPr>
        <w:t xml:space="preserve">Le Canada dit ne pas être un fabricant au sens de la </w:t>
      </w:r>
      <w:r w:rsidRPr="00403220">
        <w:rPr>
          <w:rFonts w:cs="Times New Roman"/>
          <w:i/>
          <w:szCs w:val="24"/>
          <w:lang w:val="fr-CA"/>
        </w:rPr>
        <w:t>CRA</w:t>
      </w:r>
      <w:r w:rsidRPr="00403220">
        <w:rPr>
          <w:rFonts w:cs="Times New Roman"/>
          <w:szCs w:val="24"/>
          <w:lang w:val="fr-CA"/>
        </w:rPr>
        <w:t xml:space="preserve">. </w:t>
      </w:r>
      <w:r w:rsidR="003B54EE" w:rsidRPr="00403220">
        <w:rPr>
          <w:rFonts w:cs="Times New Roman"/>
          <w:szCs w:val="24"/>
          <w:lang w:val="fr-CA"/>
        </w:rPr>
        <w:t xml:space="preserve"> </w:t>
      </w:r>
      <w:r w:rsidRPr="00403220">
        <w:rPr>
          <w:rFonts w:cs="Times New Roman"/>
          <w:szCs w:val="24"/>
          <w:lang w:val="fr-CA"/>
        </w:rPr>
        <w:t>Subsidiairement, il affirme être soustrait à l</w:t>
      </w:r>
      <w:r w:rsidR="008372AA" w:rsidRPr="00403220">
        <w:rPr>
          <w:rFonts w:cs="Times New Roman"/>
          <w:szCs w:val="24"/>
          <w:lang w:val="fr-CA"/>
        </w:rPr>
        <w:t>’</w:t>
      </w:r>
      <w:r w:rsidR="006F0FAF" w:rsidRPr="00403220">
        <w:rPr>
          <w:rFonts w:cs="Times New Roman"/>
          <w:szCs w:val="24"/>
          <w:lang w:val="fr-CA"/>
        </w:rPr>
        <w:t xml:space="preserve">application de cette </w:t>
      </w:r>
      <w:r w:rsidR="0044592F" w:rsidRPr="00403220">
        <w:rPr>
          <w:rFonts w:cs="Times New Roman"/>
          <w:szCs w:val="24"/>
          <w:lang w:val="fr-CA"/>
        </w:rPr>
        <w:t>l</w:t>
      </w:r>
      <w:r w:rsidRPr="00403220">
        <w:rPr>
          <w:rFonts w:cs="Times New Roman"/>
          <w:szCs w:val="24"/>
          <w:lang w:val="fr-CA"/>
        </w:rPr>
        <w:t>oi provinciale en</w:t>
      </w:r>
      <w:r w:rsidR="002B6005" w:rsidRPr="00403220">
        <w:rPr>
          <w:rFonts w:cs="Times New Roman"/>
          <w:szCs w:val="24"/>
          <w:lang w:val="fr-CA"/>
        </w:rPr>
        <w:t xml:space="preserve"> vertu de la</w:t>
      </w:r>
      <w:r w:rsidRPr="00403220">
        <w:rPr>
          <w:rFonts w:cs="Times New Roman"/>
          <w:szCs w:val="24"/>
          <w:lang w:val="fr-CA"/>
        </w:rPr>
        <w:t xml:space="preserve">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xml:space="preserve"> et, sinon, e</w:t>
      </w:r>
      <w:r w:rsidR="005077DA" w:rsidRPr="00403220">
        <w:rPr>
          <w:rFonts w:cs="Times New Roman"/>
          <w:szCs w:val="24"/>
          <w:lang w:val="fr-CA"/>
        </w:rPr>
        <w:t>n vertu de la Constitution.</w:t>
      </w:r>
    </w:p>
    <w:p w:rsidR="0047179D" w:rsidRPr="00403220" w:rsidRDefault="0047179D" w:rsidP="005077DA">
      <w:pPr>
        <w:pStyle w:val="ParaNoNdepar-AltN"/>
        <w:rPr>
          <w:rFonts w:cs="Times New Roman"/>
          <w:szCs w:val="24"/>
          <w:lang w:val="fr-CA"/>
        </w:rPr>
      </w:pPr>
      <w:r w:rsidRPr="00403220">
        <w:rPr>
          <w:rFonts w:cs="Times New Roman"/>
          <w:szCs w:val="24"/>
          <w:lang w:val="fr-CA"/>
        </w:rPr>
        <w:lastRenderedPageBreak/>
        <w:t xml:space="preserve">Pour les motifs exposés </w:t>
      </w:r>
      <w:proofErr w:type="spellStart"/>
      <w:r w:rsidRPr="00403220">
        <w:rPr>
          <w:rFonts w:cs="Times New Roman"/>
          <w:szCs w:val="24"/>
          <w:lang w:val="fr-CA"/>
        </w:rPr>
        <w:t>ci</w:t>
      </w:r>
      <w:r w:rsidR="00A54DAC" w:rsidRPr="00403220">
        <w:rPr>
          <w:rFonts w:cs="Times New Roman"/>
          <w:szCs w:val="24"/>
          <w:lang w:val="fr-CA"/>
        </w:rPr>
        <w:noBreakHyphen/>
      </w:r>
      <w:r w:rsidRPr="00403220">
        <w:rPr>
          <w:rFonts w:cs="Times New Roman"/>
          <w:szCs w:val="24"/>
          <w:lang w:val="fr-CA"/>
        </w:rPr>
        <w:t>après</w:t>
      </w:r>
      <w:proofErr w:type="spellEnd"/>
      <w:r w:rsidRPr="00403220">
        <w:rPr>
          <w:rFonts w:cs="Times New Roman"/>
          <w:szCs w:val="24"/>
          <w:lang w:val="fr-CA"/>
        </w:rPr>
        <w:t>, je conclus que le Canada n</w:t>
      </w:r>
      <w:r w:rsidR="008372AA" w:rsidRPr="00403220">
        <w:rPr>
          <w:rFonts w:cs="Times New Roman"/>
          <w:szCs w:val="24"/>
          <w:lang w:val="fr-CA"/>
        </w:rPr>
        <w:t>’</w:t>
      </w:r>
      <w:r w:rsidRPr="00403220">
        <w:rPr>
          <w:rFonts w:cs="Times New Roman"/>
          <w:szCs w:val="24"/>
          <w:lang w:val="fr-CA"/>
        </w:rPr>
        <w:t xml:space="preserve">est pas un fabricant au sens de la </w:t>
      </w:r>
      <w:r w:rsidRPr="00403220">
        <w:rPr>
          <w:rFonts w:cs="Times New Roman"/>
          <w:i/>
          <w:szCs w:val="24"/>
          <w:lang w:val="fr-CA"/>
        </w:rPr>
        <w:t>CRA</w:t>
      </w:r>
      <w:r w:rsidRPr="00403220">
        <w:rPr>
          <w:rFonts w:cs="Times New Roman"/>
          <w:szCs w:val="24"/>
          <w:lang w:val="fr-CA"/>
        </w:rPr>
        <w:t>.  En effet, si l</w:t>
      </w:r>
      <w:r w:rsidR="008372AA" w:rsidRPr="00403220">
        <w:rPr>
          <w:rFonts w:cs="Times New Roman"/>
          <w:szCs w:val="24"/>
          <w:lang w:val="fr-CA"/>
        </w:rPr>
        <w:t>’</w:t>
      </w:r>
      <w:r w:rsidRPr="00403220">
        <w:rPr>
          <w:rFonts w:cs="Times New Roman"/>
          <w:szCs w:val="24"/>
          <w:lang w:val="fr-CA"/>
        </w:rPr>
        <w:t xml:space="preserve">on tenait le Canada responsable en application de la </w:t>
      </w:r>
      <w:r w:rsidRPr="00403220">
        <w:rPr>
          <w:rFonts w:cs="Times New Roman"/>
          <w:i/>
          <w:szCs w:val="24"/>
          <w:lang w:val="fr-CA"/>
        </w:rPr>
        <w:t>CRA</w:t>
      </w:r>
      <w:r w:rsidRPr="00403220">
        <w:rPr>
          <w:rFonts w:cs="Times New Roman"/>
          <w:szCs w:val="24"/>
          <w:lang w:val="fr-CA"/>
        </w:rPr>
        <w:t>, cela contrecarrerait l</w:t>
      </w:r>
      <w:r w:rsidR="008372AA" w:rsidRPr="00403220">
        <w:rPr>
          <w:rFonts w:cs="Times New Roman"/>
          <w:szCs w:val="24"/>
          <w:lang w:val="fr-CA"/>
        </w:rPr>
        <w:t>’</w:t>
      </w:r>
      <w:r w:rsidRPr="00403220">
        <w:rPr>
          <w:rFonts w:cs="Times New Roman"/>
          <w:szCs w:val="24"/>
          <w:lang w:val="fr-CA"/>
        </w:rPr>
        <w:t>intention de la législature de faire passer des contribuables à l</w:t>
      </w:r>
      <w:r w:rsidR="008372AA" w:rsidRPr="00403220">
        <w:rPr>
          <w:rFonts w:cs="Times New Roman"/>
          <w:szCs w:val="24"/>
          <w:lang w:val="fr-CA"/>
        </w:rPr>
        <w:t>’</w:t>
      </w:r>
      <w:r w:rsidRPr="00403220">
        <w:rPr>
          <w:rFonts w:cs="Times New Roman"/>
          <w:szCs w:val="24"/>
          <w:lang w:val="fr-CA"/>
        </w:rPr>
        <w:t xml:space="preserve">industrie du tabac la responsabilité des coûts </w:t>
      </w:r>
      <w:r w:rsidR="0044592F" w:rsidRPr="00403220">
        <w:rPr>
          <w:rFonts w:cs="Times New Roman"/>
          <w:szCs w:val="24"/>
          <w:lang w:val="fr-CA"/>
        </w:rPr>
        <w:t>des soins de santé résultant d’</w:t>
      </w:r>
      <w:r w:rsidR="00566993" w:rsidRPr="00403220">
        <w:rPr>
          <w:rFonts w:cs="Times New Roman"/>
          <w:szCs w:val="24"/>
          <w:lang w:val="fr-CA"/>
        </w:rPr>
        <w:t xml:space="preserve">une </w:t>
      </w:r>
      <w:r w:rsidR="006B6EFC" w:rsidRPr="00403220">
        <w:rPr>
          <w:rFonts w:cs="Times New Roman"/>
          <w:szCs w:val="24"/>
          <w:lang w:val="fr-CA"/>
        </w:rPr>
        <w:t>« faute d</w:t>
      </w:r>
      <w:r w:rsidR="0044592F" w:rsidRPr="00403220">
        <w:rPr>
          <w:rFonts w:cs="Times New Roman"/>
          <w:szCs w:val="24"/>
          <w:lang w:val="fr-CA"/>
        </w:rPr>
        <w:t>’</w:t>
      </w:r>
      <w:r w:rsidR="006B6EFC" w:rsidRPr="00403220">
        <w:rPr>
          <w:rFonts w:cs="Times New Roman"/>
          <w:szCs w:val="24"/>
          <w:lang w:val="fr-CA"/>
        </w:rPr>
        <w:t>u</w:t>
      </w:r>
      <w:r w:rsidR="0044592F" w:rsidRPr="00403220">
        <w:rPr>
          <w:rFonts w:cs="Times New Roman"/>
          <w:szCs w:val="24"/>
          <w:lang w:val="fr-CA"/>
        </w:rPr>
        <w:t>n</w:t>
      </w:r>
      <w:r w:rsidR="006B6EFC" w:rsidRPr="00403220">
        <w:rPr>
          <w:rFonts w:cs="Times New Roman"/>
          <w:szCs w:val="24"/>
          <w:lang w:val="fr-CA"/>
        </w:rPr>
        <w:t xml:space="preserve"> fabricant </w:t>
      </w:r>
      <w:r w:rsidRPr="00403220">
        <w:rPr>
          <w:rFonts w:cs="Times New Roman"/>
          <w:szCs w:val="24"/>
          <w:lang w:val="fr-CA"/>
        </w:rPr>
        <w:t>».  Vu cette conclusion, nul n</w:t>
      </w:r>
      <w:r w:rsidR="008372AA" w:rsidRPr="00403220">
        <w:rPr>
          <w:rFonts w:cs="Times New Roman"/>
          <w:szCs w:val="24"/>
          <w:lang w:val="fr-CA"/>
        </w:rPr>
        <w:t>’</w:t>
      </w:r>
      <w:r w:rsidRPr="00403220">
        <w:rPr>
          <w:rFonts w:cs="Times New Roman"/>
          <w:szCs w:val="24"/>
          <w:lang w:val="fr-CA"/>
        </w:rPr>
        <w:t>est besoin d</w:t>
      </w:r>
      <w:r w:rsidR="008372AA" w:rsidRPr="00403220">
        <w:rPr>
          <w:rFonts w:cs="Times New Roman"/>
          <w:szCs w:val="24"/>
          <w:lang w:val="fr-CA"/>
        </w:rPr>
        <w:t>’</w:t>
      </w:r>
      <w:r w:rsidRPr="00403220">
        <w:rPr>
          <w:rFonts w:cs="Times New Roman"/>
          <w:szCs w:val="24"/>
          <w:lang w:val="fr-CA"/>
        </w:rPr>
        <w:t>étudier les arguments du Canada voulant qu</w:t>
      </w:r>
      <w:r w:rsidR="008372AA" w:rsidRPr="00403220">
        <w:rPr>
          <w:rFonts w:cs="Times New Roman"/>
          <w:szCs w:val="24"/>
          <w:lang w:val="fr-CA"/>
        </w:rPr>
        <w:t>’</w:t>
      </w:r>
      <w:r w:rsidRPr="00403220">
        <w:rPr>
          <w:rFonts w:cs="Times New Roman"/>
          <w:szCs w:val="24"/>
          <w:lang w:val="fr-CA"/>
        </w:rPr>
        <w:t>il soit en tout état de cause exonéré de toute</w:t>
      </w:r>
      <w:r w:rsidR="002B6005" w:rsidRPr="00403220">
        <w:rPr>
          <w:rFonts w:cs="Times New Roman"/>
          <w:szCs w:val="24"/>
          <w:lang w:val="fr-CA"/>
        </w:rPr>
        <w:t xml:space="preserve"> responsabilité en vertu de la l</w:t>
      </w:r>
      <w:r w:rsidRPr="00403220">
        <w:rPr>
          <w:rFonts w:cs="Times New Roman"/>
          <w:szCs w:val="24"/>
          <w:lang w:val="fr-CA"/>
        </w:rPr>
        <w:t>oi provinciale.  Je suis également d</w:t>
      </w:r>
      <w:r w:rsidR="008372AA" w:rsidRPr="00403220">
        <w:rPr>
          <w:rFonts w:cs="Times New Roman"/>
          <w:szCs w:val="24"/>
          <w:lang w:val="fr-CA"/>
        </w:rPr>
        <w:t>’</w:t>
      </w:r>
      <w:r w:rsidRPr="00403220">
        <w:rPr>
          <w:rFonts w:cs="Times New Roman"/>
          <w:szCs w:val="24"/>
          <w:lang w:val="fr-CA"/>
        </w:rPr>
        <w:t xml:space="preserve">avis de rejeter </w:t>
      </w:r>
      <w:r w:rsidR="0044592F" w:rsidRPr="00403220">
        <w:rPr>
          <w:rFonts w:cs="Times New Roman"/>
          <w:szCs w:val="24"/>
          <w:lang w:val="fr-CA"/>
        </w:rPr>
        <w:t>l’argument</w:t>
      </w:r>
      <w:r w:rsidRPr="00403220">
        <w:rPr>
          <w:rFonts w:cs="Times New Roman"/>
          <w:szCs w:val="24"/>
          <w:lang w:val="fr-CA"/>
        </w:rPr>
        <w:t xml:space="preserve"> des compagnies de tabac en faveur d</w:t>
      </w:r>
      <w:r w:rsidR="008372AA" w:rsidRPr="00403220">
        <w:rPr>
          <w:rFonts w:cs="Times New Roman"/>
          <w:szCs w:val="24"/>
          <w:lang w:val="fr-CA"/>
        </w:rPr>
        <w:t>’</w:t>
      </w:r>
      <w:r w:rsidRPr="00403220">
        <w:rPr>
          <w:rFonts w:cs="Times New Roman"/>
          <w:szCs w:val="24"/>
          <w:lang w:val="fr-CA"/>
        </w:rPr>
        <w:t xml:space="preserve">une contribution au titre de la </w:t>
      </w:r>
      <w:r w:rsidRPr="00403220">
        <w:rPr>
          <w:rFonts w:cs="Times New Roman"/>
          <w:i/>
          <w:szCs w:val="24"/>
          <w:lang w:val="fr-CA"/>
        </w:rPr>
        <w:t xml:space="preserve">HCCRA </w:t>
      </w:r>
      <w:r w:rsidRPr="00403220">
        <w:rPr>
          <w:rFonts w:cs="Times New Roman"/>
          <w:szCs w:val="24"/>
          <w:lang w:val="fr-CA"/>
        </w:rPr>
        <w:t xml:space="preserve">et de la </w:t>
      </w:r>
      <w:proofErr w:type="spellStart"/>
      <w:r w:rsidRPr="00403220">
        <w:rPr>
          <w:rFonts w:cs="Times New Roman"/>
          <w:i/>
          <w:szCs w:val="24"/>
          <w:lang w:val="fr-CA"/>
        </w:rPr>
        <w:t>Negligence</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szCs w:val="24"/>
          <w:lang w:val="fr-CA"/>
        </w:rPr>
        <w:t xml:space="preserve">, ainsi que </w:t>
      </w:r>
      <w:r w:rsidR="0044592F" w:rsidRPr="00403220">
        <w:rPr>
          <w:rFonts w:cs="Times New Roman"/>
          <w:szCs w:val="24"/>
          <w:lang w:val="fr-CA"/>
        </w:rPr>
        <w:t>l’argument</w:t>
      </w:r>
      <w:r w:rsidRPr="00403220">
        <w:rPr>
          <w:rFonts w:cs="Times New Roman"/>
          <w:szCs w:val="24"/>
          <w:lang w:val="fr-CA"/>
        </w:rPr>
        <w:t xml:space="preserve"> en faveur d</w:t>
      </w:r>
      <w:r w:rsidR="008372AA" w:rsidRPr="00403220">
        <w:rPr>
          <w:rFonts w:cs="Times New Roman"/>
          <w:szCs w:val="24"/>
          <w:lang w:val="fr-CA"/>
        </w:rPr>
        <w:t>’</w:t>
      </w:r>
      <w:r w:rsidRPr="00403220">
        <w:rPr>
          <w:rFonts w:cs="Times New Roman"/>
          <w:szCs w:val="24"/>
          <w:lang w:val="fr-CA"/>
        </w:rPr>
        <w:t xml:space="preserve">une contribution en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w:t>
      </w:r>
    </w:p>
    <w:p w:rsidR="0047179D" w:rsidRPr="00403220" w:rsidRDefault="00AB6B9E" w:rsidP="00AB6B9E">
      <w:pPr>
        <w:pStyle w:val="TitleTitre-AltT"/>
        <w:keepNext/>
        <w:tabs>
          <w:tab w:val="clear" w:pos="360"/>
          <w:tab w:val="left" w:pos="1170"/>
          <w:tab w:val="left" w:pos="1710"/>
        </w:tabs>
        <w:spacing w:after="720"/>
        <w:ind w:left="1710" w:hanging="1890"/>
        <w:rPr>
          <w:rFonts w:cs="Times New Roman"/>
          <w:szCs w:val="24"/>
          <w:lang w:val="fr-CA"/>
        </w:rPr>
      </w:pPr>
      <w:bookmarkStart w:id="35" w:name="_Toc285751406"/>
      <w:bookmarkStart w:id="36" w:name="_Toc285751659"/>
      <w:r>
        <w:rPr>
          <w:rFonts w:cs="Times New Roman"/>
          <w:szCs w:val="24"/>
          <w:lang w:val="fr-CA"/>
        </w:rPr>
        <w:tab/>
      </w:r>
      <w:bookmarkStart w:id="37" w:name="_Toc314735130"/>
      <w:r w:rsidR="00557671" w:rsidRPr="00403220">
        <w:rPr>
          <w:rFonts w:cs="Times New Roman"/>
          <w:szCs w:val="24"/>
          <w:lang w:val="fr-CA"/>
        </w:rPr>
        <w:t>(1</w:t>
      </w:r>
      <w:r w:rsidR="0047179D" w:rsidRPr="00403220">
        <w:rPr>
          <w:rFonts w:cs="Times New Roman"/>
          <w:szCs w:val="24"/>
          <w:lang w:val="fr-CA"/>
        </w:rPr>
        <w:t>)</w:t>
      </w:r>
      <w:r w:rsidR="00A8207A" w:rsidRPr="00403220">
        <w:rPr>
          <w:rFonts w:cs="Times New Roman"/>
          <w:szCs w:val="24"/>
          <w:lang w:val="fr-CA"/>
        </w:rPr>
        <w:tab/>
      </w:r>
      <w:r w:rsidR="0047179D" w:rsidRPr="00403220">
        <w:rPr>
          <w:rFonts w:cs="Times New Roman"/>
          <w:szCs w:val="24"/>
          <w:u w:val="single"/>
          <w:lang w:val="fr-CA"/>
        </w:rPr>
        <w:t xml:space="preserve">Le Canada </w:t>
      </w:r>
      <w:proofErr w:type="spellStart"/>
      <w:r w:rsidR="0047179D" w:rsidRPr="00403220">
        <w:rPr>
          <w:rFonts w:cs="Times New Roman"/>
          <w:szCs w:val="24"/>
          <w:u w:val="single"/>
          <w:lang w:val="fr-CA"/>
        </w:rPr>
        <w:t>peut</w:t>
      </w:r>
      <w:r w:rsidR="00A54DAC" w:rsidRPr="00403220">
        <w:rPr>
          <w:rFonts w:cs="Times New Roman"/>
          <w:szCs w:val="24"/>
          <w:u w:val="single"/>
          <w:lang w:val="fr-CA"/>
        </w:rPr>
        <w:noBreakHyphen/>
      </w:r>
      <w:r w:rsidR="0047179D" w:rsidRPr="00403220">
        <w:rPr>
          <w:rFonts w:cs="Times New Roman"/>
          <w:szCs w:val="24"/>
          <w:u w:val="single"/>
          <w:lang w:val="fr-CA"/>
        </w:rPr>
        <w:t>il</w:t>
      </w:r>
      <w:proofErr w:type="spellEnd"/>
      <w:r w:rsidR="0047179D" w:rsidRPr="00403220">
        <w:rPr>
          <w:rFonts w:cs="Times New Roman"/>
          <w:szCs w:val="24"/>
          <w:u w:val="single"/>
          <w:lang w:val="fr-CA"/>
        </w:rPr>
        <w:t xml:space="preserve"> être un fabricant au sens de la </w:t>
      </w:r>
      <w:r w:rsidRPr="00AB6B9E">
        <w:rPr>
          <w:rFonts w:cs="Times New Roman"/>
          <w:i/>
          <w:szCs w:val="24"/>
          <w:u w:val="single"/>
          <w:lang w:val="fr-CA"/>
        </w:rPr>
        <w:t xml:space="preserve">Tobacco Damages and </w:t>
      </w:r>
      <w:proofErr w:type="spellStart"/>
      <w:r w:rsidRPr="00AB6B9E">
        <w:rPr>
          <w:rFonts w:cs="Times New Roman"/>
          <w:i/>
          <w:szCs w:val="24"/>
          <w:u w:val="single"/>
          <w:lang w:val="fr-CA"/>
        </w:rPr>
        <w:t>Health</w:t>
      </w:r>
      <w:proofErr w:type="spellEnd"/>
      <w:r w:rsidRPr="00AB6B9E">
        <w:rPr>
          <w:rFonts w:cs="Times New Roman"/>
          <w:i/>
          <w:szCs w:val="24"/>
          <w:u w:val="single"/>
          <w:lang w:val="fr-CA"/>
        </w:rPr>
        <w:t xml:space="preserve"> Care</w:t>
      </w:r>
      <w:r>
        <w:rPr>
          <w:rFonts w:cs="Times New Roman"/>
          <w:szCs w:val="24"/>
          <w:u w:val="single"/>
          <w:lang w:val="fr-CA"/>
        </w:rPr>
        <w:t xml:space="preserve"> </w:t>
      </w:r>
      <w:proofErr w:type="spellStart"/>
      <w:r w:rsidR="0047179D" w:rsidRPr="00403220">
        <w:rPr>
          <w:rFonts w:cs="Times New Roman"/>
          <w:i/>
          <w:szCs w:val="24"/>
          <w:u w:val="single"/>
          <w:lang w:val="fr-CA"/>
        </w:rPr>
        <w:t>C</w:t>
      </w:r>
      <w:r w:rsidR="00557671" w:rsidRPr="00403220">
        <w:rPr>
          <w:rFonts w:cs="Times New Roman"/>
          <w:i/>
          <w:szCs w:val="24"/>
          <w:u w:val="single"/>
          <w:lang w:val="fr-CA"/>
        </w:rPr>
        <w:t>ost</w:t>
      </w:r>
      <w:r w:rsidR="009B4BFB" w:rsidRPr="00403220">
        <w:rPr>
          <w:rFonts w:cs="Times New Roman"/>
          <w:i/>
          <w:szCs w:val="24"/>
          <w:u w:val="single"/>
          <w:lang w:val="fr-CA"/>
        </w:rPr>
        <w:t>s</w:t>
      </w:r>
      <w:proofErr w:type="spellEnd"/>
      <w:r w:rsidR="00557671" w:rsidRPr="00403220">
        <w:rPr>
          <w:rFonts w:cs="Times New Roman"/>
          <w:i/>
          <w:szCs w:val="24"/>
          <w:u w:val="single"/>
          <w:lang w:val="fr-CA"/>
        </w:rPr>
        <w:t xml:space="preserve"> </w:t>
      </w:r>
      <w:proofErr w:type="spellStart"/>
      <w:r w:rsidR="0047179D" w:rsidRPr="00403220">
        <w:rPr>
          <w:rFonts w:cs="Times New Roman"/>
          <w:i/>
          <w:szCs w:val="24"/>
          <w:u w:val="single"/>
          <w:lang w:val="fr-CA"/>
        </w:rPr>
        <w:t>R</w:t>
      </w:r>
      <w:r w:rsidR="00557671" w:rsidRPr="00403220">
        <w:rPr>
          <w:rFonts w:cs="Times New Roman"/>
          <w:i/>
          <w:szCs w:val="24"/>
          <w:u w:val="single"/>
          <w:lang w:val="fr-CA"/>
        </w:rPr>
        <w:t>ecovery</w:t>
      </w:r>
      <w:proofErr w:type="spellEnd"/>
      <w:r w:rsidR="00557671" w:rsidRPr="00403220">
        <w:rPr>
          <w:rFonts w:cs="Times New Roman"/>
          <w:i/>
          <w:szCs w:val="24"/>
          <w:u w:val="single"/>
          <w:lang w:val="fr-CA"/>
        </w:rPr>
        <w:t xml:space="preserve"> </w:t>
      </w:r>
      <w:proofErr w:type="spellStart"/>
      <w:r w:rsidR="0047179D" w:rsidRPr="00403220">
        <w:rPr>
          <w:rFonts w:cs="Times New Roman"/>
          <w:i/>
          <w:szCs w:val="24"/>
          <w:u w:val="single"/>
          <w:lang w:val="fr-CA"/>
        </w:rPr>
        <w:t>A</w:t>
      </w:r>
      <w:bookmarkEnd w:id="35"/>
      <w:r w:rsidR="00557671" w:rsidRPr="00403220">
        <w:rPr>
          <w:rFonts w:cs="Times New Roman"/>
          <w:i/>
          <w:szCs w:val="24"/>
          <w:u w:val="single"/>
          <w:lang w:val="fr-CA"/>
        </w:rPr>
        <w:t>ct</w:t>
      </w:r>
      <w:proofErr w:type="spellEnd"/>
      <w:r w:rsidR="0047179D" w:rsidRPr="00403220">
        <w:rPr>
          <w:rFonts w:cs="Times New Roman"/>
          <w:szCs w:val="24"/>
          <w:u w:val="single"/>
          <w:lang w:val="fr-CA"/>
        </w:rPr>
        <w:t>?</w:t>
      </w:r>
      <w:bookmarkEnd w:id="36"/>
      <w:bookmarkEnd w:id="37"/>
    </w:p>
    <w:p w:rsidR="0047179D" w:rsidRPr="00403220" w:rsidRDefault="0047179D" w:rsidP="005077DA">
      <w:pPr>
        <w:pStyle w:val="ParaNoNdepar-AltN"/>
        <w:rPr>
          <w:rFonts w:cs="Times New Roman"/>
          <w:szCs w:val="24"/>
          <w:lang w:val="fr-CA"/>
        </w:rPr>
      </w:pPr>
      <w:r w:rsidRPr="00403220">
        <w:rPr>
          <w:rFonts w:cs="Times New Roman"/>
          <w:szCs w:val="24"/>
          <w:lang w:val="fr-CA"/>
        </w:rPr>
        <w:t>La Cour d</w:t>
      </w:r>
      <w:r w:rsidR="008372AA" w:rsidRPr="00403220">
        <w:rPr>
          <w:rFonts w:cs="Times New Roman"/>
          <w:szCs w:val="24"/>
          <w:lang w:val="fr-CA"/>
        </w:rPr>
        <w:t>’</w:t>
      </w:r>
      <w:r w:rsidRPr="00403220">
        <w:rPr>
          <w:rFonts w:cs="Times New Roman"/>
          <w:szCs w:val="24"/>
          <w:lang w:val="fr-CA"/>
        </w:rPr>
        <w:t>appel a affirmé que le gouvernement canadien ne pouvait pas être visé par</w:t>
      </w:r>
      <w:r w:rsidR="006B6EFC" w:rsidRPr="00403220">
        <w:rPr>
          <w:rFonts w:cs="Times New Roman"/>
          <w:szCs w:val="24"/>
          <w:lang w:val="fr-CA"/>
        </w:rPr>
        <w:t xml:space="preserve"> la définition de « fabricant </w:t>
      </w:r>
      <w:r w:rsidRPr="00403220">
        <w:rPr>
          <w:rFonts w:cs="Times New Roman"/>
          <w:szCs w:val="24"/>
          <w:lang w:val="fr-CA"/>
        </w:rPr>
        <w:t>».  Je suis du même avis.  L</w:t>
      </w:r>
      <w:r w:rsidR="008372AA" w:rsidRPr="00403220">
        <w:rPr>
          <w:rFonts w:cs="Times New Roman"/>
          <w:szCs w:val="24"/>
          <w:lang w:val="fr-CA"/>
        </w:rPr>
        <w:t>’</w:t>
      </w:r>
      <w:r w:rsidRPr="00403220">
        <w:rPr>
          <w:rFonts w:cs="Times New Roman"/>
          <w:szCs w:val="24"/>
          <w:lang w:val="fr-CA"/>
        </w:rPr>
        <w:t xml:space="preserve">argument </w:t>
      </w:r>
      <w:r w:rsidR="0019339E" w:rsidRPr="00403220">
        <w:rPr>
          <w:rFonts w:cs="Times New Roman"/>
          <w:szCs w:val="24"/>
          <w:lang w:val="fr-CA"/>
        </w:rPr>
        <w:t xml:space="preserve">selon lequel </w:t>
      </w:r>
      <w:r w:rsidRPr="00403220">
        <w:rPr>
          <w:rFonts w:cs="Times New Roman"/>
          <w:szCs w:val="24"/>
          <w:lang w:val="fr-CA"/>
        </w:rPr>
        <w:t xml:space="preserve">le Canada </w:t>
      </w:r>
      <w:r w:rsidR="0019339E" w:rsidRPr="00403220">
        <w:rPr>
          <w:rFonts w:cs="Times New Roman"/>
          <w:szCs w:val="24"/>
          <w:lang w:val="fr-CA"/>
        </w:rPr>
        <w:t xml:space="preserve">peut </w:t>
      </w:r>
      <w:r w:rsidRPr="00403220">
        <w:rPr>
          <w:rFonts w:cs="Times New Roman"/>
          <w:szCs w:val="24"/>
          <w:lang w:val="fr-CA"/>
        </w:rPr>
        <w:t xml:space="preserve">être un fabricant au sens de la </w:t>
      </w:r>
      <w:r w:rsidRPr="00403220">
        <w:rPr>
          <w:rFonts w:cs="Times New Roman"/>
          <w:i/>
          <w:szCs w:val="24"/>
          <w:lang w:val="fr-CA"/>
        </w:rPr>
        <w:t>CRA</w:t>
      </w:r>
      <w:r w:rsidRPr="00403220">
        <w:rPr>
          <w:rFonts w:cs="Times New Roman"/>
          <w:szCs w:val="24"/>
          <w:lang w:val="fr-CA"/>
        </w:rPr>
        <w:t xml:space="preserve"> a un attrait superficiel, mais, lorsqu</w:t>
      </w:r>
      <w:r w:rsidR="008372AA" w:rsidRPr="00403220">
        <w:rPr>
          <w:rFonts w:cs="Times New Roman"/>
          <w:szCs w:val="24"/>
          <w:lang w:val="fr-CA"/>
        </w:rPr>
        <w:t>’</w:t>
      </w:r>
      <w:r w:rsidRPr="00403220">
        <w:rPr>
          <w:rFonts w:cs="Times New Roman"/>
          <w:szCs w:val="24"/>
          <w:lang w:val="fr-CA"/>
        </w:rPr>
        <w:t xml:space="preserve">on interprète la </w:t>
      </w:r>
      <w:r w:rsidRPr="00403220">
        <w:rPr>
          <w:rFonts w:cs="Times New Roman"/>
          <w:i/>
          <w:szCs w:val="24"/>
          <w:lang w:val="fr-CA"/>
        </w:rPr>
        <w:t>CRA</w:t>
      </w:r>
      <w:r w:rsidRPr="00403220">
        <w:rPr>
          <w:rFonts w:cs="Times New Roman"/>
          <w:szCs w:val="24"/>
          <w:lang w:val="fr-CA"/>
        </w:rPr>
        <w:t xml:space="preserve"> dans son contexte eu égard à l</w:t>
      </w:r>
      <w:r w:rsidR="008372AA" w:rsidRPr="00403220">
        <w:rPr>
          <w:rFonts w:cs="Times New Roman"/>
          <w:szCs w:val="24"/>
          <w:lang w:val="fr-CA"/>
        </w:rPr>
        <w:t>’</w:t>
      </w:r>
      <w:r w:rsidRPr="00403220">
        <w:rPr>
          <w:rFonts w:cs="Times New Roman"/>
          <w:szCs w:val="24"/>
          <w:lang w:val="fr-CA"/>
        </w:rPr>
        <w:t xml:space="preserve">ensemble de ses dispositions, il appert que la législature de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xml:space="preserve"> ne voulait pas imposer au Canada la responsabilité d</w:t>
      </w:r>
      <w:r w:rsidR="008372AA" w:rsidRPr="00403220">
        <w:rPr>
          <w:rFonts w:cs="Times New Roman"/>
          <w:szCs w:val="24"/>
          <w:lang w:val="fr-CA"/>
        </w:rPr>
        <w:t>’</w:t>
      </w:r>
      <w:r w:rsidRPr="00403220">
        <w:rPr>
          <w:rFonts w:cs="Times New Roman"/>
          <w:szCs w:val="24"/>
          <w:lang w:val="fr-CA"/>
        </w:rPr>
        <w:t>un fabricant.  C</w:t>
      </w:r>
      <w:r w:rsidR="008372AA" w:rsidRPr="00403220">
        <w:rPr>
          <w:rFonts w:cs="Times New Roman"/>
          <w:szCs w:val="24"/>
          <w:lang w:val="fr-CA"/>
        </w:rPr>
        <w:t>’</w:t>
      </w:r>
      <w:r w:rsidRPr="00403220">
        <w:rPr>
          <w:rFonts w:cs="Times New Roman"/>
          <w:szCs w:val="24"/>
          <w:lang w:val="fr-CA"/>
        </w:rPr>
        <w:t xml:space="preserve">est ce que confirment le texte </w:t>
      </w:r>
      <w:r w:rsidRPr="00403220">
        <w:rPr>
          <w:rFonts w:cs="Times New Roman"/>
          <w:szCs w:val="24"/>
          <w:lang w:val="fr-CA"/>
        </w:rPr>
        <w:lastRenderedPageBreak/>
        <w:t xml:space="preserve">de la </w:t>
      </w:r>
      <w:r w:rsidR="002B6005" w:rsidRPr="00403220">
        <w:rPr>
          <w:rFonts w:cs="Times New Roman"/>
          <w:szCs w:val="24"/>
          <w:lang w:val="fr-CA"/>
        </w:rPr>
        <w:t>l</w:t>
      </w:r>
      <w:r w:rsidRPr="00403220">
        <w:rPr>
          <w:rFonts w:cs="Times New Roman"/>
          <w:szCs w:val="24"/>
          <w:lang w:val="fr-CA"/>
        </w:rPr>
        <w:t>oi, l</w:t>
      </w:r>
      <w:r w:rsidR="008372AA" w:rsidRPr="00403220">
        <w:rPr>
          <w:rFonts w:cs="Times New Roman"/>
          <w:szCs w:val="24"/>
          <w:lang w:val="fr-CA"/>
        </w:rPr>
        <w:t>’</w:t>
      </w:r>
      <w:r w:rsidRPr="00403220">
        <w:rPr>
          <w:rFonts w:cs="Times New Roman"/>
          <w:szCs w:val="24"/>
          <w:lang w:val="fr-CA"/>
        </w:rPr>
        <w:t>intention qu</w:t>
      </w:r>
      <w:r w:rsidR="008372AA" w:rsidRPr="00403220">
        <w:rPr>
          <w:rFonts w:cs="Times New Roman"/>
          <w:szCs w:val="24"/>
          <w:lang w:val="fr-CA"/>
        </w:rPr>
        <w:t>’</w:t>
      </w:r>
      <w:r w:rsidRPr="00403220">
        <w:rPr>
          <w:rFonts w:cs="Times New Roman"/>
          <w:szCs w:val="24"/>
          <w:lang w:val="fr-CA"/>
        </w:rPr>
        <w:t xml:space="preserve">avait </w:t>
      </w:r>
      <w:r w:rsidR="0019339E" w:rsidRPr="00403220">
        <w:rPr>
          <w:rFonts w:cs="Times New Roman"/>
          <w:szCs w:val="24"/>
          <w:lang w:val="fr-CA"/>
        </w:rPr>
        <w:t xml:space="preserve">le </w:t>
      </w:r>
      <w:r w:rsidRPr="00403220">
        <w:rPr>
          <w:rFonts w:cs="Times New Roman"/>
          <w:szCs w:val="24"/>
          <w:lang w:val="fr-CA"/>
        </w:rPr>
        <w:t>législat</w:t>
      </w:r>
      <w:r w:rsidR="0019339E" w:rsidRPr="00403220">
        <w:rPr>
          <w:rFonts w:cs="Times New Roman"/>
          <w:szCs w:val="24"/>
          <w:lang w:val="fr-CA"/>
        </w:rPr>
        <w:t>eu</w:t>
      </w:r>
      <w:r w:rsidRPr="00403220">
        <w:rPr>
          <w:rFonts w:cs="Times New Roman"/>
          <w:szCs w:val="24"/>
          <w:lang w:val="fr-CA"/>
        </w:rPr>
        <w:t>r au moment d</w:t>
      </w:r>
      <w:r w:rsidR="008372AA" w:rsidRPr="00403220">
        <w:rPr>
          <w:rFonts w:cs="Times New Roman"/>
          <w:szCs w:val="24"/>
          <w:lang w:val="fr-CA"/>
        </w:rPr>
        <w:t>’</w:t>
      </w:r>
      <w:r w:rsidRPr="00403220">
        <w:rPr>
          <w:rFonts w:cs="Times New Roman"/>
          <w:szCs w:val="24"/>
          <w:lang w:val="fr-CA"/>
        </w:rPr>
        <w:t xml:space="preserve">adopter la </w:t>
      </w:r>
      <w:r w:rsidRPr="00403220">
        <w:rPr>
          <w:rFonts w:cs="Times New Roman"/>
          <w:i/>
          <w:szCs w:val="24"/>
          <w:lang w:val="fr-CA"/>
        </w:rPr>
        <w:t>CRA</w:t>
      </w:r>
      <w:r w:rsidRPr="00403220">
        <w:rPr>
          <w:rFonts w:cs="Times New Roman"/>
          <w:szCs w:val="24"/>
          <w:lang w:val="fr-CA"/>
        </w:rPr>
        <w:t xml:space="preserve"> et le contexte plus général des rapports entre la province et le gouvernement fédér</w:t>
      </w:r>
      <w:r w:rsidR="00A54DAC" w:rsidRPr="00403220">
        <w:rPr>
          <w:rFonts w:cs="Times New Roman"/>
          <w:szCs w:val="24"/>
          <w:lang w:val="fr-CA"/>
        </w:rPr>
        <w:t>al. </w:t>
      </w:r>
      <w:r w:rsidRPr="00403220">
        <w:rPr>
          <w:rFonts w:cs="Times New Roman"/>
          <w:szCs w:val="24"/>
          <w:lang w:val="fr-CA"/>
        </w:rPr>
        <w:t xml:space="preserve"> </w:t>
      </w:r>
    </w:p>
    <w:p w:rsidR="0047179D" w:rsidRPr="00403220" w:rsidRDefault="00557671" w:rsidP="00A8207A">
      <w:pPr>
        <w:pStyle w:val="TitleTitre-AltT"/>
        <w:keepNext/>
        <w:tabs>
          <w:tab w:val="clear" w:pos="360"/>
          <w:tab w:val="left" w:pos="1530"/>
        </w:tabs>
        <w:spacing w:after="720"/>
        <w:ind w:left="1170" w:firstLine="0"/>
        <w:rPr>
          <w:rFonts w:cs="Times New Roman"/>
          <w:i/>
          <w:szCs w:val="24"/>
          <w:lang w:val="fr-CA"/>
        </w:rPr>
      </w:pPr>
      <w:bookmarkStart w:id="38" w:name="_Toc285751407"/>
      <w:bookmarkStart w:id="39" w:name="_Toc314735131"/>
      <w:r w:rsidRPr="00403220">
        <w:rPr>
          <w:rFonts w:cs="Times New Roman"/>
          <w:szCs w:val="24"/>
          <w:lang w:val="fr-CA"/>
        </w:rPr>
        <w:t>a)</w:t>
      </w:r>
      <w:r w:rsidR="00A8207A" w:rsidRPr="00403220">
        <w:rPr>
          <w:rFonts w:cs="Times New Roman"/>
          <w:i/>
          <w:szCs w:val="24"/>
          <w:lang w:val="fr-CA"/>
        </w:rPr>
        <w:tab/>
      </w:r>
      <w:r w:rsidR="0019339E" w:rsidRPr="00403220">
        <w:rPr>
          <w:rFonts w:cs="Times New Roman"/>
          <w:i/>
          <w:szCs w:val="24"/>
          <w:lang w:val="fr-CA"/>
        </w:rPr>
        <w:t>Le t</w:t>
      </w:r>
      <w:r w:rsidR="0047179D" w:rsidRPr="00403220">
        <w:rPr>
          <w:rFonts w:cs="Times New Roman"/>
          <w:i/>
          <w:szCs w:val="24"/>
          <w:lang w:val="fr-CA"/>
        </w:rPr>
        <w:t xml:space="preserve">exte de la </w:t>
      </w:r>
      <w:r w:rsidR="002B6005" w:rsidRPr="00403220">
        <w:rPr>
          <w:rFonts w:cs="Times New Roman"/>
          <w:i/>
          <w:szCs w:val="24"/>
          <w:lang w:val="fr-CA"/>
        </w:rPr>
        <w:t>l</w:t>
      </w:r>
      <w:r w:rsidR="0047179D" w:rsidRPr="00403220">
        <w:rPr>
          <w:rFonts w:cs="Times New Roman"/>
          <w:i/>
          <w:szCs w:val="24"/>
          <w:lang w:val="fr-CA"/>
        </w:rPr>
        <w:t>oi</w:t>
      </w:r>
      <w:bookmarkEnd w:id="38"/>
      <w:bookmarkEnd w:id="39"/>
    </w:p>
    <w:p w:rsidR="0047179D" w:rsidRPr="00403220" w:rsidRDefault="0044592F" w:rsidP="005077DA">
      <w:pPr>
        <w:pStyle w:val="ParaNoNdepar-AltN"/>
        <w:rPr>
          <w:rFonts w:cs="Times New Roman"/>
          <w:szCs w:val="24"/>
          <w:lang w:val="fr-CA"/>
        </w:rPr>
      </w:pPr>
      <w:r w:rsidRPr="00403220">
        <w:rPr>
          <w:rFonts w:cs="Times New Roman"/>
          <w:szCs w:val="24"/>
          <w:lang w:val="fr-CA"/>
        </w:rPr>
        <w:t>Aux termes de l’</w:t>
      </w:r>
      <w:r w:rsidR="00A54DAC" w:rsidRPr="00403220">
        <w:rPr>
          <w:rFonts w:cs="Times New Roman"/>
          <w:szCs w:val="24"/>
          <w:lang w:val="fr-CA"/>
        </w:rPr>
        <w:t>al. </w:t>
      </w:r>
      <w:r w:rsidRPr="00403220">
        <w:rPr>
          <w:rFonts w:cs="Times New Roman"/>
          <w:szCs w:val="24"/>
          <w:lang w:val="fr-CA"/>
        </w:rPr>
        <w:t>b) de l</w:t>
      </w:r>
      <w:r w:rsidR="0047179D" w:rsidRPr="00403220">
        <w:rPr>
          <w:rFonts w:cs="Times New Roman"/>
          <w:szCs w:val="24"/>
          <w:lang w:val="fr-CA"/>
        </w:rPr>
        <w:t xml:space="preserve">a définition de </w:t>
      </w:r>
      <w:r w:rsidR="0019339E" w:rsidRPr="00403220">
        <w:rPr>
          <w:rStyle w:val="Strong"/>
          <w:rFonts w:eastAsiaTheme="minorHAnsi" w:cs="Times New Roman"/>
          <w:b w:val="0"/>
          <w:smallCaps/>
          <w:szCs w:val="24"/>
          <w:lang w:val="fr-CA"/>
        </w:rPr>
        <w:t>[traduction]</w:t>
      </w:r>
      <w:r w:rsidR="0019339E" w:rsidRPr="00403220">
        <w:rPr>
          <w:rFonts w:cs="Times New Roman"/>
          <w:szCs w:val="24"/>
          <w:lang w:val="fr-CA"/>
        </w:rPr>
        <w:t xml:space="preserve"> </w:t>
      </w:r>
      <w:r w:rsidR="0047179D" w:rsidRPr="00403220">
        <w:rPr>
          <w:rFonts w:cs="Times New Roman"/>
          <w:szCs w:val="24"/>
          <w:lang w:val="fr-CA"/>
        </w:rPr>
        <w:t>« fabricant</w:t>
      </w:r>
      <w:r w:rsidR="006B6EFC" w:rsidRPr="00403220">
        <w:rPr>
          <w:rFonts w:cs="Times New Roman"/>
          <w:szCs w:val="24"/>
          <w:lang w:val="fr-CA"/>
        </w:rPr>
        <w:t> </w:t>
      </w:r>
      <w:r w:rsidR="0047179D" w:rsidRPr="00403220">
        <w:rPr>
          <w:rFonts w:cs="Times New Roman"/>
          <w:szCs w:val="24"/>
          <w:lang w:val="fr-CA"/>
        </w:rPr>
        <w:t>» qui se trouve à l</w:t>
      </w:r>
      <w:r w:rsidR="008372AA" w:rsidRPr="00403220">
        <w:rPr>
          <w:rFonts w:cs="Times New Roman"/>
          <w:szCs w:val="24"/>
          <w:lang w:val="fr-CA"/>
        </w:rPr>
        <w:t>’</w:t>
      </w:r>
      <w:r w:rsidR="00A54DAC" w:rsidRPr="00403220">
        <w:rPr>
          <w:rFonts w:cs="Times New Roman"/>
          <w:szCs w:val="24"/>
          <w:lang w:val="fr-CA"/>
        </w:rPr>
        <w:t>art. </w:t>
      </w:r>
      <w:r w:rsidR="0047179D" w:rsidRPr="00403220">
        <w:rPr>
          <w:rFonts w:cs="Times New Roman"/>
          <w:szCs w:val="24"/>
          <w:lang w:val="fr-CA"/>
        </w:rPr>
        <w:t>1</w:t>
      </w:r>
      <w:r w:rsidR="00AB6B9E">
        <w:rPr>
          <w:rFonts w:cs="Times New Roman"/>
          <w:szCs w:val="24"/>
          <w:lang w:val="fr-CA"/>
        </w:rPr>
        <w:t>(1)</w:t>
      </w:r>
      <w:r w:rsidRPr="00403220">
        <w:rPr>
          <w:rFonts w:cs="Times New Roman"/>
          <w:szCs w:val="24"/>
          <w:lang w:val="fr-CA"/>
        </w:rPr>
        <w:t xml:space="preserve"> de la </w:t>
      </w:r>
      <w:r w:rsidRPr="00403220">
        <w:rPr>
          <w:rFonts w:cs="Times New Roman"/>
          <w:i/>
          <w:szCs w:val="24"/>
          <w:lang w:val="fr-CA"/>
        </w:rPr>
        <w:t>CRA</w:t>
      </w:r>
      <w:r w:rsidRPr="00403220">
        <w:rPr>
          <w:rFonts w:cs="Times New Roman"/>
          <w:szCs w:val="24"/>
          <w:lang w:val="fr-CA"/>
        </w:rPr>
        <w:t>, ce terme s’entend</w:t>
      </w:r>
      <w:r w:rsidR="0047179D" w:rsidRPr="00403220">
        <w:rPr>
          <w:rFonts w:cs="Times New Roman"/>
          <w:szCs w:val="24"/>
          <w:lang w:val="fr-CA"/>
        </w:rPr>
        <w:t xml:space="preserve"> </w:t>
      </w:r>
      <w:r w:rsidRPr="00403220">
        <w:rPr>
          <w:rFonts w:cs="Times New Roman"/>
          <w:szCs w:val="24"/>
          <w:lang w:val="fr-CA"/>
        </w:rPr>
        <w:t>d’</w:t>
      </w:r>
      <w:r w:rsidR="006B6EFC" w:rsidRPr="00403220">
        <w:rPr>
          <w:rFonts w:cs="Times New Roman"/>
          <w:szCs w:val="24"/>
          <w:lang w:val="fr-CA"/>
        </w:rPr>
        <w:t>une personne qui, « </w:t>
      </w:r>
      <w:r w:rsidR="0047179D" w:rsidRPr="00403220">
        <w:rPr>
          <w:rFonts w:cs="Times New Roman"/>
          <w:szCs w:val="24"/>
          <w:lang w:val="fr-CA"/>
        </w:rPr>
        <w:t>au cours d</w:t>
      </w:r>
      <w:r w:rsidR="008372AA" w:rsidRPr="00403220">
        <w:rPr>
          <w:rFonts w:cs="Times New Roman"/>
          <w:szCs w:val="24"/>
          <w:lang w:val="fr-CA"/>
        </w:rPr>
        <w:t>’</w:t>
      </w:r>
      <w:r w:rsidR="0047179D" w:rsidRPr="00403220">
        <w:rPr>
          <w:rFonts w:cs="Times New Roman"/>
          <w:szCs w:val="24"/>
          <w:lang w:val="fr-CA"/>
        </w:rPr>
        <w:t xml:space="preserve">un </w:t>
      </w:r>
      <w:r w:rsidR="00125F41">
        <w:rPr>
          <w:rFonts w:cs="Times New Roman"/>
          <w:szCs w:val="24"/>
          <w:lang w:val="fr-CA"/>
        </w:rPr>
        <w:t xml:space="preserve">de ses </w:t>
      </w:r>
      <w:r w:rsidRPr="00403220">
        <w:rPr>
          <w:rFonts w:cs="Times New Roman"/>
          <w:szCs w:val="24"/>
          <w:lang w:val="fr-CA"/>
        </w:rPr>
        <w:t>exercice</w:t>
      </w:r>
      <w:r w:rsidR="00125F41">
        <w:rPr>
          <w:rFonts w:cs="Times New Roman"/>
          <w:szCs w:val="24"/>
          <w:lang w:val="fr-CA"/>
        </w:rPr>
        <w:t>s</w:t>
      </w:r>
      <w:r w:rsidR="0047179D" w:rsidRPr="00403220">
        <w:rPr>
          <w:rFonts w:cs="Times New Roman"/>
          <w:szCs w:val="24"/>
          <w:lang w:val="fr-CA"/>
        </w:rPr>
        <w:t>, tire</w:t>
      </w:r>
      <w:r w:rsidR="00AB6B9E">
        <w:rPr>
          <w:rFonts w:cs="Times New Roman"/>
          <w:szCs w:val="24"/>
          <w:lang w:val="fr-CA"/>
        </w:rPr>
        <w:t xml:space="preserve"> ou a tiré</w:t>
      </w:r>
      <w:r w:rsidR="0047179D" w:rsidRPr="00403220">
        <w:rPr>
          <w:rFonts w:cs="Times New Roman"/>
          <w:szCs w:val="24"/>
          <w:lang w:val="fr-CA"/>
        </w:rPr>
        <w:t xml:space="preserve"> au moins 10</w:t>
      </w:r>
      <w:r w:rsidR="006B6EFC" w:rsidRPr="00403220">
        <w:rPr>
          <w:rFonts w:cs="Times New Roman"/>
          <w:szCs w:val="24"/>
          <w:lang w:val="fr-CA"/>
        </w:rPr>
        <w:t> </w:t>
      </w:r>
      <w:r w:rsidR="0047179D" w:rsidRPr="00403220">
        <w:rPr>
          <w:rFonts w:cs="Times New Roman"/>
          <w:szCs w:val="24"/>
          <w:lang w:val="fr-CA"/>
        </w:rPr>
        <w:t>% de ses revenus, calculés sur une base consolidée conformément aux principes comptables généralement reconnus au Canada, de la fabrication ou de la promotion de produits du tabac par elle</w:t>
      </w:r>
      <w:r w:rsidR="00AB6B9E">
        <w:rPr>
          <w:rFonts w:cs="Times New Roman"/>
          <w:szCs w:val="24"/>
          <w:lang w:val="fr-CA"/>
        </w:rPr>
        <w:t>-</w:t>
      </w:r>
      <w:r w:rsidR="0047179D" w:rsidRPr="00403220">
        <w:rPr>
          <w:rFonts w:cs="Times New Roman"/>
          <w:szCs w:val="24"/>
          <w:lang w:val="fr-CA"/>
        </w:rPr>
        <w:t>même ou par d</w:t>
      </w:r>
      <w:r w:rsidR="008372AA" w:rsidRPr="00403220">
        <w:rPr>
          <w:rFonts w:cs="Times New Roman"/>
          <w:szCs w:val="24"/>
          <w:lang w:val="fr-CA"/>
        </w:rPr>
        <w:t>’</w:t>
      </w:r>
      <w:r w:rsidR="006B6EFC" w:rsidRPr="00403220">
        <w:rPr>
          <w:rFonts w:cs="Times New Roman"/>
          <w:szCs w:val="24"/>
          <w:lang w:val="fr-CA"/>
        </w:rPr>
        <w:t>autres personnes </w:t>
      </w:r>
      <w:r w:rsidR="0047179D" w:rsidRPr="00403220">
        <w:rPr>
          <w:rFonts w:cs="Times New Roman"/>
          <w:szCs w:val="24"/>
          <w:lang w:val="fr-CA"/>
        </w:rPr>
        <w:t>».  Le juge Hall a conclu que, selon cette définition, l</w:t>
      </w:r>
      <w:r w:rsidR="0019339E" w:rsidRPr="00403220">
        <w:rPr>
          <w:rFonts w:cs="Times New Roman"/>
          <w:szCs w:val="24"/>
          <w:lang w:val="fr-CA"/>
        </w:rPr>
        <w:t>e</w:t>
      </w:r>
      <w:r w:rsidR="0047179D" w:rsidRPr="00403220">
        <w:rPr>
          <w:rFonts w:cs="Times New Roman"/>
          <w:szCs w:val="24"/>
          <w:lang w:val="fr-CA"/>
        </w:rPr>
        <w:t xml:space="preserve"> législat</w:t>
      </w:r>
      <w:r w:rsidR="0019339E" w:rsidRPr="00403220">
        <w:rPr>
          <w:rFonts w:cs="Times New Roman"/>
          <w:szCs w:val="24"/>
          <w:lang w:val="fr-CA"/>
        </w:rPr>
        <w:t>eu</w:t>
      </w:r>
      <w:r w:rsidR="0047179D" w:rsidRPr="00403220">
        <w:rPr>
          <w:rFonts w:cs="Times New Roman"/>
          <w:szCs w:val="24"/>
          <w:lang w:val="fr-CA"/>
        </w:rPr>
        <w:t xml:space="preserve">r souhaitait que la </w:t>
      </w:r>
      <w:r w:rsidR="0047179D" w:rsidRPr="00403220">
        <w:rPr>
          <w:rFonts w:cs="Times New Roman"/>
          <w:i/>
          <w:szCs w:val="24"/>
          <w:lang w:val="fr-CA"/>
        </w:rPr>
        <w:t xml:space="preserve">CRA </w:t>
      </w:r>
      <w:r w:rsidR="0047179D" w:rsidRPr="00403220">
        <w:rPr>
          <w:rFonts w:cs="Times New Roman"/>
          <w:szCs w:val="24"/>
          <w:lang w:val="fr-CA"/>
        </w:rPr>
        <w:t>s</w:t>
      </w:r>
      <w:r w:rsidR="008372AA" w:rsidRPr="00403220">
        <w:rPr>
          <w:rFonts w:cs="Times New Roman"/>
          <w:szCs w:val="24"/>
          <w:lang w:val="fr-CA"/>
        </w:rPr>
        <w:t>’</w:t>
      </w:r>
      <w:r w:rsidR="0047179D" w:rsidRPr="00403220">
        <w:rPr>
          <w:rFonts w:cs="Times New Roman"/>
          <w:szCs w:val="24"/>
          <w:lang w:val="fr-CA"/>
        </w:rPr>
        <w:t>applique aux compagnies membres de l</w:t>
      </w:r>
      <w:r w:rsidR="008372AA" w:rsidRPr="00403220">
        <w:rPr>
          <w:rFonts w:cs="Times New Roman"/>
          <w:szCs w:val="24"/>
          <w:lang w:val="fr-CA"/>
        </w:rPr>
        <w:t>’</w:t>
      </w:r>
      <w:r w:rsidR="0047179D" w:rsidRPr="00403220">
        <w:rPr>
          <w:rFonts w:cs="Times New Roman"/>
          <w:szCs w:val="24"/>
          <w:lang w:val="fr-CA"/>
        </w:rPr>
        <w:t xml:space="preserve">industrie du tabac, et non aux gouvernements.  </w:t>
      </w:r>
    </w:p>
    <w:p w:rsidR="0047179D" w:rsidRPr="00403220" w:rsidRDefault="0047179D" w:rsidP="005077DA">
      <w:pPr>
        <w:pStyle w:val="ParaNoNdepar-AltN"/>
        <w:rPr>
          <w:rFonts w:cs="Times New Roman"/>
          <w:szCs w:val="24"/>
          <w:lang w:val="fr-CA"/>
        </w:rPr>
      </w:pPr>
      <w:r w:rsidRPr="00403220">
        <w:rPr>
          <w:rFonts w:cs="Times New Roman"/>
          <w:szCs w:val="24"/>
          <w:lang w:val="fr-CA"/>
        </w:rPr>
        <w:t xml:space="preserve">Les compagnies de tabac répondent que la définition </w:t>
      </w:r>
      <w:r w:rsidR="0044592F" w:rsidRPr="00403220">
        <w:rPr>
          <w:rFonts w:cs="Times New Roman"/>
          <w:szCs w:val="24"/>
          <w:lang w:val="fr-CA"/>
        </w:rPr>
        <w:t>du mot « </w:t>
      </w:r>
      <w:r w:rsidR="0044592F" w:rsidRPr="00403220">
        <w:rPr>
          <w:rFonts w:cs="Times New Roman"/>
          <w:i/>
          <w:szCs w:val="24"/>
          <w:lang w:val="fr-CA"/>
        </w:rPr>
        <w:t>manufacturer</w:t>
      </w:r>
      <w:r w:rsidR="0044592F" w:rsidRPr="00403220">
        <w:rPr>
          <w:rFonts w:cs="Times New Roman"/>
          <w:szCs w:val="24"/>
          <w:lang w:val="fr-CA"/>
        </w:rPr>
        <w:t> » (« fabricant</w:t>
      </w:r>
      <w:r w:rsidR="00A31094" w:rsidRPr="00403220">
        <w:rPr>
          <w:rFonts w:cs="Times New Roman"/>
          <w:szCs w:val="24"/>
          <w:lang w:val="fr-CA"/>
        </w:rPr>
        <w:t> »)</w:t>
      </w:r>
      <w:r w:rsidRPr="00403220">
        <w:rPr>
          <w:rFonts w:cs="Times New Roman"/>
          <w:szCs w:val="24"/>
          <w:lang w:val="fr-CA"/>
        </w:rPr>
        <w:t xml:space="preserve"> est disjonctive</w:t>
      </w:r>
      <w:r w:rsidR="00A31094" w:rsidRPr="00403220">
        <w:rPr>
          <w:rFonts w:cs="Times New Roman"/>
          <w:szCs w:val="24"/>
          <w:lang w:val="fr-CA"/>
        </w:rPr>
        <w:t>,</w:t>
      </w:r>
      <w:r w:rsidRPr="00403220">
        <w:rPr>
          <w:rFonts w:cs="Times New Roman"/>
          <w:szCs w:val="24"/>
          <w:lang w:val="fr-CA"/>
        </w:rPr>
        <w:t xml:space="preserve"> vu qu</w:t>
      </w:r>
      <w:r w:rsidR="008372AA" w:rsidRPr="00403220">
        <w:rPr>
          <w:rFonts w:cs="Times New Roman"/>
          <w:szCs w:val="24"/>
          <w:lang w:val="fr-CA"/>
        </w:rPr>
        <w:t>’</w:t>
      </w:r>
      <w:r w:rsidRPr="00403220">
        <w:rPr>
          <w:rFonts w:cs="Times New Roman"/>
          <w:szCs w:val="24"/>
          <w:lang w:val="fr-CA"/>
        </w:rPr>
        <w:t xml:space="preserve">elle renferme </w:t>
      </w:r>
      <w:r w:rsidR="0044592F" w:rsidRPr="00403220">
        <w:rPr>
          <w:rFonts w:cs="Times New Roman"/>
          <w:szCs w:val="24"/>
          <w:lang w:val="fr-CA"/>
        </w:rPr>
        <w:t>le mot « </w:t>
      </w:r>
      <w:r w:rsidR="0044592F" w:rsidRPr="00403220">
        <w:rPr>
          <w:rFonts w:cs="Times New Roman"/>
          <w:i/>
          <w:szCs w:val="24"/>
          <w:lang w:val="fr-CA"/>
        </w:rPr>
        <w:t>or</w:t>
      </w:r>
      <w:r w:rsidR="0044592F" w:rsidRPr="00403220">
        <w:rPr>
          <w:rFonts w:cs="Times New Roman"/>
          <w:szCs w:val="24"/>
          <w:lang w:val="fr-CA"/>
        </w:rPr>
        <w:t> »</w:t>
      </w:r>
      <w:r w:rsidRPr="00403220">
        <w:rPr>
          <w:rFonts w:cs="Times New Roman"/>
          <w:szCs w:val="24"/>
          <w:lang w:val="fr-CA"/>
        </w:rPr>
        <w:t xml:space="preserve"> </w:t>
      </w:r>
      <w:r w:rsidR="0044592F" w:rsidRPr="00403220">
        <w:rPr>
          <w:rStyle w:val="Strong"/>
          <w:rFonts w:eastAsiaTheme="minorHAnsi" w:cs="Times New Roman"/>
          <w:b w:val="0"/>
          <w:smallCaps/>
          <w:szCs w:val="24"/>
          <w:lang w:val="fr-CA"/>
        </w:rPr>
        <w:t>(</w:t>
      </w:r>
      <w:r w:rsidR="0044592F" w:rsidRPr="00403220">
        <w:rPr>
          <w:rStyle w:val="Strong"/>
          <w:rFonts w:eastAsiaTheme="minorHAnsi" w:cs="Times New Roman"/>
          <w:b w:val="0"/>
          <w:szCs w:val="24"/>
          <w:lang w:val="fr-CA"/>
        </w:rPr>
        <w:t>habituellement rendu en français par</w:t>
      </w:r>
      <w:r w:rsidR="006B6EFC" w:rsidRPr="00403220">
        <w:rPr>
          <w:rFonts w:cs="Times New Roman"/>
          <w:szCs w:val="24"/>
          <w:lang w:val="fr-CA"/>
        </w:rPr>
        <w:t xml:space="preserve"> </w:t>
      </w:r>
      <w:r w:rsidR="0044592F" w:rsidRPr="00403220">
        <w:rPr>
          <w:rFonts w:cs="Times New Roman"/>
          <w:szCs w:val="24"/>
          <w:lang w:val="fr-CA"/>
        </w:rPr>
        <w:t xml:space="preserve">l’expression </w:t>
      </w:r>
      <w:r w:rsidR="006B6EFC" w:rsidRPr="00403220">
        <w:rPr>
          <w:rFonts w:cs="Times New Roman"/>
          <w:szCs w:val="24"/>
          <w:lang w:val="fr-CA"/>
        </w:rPr>
        <w:t>« </w:t>
      </w:r>
      <w:r w:rsidRPr="00403220">
        <w:rPr>
          <w:rFonts w:cs="Times New Roman"/>
          <w:szCs w:val="24"/>
          <w:lang w:val="fr-CA"/>
        </w:rPr>
        <w:t>selon le cas</w:t>
      </w:r>
      <w:r w:rsidR="006B6EFC" w:rsidRPr="00403220">
        <w:rPr>
          <w:rFonts w:cs="Times New Roman"/>
          <w:szCs w:val="24"/>
          <w:lang w:val="fr-CA"/>
        </w:rPr>
        <w:t> </w:t>
      </w:r>
      <w:r w:rsidRPr="00403220">
        <w:rPr>
          <w:rFonts w:cs="Times New Roman"/>
          <w:szCs w:val="24"/>
          <w:lang w:val="fr-CA"/>
        </w:rPr>
        <w:t>»</w:t>
      </w:r>
      <w:r w:rsidR="0044592F" w:rsidRPr="00403220">
        <w:rPr>
          <w:rFonts w:cs="Times New Roman"/>
          <w:szCs w:val="24"/>
          <w:lang w:val="fr-CA"/>
        </w:rPr>
        <w:t>)</w:t>
      </w:r>
      <w:r w:rsidRPr="00403220">
        <w:rPr>
          <w:rFonts w:cs="Times New Roman"/>
          <w:szCs w:val="24"/>
          <w:lang w:val="fr-CA"/>
        </w:rPr>
        <w:t>, de telle sorte qu</w:t>
      </w:r>
      <w:r w:rsidR="008372AA" w:rsidRPr="00403220">
        <w:rPr>
          <w:rFonts w:cs="Times New Roman"/>
          <w:szCs w:val="24"/>
          <w:lang w:val="fr-CA"/>
        </w:rPr>
        <w:t>’</w:t>
      </w:r>
      <w:r w:rsidRPr="00403220">
        <w:rPr>
          <w:rFonts w:cs="Times New Roman"/>
          <w:szCs w:val="24"/>
          <w:lang w:val="fr-CA"/>
        </w:rPr>
        <w:t>une personne sera considérée comme un fabricant si elle répond à l</w:t>
      </w:r>
      <w:r w:rsidR="008372AA" w:rsidRPr="00403220">
        <w:rPr>
          <w:rFonts w:cs="Times New Roman"/>
          <w:szCs w:val="24"/>
          <w:lang w:val="fr-CA"/>
        </w:rPr>
        <w:t>’</w:t>
      </w:r>
      <w:r w:rsidRPr="00403220">
        <w:rPr>
          <w:rFonts w:cs="Times New Roman"/>
          <w:szCs w:val="24"/>
          <w:lang w:val="fr-CA"/>
        </w:rPr>
        <w:t>une des quatre définitions qui figurent aux al</w:t>
      </w:r>
      <w:r w:rsidR="00AB6B9E">
        <w:rPr>
          <w:rFonts w:cs="Times New Roman"/>
          <w:szCs w:val="24"/>
          <w:lang w:val="fr-CA"/>
        </w:rPr>
        <w:t>.</w:t>
      </w:r>
      <w:r w:rsidR="006B6EFC" w:rsidRPr="00403220">
        <w:rPr>
          <w:rFonts w:cs="Times New Roman"/>
          <w:szCs w:val="24"/>
          <w:lang w:val="fr-CA"/>
        </w:rPr>
        <w:t> </w:t>
      </w:r>
      <w:r w:rsidR="00A31094" w:rsidRPr="00403220">
        <w:rPr>
          <w:rFonts w:cs="Times New Roman"/>
          <w:szCs w:val="24"/>
          <w:lang w:val="fr-CA"/>
        </w:rPr>
        <w:t>a</w:t>
      </w:r>
      <w:r w:rsidRPr="00403220">
        <w:rPr>
          <w:rFonts w:cs="Times New Roman"/>
          <w:szCs w:val="24"/>
          <w:lang w:val="fr-CA"/>
        </w:rPr>
        <w:t xml:space="preserve">) à </w:t>
      </w:r>
      <w:r w:rsidR="00A31094" w:rsidRPr="00403220">
        <w:rPr>
          <w:rFonts w:cs="Times New Roman"/>
          <w:szCs w:val="24"/>
          <w:lang w:val="fr-CA"/>
        </w:rPr>
        <w:t>d</w:t>
      </w:r>
      <w:r w:rsidRPr="00403220">
        <w:rPr>
          <w:rFonts w:cs="Times New Roman"/>
          <w:szCs w:val="24"/>
          <w:lang w:val="fr-CA"/>
        </w:rPr>
        <w:t>).  Même si le Canada ne peut répondre à la définition de l</w:t>
      </w:r>
      <w:r w:rsidR="008372AA" w:rsidRPr="00403220">
        <w:rPr>
          <w:rFonts w:cs="Times New Roman"/>
          <w:szCs w:val="24"/>
          <w:lang w:val="fr-CA"/>
        </w:rPr>
        <w:t>’</w:t>
      </w:r>
      <w:r w:rsidR="00A54DAC" w:rsidRPr="00403220">
        <w:rPr>
          <w:rFonts w:cs="Times New Roman"/>
          <w:szCs w:val="24"/>
          <w:lang w:val="fr-CA"/>
        </w:rPr>
        <w:t>al. </w:t>
      </w:r>
      <w:r w:rsidR="00A31094" w:rsidRPr="00403220">
        <w:rPr>
          <w:rFonts w:cs="Times New Roman"/>
          <w:szCs w:val="24"/>
          <w:lang w:val="fr-CA"/>
        </w:rPr>
        <w:t>b</w:t>
      </w:r>
      <w:r w:rsidRPr="00403220">
        <w:rPr>
          <w:rFonts w:cs="Times New Roman"/>
          <w:szCs w:val="24"/>
          <w:lang w:val="fr-CA"/>
        </w:rPr>
        <w:t xml:space="preserve">) de la </w:t>
      </w:r>
      <w:r w:rsidRPr="00403220">
        <w:rPr>
          <w:rFonts w:cs="Times New Roman"/>
          <w:i/>
          <w:szCs w:val="24"/>
          <w:lang w:val="fr-CA"/>
        </w:rPr>
        <w:t>CRA</w:t>
      </w:r>
      <w:r w:rsidRPr="00403220">
        <w:rPr>
          <w:rFonts w:cs="Times New Roman"/>
          <w:szCs w:val="24"/>
          <w:lang w:val="fr-CA"/>
        </w:rPr>
        <w:t xml:space="preserve"> (tirer 10 % de ses revenus de la fabrication ou de la promotion </w:t>
      </w:r>
      <w:r w:rsidR="00A31094" w:rsidRPr="00403220">
        <w:rPr>
          <w:rFonts w:cs="Times New Roman"/>
          <w:szCs w:val="24"/>
          <w:lang w:val="fr-CA"/>
        </w:rPr>
        <w:t xml:space="preserve">de produits </w:t>
      </w:r>
      <w:r w:rsidRPr="00403220">
        <w:rPr>
          <w:rFonts w:cs="Times New Roman"/>
          <w:szCs w:val="24"/>
          <w:lang w:val="fr-CA"/>
        </w:rPr>
        <w:t xml:space="preserve">du tabac), elles soutiennent que, </w:t>
      </w:r>
      <w:r w:rsidR="00A31094" w:rsidRPr="00403220">
        <w:rPr>
          <w:rFonts w:cs="Times New Roman"/>
          <w:szCs w:val="24"/>
          <w:lang w:val="fr-CA"/>
        </w:rPr>
        <w:t>à la lumière des</w:t>
      </w:r>
      <w:r w:rsidRPr="00403220">
        <w:rPr>
          <w:rFonts w:cs="Times New Roman"/>
          <w:szCs w:val="24"/>
          <w:lang w:val="fr-CA"/>
        </w:rPr>
        <w:t xml:space="preserve"> faits allégués, </w:t>
      </w:r>
      <w:r w:rsidRPr="00403220">
        <w:rPr>
          <w:rFonts w:cs="Times New Roman"/>
          <w:szCs w:val="24"/>
          <w:lang w:val="fr-CA"/>
        </w:rPr>
        <w:lastRenderedPageBreak/>
        <w:t>le Canada répond aux définitions des al</w:t>
      </w:r>
      <w:r w:rsidR="00AB6B9E">
        <w:rPr>
          <w:rFonts w:cs="Times New Roman"/>
          <w:szCs w:val="24"/>
          <w:lang w:val="fr-CA"/>
        </w:rPr>
        <w:t>.</w:t>
      </w:r>
      <w:r w:rsidR="006B6EFC" w:rsidRPr="00403220">
        <w:rPr>
          <w:rFonts w:cs="Times New Roman"/>
          <w:szCs w:val="24"/>
          <w:lang w:val="fr-CA"/>
        </w:rPr>
        <w:t> </w:t>
      </w:r>
      <w:r w:rsidRPr="00403220">
        <w:rPr>
          <w:rFonts w:cs="Times New Roman"/>
          <w:szCs w:val="24"/>
          <w:lang w:val="fr-CA"/>
        </w:rPr>
        <w:t>a)</w:t>
      </w:r>
      <w:r w:rsidR="00A31094" w:rsidRPr="00403220">
        <w:rPr>
          <w:rFonts w:cs="Times New Roman"/>
          <w:szCs w:val="24"/>
          <w:lang w:val="fr-CA"/>
        </w:rPr>
        <w:t xml:space="preserve"> (fait fabriquer un produit du tabac)</w:t>
      </w:r>
      <w:r w:rsidRPr="00403220">
        <w:rPr>
          <w:rFonts w:cs="Times New Roman"/>
          <w:szCs w:val="24"/>
          <w:lang w:val="fr-CA"/>
        </w:rPr>
        <w:t xml:space="preserve"> et </w:t>
      </w:r>
      <w:r w:rsidR="00A31094" w:rsidRPr="00403220">
        <w:rPr>
          <w:rFonts w:cs="Times New Roman"/>
          <w:szCs w:val="24"/>
          <w:lang w:val="fr-CA"/>
        </w:rPr>
        <w:t>c</w:t>
      </w:r>
      <w:r w:rsidRPr="00403220">
        <w:rPr>
          <w:rFonts w:cs="Times New Roman"/>
          <w:szCs w:val="24"/>
          <w:lang w:val="fr-CA"/>
        </w:rPr>
        <w:t>)</w:t>
      </w:r>
      <w:r w:rsidR="00A31094" w:rsidRPr="00403220">
        <w:rPr>
          <w:rFonts w:cs="Times New Roman"/>
          <w:szCs w:val="24"/>
          <w:lang w:val="fr-CA"/>
        </w:rPr>
        <w:t xml:space="preserve"> (fait ou fait faire la promotion d’un produit du tabac)</w:t>
      </w:r>
      <w:r w:rsidRPr="00403220">
        <w:rPr>
          <w:rFonts w:cs="Times New Roman"/>
          <w:szCs w:val="24"/>
          <w:lang w:val="fr-CA"/>
        </w:rPr>
        <w:t xml:space="preserve">.  </w:t>
      </w:r>
    </w:p>
    <w:p w:rsidR="0047179D" w:rsidRPr="00403220" w:rsidRDefault="0047179D" w:rsidP="005077DA">
      <w:pPr>
        <w:pStyle w:val="ParaNoNdepar-AltN"/>
        <w:rPr>
          <w:rFonts w:cs="Times New Roman"/>
          <w:szCs w:val="24"/>
          <w:lang w:val="fr-CA"/>
        </w:rPr>
      </w:pPr>
      <w:r w:rsidRPr="00403220">
        <w:rPr>
          <w:rFonts w:cs="Times New Roman"/>
          <w:szCs w:val="24"/>
          <w:lang w:val="fr-CA"/>
        </w:rPr>
        <w:t>À l</w:t>
      </w:r>
      <w:r w:rsidR="008372AA" w:rsidRPr="00403220">
        <w:rPr>
          <w:rFonts w:cs="Times New Roman"/>
          <w:szCs w:val="24"/>
          <w:lang w:val="fr-CA"/>
        </w:rPr>
        <w:t>’</w:t>
      </w:r>
      <w:r w:rsidRPr="00403220">
        <w:rPr>
          <w:rFonts w:cs="Times New Roman"/>
          <w:szCs w:val="24"/>
          <w:lang w:val="fr-CA"/>
        </w:rPr>
        <w:t>instar de la Cour d</w:t>
      </w:r>
      <w:r w:rsidR="008372AA" w:rsidRPr="00403220">
        <w:rPr>
          <w:rFonts w:cs="Times New Roman"/>
          <w:szCs w:val="24"/>
          <w:lang w:val="fr-CA"/>
        </w:rPr>
        <w:t>’</w:t>
      </w:r>
      <w:r w:rsidRPr="00403220">
        <w:rPr>
          <w:rFonts w:cs="Times New Roman"/>
          <w:szCs w:val="24"/>
          <w:lang w:val="fr-CA"/>
        </w:rPr>
        <w:t>appel, je suis d</w:t>
      </w:r>
      <w:r w:rsidR="008372AA" w:rsidRPr="00403220">
        <w:rPr>
          <w:rFonts w:cs="Times New Roman"/>
          <w:szCs w:val="24"/>
          <w:lang w:val="fr-CA"/>
        </w:rPr>
        <w:t>’</w:t>
      </w:r>
      <w:r w:rsidRPr="00403220">
        <w:rPr>
          <w:rFonts w:cs="Times New Roman"/>
          <w:szCs w:val="24"/>
          <w:lang w:val="fr-CA"/>
        </w:rPr>
        <w:t>avis de rejeter l</w:t>
      </w:r>
      <w:r w:rsidR="008372AA" w:rsidRPr="00403220">
        <w:rPr>
          <w:rFonts w:cs="Times New Roman"/>
          <w:szCs w:val="24"/>
          <w:lang w:val="fr-CA"/>
        </w:rPr>
        <w:t>’</w:t>
      </w:r>
      <w:r w:rsidRPr="00403220">
        <w:rPr>
          <w:rFonts w:cs="Times New Roman"/>
          <w:szCs w:val="24"/>
          <w:lang w:val="fr-CA"/>
        </w:rPr>
        <w:t>argument susmentionné.  Il est vrai qu</w:t>
      </w:r>
      <w:r w:rsidR="008372AA" w:rsidRPr="00403220">
        <w:rPr>
          <w:rFonts w:cs="Times New Roman"/>
          <w:szCs w:val="24"/>
          <w:lang w:val="fr-CA"/>
        </w:rPr>
        <w:t>’</w:t>
      </w:r>
      <w:r w:rsidR="0019339E" w:rsidRPr="00403220">
        <w:rPr>
          <w:rFonts w:cs="Times New Roman"/>
          <w:szCs w:val="24"/>
          <w:lang w:val="fr-CA"/>
        </w:rPr>
        <w:t xml:space="preserve">il faut </w:t>
      </w:r>
      <w:r w:rsidRPr="00403220">
        <w:rPr>
          <w:rFonts w:cs="Times New Roman"/>
          <w:szCs w:val="24"/>
          <w:lang w:val="fr-CA"/>
        </w:rPr>
        <w:t>interpréter de façon disjonctive</w:t>
      </w:r>
      <w:r w:rsidR="0019339E" w:rsidRPr="00403220">
        <w:rPr>
          <w:rFonts w:cs="Times New Roman"/>
          <w:szCs w:val="24"/>
          <w:lang w:val="fr-CA"/>
        </w:rPr>
        <w:t xml:space="preserve"> la définition de fabricant à l’art</w:t>
      </w:r>
      <w:r w:rsidR="00DC7636" w:rsidRPr="00403220">
        <w:rPr>
          <w:rFonts w:cs="Times New Roman"/>
          <w:szCs w:val="24"/>
          <w:lang w:val="fr-CA"/>
        </w:rPr>
        <w:t>icle</w:t>
      </w:r>
      <w:r w:rsidR="0019339E" w:rsidRPr="00403220">
        <w:rPr>
          <w:rFonts w:cs="Times New Roman"/>
          <w:szCs w:val="24"/>
          <w:lang w:val="fr-CA"/>
        </w:rPr>
        <w:t xml:space="preserve"> premier</w:t>
      </w:r>
      <w:r w:rsidRPr="00403220">
        <w:rPr>
          <w:rFonts w:cs="Times New Roman"/>
          <w:szCs w:val="24"/>
          <w:lang w:val="fr-CA"/>
        </w:rPr>
        <w:t>, et qu</w:t>
      </w:r>
      <w:r w:rsidR="008372AA" w:rsidRPr="00403220">
        <w:rPr>
          <w:rFonts w:cs="Times New Roman"/>
          <w:szCs w:val="24"/>
          <w:lang w:val="fr-CA"/>
        </w:rPr>
        <w:t>’</w:t>
      </w:r>
      <w:r w:rsidRPr="00403220">
        <w:rPr>
          <w:rFonts w:cs="Times New Roman"/>
          <w:szCs w:val="24"/>
          <w:lang w:val="fr-CA"/>
        </w:rPr>
        <w:t xml:space="preserve">un particulier </w:t>
      </w:r>
      <w:r w:rsidR="0019339E" w:rsidRPr="00403220">
        <w:rPr>
          <w:rFonts w:cs="Times New Roman"/>
          <w:szCs w:val="24"/>
          <w:lang w:val="fr-CA"/>
        </w:rPr>
        <w:t xml:space="preserve">sera assimilé à </w:t>
      </w:r>
      <w:r w:rsidRPr="00403220">
        <w:rPr>
          <w:rFonts w:cs="Times New Roman"/>
          <w:szCs w:val="24"/>
          <w:lang w:val="fr-CA"/>
        </w:rPr>
        <w:t>un fabricant s</w:t>
      </w:r>
      <w:r w:rsidR="008372AA" w:rsidRPr="00403220">
        <w:rPr>
          <w:rFonts w:cs="Times New Roman"/>
          <w:szCs w:val="24"/>
          <w:lang w:val="fr-CA"/>
        </w:rPr>
        <w:t>’</w:t>
      </w:r>
      <w:r w:rsidRPr="00403220">
        <w:rPr>
          <w:rFonts w:cs="Times New Roman"/>
          <w:szCs w:val="24"/>
          <w:lang w:val="fr-CA"/>
        </w:rPr>
        <w:t>il répond à l</w:t>
      </w:r>
      <w:r w:rsidR="008372AA" w:rsidRPr="00403220">
        <w:rPr>
          <w:rFonts w:cs="Times New Roman"/>
          <w:szCs w:val="24"/>
          <w:lang w:val="fr-CA"/>
        </w:rPr>
        <w:t>’</w:t>
      </w:r>
      <w:r w:rsidRPr="00403220">
        <w:rPr>
          <w:rFonts w:cs="Times New Roman"/>
          <w:szCs w:val="24"/>
          <w:lang w:val="fr-CA"/>
        </w:rPr>
        <w:t>une ou l</w:t>
      </w:r>
      <w:r w:rsidR="008372AA" w:rsidRPr="00403220">
        <w:rPr>
          <w:rFonts w:cs="Times New Roman"/>
          <w:szCs w:val="24"/>
          <w:lang w:val="fr-CA"/>
        </w:rPr>
        <w:t>’</w:t>
      </w:r>
      <w:r w:rsidRPr="00403220">
        <w:rPr>
          <w:rFonts w:cs="Times New Roman"/>
          <w:szCs w:val="24"/>
          <w:lang w:val="fr-CA"/>
        </w:rPr>
        <w:t xml:space="preserve">autre des quatre définitions des </w:t>
      </w:r>
      <w:r w:rsidR="00A54DAC" w:rsidRPr="00403220">
        <w:rPr>
          <w:rFonts w:cs="Times New Roman"/>
          <w:szCs w:val="24"/>
          <w:lang w:val="fr-CA"/>
        </w:rPr>
        <w:t>al. </w:t>
      </w:r>
      <w:r w:rsidRPr="00403220">
        <w:rPr>
          <w:rFonts w:cs="Times New Roman"/>
          <w:szCs w:val="24"/>
          <w:lang w:val="fr-CA"/>
        </w:rPr>
        <w:t xml:space="preserve">a) à </w:t>
      </w:r>
      <w:r w:rsidR="00A31094" w:rsidRPr="00403220">
        <w:rPr>
          <w:rFonts w:cs="Times New Roman"/>
          <w:szCs w:val="24"/>
          <w:lang w:val="fr-CA"/>
        </w:rPr>
        <w:t>d</w:t>
      </w:r>
      <w:r w:rsidRPr="00403220">
        <w:rPr>
          <w:rFonts w:cs="Times New Roman"/>
          <w:szCs w:val="24"/>
          <w:lang w:val="fr-CA"/>
        </w:rPr>
        <w:t xml:space="preserve">).  Il faut néanmoins interpréter de manière téléologique la </w:t>
      </w:r>
      <w:r w:rsidRPr="00403220">
        <w:rPr>
          <w:rFonts w:cs="Times New Roman"/>
          <w:i/>
          <w:szCs w:val="24"/>
          <w:lang w:val="fr-CA"/>
        </w:rPr>
        <w:t>CRA</w:t>
      </w:r>
      <w:r w:rsidRPr="00403220">
        <w:rPr>
          <w:rFonts w:cs="Times New Roman"/>
          <w:szCs w:val="24"/>
          <w:lang w:val="fr-CA"/>
        </w:rPr>
        <w:t xml:space="preserve"> dans son ensemble.  Par conséquent, une interprétation adéquate de la </w:t>
      </w:r>
      <w:r w:rsidRPr="00403220">
        <w:rPr>
          <w:rFonts w:cs="Times New Roman"/>
          <w:i/>
          <w:szCs w:val="24"/>
          <w:lang w:val="fr-CA"/>
        </w:rPr>
        <w:t>CRA</w:t>
      </w:r>
      <w:r w:rsidRPr="00403220">
        <w:rPr>
          <w:rFonts w:cs="Times New Roman"/>
          <w:szCs w:val="24"/>
          <w:lang w:val="fr-CA"/>
        </w:rPr>
        <w:t xml:space="preserve"> tient compte de chacune des quatre définitions.  Elle prend aussi en considération le reste du régime législatif et le contexte législatif.  Interprétée ainsi, la </w:t>
      </w:r>
      <w:r w:rsidRPr="00403220">
        <w:rPr>
          <w:rFonts w:cs="Times New Roman"/>
          <w:i/>
          <w:szCs w:val="24"/>
          <w:lang w:val="fr-CA"/>
        </w:rPr>
        <w:t>CRA</w:t>
      </w:r>
      <w:r w:rsidRPr="00403220">
        <w:rPr>
          <w:rFonts w:cs="Times New Roman"/>
          <w:szCs w:val="24"/>
          <w:lang w:val="fr-CA"/>
        </w:rPr>
        <w:t xml:space="preserve"> indique clairement que la législature de la </w:t>
      </w:r>
      <w:r w:rsidR="00AB6B9E">
        <w:rPr>
          <w:rFonts w:cs="Times New Roman"/>
          <w:szCs w:val="24"/>
          <w:lang w:val="fr-CA"/>
        </w:rPr>
        <w:t xml:space="preserve">Colombie-Britannique </w:t>
      </w:r>
      <w:r w:rsidRPr="00403220">
        <w:rPr>
          <w:rFonts w:cs="Times New Roman"/>
          <w:szCs w:val="24"/>
          <w:lang w:val="fr-CA"/>
        </w:rPr>
        <w:t>ne voulait pas faire du gouvernement fédéral un fabric</w:t>
      </w:r>
      <w:r w:rsidR="00A31094" w:rsidRPr="00403220">
        <w:rPr>
          <w:rFonts w:cs="Times New Roman"/>
          <w:szCs w:val="24"/>
          <w:lang w:val="fr-CA"/>
        </w:rPr>
        <w:t>ant potentiel au sens de cette l</w:t>
      </w:r>
      <w:r w:rsidRPr="00403220">
        <w:rPr>
          <w:rFonts w:cs="Times New Roman"/>
          <w:szCs w:val="24"/>
          <w:lang w:val="fr-CA"/>
        </w:rPr>
        <w:t>oi.</w:t>
      </w:r>
    </w:p>
    <w:p w:rsidR="0047179D" w:rsidRPr="00403220" w:rsidRDefault="0047179D" w:rsidP="005077DA">
      <w:pPr>
        <w:pStyle w:val="ParaNoNdepar-AltN"/>
        <w:rPr>
          <w:rFonts w:cs="Times New Roman"/>
          <w:szCs w:val="24"/>
          <w:lang w:val="fr-CA"/>
        </w:rPr>
      </w:pPr>
      <w:r w:rsidRPr="00403220">
        <w:rPr>
          <w:rFonts w:cs="Times New Roman"/>
          <w:szCs w:val="24"/>
          <w:lang w:val="fr-CA"/>
        </w:rPr>
        <w:t>Le fait qu</w:t>
      </w:r>
      <w:r w:rsidR="008372AA" w:rsidRPr="00403220">
        <w:rPr>
          <w:rFonts w:cs="Times New Roman"/>
          <w:szCs w:val="24"/>
          <w:lang w:val="fr-CA"/>
        </w:rPr>
        <w:t>’</w:t>
      </w:r>
      <w:r w:rsidRPr="00403220">
        <w:rPr>
          <w:rFonts w:cs="Times New Roman"/>
          <w:szCs w:val="24"/>
          <w:lang w:val="fr-CA"/>
        </w:rPr>
        <w:t xml:space="preserve">une des définitions de la </w:t>
      </w:r>
      <w:r w:rsidRPr="00403220">
        <w:rPr>
          <w:rFonts w:cs="Times New Roman"/>
          <w:i/>
          <w:szCs w:val="24"/>
          <w:lang w:val="fr-CA"/>
        </w:rPr>
        <w:t>CRA</w:t>
      </w:r>
      <w:r w:rsidRPr="00403220">
        <w:rPr>
          <w:rFonts w:cs="Times New Roman"/>
          <w:szCs w:val="24"/>
          <w:lang w:val="fr-CA"/>
        </w:rPr>
        <w:t xml:space="preserve"> repose sur un</w:t>
      </w:r>
      <w:r w:rsidR="00A31094" w:rsidRPr="00403220">
        <w:rPr>
          <w:rFonts w:cs="Times New Roman"/>
          <w:szCs w:val="24"/>
          <w:lang w:val="fr-CA"/>
        </w:rPr>
        <w:t xml:space="preserve"> pourcentage des </w:t>
      </w:r>
      <w:r w:rsidRPr="00403220">
        <w:rPr>
          <w:rFonts w:cs="Times New Roman"/>
          <w:szCs w:val="24"/>
          <w:lang w:val="fr-CA"/>
        </w:rPr>
        <w:t>rev</w:t>
      </w:r>
      <w:r w:rsidR="006B6EFC" w:rsidRPr="00403220">
        <w:rPr>
          <w:rFonts w:cs="Times New Roman"/>
          <w:szCs w:val="24"/>
          <w:lang w:val="fr-CA"/>
        </w:rPr>
        <w:t>enu</w:t>
      </w:r>
      <w:r w:rsidR="00A31094" w:rsidRPr="00403220">
        <w:rPr>
          <w:rFonts w:cs="Times New Roman"/>
          <w:szCs w:val="24"/>
          <w:lang w:val="fr-CA"/>
        </w:rPr>
        <w:t>s</w:t>
      </w:r>
      <w:r w:rsidR="006B6EFC" w:rsidRPr="00403220">
        <w:rPr>
          <w:rFonts w:cs="Times New Roman"/>
          <w:szCs w:val="24"/>
          <w:lang w:val="fr-CA"/>
        </w:rPr>
        <w:t xml:space="preserve"> donne à penser que le mot « fabricant </w:t>
      </w:r>
      <w:r w:rsidRPr="00403220">
        <w:rPr>
          <w:rFonts w:cs="Times New Roman"/>
          <w:szCs w:val="24"/>
          <w:lang w:val="fr-CA"/>
        </w:rPr>
        <w:t xml:space="preserve">» est censé viser des entreprises ou des particuliers qui tirent profit des activités </w:t>
      </w:r>
      <w:r w:rsidR="00A31094" w:rsidRPr="00403220">
        <w:rPr>
          <w:rFonts w:cs="Times New Roman"/>
          <w:szCs w:val="24"/>
          <w:lang w:val="fr-CA"/>
        </w:rPr>
        <w:t>lié</w:t>
      </w:r>
      <w:r w:rsidRPr="00403220">
        <w:rPr>
          <w:rFonts w:cs="Times New Roman"/>
          <w:szCs w:val="24"/>
          <w:lang w:val="fr-CA"/>
        </w:rPr>
        <w:t xml:space="preserve">es au tabac.  Les dispositions de la </w:t>
      </w:r>
      <w:r w:rsidRPr="00403220">
        <w:rPr>
          <w:rFonts w:cs="Times New Roman"/>
          <w:i/>
          <w:szCs w:val="24"/>
          <w:lang w:val="fr-CA"/>
        </w:rPr>
        <w:t xml:space="preserve">CRA </w:t>
      </w:r>
      <w:r w:rsidRPr="00403220">
        <w:rPr>
          <w:rFonts w:cs="Times New Roman"/>
          <w:szCs w:val="24"/>
          <w:lang w:val="fr-CA"/>
        </w:rPr>
        <w:t>établissant la responsabilité des défenderesses renforcent cette interprétation.  Aux termes de l</w:t>
      </w:r>
      <w:r w:rsidR="008372AA" w:rsidRPr="00403220">
        <w:rPr>
          <w:rFonts w:cs="Times New Roman"/>
          <w:szCs w:val="24"/>
          <w:lang w:val="fr-CA"/>
        </w:rPr>
        <w:t>’</w:t>
      </w:r>
      <w:r w:rsidR="00A54DAC" w:rsidRPr="00403220">
        <w:rPr>
          <w:rFonts w:cs="Times New Roman"/>
          <w:szCs w:val="24"/>
          <w:lang w:val="fr-CA"/>
        </w:rPr>
        <w:t>al. </w:t>
      </w:r>
      <w:r w:rsidRPr="00403220">
        <w:rPr>
          <w:rFonts w:cs="Times New Roman"/>
          <w:szCs w:val="24"/>
          <w:lang w:val="fr-CA"/>
        </w:rPr>
        <w:t xml:space="preserve">3(3)b), </w:t>
      </w:r>
      <w:r w:rsidRPr="00403220">
        <w:rPr>
          <w:rStyle w:val="Strong"/>
          <w:rFonts w:eastAsiaTheme="minorHAnsi" w:cs="Times New Roman"/>
          <w:b w:val="0"/>
          <w:smallCaps/>
          <w:szCs w:val="24"/>
          <w:lang w:val="fr-CA"/>
        </w:rPr>
        <w:t>[traduction]</w:t>
      </w:r>
      <w:r w:rsidRPr="00403220">
        <w:rPr>
          <w:rStyle w:val="Strong"/>
          <w:rFonts w:eastAsiaTheme="minorHAnsi" w:cs="Times New Roman"/>
          <w:smallCaps/>
          <w:szCs w:val="24"/>
          <w:lang w:val="fr-CA"/>
        </w:rPr>
        <w:t xml:space="preserve"> </w:t>
      </w:r>
      <w:r w:rsidRPr="00403220">
        <w:rPr>
          <w:rFonts w:cs="Times New Roman"/>
          <w:szCs w:val="24"/>
          <w:lang w:val="fr-CA"/>
        </w:rPr>
        <w:t>« chaque défendeur auquel s</w:t>
      </w:r>
      <w:r w:rsidR="008372AA" w:rsidRPr="00403220">
        <w:rPr>
          <w:rFonts w:cs="Times New Roman"/>
          <w:szCs w:val="24"/>
          <w:lang w:val="fr-CA"/>
        </w:rPr>
        <w:t>’</w:t>
      </w:r>
      <w:r w:rsidRPr="00403220">
        <w:rPr>
          <w:rFonts w:cs="Times New Roman"/>
          <w:szCs w:val="24"/>
          <w:lang w:val="fr-CA"/>
        </w:rPr>
        <w:t xml:space="preserve">appliquent les présomptions </w:t>
      </w:r>
      <w:r w:rsidR="00A31094" w:rsidRPr="00403220">
        <w:rPr>
          <w:rFonts w:cs="Times New Roman"/>
          <w:szCs w:val="24"/>
          <w:lang w:val="fr-CA"/>
        </w:rPr>
        <w:t xml:space="preserve">[créées par le </w:t>
      </w:r>
      <w:r w:rsidR="00A54DAC" w:rsidRPr="00403220">
        <w:rPr>
          <w:rFonts w:cs="Times New Roman"/>
          <w:szCs w:val="24"/>
          <w:lang w:val="fr-CA"/>
        </w:rPr>
        <w:t>par. </w:t>
      </w:r>
      <w:r w:rsidR="00A31094" w:rsidRPr="00403220">
        <w:rPr>
          <w:rFonts w:cs="Times New Roman"/>
          <w:szCs w:val="24"/>
          <w:lang w:val="fr-CA"/>
        </w:rPr>
        <w:t xml:space="preserve">3(2) de la </w:t>
      </w:r>
      <w:r w:rsidR="00A31094" w:rsidRPr="00403220">
        <w:rPr>
          <w:rFonts w:cs="Times New Roman"/>
          <w:i/>
          <w:szCs w:val="24"/>
          <w:lang w:val="fr-CA"/>
        </w:rPr>
        <w:t>CRA</w:t>
      </w:r>
      <w:r w:rsidR="002B6005" w:rsidRPr="00403220">
        <w:rPr>
          <w:rFonts w:cs="Times New Roman"/>
          <w:szCs w:val="24"/>
          <w:lang w:val="fr-CA"/>
        </w:rPr>
        <w:t>]</w:t>
      </w:r>
      <w:r w:rsidR="00A31094" w:rsidRPr="00403220">
        <w:rPr>
          <w:rFonts w:cs="Times New Roman"/>
          <w:szCs w:val="24"/>
          <w:lang w:val="fr-CA"/>
        </w:rPr>
        <w:t xml:space="preserve"> </w:t>
      </w:r>
      <w:r w:rsidRPr="00403220">
        <w:rPr>
          <w:rFonts w:cs="Times New Roman"/>
          <w:szCs w:val="24"/>
          <w:lang w:val="fr-CA"/>
        </w:rPr>
        <w:t xml:space="preserve">est responsable du coût global visé à </w:t>
      </w:r>
      <w:r w:rsidRPr="00403220">
        <w:rPr>
          <w:rFonts w:cs="Times New Roman"/>
          <w:szCs w:val="24"/>
          <w:lang w:val="fr-CA"/>
        </w:rPr>
        <w:lastRenderedPageBreak/>
        <w:t>l</w:t>
      </w:r>
      <w:r w:rsidR="008372AA" w:rsidRPr="00403220">
        <w:rPr>
          <w:rFonts w:cs="Times New Roman"/>
          <w:szCs w:val="24"/>
          <w:lang w:val="fr-CA"/>
        </w:rPr>
        <w:t>’</w:t>
      </w:r>
      <w:r w:rsidR="006B6EFC" w:rsidRPr="00403220">
        <w:rPr>
          <w:rFonts w:cs="Times New Roman"/>
          <w:szCs w:val="24"/>
          <w:lang w:val="fr-CA"/>
        </w:rPr>
        <w:t>alinéa </w:t>
      </w:r>
      <w:r w:rsidR="001B7E18" w:rsidRPr="00403220">
        <w:rPr>
          <w:rFonts w:cs="Times New Roman"/>
          <w:szCs w:val="24"/>
          <w:lang w:val="fr-CA"/>
        </w:rPr>
        <w:t>a</w:t>
      </w:r>
      <w:r w:rsidRPr="00403220">
        <w:rPr>
          <w:rFonts w:cs="Times New Roman"/>
          <w:szCs w:val="24"/>
          <w:lang w:val="fr-CA"/>
        </w:rPr>
        <w:t>) au prorata de sa part de mar</w:t>
      </w:r>
      <w:r w:rsidR="006B6EFC" w:rsidRPr="00403220">
        <w:rPr>
          <w:rFonts w:cs="Times New Roman"/>
          <w:szCs w:val="24"/>
          <w:lang w:val="fr-CA"/>
        </w:rPr>
        <w:t>ché du type de produit du tabac </w:t>
      </w:r>
      <w:r w:rsidRPr="00403220">
        <w:rPr>
          <w:rFonts w:cs="Times New Roman"/>
          <w:szCs w:val="24"/>
          <w:lang w:val="fr-CA"/>
        </w:rPr>
        <w:t xml:space="preserve">».  On ne saurait considérer cette disposition comme visant le gouvernement du Canada. </w:t>
      </w:r>
    </w:p>
    <w:p w:rsidR="0047179D" w:rsidRPr="00403220" w:rsidRDefault="0047179D" w:rsidP="005077DA">
      <w:pPr>
        <w:pStyle w:val="ParaNoNdepar-AltN"/>
        <w:rPr>
          <w:rFonts w:cs="Times New Roman"/>
          <w:szCs w:val="24"/>
          <w:lang w:val="fr-CA"/>
        </w:rPr>
      </w:pPr>
      <w:r w:rsidRPr="00403220">
        <w:rPr>
          <w:rFonts w:cs="Times New Roman"/>
          <w:szCs w:val="24"/>
          <w:lang w:val="fr-CA"/>
        </w:rPr>
        <w:t>J</w:t>
      </w:r>
      <w:r w:rsidR="008372AA" w:rsidRPr="00403220">
        <w:rPr>
          <w:rFonts w:cs="Times New Roman"/>
          <w:szCs w:val="24"/>
          <w:lang w:val="fr-CA"/>
        </w:rPr>
        <w:t>’</w:t>
      </w:r>
      <w:r w:rsidRPr="00403220">
        <w:rPr>
          <w:rFonts w:cs="Times New Roman"/>
          <w:szCs w:val="24"/>
          <w:lang w:val="fr-CA"/>
        </w:rPr>
        <w:t xml:space="preserve">estime que, </w:t>
      </w:r>
      <w:r w:rsidR="002F528C" w:rsidRPr="00403220">
        <w:rPr>
          <w:rFonts w:cs="Times New Roman"/>
          <w:szCs w:val="24"/>
          <w:lang w:val="fr-CA"/>
        </w:rPr>
        <w:t>interprété</w:t>
      </w:r>
      <w:r w:rsidRPr="00403220">
        <w:rPr>
          <w:rFonts w:cs="Times New Roman"/>
          <w:szCs w:val="24"/>
          <w:lang w:val="fr-CA"/>
        </w:rPr>
        <w:t xml:space="preserve"> dans son ensemble, le texte de la </w:t>
      </w:r>
      <w:r w:rsidRPr="00403220">
        <w:rPr>
          <w:rFonts w:cs="Times New Roman"/>
          <w:i/>
          <w:szCs w:val="24"/>
          <w:lang w:val="fr-CA"/>
        </w:rPr>
        <w:t>CRA</w:t>
      </w:r>
      <w:r w:rsidRPr="00403220">
        <w:rPr>
          <w:rFonts w:cs="Times New Roman"/>
          <w:szCs w:val="24"/>
          <w:lang w:val="fr-CA"/>
        </w:rPr>
        <w:t xml:space="preserve"> n</w:t>
      </w:r>
      <w:r w:rsidR="008372AA" w:rsidRPr="00403220">
        <w:rPr>
          <w:rFonts w:cs="Times New Roman"/>
          <w:szCs w:val="24"/>
          <w:lang w:val="fr-CA"/>
        </w:rPr>
        <w:t>’</w:t>
      </w:r>
      <w:r w:rsidRPr="00403220">
        <w:rPr>
          <w:rFonts w:cs="Times New Roman"/>
          <w:szCs w:val="24"/>
          <w:lang w:val="fr-CA"/>
        </w:rPr>
        <w:t>étaye pas la thèse se</w:t>
      </w:r>
      <w:r w:rsidR="002C448D" w:rsidRPr="00403220">
        <w:rPr>
          <w:rFonts w:cs="Times New Roman"/>
          <w:szCs w:val="24"/>
          <w:lang w:val="fr-CA"/>
        </w:rPr>
        <w:t>lon laquelle le Canada est un « </w:t>
      </w:r>
      <w:r w:rsidRPr="00403220">
        <w:rPr>
          <w:rFonts w:cs="Times New Roman"/>
          <w:szCs w:val="24"/>
          <w:lang w:val="fr-CA"/>
        </w:rPr>
        <w:t>fabricant</w:t>
      </w:r>
      <w:r w:rsidR="002C448D" w:rsidRPr="00403220">
        <w:rPr>
          <w:rFonts w:cs="Times New Roman"/>
          <w:szCs w:val="24"/>
          <w:lang w:val="fr-CA"/>
        </w:rPr>
        <w:t> </w:t>
      </w:r>
      <w:r w:rsidRPr="00403220">
        <w:rPr>
          <w:rFonts w:cs="Times New Roman"/>
          <w:szCs w:val="24"/>
          <w:lang w:val="fr-CA"/>
        </w:rPr>
        <w:t xml:space="preserve">» au sens de cette </w:t>
      </w:r>
      <w:r w:rsidR="001B7E18" w:rsidRPr="00403220">
        <w:rPr>
          <w:rFonts w:cs="Times New Roman"/>
          <w:szCs w:val="24"/>
          <w:lang w:val="fr-CA"/>
        </w:rPr>
        <w:t>l</w:t>
      </w:r>
      <w:r w:rsidRPr="00403220">
        <w:rPr>
          <w:rFonts w:cs="Times New Roman"/>
          <w:szCs w:val="24"/>
          <w:lang w:val="fr-CA"/>
        </w:rPr>
        <w:t xml:space="preserve">oi. </w:t>
      </w:r>
    </w:p>
    <w:p w:rsidR="0047179D" w:rsidRPr="00403220" w:rsidRDefault="002917A3" w:rsidP="00A8207A">
      <w:pPr>
        <w:pStyle w:val="TitleTitre-AltT"/>
        <w:keepNext/>
        <w:tabs>
          <w:tab w:val="clear" w:pos="360"/>
          <w:tab w:val="left" w:pos="1530"/>
        </w:tabs>
        <w:spacing w:after="720"/>
        <w:ind w:left="1170" w:firstLine="0"/>
        <w:rPr>
          <w:rFonts w:cs="Times New Roman"/>
          <w:i/>
          <w:szCs w:val="24"/>
          <w:lang w:val="fr-CA"/>
        </w:rPr>
      </w:pPr>
      <w:bookmarkStart w:id="40" w:name="_Toc285751408"/>
      <w:bookmarkStart w:id="41" w:name="_Toc314735132"/>
      <w:r w:rsidRPr="00403220">
        <w:rPr>
          <w:rFonts w:cs="Times New Roman"/>
          <w:szCs w:val="24"/>
          <w:lang w:val="fr-CA"/>
        </w:rPr>
        <w:t>b)</w:t>
      </w:r>
      <w:r w:rsidR="00A8207A" w:rsidRPr="00403220">
        <w:rPr>
          <w:rFonts w:cs="Times New Roman"/>
          <w:szCs w:val="24"/>
          <w:lang w:val="fr-CA"/>
        </w:rPr>
        <w:tab/>
      </w:r>
      <w:r w:rsidR="002F528C" w:rsidRPr="00403220">
        <w:rPr>
          <w:rFonts w:cs="Times New Roman"/>
          <w:i/>
          <w:szCs w:val="24"/>
          <w:lang w:val="fr-CA"/>
        </w:rPr>
        <w:t>L’i</w:t>
      </w:r>
      <w:r w:rsidR="0047179D" w:rsidRPr="00403220">
        <w:rPr>
          <w:rFonts w:cs="Times New Roman"/>
          <w:i/>
          <w:szCs w:val="24"/>
          <w:lang w:val="fr-CA"/>
        </w:rPr>
        <w:t>ntention</w:t>
      </w:r>
      <w:bookmarkEnd w:id="40"/>
      <w:r w:rsidR="0047179D" w:rsidRPr="00403220">
        <w:rPr>
          <w:rFonts w:cs="Times New Roman"/>
          <w:i/>
          <w:szCs w:val="24"/>
          <w:lang w:val="fr-CA"/>
        </w:rPr>
        <w:t xml:space="preserve"> du législateur</w:t>
      </w:r>
      <w:bookmarkEnd w:id="41"/>
    </w:p>
    <w:p w:rsidR="0047179D" w:rsidRPr="00403220" w:rsidRDefault="0047179D" w:rsidP="005077DA">
      <w:pPr>
        <w:pStyle w:val="ParaNoNdepar-AltN"/>
        <w:rPr>
          <w:rFonts w:cs="Times New Roman"/>
          <w:szCs w:val="24"/>
          <w:lang w:val="fr-CA"/>
        </w:rPr>
      </w:pPr>
      <w:r w:rsidRPr="00403220">
        <w:rPr>
          <w:rFonts w:cs="Times New Roman"/>
          <w:szCs w:val="24"/>
          <w:lang w:val="fr-CA"/>
        </w:rPr>
        <w:t>Je suis d</w:t>
      </w:r>
      <w:r w:rsidR="008372AA" w:rsidRPr="00403220">
        <w:rPr>
          <w:rFonts w:cs="Times New Roman"/>
          <w:szCs w:val="24"/>
          <w:lang w:val="fr-CA"/>
        </w:rPr>
        <w:t>’</w:t>
      </w:r>
      <w:r w:rsidRPr="00403220">
        <w:rPr>
          <w:rFonts w:cs="Times New Roman"/>
          <w:szCs w:val="24"/>
          <w:lang w:val="fr-CA"/>
        </w:rPr>
        <w:t>accord avec le Canada pour dire que les considérations liées à l</w:t>
      </w:r>
      <w:r w:rsidR="008372AA" w:rsidRPr="00403220">
        <w:rPr>
          <w:rFonts w:cs="Times New Roman"/>
          <w:szCs w:val="24"/>
          <w:lang w:val="fr-CA"/>
        </w:rPr>
        <w:t>’</w:t>
      </w:r>
      <w:r w:rsidRPr="00403220">
        <w:rPr>
          <w:rFonts w:cs="Times New Roman"/>
          <w:szCs w:val="24"/>
          <w:lang w:val="fr-CA"/>
        </w:rPr>
        <w:t xml:space="preserve">intention du législateur appuient davantage la thèse </w:t>
      </w:r>
      <w:r w:rsidR="002F528C" w:rsidRPr="00403220">
        <w:rPr>
          <w:rFonts w:cs="Times New Roman"/>
          <w:szCs w:val="24"/>
          <w:lang w:val="fr-CA"/>
        </w:rPr>
        <w:t xml:space="preserve">voulant </w:t>
      </w:r>
      <w:r w:rsidRPr="00403220">
        <w:rPr>
          <w:rFonts w:cs="Times New Roman"/>
          <w:szCs w:val="24"/>
          <w:lang w:val="fr-CA"/>
        </w:rPr>
        <w:t xml:space="preserve">que </w:t>
      </w:r>
      <w:r w:rsidR="002F528C" w:rsidRPr="00403220">
        <w:rPr>
          <w:rFonts w:cs="Times New Roman"/>
          <w:szCs w:val="24"/>
          <w:lang w:val="fr-CA"/>
        </w:rPr>
        <w:t xml:space="preserve">la définition de </w:t>
      </w:r>
      <w:r w:rsidR="00AB6B9E">
        <w:rPr>
          <w:rFonts w:cs="Times New Roman"/>
          <w:szCs w:val="24"/>
          <w:lang w:val="fr-CA"/>
        </w:rPr>
        <w:t>[</w:t>
      </w:r>
      <w:r w:rsidR="00AB6B9E" w:rsidRPr="00AB6B9E">
        <w:rPr>
          <w:rFonts w:cs="Times New Roman"/>
          <w:smallCaps/>
          <w:szCs w:val="24"/>
          <w:lang w:val="fr-CA"/>
        </w:rPr>
        <w:t>traduction</w:t>
      </w:r>
      <w:r w:rsidR="00AB6B9E">
        <w:rPr>
          <w:rFonts w:cs="Times New Roman"/>
          <w:szCs w:val="24"/>
          <w:lang w:val="fr-CA"/>
        </w:rPr>
        <w:t xml:space="preserve">] </w:t>
      </w:r>
      <w:r w:rsidR="002F528C" w:rsidRPr="00403220">
        <w:rPr>
          <w:rFonts w:cs="Times New Roman"/>
          <w:szCs w:val="24"/>
          <w:lang w:val="fr-CA"/>
        </w:rPr>
        <w:t xml:space="preserve">« fabricant » </w:t>
      </w:r>
      <w:r w:rsidRPr="00403220">
        <w:rPr>
          <w:rFonts w:cs="Times New Roman"/>
          <w:szCs w:val="24"/>
          <w:lang w:val="fr-CA"/>
        </w:rPr>
        <w:t xml:space="preserve">ne </w:t>
      </w:r>
      <w:r w:rsidR="002F528C" w:rsidRPr="00403220">
        <w:rPr>
          <w:rFonts w:cs="Times New Roman"/>
          <w:szCs w:val="24"/>
          <w:lang w:val="fr-CA"/>
        </w:rPr>
        <w:t xml:space="preserve">vise </w:t>
      </w:r>
      <w:r w:rsidRPr="00403220">
        <w:rPr>
          <w:rFonts w:cs="Times New Roman"/>
          <w:szCs w:val="24"/>
          <w:lang w:val="fr-CA"/>
        </w:rPr>
        <w:t xml:space="preserve">pas </w:t>
      </w:r>
      <w:r w:rsidR="002F528C" w:rsidRPr="00403220">
        <w:rPr>
          <w:rFonts w:cs="Times New Roman"/>
          <w:szCs w:val="24"/>
          <w:lang w:val="fr-CA"/>
        </w:rPr>
        <w:t>le Canada</w:t>
      </w:r>
      <w:r w:rsidRPr="00403220">
        <w:rPr>
          <w:rFonts w:cs="Times New Roman"/>
          <w:szCs w:val="24"/>
          <w:lang w:val="fr-CA"/>
        </w:rPr>
        <w:t xml:space="preserve">.  Quand la </w:t>
      </w:r>
      <w:r w:rsidRPr="00403220">
        <w:rPr>
          <w:rFonts w:cs="Times New Roman"/>
          <w:i/>
          <w:szCs w:val="24"/>
          <w:lang w:val="fr-CA"/>
        </w:rPr>
        <w:t xml:space="preserve">CRA </w:t>
      </w:r>
      <w:r w:rsidRPr="00403220">
        <w:rPr>
          <w:rFonts w:cs="Times New Roman"/>
          <w:szCs w:val="24"/>
          <w:lang w:val="fr-CA"/>
        </w:rPr>
        <w:t>a été présentée à l</w:t>
      </w:r>
      <w:r w:rsidR="008372AA" w:rsidRPr="00403220">
        <w:rPr>
          <w:rFonts w:cs="Times New Roman"/>
          <w:szCs w:val="24"/>
          <w:lang w:val="fr-CA"/>
        </w:rPr>
        <w:t>’</w:t>
      </w:r>
      <w:r w:rsidRPr="00403220">
        <w:rPr>
          <w:rFonts w:cs="Times New Roman"/>
          <w:szCs w:val="24"/>
          <w:lang w:val="fr-CA"/>
        </w:rPr>
        <w:t xml:space="preserve">assemblée législative, le ministre responsable a </w:t>
      </w:r>
      <w:r w:rsidR="002F528C" w:rsidRPr="00403220">
        <w:rPr>
          <w:rFonts w:cs="Times New Roman"/>
          <w:szCs w:val="24"/>
          <w:lang w:val="fr-CA"/>
        </w:rPr>
        <w:t xml:space="preserve">affirmé </w:t>
      </w:r>
      <w:r w:rsidRPr="00403220">
        <w:rPr>
          <w:rFonts w:cs="Times New Roman"/>
          <w:szCs w:val="24"/>
          <w:lang w:val="fr-CA"/>
        </w:rPr>
        <w:t xml:space="preserve">que </w:t>
      </w:r>
      <w:r w:rsidR="001B7E18" w:rsidRPr="00403220">
        <w:rPr>
          <w:rFonts w:cs="Times New Roman"/>
          <w:szCs w:val="24"/>
          <w:lang w:val="fr-CA"/>
        </w:rPr>
        <w:t>[</w:t>
      </w:r>
      <w:r w:rsidR="001B7E18" w:rsidRPr="00403220">
        <w:rPr>
          <w:rFonts w:cs="Times New Roman"/>
          <w:smallCaps/>
          <w:szCs w:val="24"/>
          <w:lang w:val="fr-CA"/>
        </w:rPr>
        <w:t xml:space="preserve">traduction] </w:t>
      </w:r>
      <w:r w:rsidRPr="00403220">
        <w:rPr>
          <w:rFonts w:cs="Times New Roman"/>
          <w:szCs w:val="24"/>
          <w:lang w:val="fr-CA"/>
        </w:rPr>
        <w:t>«</w:t>
      </w:r>
      <w:r w:rsidR="005077DA" w:rsidRPr="00403220">
        <w:rPr>
          <w:rFonts w:cs="Times New Roman"/>
          <w:szCs w:val="24"/>
          <w:lang w:val="fr-CA"/>
        </w:rPr>
        <w:t> </w:t>
      </w: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industrie</w:t>
      </w:r>
      <w:r w:rsidR="005077DA" w:rsidRPr="00403220">
        <w:rPr>
          <w:rFonts w:cs="Times New Roman"/>
          <w:szCs w:val="24"/>
          <w:lang w:val="fr-CA"/>
        </w:rPr>
        <w:t> </w:t>
      </w:r>
      <w:r w:rsidRPr="00403220">
        <w:rPr>
          <w:rFonts w:cs="Times New Roman"/>
          <w:szCs w:val="24"/>
          <w:lang w:val="fr-CA"/>
        </w:rPr>
        <w:t>» fabriquait un produit mortel, et que les « compagnies de tabac » qui en faisaient partie devraient en être tenues responsables pour cette raison</w:t>
      </w:r>
      <w:r w:rsidR="001B7E18" w:rsidRPr="00403220">
        <w:rPr>
          <w:rFonts w:cs="Times New Roman"/>
          <w:szCs w:val="24"/>
          <w:lang w:val="fr-CA"/>
        </w:rPr>
        <w:t xml:space="preserve"> (</w:t>
      </w:r>
      <w:r w:rsidR="00E51F8D" w:rsidRPr="00403220">
        <w:rPr>
          <w:rFonts w:cs="Times New Roman"/>
          <w:szCs w:val="24"/>
          <w:lang w:val="fr-CA"/>
        </w:rPr>
        <w:t>C.</w:t>
      </w:r>
      <w:r w:rsidR="00AB6B9E">
        <w:rPr>
          <w:rFonts w:cs="Times New Roman"/>
          <w:szCs w:val="24"/>
          <w:lang w:val="fr-CA"/>
        </w:rPr>
        <w:t>-</w:t>
      </w:r>
      <w:r w:rsidR="00E51F8D" w:rsidRPr="00403220">
        <w:rPr>
          <w:rFonts w:cs="Times New Roman"/>
          <w:szCs w:val="24"/>
          <w:lang w:val="fr-CA"/>
        </w:rPr>
        <w:t>B.</w:t>
      </w:r>
      <w:r w:rsidR="00125F41">
        <w:rPr>
          <w:rFonts w:cs="Times New Roman"/>
          <w:szCs w:val="24"/>
          <w:lang w:val="fr-CA"/>
        </w:rPr>
        <w:t>,</w:t>
      </w:r>
      <w:r w:rsidR="00E51F8D" w:rsidRPr="00403220">
        <w:rPr>
          <w:rFonts w:cs="Times New Roman"/>
          <w:szCs w:val="24"/>
          <w:lang w:val="fr-CA"/>
        </w:rPr>
        <w:t xml:space="preserve"> </w:t>
      </w:r>
      <w:r w:rsidR="00AB6B9E" w:rsidRPr="00AB6B9E">
        <w:rPr>
          <w:rFonts w:cs="Times New Roman"/>
          <w:i/>
          <w:szCs w:val="24"/>
          <w:lang w:val="fr-CA"/>
        </w:rPr>
        <w:t xml:space="preserve">Official Report of </w:t>
      </w:r>
      <w:proofErr w:type="spellStart"/>
      <w:r w:rsidR="00E51F8D" w:rsidRPr="00AB6B9E">
        <w:rPr>
          <w:rFonts w:cs="Times New Roman"/>
          <w:i/>
          <w:szCs w:val="24"/>
          <w:lang w:val="fr-CA"/>
        </w:rPr>
        <w:t>Debates</w:t>
      </w:r>
      <w:proofErr w:type="spellEnd"/>
      <w:r w:rsidR="00E51F8D" w:rsidRPr="00AB6B9E">
        <w:rPr>
          <w:rFonts w:cs="Times New Roman"/>
          <w:i/>
          <w:szCs w:val="24"/>
          <w:lang w:val="fr-CA"/>
        </w:rPr>
        <w:t xml:space="preserve"> of the </w:t>
      </w:r>
      <w:proofErr w:type="spellStart"/>
      <w:r w:rsidR="00E51F8D" w:rsidRPr="00AB6B9E">
        <w:rPr>
          <w:rFonts w:cs="Times New Roman"/>
          <w:i/>
          <w:szCs w:val="24"/>
          <w:lang w:val="fr-CA"/>
        </w:rPr>
        <w:t>Legislative</w:t>
      </w:r>
      <w:proofErr w:type="spellEnd"/>
      <w:r w:rsidR="00E51F8D" w:rsidRPr="00AB6B9E">
        <w:rPr>
          <w:rFonts w:cs="Times New Roman"/>
          <w:i/>
          <w:szCs w:val="24"/>
          <w:lang w:val="fr-CA"/>
        </w:rPr>
        <w:t xml:space="preserve"> </w:t>
      </w:r>
      <w:proofErr w:type="spellStart"/>
      <w:r w:rsidR="00E51F8D" w:rsidRPr="00AB6B9E">
        <w:rPr>
          <w:rFonts w:cs="Times New Roman"/>
          <w:i/>
          <w:szCs w:val="24"/>
          <w:lang w:val="fr-CA"/>
        </w:rPr>
        <w:t>Assembly</w:t>
      </w:r>
      <w:proofErr w:type="spellEnd"/>
      <w:r w:rsidR="00AB6B9E" w:rsidRPr="00AB6B9E">
        <w:rPr>
          <w:rFonts w:cs="Times New Roman"/>
          <w:i/>
          <w:szCs w:val="24"/>
          <w:lang w:val="fr-CA"/>
        </w:rPr>
        <w:t xml:space="preserve"> (</w:t>
      </w:r>
      <w:proofErr w:type="spellStart"/>
      <w:r w:rsidR="00AB6B9E" w:rsidRPr="00AB6B9E">
        <w:rPr>
          <w:rFonts w:cs="Times New Roman"/>
          <w:i/>
          <w:szCs w:val="24"/>
          <w:lang w:val="fr-CA"/>
        </w:rPr>
        <w:t>Hansard</w:t>
      </w:r>
      <w:proofErr w:type="spellEnd"/>
      <w:r w:rsidR="00AB6B9E" w:rsidRPr="00AB6B9E">
        <w:rPr>
          <w:rFonts w:cs="Times New Roman"/>
          <w:i/>
          <w:szCs w:val="24"/>
          <w:lang w:val="fr-CA"/>
        </w:rPr>
        <w:t>)</w:t>
      </w:r>
      <w:r w:rsidR="00E51F8D" w:rsidRPr="00AB6B9E">
        <w:rPr>
          <w:rFonts w:cs="Times New Roman"/>
          <w:szCs w:val="24"/>
          <w:lang w:val="fr-CA"/>
        </w:rPr>
        <w:t xml:space="preserve">, </w:t>
      </w:r>
      <w:r w:rsidR="00A54DAC" w:rsidRPr="00AB6B9E">
        <w:rPr>
          <w:rFonts w:cs="Times New Roman"/>
          <w:szCs w:val="24"/>
          <w:lang w:val="fr-CA"/>
        </w:rPr>
        <w:t>vol. </w:t>
      </w:r>
      <w:r w:rsidR="00E51F8D" w:rsidRPr="00AB6B9E">
        <w:rPr>
          <w:rFonts w:cs="Times New Roman"/>
          <w:szCs w:val="24"/>
          <w:lang w:val="fr-CA"/>
        </w:rPr>
        <w:t>20,</w:t>
      </w:r>
      <w:r w:rsidR="00E51F8D" w:rsidRPr="00AB6B9E">
        <w:rPr>
          <w:rFonts w:cs="Times New Roman"/>
          <w:i/>
          <w:szCs w:val="24"/>
          <w:lang w:val="fr-CA"/>
        </w:rPr>
        <w:t xml:space="preserve"> </w:t>
      </w:r>
      <w:r w:rsidR="001B7E18" w:rsidRPr="00AB6B9E">
        <w:rPr>
          <w:rFonts w:cs="Times New Roman"/>
          <w:szCs w:val="24"/>
          <w:lang w:val="fr-CA"/>
        </w:rPr>
        <w:t>4</w:t>
      </w:r>
      <w:r w:rsidR="001B7E18" w:rsidRPr="00AB6B9E">
        <w:rPr>
          <w:rFonts w:cs="Times New Roman"/>
          <w:szCs w:val="24"/>
          <w:vertAlign w:val="superscript"/>
          <w:lang w:val="fr-CA"/>
        </w:rPr>
        <w:t>e</w:t>
      </w:r>
      <w:r w:rsidR="003B54EE" w:rsidRPr="00AB6B9E">
        <w:rPr>
          <w:rFonts w:cs="Times New Roman"/>
          <w:szCs w:val="24"/>
          <w:lang w:val="fr-CA"/>
        </w:rPr>
        <w:t> </w:t>
      </w:r>
      <w:proofErr w:type="spellStart"/>
      <w:r w:rsidR="001B7E18" w:rsidRPr="00AB6B9E">
        <w:rPr>
          <w:rFonts w:cs="Times New Roman"/>
          <w:szCs w:val="24"/>
          <w:lang w:val="fr-CA"/>
        </w:rPr>
        <w:t>sess</w:t>
      </w:r>
      <w:proofErr w:type="spellEnd"/>
      <w:r w:rsidR="00125F41">
        <w:rPr>
          <w:rFonts w:cs="Times New Roman"/>
          <w:szCs w:val="24"/>
          <w:lang w:val="fr-CA"/>
        </w:rPr>
        <w:t>.</w:t>
      </w:r>
      <w:r w:rsidR="001B7E18" w:rsidRPr="00AB6B9E">
        <w:rPr>
          <w:rFonts w:cs="Times New Roman"/>
          <w:szCs w:val="24"/>
          <w:lang w:val="fr-CA"/>
        </w:rPr>
        <w:t>, 36</w:t>
      </w:r>
      <w:r w:rsidR="001B7E18" w:rsidRPr="00AB6B9E">
        <w:rPr>
          <w:rFonts w:cs="Times New Roman"/>
          <w:szCs w:val="24"/>
          <w:vertAlign w:val="superscript"/>
          <w:lang w:val="fr-CA"/>
        </w:rPr>
        <w:t>e</w:t>
      </w:r>
      <w:r w:rsidR="003B54EE" w:rsidRPr="00AB6B9E">
        <w:rPr>
          <w:rFonts w:cs="Times New Roman"/>
          <w:szCs w:val="24"/>
          <w:lang w:val="fr-CA"/>
        </w:rPr>
        <w:t> </w:t>
      </w:r>
      <w:proofErr w:type="spellStart"/>
      <w:r w:rsidR="003B54EE" w:rsidRPr="00AB6B9E">
        <w:rPr>
          <w:rFonts w:cs="Times New Roman"/>
          <w:szCs w:val="24"/>
          <w:lang w:val="fr-CA"/>
        </w:rPr>
        <w:t>lég</w:t>
      </w:r>
      <w:proofErr w:type="spellEnd"/>
      <w:r w:rsidR="00125F41">
        <w:rPr>
          <w:rFonts w:cs="Times New Roman"/>
          <w:szCs w:val="24"/>
          <w:lang w:val="fr-CA"/>
        </w:rPr>
        <w:t>.</w:t>
      </w:r>
      <w:r w:rsidR="003B54EE" w:rsidRPr="00AB6B9E">
        <w:rPr>
          <w:rFonts w:cs="Times New Roman"/>
          <w:szCs w:val="24"/>
          <w:lang w:val="fr-CA"/>
        </w:rPr>
        <w:t>, 7 </w:t>
      </w:r>
      <w:r w:rsidR="001B7E18" w:rsidRPr="00AB6B9E">
        <w:rPr>
          <w:rFonts w:cs="Times New Roman"/>
          <w:szCs w:val="24"/>
          <w:lang w:val="fr-CA"/>
        </w:rPr>
        <w:t xml:space="preserve">juin 2000, </w:t>
      </w:r>
      <w:r w:rsidR="00A54DAC" w:rsidRPr="00AB6B9E">
        <w:rPr>
          <w:rFonts w:cs="Times New Roman"/>
          <w:szCs w:val="24"/>
          <w:lang w:val="fr-CA"/>
        </w:rPr>
        <w:t>p. </w:t>
      </w:r>
      <w:r w:rsidR="001B7E18" w:rsidRPr="00AB6B9E">
        <w:rPr>
          <w:rFonts w:cs="Times New Roman"/>
          <w:szCs w:val="24"/>
          <w:lang w:val="fr-CA"/>
        </w:rPr>
        <w:t>16314)</w:t>
      </w:r>
      <w:r w:rsidRPr="00AB6B9E">
        <w:rPr>
          <w:rFonts w:cs="Times New Roman"/>
          <w:szCs w:val="24"/>
          <w:lang w:val="fr-CA"/>
        </w:rPr>
        <w:t xml:space="preserve">.  </w:t>
      </w:r>
      <w:r w:rsidR="001B7E18" w:rsidRPr="00403220">
        <w:rPr>
          <w:rFonts w:cs="Times New Roman"/>
          <w:szCs w:val="24"/>
          <w:lang w:val="fr-CA"/>
        </w:rPr>
        <w:t xml:space="preserve">Il est évident et manifeste que </w:t>
      </w:r>
      <w:r w:rsidRPr="00403220">
        <w:rPr>
          <w:rFonts w:cs="Times New Roman"/>
          <w:szCs w:val="24"/>
          <w:lang w:val="fr-CA"/>
        </w:rPr>
        <w:t>le gouvernement du Canada n</w:t>
      </w:r>
      <w:r w:rsidR="008372AA" w:rsidRPr="00403220">
        <w:rPr>
          <w:rFonts w:cs="Times New Roman"/>
          <w:szCs w:val="24"/>
          <w:lang w:val="fr-CA"/>
        </w:rPr>
        <w:t>’</w:t>
      </w:r>
      <w:r w:rsidRPr="00403220">
        <w:rPr>
          <w:rFonts w:cs="Times New Roman"/>
          <w:szCs w:val="24"/>
          <w:lang w:val="fr-CA"/>
        </w:rPr>
        <w:t>appartient pas à cette catégorie.</w:t>
      </w:r>
    </w:p>
    <w:p w:rsidR="0047179D" w:rsidRPr="00403220" w:rsidRDefault="0047179D" w:rsidP="005077DA">
      <w:pPr>
        <w:pStyle w:val="ParaNoNdepar-AltN"/>
        <w:rPr>
          <w:rFonts w:cs="Times New Roman"/>
          <w:szCs w:val="24"/>
          <w:lang w:val="fr-CA"/>
        </w:rPr>
      </w:pPr>
      <w:r w:rsidRPr="00403220">
        <w:rPr>
          <w:rFonts w:cs="Times New Roman"/>
          <w:szCs w:val="24"/>
          <w:lang w:val="fr-CA"/>
        </w:rPr>
        <w:t xml:space="preserve">Selon </w:t>
      </w:r>
      <w:r w:rsidR="00847C22" w:rsidRPr="00403220">
        <w:rPr>
          <w:rFonts w:cs="Times New Roman"/>
          <w:szCs w:val="24"/>
          <w:lang w:val="fr-CA"/>
        </w:rPr>
        <w:t>Imperial</w:t>
      </w:r>
      <w:r w:rsidRPr="00403220">
        <w:rPr>
          <w:rFonts w:cs="Times New Roman"/>
          <w:szCs w:val="24"/>
          <w:lang w:val="fr-CA"/>
        </w:rPr>
        <w:t>, il ne convient pas d</w:t>
      </w:r>
      <w:r w:rsidR="008372AA" w:rsidRPr="00403220">
        <w:rPr>
          <w:rFonts w:cs="Times New Roman"/>
          <w:szCs w:val="24"/>
          <w:lang w:val="fr-CA"/>
        </w:rPr>
        <w:t>’</w:t>
      </w:r>
      <w:r w:rsidRPr="00403220">
        <w:rPr>
          <w:rFonts w:cs="Times New Roman"/>
          <w:szCs w:val="24"/>
          <w:lang w:val="fr-CA"/>
        </w:rPr>
        <w:t xml:space="preserve">invoquer des extraits du </w:t>
      </w:r>
      <w:proofErr w:type="spellStart"/>
      <w:r w:rsidRPr="00403220">
        <w:rPr>
          <w:rFonts w:cs="Times New Roman"/>
          <w:i/>
          <w:szCs w:val="24"/>
          <w:lang w:val="fr-CA"/>
        </w:rPr>
        <w:t>Hansard</w:t>
      </w:r>
      <w:proofErr w:type="spellEnd"/>
      <w:r w:rsidRPr="00403220">
        <w:rPr>
          <w:rFonts w:cs="Times New Roman"/>
          <w:szCs w:val="24"/>
          <w:lang w:val="fr-CA"/>
        </w:rPr>
        <w:t xml:space="preserve"> dans le cadre d</w:t>
      </w:r>
      <w:r w:rsidR="008372AA" w:rsidRPr="00403220">
        <w:rPr>
          <w:rFonts w:cs="Times New Roman"/>
          <w:szCs w:val="24"/>
          <w:lang w:val="fr-CA"/>
        </w:rPr>
        <w:t>’</w:t>
      </w:r>
      <w:r w:rsidRPr="00403220">
        <w:rPr>
          <w:rFonts w:cs="Times New Roman"/>
          <w:szCs w:val="24"/>
          <w:lang w:val="fr-CA"/>
        </w:rPr>
        <w:t>une requête en radiation d</w:t>
      </w:r>
      <w:r w:rsidR="008372AA" w:rsidRPr="00403220">
        <w:rPr>
          <w:rFonts w:cs="Times New Roman"/>
          <w:szCs w:val="24"/>
          <w:lang w:val="fr-CA"/>
        </w:rPr>
        <w:t>’</w:t>
      </w:r>
      <w:r w:rsidRPr="00403220">
        <w:rPr>
          <w:rFonts w:cs="Times New Roman"/>
          <w:szCs w:val="24"/>
          <w:lang w:val="fr-CA"/>
        </w:rPr>
        <w:t>un</w:t>
      </w:r>
      <w:r w:rsidR="001B7E18" w:rsidRPr="00403220">
        <w:rPr>
          <w:rFonts w:cs="Times New Roman"/>
          <w:szCs w:val="24"/>
          <w:lang w:val="fr-CA"/>
        </w:rPr>
        <w:t>e allégation</w:t>
      </w:r>
      <w:r w:rsidRPr="00403220">
        <w:rPr>
          <w:rFonts w:cs="Times New Roman"/>
          <w:szCs w:val="24"/>
          <w:lang w:val="fr-CA"/>
        </w:rPr>
        <w:t xml:space="preserve">, </w:t>
      </w:r>
      <w:r w:rsidR="001B7E18" w:rsidRPr="00403220">
        <w:rPr>
          <w:rFonts w:cs="Times New Roman"/>
          <w:szCs w:val="24"/>
          <w:lang w:val="fr-CA"/>
        </w:rPr>
        <w:t>étant donné</w:t>
      </w:r>
      <w:r w:rsidRPr="00403220">
        <w:rPr>
          <w:rFonts w:cs="Times New Roman"/>
          <w:szCs w:val="24"/>
          <w:lang w:val="fr-CA"/>
        </w:rPr>
        <w:t xml:space="preserve"> que </w:t>
      </w:r>
      <w:r w:rsidR="001B7E18" w:rsidRPr="00403220">
        <w:rPr>
          <w:rFonts w:cs="Times New Roman"/>
          <w:szCs w:val="24"/>
          <w:lang w:val="fr-CA"/>
        </w:rPr>
        <w:t>d</w:t>
      </w:r>
      <w:r w:rsidRPr="00403220">
        <w:rPr>
          <w:rFonts w:cs="Times New Roman"/>
          <w:szCs w:val="24"/>
          <w:lang w:val="fr-CA"/>
        </w:rPr>
        <w:t xml:space="preserve">es éléments de preuve ne </w:t>
      </w:r>
      <w:r w:rsidR="001B7E18" w:rsidRPr="00403220">
        <w:rPr>
          <w:rFonts w:cs="Times New Roman"/>
          <w:szCs w:val="24"/>
          <w:lang w:val="fr-CA"/>
        </w:rPr>
        <w:t>peuvent être présentés</w:t>
      </w:r>
      <w:r w:rsidRPr="00403220">
        <w:rPr>
          <w:rFonts w:cs="Times New Roman"/>
          <w:szCs w:val="24"/>
          <w:lang w:val="fr-CA"/>
        </w:rPr>
        <w:t xml:space="preserve"> à </w:t>
      </w:r>
      <w:r w:rsidR="001B7E18" w:rsidRPr="00403220">
        <w:rPr>
          <w:rFonts w:cs="Times New Roman"/>
          <w:szCs w:val="24"/>
          <w:lang w:val="fr-CA"/>
        </w:rPr>
        <w:t>l’</w:t>
      </w:r>
      <w:r w:rsidRPr="00403220">
        <w:rPr>
          <w:rFonts w:cs="Times New Roman"/>
          <w:szCs w:val="24"/>
          <w:lang w:val="fr-CA"/>
        </w:rPr>
        <w:t>occasion</w:t>
      </w:r>
      <w:r w:rsidR="001B7E18" w:rsidRPr="00403220">
        <w:rPr>
          <w:rFonts w:cs="Times New Roman"/>
          <w:szCs w:val="24"/>
          <w:lang w:val="fr-CA"/>
        </w:rPr>
        <w:t xml:space="preserve"> d’une telle demande</w:t>
      </w:r>
      <w:r w:rsidRPr="00403220">
        <w:rPr>
          <w:rFonts w:cs="Times New Roman"/>
          <w:szCs w:val="24"/>
          <w:lang w:val="fr-CA"/>
        </w:rPr>
        <w:t xml:space="preserve">. </w:t>
      </w:r>
      <w:r w:rsidR="005077DA" w:rsidRPr="00403220">
        <w:rPr>
          <w:rFonts w:cs="Times New Roman"/>
          <w:szCs w:val="24"/>
          <w:lang w:val="fr-CA"/>
        </w:rPr>
        <w:t xml:space="preserve"> </w:t>
      </w:r>
      <w:r w:rsidRPr="00403220">
        <w:rPr>
          <w:rFonts w:cs="Times New Roman"/>
          <w:szCs w:val="24"/>
          <w:lang w:val="fr-CA"/>
        </w:rPr>
        <w:t xml:space="preserve">Il y a </w:t>
      </w:r>
      <w:r w:rsidRPr="00403220">
        <w:rPr>
          <w:rFonts w:cs="Times New Roman"/>
          <w:szCs w:val="24"/>
          <w:lang w:val="fr-CA"/>
        </w:rPr>
        <w:lastRenderedPageBreak/>
        <w:t xml:space="preserve">toutefois une distinction entre </w:t>
      </w:r>
      <w:r w:rsidR="001B7E18" w:rsidRPr="00403220">
        <w:rPr>
          <w:rFonts w:cs="Times New Roman"/>
          <w:szCs w:val="24"/>
          <w:lang w:val="fr-CA"/>
        </w:rPr>
        <w:t>une</w:t>
      </w:r>
      <w:r w:rsidRPr="00403220">
        <w:rPr>
          <w:rFonts w:cs="Times New Roman"/>
          <w:szCs w:val="24"/>
          <w:lang w:val="fr-CA"/>
        </w:rPr>
        <w:t xml:space="preserve"> preuve produite pour établir un fait et </w:t>
      </w:r>
      <w:r w:rsidR="001B7E18" w:rsidRPr="00403220">
        <w:rPr>
          <w:rFonts w:cs="Times New Roman"/>
          <w:szCs w:val="24"/>
          <w:lang w:val="fr-CA"/>
        </w:rPr>
        <w:t>une</w:t>
      </w:r>
      <w:r w:rsidRPr="00403220">
        <w:rPr>
          <w:rFonts w:cs="Times New Roman"/>
          <w:szCs w:val="24"/>
          <w:lang w:val="fr-CA"/>
        </w:rPr>
        <w:t xml:space="preserve"> preuve de l</w:t>
      </w:r>
      <w:r w:rsidR="008372AA" w:rsidRPr="00403220">
        <w:rPr>
          <w:rFonts w:cs="Times New Roman"/>
          <w:szCs w:val="24"/>
          <w:lang w:val="fr-CA"/>
        </w:rPr>
        <w:t>’</w:t>
      </w:r>
      <w:r w:rsidRPr="00403220">
        <w:rPr>
          <w:rFonts w:cs="Times New Roman"/>
          <w:szCs w:val="24"/>
          <w:lang w:val="fr-CA"/>
        </w:rPr>
        <w:t>intention du législateur qui est produite pour aider la cour à déterminer l</w:t>
      </w:r>
      <w:r w:rsidR="008372AA" w:rsidRPr="00403220">
        <w:rPr>
          <w:rFonts w:cs="Times New Roman"/>
          <w:szCs w:val="24"/>
          <w:lang w:val="fr-CA"/>
        </w:rPr>
        <w:t>’</w:t>
      </w:r>
      <w:r w:rsidRPr="00403220">
        <w:rPr>
          <w:rFonts w:cs="Times New Roman"/>
          <w:szCs w:val="24"/>
          <w:lang w:val="fr-CA"/>
        </w:rPr>
        <w:t>interprétation que doit recevoir une loi.  La première n</w:t>
      </w:r>
      <w:r w:rsidR="008372AA" w:rsidRPr="00403220">
        <w:rPr>
          <w:rFonts w:cs="Times New Roman"/>
          <w:szCs w:val="24"/>
          <w:lang w:val="fr-CA"/>
        </w:rPr>
        <w:t>’</w:t>
      </w:r>
      <w:r w:rsidRPr="00403220">
        <w:rPr>
          <w:rFonts w:cs="Times New Roman"/>
          <w:szCs w:val="24"/>
          <w:lang w:val="fr-CA"/>
        </w:rPr>
        <w:t xml:space="preserve">est pas pertinente </w:t>
      </w:r>
      <w:r w:rsidR="001B7E18" w:rsidRPr="00403220">
        <w:rPr>
          <w:rFonts w:cs="Times New Roman"/>
          <w:szCs w:val="24"/>
          <w:lang w:val="fr-CA"/>
        </w:rPr>
        <w:t>dans le cadre d’</w:t>
      </w:r>
      <w:r w:rsidRPr="00403220">
        <w:rPr>
          <w:rFonts w:cs="Times New Roman"/>
          <w:szCs w:val="24"/>
          <w:lang w:val="fr-CA"/>
        </w:rPr>
        <w:t>une requête en radiation, mais la seconde peut l</w:t>
      </w:r>
      <w:r w:rsidR="008372AA" w:rsidRPr="00403220">
        <w:rPr>
          <w:rFonts w:cs="Times New Roman"/>
          <w:szCs w:val="24"/>
          <w:lang w:val="fr-CA"/>
        </w:rPr>
        <w:t>’</w:t>
      </w:r>
      <w:r w:rsidRPr="00403220">
        <w:rPr>
          <w:rFonts w:cs="Times New Roman"/>
          <w:szCs w:val="24"/>
          <w:lang w:val="fr-CA"/>
        </w:rPr>
        <w:t>être.  Les requêtes en radiation visent à économiser les ressources judiciaires dans les cas où la loi n</w:t>
      </w:r>
      <w:r w:rsidR="008372AA" w:rsidRPr="00403220">
        <w:rPr>
          <w:rFonts w:cs="Times New Roman"/>
          <w:szCs w:val="24"/>
          <w:lang w:val="fr-CA"/>
        </w:rPr>
        <w:t>’</w:t>
      </w:r>
      <w:r w:rsidRPr="00403220">
        <w:rPr>
          <w:rFonts w:cs="Times New Roman"/>
          <w:szCs w:val="24"/>
          <w:lang w:val="fr-CA"/>
        </w:rPr>
        <w:t>appuie pas une demande compte tenu des faits allégués.  Les tribunaux peuve</w:t>
      </w:r>
      <w:r w:rsidR="00117EFF" w:rsidRPr="00403220">
        <w:rPr>
          <w:rFonts w:cs="Times New Roman"/>
          <w:szCs w:val="24"/>
          <w:lang w:val="fr-CA"/>
        </w:rPr>
        <w:t>nt prendre en considération tous les éléments de preuve pertinents</w:t>
      </w:r>
      <w:r w:rsidRPr="00403220">
        <w:rPr>
          <w:rFonts w:cs="Times New Roman"/>
          <w:szCs w:val="24"/>
          <w:lang w:val="fr-CA"/>
        </w:rPr>
        <w:t xml:space="preserve"> à l</w:t>
      </w:r>
      <w:r w:rsidR="008372AA" w:rsidRPr="00403220">
        <w:rPr>
          <w:rFonts w:cs="Times New Roman"/>
          <w:szCs w:val="24"/>
          <w:lang w:val="fr-CA"/>
        </w:rPr>
        <w:t>’</w:t>
      </w:r>
      <w:r w:rsidRPr="00403220">
        <w:rPr>
          <w:rFonts w:cs="Times New Roman"/>
          <w:szCs w:val="24"/>
          <w:lang w:val="fr-CA"/>
        </w:rPr>
        <w:t>interprétation de la</w:t>
      </w:r>
      <w:r w:rsidR="004031B6">
        <w:rPr>
          <w:rFonts w:cs="Times New Roman"/>
          <w:szCs w:val="24"/>
          <w:lang w:val="fr-CA"/>
        </w:rPr>
        <w:t xml:space="preserve"> loi pour arriver à cette fin.</w:t>
      </w:r>
      <w:r w:rsidRPr="00403220">
        <w:rPr>
          <w:rFonts w:cs="Times New Roman"/>
          <w:szCs w:val="24"/>
          <w:lang w:val="fr-CA"/>
        </w:rPr>
        <w:t xml:space="preserve"> </w:t>
      </w:r>
    </w:p>
    <w:p w:rsidR="0047179D" w:rsidRPr="00403220" w:rsidRDefault="002E3D2A" w:rsidP="00E237E1">
      <w:pPr>
        <w:pStyle w:val="TitleTitre-AltT"/>
        <w:keepNext/>
        <w:tabs>
          <w:tab w:val="clear" w:pos="360"/>
          <w:tab w:val="left" w:pos="1530"/>
        </w:tabs>
        <w:spacing w:after="720"/>
        <w:ind w:left="1170" w:firstLine="0"/>
        <w:rPr>
          <w:rFonts w:cs="Times New Roman"/>
          <w:i/>
          <w:szCs w:val="24"/>
          <w:lang w:val="fr-CA"/>
        </w:rPr>
      </w:pPr>
      <w:bookmarkStart w:id="42" w:name="_Toc285751409"/>
      <w:bookmarkStart w:id="43" w:name="_Toc314735133"/>
      <w:r w:rsidRPr="00403220">
        <w:rPr>
          <w:rFonts w:cs="Times New Roman"/>
          <w:szCs w:val="24"/>
          <w:lang w:val="fr-CA"/>
        </w:rPr>
        <w:t>c)</w:t>
      </w:r>
      <w:r w:rsidR="00E237E1" w:rsidRPr="00403220">
        <w:rPr>
          <w:rFonts w:cs="Times New Roman"/>
          <w:i/>
          <w:szCs w:val="24"/>
          <w:lang w:val="fr-CA"/>
        </w:rPr>
        <w:tab/>
      </w:r>
      <w:r w:rsidR="00117EFF" w:rsidRPr="00403220">
        <w:rPr>
          <w:rFonts w:cs="Times New Roman"/>
          <w:i/>
          <w:szCs w:val="24"/>
          <w:lang w:val="fr-CA"/>
        </w:rPr>
        <w:t>Le c</w:t>
      </w:r>
      <w:r w:rsidR="0047179D" w:rsidRPr="00403220">
        <w:rPr>
          <w:rFonts w:cs="Times New Roman"/>
          <w:i/>
          <w:szCs w:val="24"/>
          <w:lang w:val="fr-CA"/>
        </w:rPr>
        <w:t>ontext</w:t>
      </w:r>
      <w:bookmarkEnd w:id="42"/>
      <w:r w:rsidR="0047179D" w:rsidRPr="00403220">
        <w:rPr>
          <w:rFonts w:cs="Times New Roman"/>
          <w:i/>
          <w:szCs w:val="24"/>
          <w:lang w:val="fr-CA"/>
        </w:rPr>
        <w:t xml:space="preserve">e plus </w:t>
      </w:r>
      <w:r w:rsidR="001E1FE1" w:rsidRPr="00403220">
        <w:rPr>
          <w:rFonts w:cs="Times New Roman"/>
          <w:i/>
          <w:szCs w:val="24"/>
          <w:lang w:val="fr-CA"/>
        </w:rPr>
        <w:t>général</w:t>
      </w:r>
      <w:bookmarkEnd w:id="43"/>
    </w:p>
    <w:p w:rsidR="0047179D" w:rsidRPr="00403220" w:rsidRDefault="0047179D" w:rsidP="005077DA">
      <w:pPr>
        <w:pStyle w:val="ParaNoNdepar-AltN"/>
        <w:rPr>
          <w:rFonts w:cs="Times New Roman"/>
          <w:szCs w:val="24"/>
          <w:lang w:val="fr-CA"/>
        </w:rPr>
      </w:pPr>
      <w:r w:rsidRPr="00403220">
        <w:rPr>
          <w:rFonts w:cs="Times New Roman"/>
          <w:szCs w:val="24"/>
          <w:lang w:val="fr-CA"/>
        </w:rPr>
        <w:t xml:space="preserve">Le contexte plus </w:t>
      </w:r>
      <w:r w:rsidR="001E1FE1" w:rsidRPr="00403220">
        <w:rPr>
          <w:rFonts w:cs="Times New Roman"/>
          <w:szCs w:val="24"/>
          <w:lang w:val="fr-CA"/>
        </w:rPr>
        <w:t>généra</w:t>
      </w:r>
      <w:r w:rsidRPr="00403220">
        <w:rPr>
          <w:rFonts w:cs="Times New Roman"/>
          <w:szCs w:val="24"/>
          <w:lang w:val="fr-CA"/>
        </w:rPr>
        <w:t xml:space="preserve">l de </w:t>
      </w:r>
      <w:r w:rsidR="00117EFF" w:rsidRPr="00403220">
        <w:rPr>
          <w:rFonts w:cs="Times New Roman"/>
          <w:szCs w:val="24"/>
          <w:lang w:val="fr-CA"/>
        </w:rPr>
        <w:t>l</w:t>
      </w:r>
      <w:r w:rsidRPr="00403220">
        <w:rPr>
          <w:rFonts w:cs="Times New Roman"/>
          <w:szCs w:val="24"/>
          <w:lang w:val="fr-CA"/>
        </w:rPr>
        <w:t xml:space="preserve">a </w:t>
      </w:r>
      <w:r w:rsidR="002B6005" w:rsidRPr="00403220">
        <w:rPr>
          <w:rFonts w:cs="Times New Roman"/>
          <w:szCs w:val="24"/>
          <w:lang w:val="fr-CA"/>
        </w:rPr>
        <w:t>l</w:t>
      </w:r>
      <w:r w:rsidRPr="00403220">
        <w:rPr>
          <w:rFonts w:cs="Times New Roman"/>
          <w:szCs w:val="24"/>
          <w:lang w:val="fr-CA"/>
        </w:rPr>
        <w:t xml:space="preserve">oi étaye fortement la conclusion que la législature de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xml:space="preserve"> n</w:t>
      </w:r>
      <w:r w:rsidR="008372AA" w:rsidRPr="00403220">
        <w:rPr>
          <w:rFonts w:cs="Times New Roman"/>
          <w:szCs w:val="24"/>
          <w:lang w:val="fr-CA"/>
        </w:rPr>
        <w:t>’</w:t>
      </w:r>
      <w:r w:rsidRPr="00403220">
        <w:rPr>
          <w:rFonts w:cs="Times New Roman"/>
          <w:szCs w:val="24"/>
          <w:lang w:val="fr-CA"/>
        </w:rPr>
        <w:t>avait pas l</w:t>
      </w:r>
      <w:r w:rsidR="008372AA" w:rsidRPr="00403220">
        <w:rPr>
          <w:rFonts w:cs="Times New Roman"/>
          <w:szCs w:val="24"/>
          <w:lang w:val="fr-CA"/>
        </w:rPr>
        <w:t>’</w:t>
      </w:r>
      <w:r w:rsidRPr="00403220">
        <w:rPr>
          <w:rFonts w:cs="Times New Roman"/>
          <w:szCs w:val="24"/>
          <w:lang w:val="fr-CA"/>
        </w:rPr>
        <w:t>intention d</w:t>
      </w:r>
      <w:r w:rsidR="008372AA" w:rsidRPr="00403220">
        <w:rPr>
          <w:rFonts w:cs="Times New Roman"/>
          <w:szCs w:val="24"/>
          <w:lang w:val="fr-CA"/>
        </w:rPr>
        <w:t>’</w:t>
      </w:r>
      <w:r w:rsidRPr="00403220">
        <w:rPr>
          <w:rFonts w:cs="Times New Roman"/>
          <w:szCs w:val="24"/>
          <w:lang w:val="fr-CA"/>
        </w:rPr>
        <w:t>imposer au gouvernement fédéral la responsabilité d</w:t>
      </w:r>
      <w:r w:rsidR="008372AA" w:rsidRPr="00403220">
        <w:rPr>
          <w:rFonts w:cs="Times New Roman"/>
          <w:szCs w:val="24"/>
          <w:lang w:val="fr-CA"/>
        </w:rPr>
        <w:t>’</w:t>
      </w:r>
      <w:r w:rsidRPr="00403220">
        <w:rPr>
          <w:rFonts w:cs="Times New Roman"/>
          <w:szCs w:val="24"/>
          <w:lang w:val="fr-CA"/>
        </w:rPr>
        <w:t xml:space="preserve">un fabricant de produits du tabac.  La </w:t>
      </w:r>
      <w:r w:rsidRPr="00403220">
        <w:rPr>
          <w:rFonts w:cs="Times New Roman"/>
          <w:i/>
          <w:szCs w:val="24"/>
          <w:lang w:val="fr-CA"/>
        </w:rPr>
        <w:t>CRA</w:t>
      </w:r>
      <w:r w:rsidRPr="00403220">
        <w:rPr>
          <w:rFonts w:cs="Times New Roman"/>
          <w:szCs w:val="24"/>
          <w:lang w:val="fr-CA"/>
        </w:rPr>
        <w:t xml:space="preserve"> a pour objet </w:t>
      </w:r>
      <w:r w:rsidR="00117EFF" w:rsidRPr="00403220">
        <w:rPr>
          <w:rFonts w:cs="Times New Roman"/>
          <w:szCs w:val="24"/>
          <w:lang w:val="fr-CA"/>
        </w:rPr>
        <w:t xml:space="preserve">le recouvrement du </w:t>
      </w:r>
      <w:r w:rsidRPr="00403220">
        <w:rPr>
          <w:rFonts w:cs="Times New Roman"/>
          <w:szCs w:val="24"/>
          <w:lang w:val="fr-CA"/>
        </w:rPr>
        <w:t xml:space="preserve">coût des soins de santé fournis aux </w:t>
      </w:r>
      <w:proofErr w:type="spellStart"/>
      <w:r w:rsidRPr="00403220">
        <w:rPr>
          <w:rFonts w:cs="Times New Roman"/>
          <w:szCs w:val="24"/>
          <w:lang w:val="fr-CA"/>
        </w:rPr>
        <w:t>Britanno</w:t>
      </w:r>
      <w:proofErr w:type="spellEnd"/>
      <w:r w:rsidR="004031B6">
        <w:rPr>
          <w:rFonts w:cs="Times New Roman"/>
          <w:szCs w:val="24"/>
          <w:lang w:val="fr-CA"/>
        </w:rPr>
        <w:t>-</w:t>
      </w:r>
      <w:r w:rsidRPr="00403220">
        <w:rPr>
          <w:rFonts w:cs="Times New Roman"/>
          <w:szCs w:val="24"/>
          <w:lang w:val="fr-CA"/>
        </w:rPr>
        <w:t>Colombiens auprès des compagnies qui leur ont vendu des produits du tabac.  Comme l</w:t>
      </w:r>
      <w:r w:rsidR="008372AA" w:rsidRPr="00403220">
        <w:rPr>
          <w:rFonts w:cs="Times New Roman"/>
          <w:szCs w:val="24"/>
          <w:lang w:val="fr-CA"/>
        </w:rPr>
        <w:t>’</w:t>
      </w:r>
      <w:r w:rsidRPr="00403220">
        <w:rPr>
          <w:rFonts w:cs="Times New Roman"/>
          <w:szCs w:val="24"/>
          <w:lang w:val="fr-CA"/>
        </w:rPr>
        <w:t xml:space="preserve">a affirmé notre Cour dans </w:t>
      </w:r>
      <w:proofErr w:type="spellStart"/>
      <w:r w:rsidRPr="00403220">
        <w:rPr>
          <w:rFonts w:cs="Times New Roman"/>
          <w:i/>
          <w:szCs w:val="24"/>
          <w:lang w:val="fr-CA"/>
        </w:rPr>
        <w:t>Colombie</w:t>
      </w:r>
      <w:r w:rsidR="00A54DAC" w:rsidRPr="00403220">
        <w:rPr>
          <w:rFonts w:cs="Times New Roman"/>
          <w:i/>
          <w:szCs w:val="24"/>
          <w:lang w:val="fr-CA"/>
        </w:rPr>
        <w:noBreakHyphen/>
      </w:r>
      <w:r w:rsidRPr="00403220">
        <w:rPr>
          <w:rFonts w:cs="Times New Roman"/>
          <w:i/>
          <w:szCs w:val="24"/>
          <w:lang w:val="fr-CA"/>
        </w:rPr>
        <w:t>Britannique</w:t>
      </w:r>
      <w:proofErr w:type="spellEnd"/>
      <w:r w:rsidRPr="00403220">
        <w:rPr>
          <w:rFonts w:cs="Times New Roman"/>
          <w:szCs w:val="24"/>
          <w:lang w:val="fr-CA"/>
        </w:rPr>
        <w:t xml:space="preserve"> </w:t>
      </w:r>
      <w:r w:rsidRPr="00403220">
        <w:rPr>
          <w:rFonts w:cs="Times New Roman"/>
          <w:bCs/>
          <w:i/>
          <w:iCs/>
          <w:szCs w:val="24"/>
          <w:lang w:val="fr-CA"/>
        </w:rPr>
        <w:t xml:space="preserve">c. </w:t>
      </w:r>
      <w:r w:rsidR="00847C22" w:rsidRPr="00403220">
        <w:rPr>
          <w:rFonts w:cs="Times New Roman"/>
          <w:bCs/>
          <w:i/>
          <w:iCs/>
          <w:szCs w:val="24"/>
          <w:lang w:val="fr-CA"/>
        </w:rPr>
        <w:t>Imperial Tobacco</w:t>
      </w:r>
      <w:r w:rsidRPr="00403220">
        <w:rPr>
          <w:rFonts w:cs="Times New Roman"/>
          <w:bCs/>
          <w:i/>
          <w:iCs/>
          <w:szCs w:val="24"/>
          <w:lang w:val="fr-CA"/>
        </w:rPr>
        <w:t xml:space="preserve"> Canada </w:t>
      </w:r>
      <w:proofErr w:type="spellStart"/>
      <w:r w:rsidR="004031B6">
        <w:rPr>
          <w:rFonts w:cs="Times New Roman"/>
          <w:bCs/>
          <w:i/>
          <w:iCs/>
          <w:szCs w:val="24"/>
          <w:lang w:val="fr-CA"/>
        </w:rPr>
        <w:t>L</w:t>
      </w:r>
      <w:r w:rsidR="00566993" w:rsidRPr="00403220">
        <w:rPr>
          <w:rFonts w:cs="Times New Roman"/>
          <w:bCs/>
          <w:i/>
          <w:iCs/>
          <w:szCs w:val="24"/>
          <w:lang w:val="fr-CA"/>
        </w:rPr>
        <w:t>tée</w:t>
      </w:r>
      <w:proofErr w:type="spellEnd"/>
      <w:r w:rsidR="002917A3" w:rsidRPr="00403220">
        <w:rPr>
          <w:rFonts w:cs="Times New Roman"/>
          <w:bCs/>
          <w:iCs/>
          <w:szCs w:val="24"/>
          <w:lang w:val="fr-CA"/>
        </w:rPr>
        <w:t>, 2005 CSC 49, [2005] 2 R.C.S. 473</w:t>
      </w:r>
      <w:r w:rsidR="00A54DAC" w:rsidRPr="00403220">
        <w:rPr>
          <w:rFonts w:cs="Times New Roman"/>
          <w:bCs/>
          <w:i/>
          <w:iCs/>
          <w:szCs w:val="24"/>
          <w:lang w:val="fr-CA"/>
        </w:rPr>
        <w:t> </w:t>
      </w:r>
      <w:r w:rsidR="00A54DAC" w:rsidRPr="004031B6">
        <w:rPr>
          <w:rFonts w:cs="Times New Roman"/>
          <w:bCs/>
          <w:iCs/>
          <w:szCs w:val="24"/>
          <w:lang w:val="fr-CA"/>
        </w:rPr>
        <w:t>:</w:t>
      </w:r>
    </w:p>
    <w:p w:rsidR="0047179D" w:rsidRPr="00403220" w:rsidRDefault="002256A7" w:rsidP="002256A7">
      <w:pPr>
        <w:pStyle w:val="Citation-AltC"/>
        <w:ind w:hanging="1166"/>
        <w:rPr>
          <w:szCs w:val="24"/>
          <w:lang w:val="fr-CA"/>
        </w:rPr>
      </w:pPr>
      <w:r w:rsidRPr="00403220">
        <w:rPr>
          <w:szCs w:val="24"/>
          <w:lang w:val="fr-CA"/>
        </w:rPr>
        <w:tab/>
      </w:r>
      <w:r w:rsidR="006163A9" w:rsidRPr="00403220">
        <w:rPr>
          <w:szCs w:val="24"/>
          <w:lang w:val="fr-CA"/>
        </w:rPr>
        <w:t>[L’</w:t>
      </w:r>
      <w:proofErr w:type="gramStart"/>
      <w:r w:rsidR="006163A9" w:rsidRPr="00403220">
        <w:rPr>
          <w:szCs w:val="24"/>
          <w:lang w:val="fr-CA"/>
        </w:rPr>
        <w:t>]</w:t>
      </w:r>
      <w:r w:rsidR="0047179D" w:rsidRPr="00403220">
        <w:rPr>
          <w:szCs w:val="24"/>
          <w:lang w:val="fr-CA"/>
        </w:rPr>
        <w:t>élément</w:t>
      </w:r>
      <w:proofErr w:type="gramEnd"/>
      <w:r w:rsidR="0047179D" w:rsidRPr="00403220">
        <w:rPr>
          <w:szCs w:val="24"/>
          <w:lang w:val="fr-CA"/>
        </w:rPr>
        <w:t xml:space="preserve"> déterminant de la cause d</w:t>
      </w:r>
      <w:r w:rsidR="008372AA" w:rsidRPr="00403220">
        <w:rPr>
          <w:szCs w:val="24"/>
          <w:lang w:val="fr-CA"/>
        </w:rPr>
        <w:t>’</w:t>
      </w:r>
      <w:r w:rsidR="0047179D" w:rsidRPr="00403220">
        <w:rPr>
          <w:szCs w:val="24"/>
          <w:lang w:val="fr-CA"/>
        </w:rPr>
        <w:t>action créée par la Loi demeure l</w:t>
      </w:r>
      <w:r w:rsidR="008372AA" w:rsidRPr="00403220">
        <w:rPr>
          <w:szCs w:val="24"/>
          <w:lang w:val="fr-CA"/>
        </w:rPr>
        <w:t>’</w:t>
      </w:r>
      <w:r w:rsidR="0047179D" w:rsidRPr="00403220">
        <w:rPr>
          <w:szCs w:val="24"/>
          <w:lang w:val="fr-CA"/>
        </w:rPr>
        <w:t xml:space="preserve">indemnisation des coûts engagés par le gouvernement de la </w:t>
      </w:r>
      <w:proofErr w:type="spellStart"/>
      <w:r w:rsidR="0047179D" w:rsidRPr="00403220">
        <w:rPr>
          <w:szCs w:val="24"/>
          <w:lang w:val="fr-CA"/>
        </w:rPr>
        <w:t>Colombie</w:t>
      </w:r>
      <w:r w:rsidR="00A54DAC" w:rsidRPr="00403220">
        <w:rPr>
          <w:szCs w:val="24"/>
          <w:lang w:val="fr-CA"/>
        </w:rPr>
        <w:noBreakHyphen/>
      </w:r>
      <w:r w:rsidR="0047179D" w:rsidRPr="00403220">
        <w:rPr>
          <w:szCs w:val="24"/>
          <w:lang w:val="fr-CA"/>
        </w:rPr>
        <w:t>Britannique</w:t>
      </w:r>
      <w:proofErr w:type="spellEnd"/>
      <w:r w:rsidR="0047179D" w:rsidRPr="00403220">
        <w:rPr>
          <w:szCs w:val="24"/>
          <w:lang w:val="fr-CA"/>
        </w:rPr>
        <w:t xml:space="preserve"> au titre des soins de santé, et non la correction des </w:t>
      </w:r>
      <w:r w:rsidR="0047179D" w:rsidRPr="00403220">
        <w:rPr>
          <w:szCs w:val="24"/>
          <w:lang w:val="fr-CA"/>
        </w:rPr>
        <w:lastRenderedPageBreak/>
        <w:t>manquements aux obligations des fabricants de produits du tabac.  La Loi fait de l</w:t>
      </w:r>
      <w:r w:rsidR="008372AA" w:rsidRPr="00403220">
        <w:rPr>
          <w:szCs w:val="24"/>
          <w:lang w:val="fr-CA"/>
        </w:rPr>
        <w:t>’</w:t>
      </w:r>
      <w:r w:rsidR="0047179D" w:rsidRPr="00403220">
        <w:rPr>
          <w:szCs w:val="24"/>
          <w:lang w:val="fr-CA"/>
        </w:rPr>
        <w:t>existence d</w:t>
      </w:r>
      <w:r w:rsidR="008372AA" w:rsidRPr="00403220">
        <w:rPr>
          <w:szCs w:val="24"/>
          <w:lang w:val="fr-CA"/>
        </w:rPr>
        <w:t>’</w:t>
      </w:r>
      <w:r w:rsidR="0047179D" w:rsidRPr="00403220">
        <w:rPr>
          <w:szCs w:val="24"/>
          <w:lang w:val="fr-CA"/>
        </w:rPr>
        <w:t>une violation d</w:t>
      </w:r>
      <w:r w:rsidR="008372AA" w:rsidRPr="00403220">
        <w:rPr>
          <w:szCs w:val="24"/>
          <w:lang w:val="fr-CA"/>
        </w:rPr>
        <w:t>’</w:t>
      </w:r>
      <w:r w:rsidR="0047179D" w:rsidRPr="00403220">
        <w:rPr>
          <w:szCs w:val="24"/>
          <w:lang w:val="fr-CA"/>
        </w:rPr>
        <w:t>une obligation une des diverses conditions préalables à l</w:t>
      </w:r>
      <w:r w:rsidR="008372AA" w:rsidRPr="00403220">
        <w:rPr>
          <w:szCs w:val="24"/>
          <w:lang w:val="fr-CA"/>
        </w:rPr>
        <w:t>’</w:t>
      </w:r>
      <w:r w:rsidR="0047179D" w:rsidRPr="00403220">
        <w:rPr>
          <w:szCs w:val="24"/>
          <w:lang w:val="fr-CA"/>
        </w:rPr>
        <w:t>établissement de la responsabilité du fabricant envers le gouvernement, mais ce n</w:t>
      </w:r>
      <w:r w:rsidR="008372AA" w:rsidRPr="00403220">
        <w:rPr>
          <w:szCs w:val="24"/>
          <w:lang w:val="fr-CA"/>
        </w:rPr>
        <w:t>’</w:t>
      </w:r>
      <w:r w:rsidR="0047179D" w:rsidRPr="00403220">
        <w:rPr>
          <w:szCs w:val="24"/>
          <w:lang w:val="fr-CA"/>
        </w:rPr>
        <w:t>est pas cette faute que vise la cause d</w:t>
      </w:r>
      <w:r w:rsidR="008372AA" w:rsidRPr="00403220">
        <w:rPr>
          <w:szCs w:val="24"/>
          <w:lang w:val="fr-CA"/>
        </w:rPr>
        <w:t>’</w:t>
      </w:r>
      <w:r w:rsidR="002917A3" w:rsidRPr="00403220">
        <w:rPr>
          <w:szCs w:val="24"/>
          <w:lang w:val="fr-CA"/>
        </w:rPr>
        <w:t xml:space="preserve">action créée par la Loi. </w:t>
      </w:r>
      <w:r w:rsidR="003B54EE" w:rsidRPr="00403220">
        <w:rPr>
          <w:szCs w:val="24"/>
          <w:lang w:val="fr-CA"/>
        </w:rPr>
        <w:t xml:space="preserve"> </w:t>
      </w:r>
      <w:r w:rsidR="002917A3" w:rsidRPr="00403220">
        <w:rPr>
          <w:szCs w:val="24"/>
          <w:lang w:val="fr-CA"/>
        </w:rPr>
        <w:t>[</w:t>
      </w:r>
      <w:proofErr w:type="gramStart"/>
      <w:r w:rsidR="00A54DAC" w:rsidRPr="00403220">
        <w:rPr>
          <w:szCs w:val="24"/>
          <w:lang w:val="fr-CA"/>
        </w:rPr>
        <w:t>par</w:t>
      </w:r>
      <w:proofErr w:type="gramEnd"/>
      <w:r w:rsidR="00A54DAC" w:rsidRPr="00403220">
        <w:rPr>
          <w:szCs w:val="24"/>
          <w:lang w:val="fr-CA"/>
        </w:rPr>
        <w:t>. </w:t>
      </w:r>
      <w:r w:rsidR="002917A3" w:rsidRPr="00403220">
        <w:rPr>
          <w:szCs w:val="24"/>
          <w:lang w:val="fr-CA"/>
        </w:rPr>
        <w:t>40]</w:t>
      </w:r>
    </w:p>
    <w:p w:rsidR="0047179D" w:rsidRPr="00403220" w:rsidRDefault="0047179D" w:rsidP="005077DA">
      <w:pPr>
        <w:pStyle w:val="ContinueParaSuitedupar-AltP"/>
        <w:rPr>
          <w:rFonts w:cs="Times New Roman"/>
          <w:szCs w:val="24"/>
          <w:lang w:val="fr-CA"/>
        </w:rPr>
      </w:pPr>
      <w:r w:rsidRPr="00403220">
        <w:rPr>
          <w:rFonts w:cs="Times New Roman"/>
          <w:szCs w:val="24"/>
          <w:lang w:val="fr-CA"/>
        </w:rPr>
        <w:t>La législature cherchait à transférer la responsabilité des frais médicaux des contribuables provinciaux aux entreprises privées qui vendaient un produit nocif.  Cet objectif serait gravement compromis si l</w:t>
      </w:r>
      <w:r w:rsidR="008372AA" w:rsidRPr="00403220">
        <w:rPr>
          <w:rFonts w:cs="Times New Roman"/>
          <w:szCs w:val="24"/>
          <w:lang w:val="fr-CA"/>
        </w:rPr>
        <w:t>’</w:t>
      </w:r>
      <w:r w:rsidRPr="00403220">
        <w:rPr>
          <w:rFonts w:cs="Times New Roman"/>
          <w:szCs w:val="24"/>
          <w:lang w:val="fr-CA"/>
        </w:rPr>
        <w:t xml:space="preserve">on recouvrait simplement les fonds auprès du gouvernement fédéral, qui tire son revenu des mêmes contribuables.  </w:t>
      </w:r>
    </w:p>
    <w:p w:rsidR="0047179D" w:rsidRPr="00403220" w:rsidRDefault="0047179D" w:rsidP="005077DA">
      <w:pPr>
        <w:pStyle w:val="ParaNoNdepar-AltN"/>
        <w:rPr>
          <w:rFonts w:cs="Times New Roman"/>
          <w:szCs w:val="24"/>
          <w:lang w:val="fr-CA"/>
        </w:rPr>
      </w:pPr>
      <w:r w:rsidRPr="00403220">
        <w:rPr>
          <w:rFonts w:cs="Times New Roman"/>
          <w:szCs w:val="24"/>
          <w:lang w:val="fr-CA"/>
        </w:rPr>
        <w:t>L</w:t>
      </w:r>
      <w:r w:rsidR="008372AA" w:rsidRPr="00403220">
        <w:rPr>
          <w:rFonts w:cs="Times New Roman"/>
          <w:szCs w:val="24"/>
          <w:lang w:val="fr-CA"/>
        </w:rPr>
        <w:t>’</w:t>
      </w:r>
      <w:r w:rsidRPr="00403220">
        <w:rPr>
          <w:rFonts w:cs="Times New Roman"/>
          <w:szCs w:val="24"/>
          <w:lang w:val="fr-CA"/>
        </w:rPr>
        <w:t xml:space="preserve">assujettissement du Canada à la </w:t>
      </w:r>
      <w:r w:rsidRPr="00403220">
        <w:rPr>
          <w:rFonts w:cs="Times New Roman"/>
          <w:i/>
          <w:szCs w:val="24"/>
          <w:lang w:val="fr-CA"/>
        </w:rPr>
        <w:t>CRA</w:t>
      </w:r>
      <w:r w:rsidRPr="00403220">
        <w:rPr>
          <w:rFonts w:cs="Times New Roman"/>
          <w:szCs w:val="24"/>
          <w:lang w:val="fr-CA"/>
        </w:rPr>
        <w:t xml:space="preserve"> que font valoir les compagnies de tabac est particulièrement problématique compte tenu des rapports de longue date entre le gouvernement fédéral et les provinces en matière de financement des soins de santé.  </w:t>
      </w:r>
      <w:r w:rsidR="002917A3" w:rsidRPr="00403220">
        <w:rPr>
          <w:rFonts w:cs="Times New Roman"/>
          <w:szCs w:val="24"/>
          <w:lang w:val="fr-CA"/>
        </w:rPr>
        <w:t>Depuis des décennies, l</w:t>
      </w:r>
      <w:r w:rsidRPr="00403220">
        <w:rPr>
          <w:rFonts w:cs="Times New Roman"/>
          <w:szCs w:val="24"/>
          <w:lang w:val="fr-CA"/>
        </w:rPr>
        <w:t xml:space="preserve">e gouvernement fédéral </w:t>
      </w:r>
      <w:r w:rsidR="002917A3" w:rsidRPr="00403220">
        <w:rPr>
          <w:rFonts w:cs="Times New Roman"/>
          <w:szCs w:val="24"/>
          <w:lang w:val="fr-CA"/>
        </w:rPr>
        <w:t>verse</w:t>
      </w:r>
      <w:r w:rsidRPr="00403220">
        <w:rPr>
          <w:rFonts w:cs="Times New Roman"/>
          <w:szCs w:val="24"/>
          <w:lang w:val="fr-CA"/>
        </w:rPr>
        <w:t xml:space="preserve"> aux provinces des</w:t>
      </w:r>
      <w:r w:rsidR="001B7E18" w:rsidRPr="00403220">
        <w:rPr>
          <w:rFonts w:cs="Times New Roman"/>
          <w:szCs w:val="24"/>
          <w:lang w:val="fr-CA"/>
        </w:rPr>
        <w:t xml:space="preserve"> paiements de</w:t>
      </w:r>
      <w:r w:rsidRPr="00403220">
        <w:rPr>
          <w:rFonts w:cs="Times New Roman"/>
          <w:szCs w:val="24"/>
          <w:lang w:val="fr-CA"/>
        </w:rPr>
        <w:t xml:space="preserve"> transfert relatifs </w:t>
      </w:r>
      <w:r w:rsidR="008830FB" w:rsidRPr="00403220">
        <w:rPr>
          <w:rFonts w:cs="Times New Roman"/>
          <w:szCs w:val="24"/>
          <w:lang w:val="fr-CA"/>
        </w:rPr>
        <w:t xml:space="preserve">à la </w:t>
      </w:r>
      <w:r w:rsidRPr="00403220">
        <w:rPr>
          <w:rFonts w:cs="Times New Roman"/>
          <w:szCs w:val="24"/>
          <w:lang w:val="fr-CA"/>
        </w:rPr>
        <w:t>santé.  Comme l</w:t>
      </w:r>
      <w:r w:rsidR="008372AA" w:rsidRPr="00403220">
        <w:rPr>
          <w:rFonts w:cs="Times New Roman"/>
          <w:szCs w:val="24"/>
          <w:lang w:val="fr-CA"/>
        </w:rPr>
        <w:t>’</w:t>
      </w:r>
      <w:r w:rsidRPr="00403220">
        <w:rPr>
          <w:rFonts w:cs="Times New Roman"/>
          <w:szCs w:val="24"/>
          <w:lang w:val="fr-CA"/>
        </w:rPr>
        <w:t>a mentionné le juge Hall</w:t>
      </w:r>
      <w:r w:rsidR="00A54DAC" w:rsidRPr="00403220">
        <w:rPr>
          <w:rFonts w:cs="Times New Roman"/>
          <w:szCs w:val="24"/>
          <w:lang w:val="fr-CA"/>
        </w:rPr>
        <w:t> :</w:t>
      </w:r>
    </w:p>
    <w:p w:rsidR="0047179D" w:rsidRPr="00403220" w:rsidRDefault="002256A7" w:rsidP="002256A7">
      <w:pPr>
        <w:pStyle w:val="Citation-AltC"/>
        <w:ind w:hanging="1166"/>
        <w:rPr>
          <w:szCs w:val="24"/>
          <w:lang w:val="fr-CA"/>
        </w:rPr>
      </w:pPr>
      <w:r w:rsidRPr="00403220">
        <w:rPr>
          <w:szCs w:val="24"/>
          <w:lang w:val="fr-CA"/>
        </w:rPr>
        <w:tab/>
      </w:r>
      <w:r w:rsidR="004031B6" w:rsidRPr="00403220">
        <w:rPr>
          <w:szCs w:val="24"/>
          <w:lang w:val="fr-CA"/>
        </w:rPr>
        <w:t>[</w:t>
      </w:r>
      <w:r w:rsidR="004031B6" w:rsidRPr="00403220">
        <w:rPr>
          <w:smallCaps/>
          <w:szCs w:val="24"/>
          <w:lang w:val="fr-CA"/>
        </w:rPr>
        <w:t>traduction]</w:t>
      </w:r>
      <w:r w:rsidR="004031B6">
        <w:rPr>
          <w:smallCaps/>
          <w:szCs w:val="24"/>
          <w:lang w:val="fr-CA"/>
        </w:rPr>
        <w:t xml:space="preserve"> </w:t>
      </w:r>
      <w:r w:rsidR="0047179D" w:rsidRPr="00403220">
        <w:rPr>
          <w:szCs w:val="24"/>
          <w:lang w:val="fr-CA"/>
        </w:rPr>
        <w:t>Si l</w:t>
      </w:r>
      <w:r w:rsidR="008372AA" w:rsidRPr="00403220">
        <w:rPr>
          <w:szCs w:val="24"/>
          <w:lang w:val="fr-CA"/>
        </w:rPr>
        <w:t>’</w:t>
      </w:r>
      <w:r w:rsidR="0047179D" w:rsidRPr="00403220">
        <w:rPr>
          <w:szCs w:val="24"/>
          <w:lang w:val="fr-CA"/>
        </w:rPr>
        <w:t xml:space="preserve">on interprétait la </w:t>
      </w:r>
      <w:proofErr w:type="spellStart"/>
      <w:r w:rsidR="0047179D" w:rsidRPr="00403220">
        <w:rPr>
          <w:i/>
          <w:iCs/>
          <w:szCs w:val="24"/>
          <w:lang w:val="fr-CA"/>
        </w:rPr>
        <w:t>Costs</w:t>
      </w:r>
      <w:proofErr w:type="spellEnd"/>
      <w:r w:rsidR="0047179D" w:rsidRPr="00403220">
        <w:rPr>
          <w:i/>
          <w:iCs/>
          <w:szCs w:val="24"/>
          <w:lang w:val="fr-CA"/>
        </w:rPr>
        <w:t xml:space="preserve"> </w:t>
      </w:r>
      <w:proofErr w:type="spellStart"/>
      <w:r w:rsidR="0047179D" w:rsidRPr="00403220">
        <w:rPr>
          <w:i/>
          <w:iCs/>
          <w:szCs w:val="24"/>
          <w:lang w:val="fr-CA"/>
        </w:rPr>
        <w:t>Recovery</w:t>
      </w:r>
      <w:proofErr w:type="spellEnd"/>
      <w:r w:rsidR="0047179D" w:rsidRPr="00403220">
        <w:rPr>
          <w:i/>
          <w:iCs/>
          <w:szCs w:val="24"/>
          <w:lang w:val="fr-CA"/>
        </w:rPr>
        <w:t xml:space="preserve"> </w:t>
      </w:r>
      <w:proofErr w:type="spellStart"/>
      <w:r w:rsidR="0047179D" w:rsidRPr="00403220">
        <w:rPr>
          <w:i/>
          <w:iCs/>
          <w:szCs w:val="24"/>
          <w:lang w:val="fr-CA"/>
        </w:rPr>
        <w:t>Act</w:t>
      </w:r>
      <w:proofErr w:type="spellEnd"/>
      <w:r w:rsidR="0047179D" w:rsidRPr="00403220">
        <w:rPr>
          <w:szCs w:val="24"/>
          <w:lang w:val="fr-CA"/>
        </w:rPr>
        <w:t xml:space="preserve"> comme permettant de qualifier le Canada de fabricant visé aux fins du recouvrement des coûts engagés par les provinces au titre des soins de santé, il serait possible pour la </w:t>
      </w:r>
      <w:proofErr w:type="spellStart"/>
      <w:r w:rsidR="0047179D" w:rsidRPr="00403220">
        <w:rPr>
          <w:szCs w:val="24"/>
          <w:lang w:val="fr-CA"/>
        </w:rPr>
        <w:t>Colombie</w:t>
      </w:r>
      <w:r w:rsidR="00A54DAC" w:rsidRPr="00403220">
        <w:rPr>
          <w:szCs w:val="24"/>
          <w:lang w:val="fr-CA"/>
        </w:rPr>
        <w:noBreakHyphen/>
      </w:r>
      <w:r w:rsidR="0047179D" w:rsidRPr="00403220">
        <w:rPr>
          <w:szCs w:val="24"/>
          <w:lang w:val="fr-CA"/>
        </w:rPr>
        <w:t>Britannique</w:t>
      </w:r>
      <w:proofErr w:type="spellEnd"/>
      <w:r w:rsidR="0047179D" w:rsidRPr="00403220">
        <w:rPr>
          <w:szCs w:val="24"/>
          <w:lang w:val="fr-CA"/>
        </w:rPr>
        <w:t xml:space="preserve"> d</w:t>
      </w:r>
      <w:r w:rsidR="008372AA" w:rsidRPr="00403220">
        <w:rPr>
          <w:szCs w:val="24"/>
          <w:lang w:val="fr-CA"/>
        </w:rPr>
        <w:t>’</w:t>
      </w:r>
      <w:r w:rsidR="0047179D" w:rsidRPr="00403220">
        <w:rPr>
          <w:szCs w:val="24"/>
          <w:lang w:val="fr-CA"/>
        </w:rPr>
        <w:t>exercer un recours pécuniaire direct contre le Canada en vue d</w:t>
      </w:r>
      <w:r w:rsidR="008372AA" w:rsidRPr="00403220">
        <w:rPr>
          <w:szCs w:val="24"/>
          <w:lang w:val="fr-CA"/>
        </w:rPr>
        <w:t>’</w:t>
      </w:r>
      <w:r w:rsidR="0047179D" w:rsidRPr="00403220">
        <w:rPr>
          <w:szCs w:val="24"/>
          <w:lang w:val="fr-CA"/>
        </w:rPr>
        <w:t xml:space="preserve">obtenir des fonds supplémentaires </w:t>
      </w:r>
      <w:r w:rsidR="007E2BD5" w:rsidRPr="00403220">
        <w:rPr>
          <w:szCs w:val="24"/>
          <w:lang w:val="fr-CA"/>
        </w:rPr>
        <w:t xml:space="preserve">au titre </w:t>
      </w:r>
      <w:r w:rsidR="0047179D" w:rsidRPr="00403220">
        <w:rPr>
          <w:szCs w:val="24"/>
          <w:lang w:val="fr-CA"/>
        </w:rPr>
        <w:t xml:space="preserve">des soins de santé.  Étant donné ces accords fiscaux de longue date entre les gouvernements, je ne puis imaginer que la législature de la </w:t>
      </w:r>
      <w:proofErr w:type="spellStart"/>
      <w:r w:rsidR="0047179D" w:rsidRPr="00403220">
        <w:rPr>
          <w:szCs w:val="24"/>
          <w:lang w:val="fr-CA"/>
        </w:rPr>
        <w:t>Colombie</w:t>
      </w:r>
      <w:r w:rsidR="00A54DAC" w:rsidRPr="00403220">
        <w:rPr>
          <w:szCs w:val="24"/>
          <w:lang w:val="fr-CA"/>
        </w:rPr>
        <w:noBreakHyphen/>
      </w:r>
      <w:r w:rsidR="0047179D" w:rsidRPr="00403220">
        <w:rPr>
          <w:szCs w:val="24"/>
          <w:lang w:val="fr-CA"/>
        </w:rPr>
        <w:t>Britannique</w:t>
      </w:r>
      <w:proofErr w:type="spellEnd"/>
      <w:r w:rsidR="0047179D" w:rsidRPr="00403220">
        <w:rPr>
          <w:szCs w:val="24"/>
          <w:lang w:val="fr-CA"/>
        </w:rPr>
        <w:t xml:space="preserve"> ait pensé à quelque moment que ce soit à la possibilité que le Canada soit poursuivi en vertu de la </w:t>
      </w:r>
      <w:proofErr w:type="spellStart"/>
      <w:r w:rsidR="0047179D" w:rsidRPr="00403220">
        <w:rPr>
          <w:i/>
          <w:iCs/>
          <w:szCs w:val="24"/>
          <w:lang w:val="fr-CA"/>
        </w:rPr>
        <w:t>Costs</w:t>
      </w:r>
      <w:proofErr w:type="spellEnd"/>
      <w:r w:rsidR="0047179D" w:rsidRPr="00403220">
        <w:rPr>
          <w:i/>
          <w:iCs/>
          <w:szCs w:val="24"/>
          <w:lang w:val="fr-CA"/>
        </w:rPr>
        <w:t xml:space="preserve"> </w:t>
      </w:r>
      <w:proofErr w:type="spellStart"/>
      <w:r w:rsidR="0047179D" w:rsidRPr="00403220">
        <w:rPr>
          <w:i/>
          <w:iCs/>
          <w:szCs w:val="24"/>
          <w:lang w:val="fr-CA"/>
        </w:rPr>
        <w:t>Recovery</w:t>
      </w:r>
      <w:proofErr w:type="spellEnd"/>
      <w:r w:rsidR="0047179D" w:rsidRPr="00403220">
        <w:rPr>
          <w:i/>
          <w:iCs/>
          <w:szCs w:val="24"/>
          <w:lang w:val="fr-CA"/>
        </w:rPr>
        <w:t xml:space="preserve"> </w:t>
      </w:r>
      <w:proofErr w:type="spellStart"/>
      <w:r w:rsidR="0047179D" w:rsidRPr="00403220">
        <w:rPr>
          <w:i/>
          <w:iCs/>
          <w:szCs w:val="24"/>
          <w:lang w:val="fr-CA"/>
        </w:rPr>
        <w:t>Act</w:t>
      </w:r>
      <w:proofErr w:type="spellEnd"/>
      <w:r w:rsidR="0047179D" w:rsidRPr="00403220">
        <w:rPr>
          <w:szCs w:val="24"/>
          <w:lang w:val="fr-CA"/>
        </w:rPr>
        <w:t>.</w:t>
      </w:r>
      <w:r w:rsidR="00DA0101" w:rsidRPr="00403220">
        <w:rPr>
          <w:szCs w:val="24"/>
          <w:lang w:val="fr-CA"/>
        </w:rPr>
        <w:t xml:space="preserve"> </w:t>
      </w:r>
      <w:r w:rsidR="002917A3" w:rsidRPr="00403220">
        <w:rPr>
          <w:szCs w:val="24"/>
          <w:lang w:val="fr-CA"/>
        </w:rPr>
        <w:t xml:space="preserve"> [</w:t>
      </w:r>
      <w:proofErr w:type="gramStart"/>
      <w:r w:rsidR="00A54DAC" w:rsidRPr="00403220">
        <w:rPr>
          <w:szCs w:val="24"/>
          <w:lang w:val="fr-CA"/>
        </w:rPr>
        <w:t>par</w:t>
      </w:r>
      <w:proofErr w:type="gramEnd"/>
      <w:r w:rsidR="00A54DAC" w:rsidRPr="00403220">
        <w:rPr>
          <w:szCs w:val="24"/>
          <w:lang w:val="fr-CA"/>
        </w:rPr>
        <w:t>. </w:t>
      </w:r>
      <w:r w:rsidR="002917A3" w:rsidRPr="00403220">
        <w:rPr>
          <w:szCs w:val="24"/>
          <w:lang w:val="fr-CA"/>
        </w:rPr>
        <w:t>33]</w:t>
      </w:r>
    </w:p>
    <w:p w:rsidR="0047179D" w:rsidRPr="00403220" w:rsidRDefault="00847C22" w:rsidP="005077DA">
      <w:pPr>
        <w:pStyle w:val="ParaNoNdepar-AltN"/>
        <w:rPr>
          <w:rFonts w:cs="Times New Roman"/>
          <w:szCs w:val="24"/>
          <w:lang w:val="fr-CA"/>
        </w:rPr>
      </w:pPr>
      <w:r w:rsidRPr="00403220">
        <w:rPr>
          <w:rFonts w:cs="Times New Roman"/>
          <w:szCs w:val="24"/>
          <w:lang w:val="fr-CA"/>
        </w:rPr>
        <w:lastRenderedPageBreak/>
        <w:t xml:space="preserve">Imperial </w:t>
      </w:r>
      <w:r w:rsidR="0047179D" w:rsidRPr="00403220">
        <w:rPr>
          <w:rFonts w:cs="Times New Roman"/>
          <w:szCs w:val="24"/>
          <w:lang w:val="fr-CA"/>
        </w:rPr>
        <w:t>soutient que le seul moyen de réaliser l</w:t>
      </w:r>
      <w:r w:rsidR="008372AA" w:rsidRPr="00403220">
        <w:rPr>
          <w:rFonts w:cs="Times New Roman"/>
          <w:szCs w:val="24"/>
          <w:lang w:val="fr-CA"/>
        </w:rPr>
        <w:t>’</w:t>
      </w:r>
      <w:r w:rsidR="0047179D" w:rsidRPr="00403220">
        <w:rPr>
          <w:rFonts w:cs="Times New Roman"/>
          <w:szCs w:val="24"/>
          <w:lang w:val="fr-CA"/>
        </w:rPr>
        <w:t xml:space="preserve">objet de la </w:t>
      </w:r>
      <w:r w:rsidR="0047179D" w:rsidRPr="00403220">
        <w:rPr>
          <w:rFonts w:cs="Times New Roman"/>
          <w:i/>
          <w:szCs w:val="24"/>
          <w:lang w:val="fr-CA"/>
        </w:rPr>
        <w:t>CRA</w:t>
      </w:r>
      <w:r w:rsidR="0047179D" w:rsidRPr="00403220">
        <w:rPr>
          <w:rFonts w:cs="Times New Roman"/>
          <w:szCs w:val="24"/>
          <w:lang w:val="fr-CA"/>
        </w:rPr>
        <w:t xml:space="preserve"> est d</w:t>
      </w:r>
      <w:r w:rsidR="008372AA" w:rsidRPr="00403220">
        <w:rPr>
          <w:rFonts w:cs="Times New Roman"/>
          <w:szCs w:val="24"/>
          <w:lang w:val="fr-CA"/>
        </w:rPr>
        <w:t>’</w:t>
      </w:r>
      <w:r w:rsidR="0047179D" w:rsidRPr="00403220">
        <w:rPr>
          <w:rFonts w:cs="Times New Roman"/>
          <w:szCs w:val="24"/>
          <w:lang w:val="fr-CA"/>
        </w:rPr>
        <w:t>autoriser la province à recouvr</w:t>
      </w:r>
      <w:r w:rsidR="007E2BD5" w:rsidRPr="00403220">
        <w:rPr>
          <w:rFonts w:cs="Times New Roman"/>
          <w:szCs w:val="24"/>
          <w:lang w:val="fr-CA"/>
        </w:rPr>
        <w:t>e</w:t>
      </w:r>
      <w:r w:rsidR="0047179D" w:rsidRPr="00403220">
        <w:rPr>
          <w:rFonts w:cs="Times New Roman"/>
          <w:szCs w:val="24"/>
          <w:lang w:val="fr-CA"/>
        </w:rPr>
        <w:t>r le coût des soins de santé auprès de</w:t>
      </w:r>
      <w:r w:rsidR="007E2BD5" w:rsidRPr="00403220">
        <w:rPr>
          <w:rFonts w:cs="Times New Roman"/>
          <w:szCs w:val="24"/>
          <w:lang w:val="fr-CA"/>
        </w:rPr>
        <w:t xml:space="preserve"> tou</w:t>
      </w:r>
      <w:r w:rsidR="0047179D" w:rsidRPr="00403220">
        <w:rPr>
          <w:rFonts w:cs="Times New Roman"/>
          <w:szCs w:val="24"/>
          <w:lang w:val="fr-CA"/>
        </w:rPr>
        <w:t xml:space="preserve">s les </w:t>
      </w:r>
      <w:r w:rsidR="007E2BD5" w:rsidRPr="00403220">
        <w:rPr>
          <w:rFonts w:cs="Times New Roman"/>
          <w:szCs w:val="24"/>
          <w:lang w:val="fr-CA"/>
        </w:rPr>
        <w:t xml:space="preserve">participants </w:t>
      </w:r>
      <w:r w:rsidR="0047179D" w:rsidRPr="00403220">
        <w:rPr>
          <w:rFonts w:cs="Times New Roman"/>
          <w:szCs w:val="24"/>
          <w:lang w:val="fr-CA"/>
        </w:rPr>
        <w:t>à l</w:t>
      </w:r>
      <w:r w:rsidR="008372AA" w:rsidRPr="00403220">
        <w:rPr>
          <w:rFonts w:cs="Times New Roman"/>
          <w:szCs w:val="24"/>
          <w:lang w:val="fr-CA"/>
        </w:rPr>
        <w:t>’</w:t>
      </w:r>
      <w:r w:rsidR="0047179D" w:rsidRPr="00403220">
        <w:rPr>
          <w:rFonts w:cs="Times New Roman"/>
          <w:szCs w:val="24"/>
          <w:lang w:val="fr-CA"/>
        </w:rPr>
        <w:t>industrie du tabac, dont le gouvernement fédér</w:t>
      </w:r>
      <w:r w:rsidR="00A54DAC" w:rsidRPr="00403220">
        <w:rPr>
          <w:rFonts w:cs="Times New Roman"/>
          <w:szCs w:val="24"/>
          <w:lang w:val="fr-CA"/>
        </w:rPr>
        <w:t>al.</w:t>
      </w:r>
      <w:r w:rsidR="00DA0101" w:rsidRPr="00403220">
        <w:rPr>
          <w:rFonts w:cs="Times New Roman"/>
          <w:szCs w:val="24"/>
          <w:lang w:val="fr-CA"/>
        </w:rPr>
        <w:t xml:space="preserve"> </w:t>
      </w:r>
      <w:r w:rsidR="0047179D" w:rsidRPr="00403220">
        <w:rPr>
          <w:rFonts w:cs="Times New Roman"/>
          <w:szCs w:val="24"/>
          <w:lang w:val="fr-CA"/>
        </w:rPr>
        <w:t xml:space="preserve"> </w:t>
      </w:r>
      <w:r w:rsidR="001B7E18" w:rsidRPr="00403220">
        <w:rPr>
          <w:rFonts w:cs="Times New Roman"/>
          <w:szCs w:val="24"/>
          <w:lang w:val="fr-CA"/>
        </w:rPr>
        <w:t>Je ne puis retenir cet argument.  Si</w:t>
      </w:r>
      <w:r w:rsidR="0047179D" w:rsidRPr="00403220">
        <w:rPr>
          <w:rFonts w:cs="Times New Roman"/>
          <w:szCs w:val="24"/>
          <w:lang w:val="fr-CA"/>
        </w:rPr>
        <w:t xml:space="preserve"> l</w:t>
      </w:r>
      <w:r w:rsidR="008372AA" w:rsidRPr="00403220">
        <w:rPr>
          <w:rFonts w:cs="Times New Roman"/>
          <w:szCs w:val="24"/>
          <w:lang w:val="fr-CA"/>
        </w:rPr>
        <w:t>’</w:t>
      </w:r>
      <w:r w:rsidR="0047179D" w:rsidRPr="00403220">
        <w:rPr>
          <w:rFonts w:cs="Times New Roman"/>
          <w:szCs w:val="24"/>
          <w:lang w:val="fr-CA"/>
        </w:rPr>
        <w:t xml:space="preserve">on tenait le gouvernement fédéral responsable en vertu de la </w:t>
      </w:r>
      <w:r w:rsidR="0047179D" w:rsidRPr="00403220">
        <w:rPr>
          <w:rFonts w:cs="Times New Roman"/>
          <w:i/>
          <w:szCs w:val="24"/>
          <w:lang w:val="fr-CA"/>
        </w:rPr>
        <w:t>CRA</w:t>
      </w:r>
      <w:r w:rsidR="0047179D" w:rsidRPr="00403220">
        <w:rPr>
          <w:rFonts w:cs="Times New Roman"/>
          <w:szCs w:val="24"/>
          <w:lang w:val="fr-CA"/>
        </w:rPr>
        <w:t>, cela contrecarrerait l</w:t>
      </w:r>
      <w:r w:rsidR="008372AA" w:rsidRPr="00403220">
        <w:rPr>
          <w:rFonts w:cs="Times New Roman"/>
          <w:szCs w:val="24"/>
          <w:lang w:val="fr-CA"/>
        </w:rPr>
        <w:t>’</w:t>
      </w:r>
      <w:r w:rsidR="0047179D" w:rsidRPr="00403220">
        <w:rPr>
          <w:rFonts w:cs="Times New Roman"/>
          <w:szCs w:val="24"/>
          <w:lang w:val="fr-CA"/>
        </w:rPr>
        <w:t xml:space="preserve">intention </w:t>
      </w:r>
      <w:r w:rsidR="007E2BD5" w:rsidRPr="00403220">
        <w:rPr>
          <w:rFonts w:cs="Times New Roman"/>
          <w:szCs w:val="24"/>
          <w:lang w:val="fr-CA"/>
        </w:rPr>
        <w:t xml:space="preserve">du </w:t>
      </w:r>
      <w:r w:rsidR="0047179D" w:rsidRPr="00403220">
        <w:rPr>
          <w:rFonts w:cs="Times New Roman"/>
          <w:szCs w:val="24"/>
          <w:lang w:val="fr-CA"/>
        </w:rPr>
        <w:t>législat</w:t>
      </w:r>
      <w:r w:rsidR="007E2BD5" w:rsidRPr="00403220">
        <w:rPr>
          <w:rFonts w:cs="Times New Roman"/>
          <w:szCs w:val="24"/>
          <w:lang w:val="fr-CA"/>
        </w:rPr>
        <w:t>eu</w:t>
      </w:r>
      <w:r w:rsidR="0047179D" w:rsidRPr="00403220">
        <w:rPr>
          <w:rFonts w:cs="Times New Roman"/>
          <w:szCs w:val="24"/>
          <w:lang w:val="fr-CA"/>
        </w:rPr>
        <w:t>r de transférer le coût des traitements médicaux des contribuables à l</w:t>
      </w:r>
      <w:r w:rsidR="008372AA" w:rsidRPr="00403220">
        <w:rPr>
          <w:rFonts w:cs="Times New Roman"/>
          <w:szCs w:val="24"/>
          <w:lang w:val="fr-CA"/>
        </w:rPr>
        <w:t>’</w:t>
      </w:r>
      <w:r w:rsidR="0047179D" w:rsidRPr="00403220">
        <w:rPr>
          <w:rFonts w:cs="Times New Roman"/>
          <w:szCs w:val="24"/>
          <w:lang w:val="fr-CA"/>
        </w:rPr>
        <w:t xml:space="preserve">industrie du tabac.   </w:t>
      </w:r>
    </w:p>
    <w:p w:rsidR="0047179D" w:rsidRPr="00403220" w:rsidRDefault="002917A3" w:rsidP="00E237E1">
      <w:pPr>
        <w:pStyle w:val="TitleTitre-AltT"/>
        <w:keepNext/>
        <w:tabs>
          <w:tab w:val="clear" w:pos="360"/>
          <w:tab w:val="left" w:pos="1530"/>
        </w:tabs>
        <w:spacing w:after="720"/>
        <w:ind w:left="1170" w:firstLine="0"/>
        <w:rPr>
          <w:rFonts w:cs="Times New Roman"/>
          <w:i/>
          <w:szCs w:val="24"/>
          <w:lang w:val="fr-CA"/>
        </w:rPr>
      </w:pPr>
      <w:bookmarkStart w:id="44" w:name="_Toc314735134"/>
      <w:r w:rsidRPr="00403220">
        <w:rPr>
          <w:rFonts w:cs="Times New Roman"/>
          <w:szCs w:val="24"/>
          <w:lang w:val="fr-CA"/>
        </w:rPr>
        <w:t>d)</w:t>
      </w:r>
      <w:r w:rsidR="00E237E1" w:rsidRPr="00403220">
        <w:rPr>
          <w:rFonts w:cs="Times New Roman"/>
          <w:i/>
          <w:szCs w:val="24"/>
          <w:lang w:val="fr-CA"/>
        </w:rPr>
        <w:tab/>
      </w:r>
      <w:r w:rsidR="007E2BD5" w:rsidRPr="00403220">
        <w:rPr>
          <w:rFonts w:cs="Times New Roman"/>
          <w:i/>
          <w:szCs w:val="24"/>
          <w:lang w:val="fr-CA"/>
        </w:rPr>
        <w:t>Résumé</w:t>
      </w:r>
      <w:bookmarkEnd w:id="44"/>
    </w:p>
    <w:p w:rsidR="0047179D" w:rsidRPr="00403220" w:rsidRDefault="0047179D" w:rsidP="005077DA">
      <w:pPr>
        <w:pStyle w:val="ParaNoNdepar-AltN"/>
        <w:rPr>
          <w:rFonts w:cs="Times New Roman"/>
          <w:szCs w:val="24"/>
          <w:lang w:val="fr-CA"/>
        </w:rPr>
      </w:pPr>
      <w:r w:rsidRPr="00403220">
        <w:rPr>
          <w:rFonts w:cs="Times New Roman"/>
          <w:szCs w:val="24"/>
          <w:lang w:val="fr-CA"/>
        </w:rPr>
        <w:t>Pour les motifs qui précèdent, j</w:t>
      </w:r>
      <w:r w:rsidR="008372AA" w:rsidRPr="00403220">
        <w:rPr>
          <w:rFonts w:cs="Times New Roman"/>
          <w:szCs w:val="24"/>
          <w:lang w:val="fr-CA"/>
        </w:rPr>
        <w:t>’</w:t>
      </w:r>
      <w:r w:rsidRPr="00403220">
        <w:rPr>
          <w:rFonts w:cs="Times New Roman"/>
          <w:szCs w:val="24"/>
          <w:lang w:val="fr-CA"/>
        </w:rPr>
        <w:t>estime qu</w:t>
      </w:r>
      <w:r w:rsidR="008372AA" w:rsidRPr="00403220">
        <w:rPr>
          <w:rFonts w:cs="Times New Roman"/>
          <w:szCs w:val="24"/>
          <w:lang w:val="fr-CA"/>
        </w:rPr>
        <w:t>’</w:t>
      </w:r>
      <w:r w:rsidRPr="00403220">
        <w:rPr>
          <w:rFonts w:cs="Times New Roman"/>
          <w:szCs w:val="24"/>
          <w:lang w:val="fr-CA"/>
        </w:rPr>
        <w:t>il est manifeste et évident que le gouvernement fédéral n</w:t>
      </w:r>
      <w:r w:rsidR="008372AA" w:rsidRPr="00403220">
        <w:rPr>
          <w:rFonts w:cs="Times New Roman"/>
          <w:szCs w:val="24"/>
          <w:lang w:val="fr-CA"/>
        </w:rPr>
        <w:t>’</w:t>
      </w:r>
      <w:r w:rsidRPr="00403220">
        <w:rPr>
          <w:rFonts w:cs="Times New Roman"/>
          <w:szCs w:val="24"/>
          <w:lang w:val="fr-CA"/>
        </w:rPr>
        <w:t>est pas un fabricant de</w:t>
      </w:r>
      <w:r w:rsidR="001B7E18" w:rsidRPr="00403220">
        <w:rPr>
          <w:rFonts w:cs="Times New Roman"/>
          <w:szCs w:val="24"/>
          <w:lang w:val="fr-CA"/>
        </w:rPr>
        <w:t xml:space="preserve"> produits du</w:t>
      </w:r>
      <w:r w:rsidRPr="00403220">
        <w:rPr>
          <w:rFonts w:cs="Times New Roman"/>
          <w:szCs w:val="24"/>
          <w:lang w:val="fr-CA"/>
        </w:rPr>
        <w:t xml:space="preserve"> tabac au sens de la </w:t>
      </w:r>
      <w:r w:rsidRPr="00403220">
        <w:rPr>
          <w:rFonts w:cs="Times New Roman"/>
          <w:i/>
          <w:szCs w:val="24"/>
          <w:lang w:val="fr-CA"/>
        </w:rPr>
        <w:t>CRA</w:t>
      </w:r>
      <w:r w:rsidRPr="00403220">
        <w:rPr>
          <w:rFonts w:cs="Times New Roman"/>
          <w:szCs w:val="24"/>
          <w:lang w:val="fr-CA"/>
        </w:rPr>
        <w:t xml:space="preserve">.  Cette allégation doit donc être radiée. </w:t>
      </w:r>
    </w:p>
    <w:p w:rsidR="0047179D" w:rsidRPr="00403220" w:rsidRDefault="004031B6" w:rsidP="004031B6">
      <w:pPr>
        <w:pStyle w:val="TitleTitre-AltT"/>
        <w:keepNext/>
        <w:tabs>
          <w:tab w:val="clear" w:pos="360"/>
          <w:tab w:val="left" w:pos="1170"/>
        </w:tabs>
        <w:spacing w:after="720"/>
        <w:ind w:left="1620" w:hanging="1620"/>
        <w:rPr>
          <w:rFonts w:cs="Times New Roman"/>
          <w:szCs w:val="24"/>
          <w:lang w:val="fr-CA"/>
        </w:rPr>
      </w:pPr>
      <w:r>
        <w:rPr>
          <w:rFonts w:cs="Times New Roman"/>
          <w:szCs w:val="24"/>
          <w:lang w:val="fr-CA"/>
        </w:rPr>
        <w:tab/>
      </w:r>
      <w:bookmarkStart w:id="45" w:name="_Toc314735135"/>
      <w:r w:rsidR="002917A3" w:rsidRPr="00403220">
        <w:rPr>
          <w:rFonts w:cs="Times New Roman"/>
          <w:szCs w:val="24"/>
          <w:lang w:val="fr-CA"/>
        </w:rPr>
        <w:t>(2)</w:t>
      </w:r>
      <w:r w:rsidR="00016815" w:rsidRPr="00403220">
        <w:rPr>
          <w:rFonts w:cs="Times New Roman"/>
          <w:szCs w:val="24"/>
          <w:lang w:val="fr-CA"/>
        </w:rPr>
        <w:tab/>
      </w:r>
      <w:r w:rsidR="0047179D" w:rsidRPr="00403220">
        <w:rPr>
          <w:rFonts w:cs="Times New Roman"/>
          <w:szCs w:val="24"/>
          <w:u w:val="single"/>
          <w:lang w:val="fr-CA"/>
        </w:rPr>
        <w:t xml:space="preserve">Le Canada </w:t>
      </w:r>
      <w:proofErr w:type="spellStart"/>
      <w:r w:rsidR="0047179D" w:rsidRPr="00403220">
        <w:rPr>
          <w:rFonts w:cs="Times New Roman"/>
          <w:szCs w:val="24"/>
          <w:u w:val="single"/>
          <w:lang w:val="fr-CA"/>
        </w:rPr>
        <w:t>peut</w:t>
      </w:r>
      <w:r w:rsidR="00A54DAC" w:rsidRPr="00403220">
        <w:rPr>
          <w:rFonts w:cs="Times New Roman"/>
          <w:szCs w:val="24"/>
          <w:u w:val="single"/>
          <w:lang w:val="fr-CA"/>
        </w:rPr>
        <w:noBreakHyphen/>
      </w:r>
      <w:r w:rsidR="0047179D" w:rsidRPr="00403220">
        <w:rPr>
          <w:rFonts w:cs="Times New Roman"/>
          <w:szCs w:val="24"/>
          <w:u w:val="single"/>
          <w:lang w:val="fr-CA"/>
        </w:rPr>
        <w:t>il</w:t>
      </w:r>
      <w:proofErr w:type="spellEnd"/>
      <w:r w:rsidR="0047179D" w:rsidRPr="00403220">
        <w:rPr>
          <w:rFonts w:cs="Times New Roman"/>
          <w:szCs w:val="24"/>
          <w:u w:val="single"/>
          <w:lang w:val="fr-CA"/>
        </w:rPr>
        <w:t xml:space="preserve"> être tenu responsable en vertu de la </w:t>
      </w:r>
      <w:bookmarkStart w:id="46" w:name="_Toc285751410"/>
      <w:proofErr w:type="spellStart"/>
      <w:r w:rsidR="0047179D" w:rsidRPr="00403220">
        <w:rPr>
          <w:rFonts w:cs="Times New Roman"/>
          <w:i/>
          <w:szCs w:val="24"/>
          <w:u w:val="single"/>
          <w:lang w:val="fr-CA"/>
        </w:rPr>
        <w:t>Health</w:t>
      </w:r>
      <w:proofErr w:type="spellEnd"/>
      <w:r w:rsidR="0047179D" w:rsidRPr="00403220">
        <w:rPr>
          <w:rFonts w:cs="Times New Roman"/>
          <w:i/>
          <w:szCs w:val="24"/>
          <w:u w:val="single"/>
          <w:lang w:val="fr-CA"/>
        </w:rPr>
        <w:t xml:space="preserve"> Care </w:t>
      </w:r>
      <w:proofErr w:type="spellStart"/>
      <w:r w:rsidR="0047179D" w:rsidRPr="00403220">
        <w:rPr>
          <w:rFonts w:cs="Times New Roman"/>
          <w:i/>
          <w:szCs w:val="24"/>
          <w:u w:val="single"/>
          <w:lang w:val="fr-CA"/>
        </w:rPr>
        <w:t>Costs</w:t>
      </w:r>
      <w:proofErr w:type="spellEnd"/>
      <w:r w:rsidR="0047179D" w:rsidRPr="00403220">
        <w:rPr>
          <w:rFonts w:cs="Times New Roman"/>
          <w:i/>
          <w:szCs w:val="24"/>
          <w:u w:val="single"/>
          <w:lang w:val="fr-CA"/>
        </w:rPr>
        <w:t xml:space="preserve"> </w:t>
      </w:r>
      <w:proofErr w:type="spellStart"/>
      <w:r w:rsidR="0047179D" w:rsidRPr="00403220">
        <w:rPr>
          <w:rFonts w:cs="Times New Roman"/>
          <w:i/>
          <w:szCs w:val="24"/>
          <w:u w:val="single"/>
          <w:lang w:val="fr-CA"/>
        </w:rPr>
        <w:t>Recovery</w:t>
      </w:r>
      <w:proofErr w:type="spellEnd"/>
      <w:r w:rsidR="0047179D" w:rsidRPr="00403220">
        <w:rPr>
          <w:rFonts w:cs="Times New Roman"/>
          <w:i/>
          <w:szCs w:val="24"/>
          <w:u w:val="single"/>
          <w:lang w:val="fr-CA"/>
        </w:rPr>
        <w:t xml:space="preserve"> </w:t>
      </w:r>
      <w:proofErr w:type="spellStart"/>
      <w:r w:rsidR="0047179D" w:rsidRPr="00403220">
        <w:rPr>
          <w:rFonts w:cs="Times New Roman"/>
          <w:i/>
          <w:szCs w:val="24"/>
          <w:u w:val="single"/>
          <w:lang w:val="fr-CA"/>
        </w:rPr>
        <w:t>Act</w:t>
      </w:r>
      <w:bookmarkEnd w:id="46"/>
      <w:proofErr w:type="spellEnd"/>
      <w:r w:rsidR="0047179D" w:rsidRPr="00403220">
        <w:rPr>
          <w:rFonts w:cs="Times New Roman"/>
          <w:szCs w:val="24"/>
          <w:u w:val="single"/>
          <w:lang w:val="fr-CA"/>
        </w:rPr>
        <w:t>?</w:t>
      </w:r>
      <w:bookmarkEnd w:id="45"/>
    </w:p>
    <w:p w:rsidR="0047179D" w:rsidRPr="00403220" w:rsidRDefault="0047179D" w:rsidP="005077DA">
      <w:pPr>
        <w:pStyle w:val="ParaNoNdepar-AltN"/>
        <w:rPr>
          <w:rFonts w:cs="Times New Roman"/>
          <w:szCs w:val="24"/>
          <w:lang w:val="fr-CA"/>
        </w:rPr>
      </w:pPr>
      <w:r w:rsidRPr="00403220">
        <w:rPr>
          <w:rFonts w:cs="Times New Roman"/>
          <w:szCs w:val="24"/>
          <w:lang w:val="fr-CA"/>
        </w:rPr>
        <w:t>Les compagnies de tabac affirment que si la responsabilité du Canada n</w:t>
      </w:r>
      <w:r w:rsidR="008372AA" w:rsidRPr="00403220">
        <w:rPr>
          <w:rFonts w:cs="Times New Roman"/>
          <w:szCs w:val="24"/>
          <w:lang w:val="fr-CA"/>
        </w:rPr>
        <w:t>’</w:t>
      </w:r>
      <w:r w:rsidRPr="00403220">
        <w:rPr>
          <w:rFonts w:cs="Times New Roman"/>
          <w:szCs w:val="24"/>
          <w:lang w:val="fr-CA"/>
        </w:rPr>
        <w:t xml:space="preserve">est pas engagée au titre de la </w:t>
      </w:r>
      <w:r w:rsidRPr="00403220">
        <w:rPr>
          <w:rFonts w:cs="Times New Roman"/>
          <w:i/>
          <w:szCs w:val="24"/>
          <w:lang w:val="fr-CA"/>
        </w:rPr>
        <w:t>CRA</w:t>
      </w:r>
      <w:r w:rsidRPr="00403220">
        <w:rPr>
          <w:rFonts w:cs="Times New Roman"/>
          <w:szCs w:val="24"/>
          <w:lang w:val="fr-CA"/>
        </w:rPr>
        <w:t xml:space="preserve">, elle le serait en vertu de la </w:t>
      </w:r>
      <w:r w:rsidRPr="00403220">
        <w:rPr>
          <w:rFonts w:cs="Times New Roman"/>
          <w:i/>
          <w:szCs w:val="24"/>
          <w:lang w:val="fr-CA"/>
        </w:rPr>
        <w:t>H</w:t>
      </w:r>
      <w:r w:rsidR="002917A3" w:rsidRPr="00403220">
        <w:rPr>
          <w:rFonts w:cs="Times New Roman"/>
          <w:i/>
          <w:szCs w:val="24"/>
          <w:lang w:val="fr-CA"/>
        </w:rPr>
        <w:t>CCRA</w:t>
      </w:r>
      <w:r w:rsidRPr="00403220">
        <w:rPr>
          <w:rFonts w:cs="Times New Roman"/>
          <w:szCs w:val="24"/>
          <w:lang w:val="fr-CA"/>
        </w:rPr>
        <w:t>, qui confère à la province un droit d</w:t>
      </w:r>
      <w:r w:rsidR="008372AA" w:rsidRPr="00403220">
        <w:rPr>
          <w:rFonts w:cs="Times New Roman"/>
          <w:szCs w:val="24"/>
          <w:lang w:val="fr-CA"/>
        </w:rPr>
        <w:t>’</w:t>
      </w:r>
      <w:r w:rsidRPr="00403220">
        <w:rPr>
          <w:rFonts w:cs="Times New Roman"/>
          <w:szCs w:val="24"/>
          <w:lang w:val="fr-CA"/>
        </w:rPr>
        <w:t>action pour recouvr</w:t>
      </w:r>
      <w:r w:rsidR="008150EA" w:rsidRPr="00403220">
        <w:rPr>
          <w:rFonts w:cs="Times New Roman"/>
          <w:szCs w:val="24"/>
          <w:lang w:val="fr-CA"/>
        </w:rPr>
        <w:t>e</w:t>
      </w:r>
      <w:r w:rsidRPr="00403220">
        <w:rPr>
          <w:rFonts w:cs="Times New Roman"/>
          <w:szCs w:val="24"/>
          <w:lang w:val="fr-CA"/>
        </w:rPr>
        <w:t xml:space="preserve">r </w:t>
      </w:r>
      <w:r w:rsidR="001B7E18" w:rsidRPr="00403220">
        <w:rPr>
          <w:rFonts w:cs="Times New Roman"/>
          <w:szCs w:val="24"/>
          <w:lang w:val="fr-CA"/>
        </w:rPr>
        <w:t xml:space="preserve">auprès de l’auteur d’une faute </w:t>
      </w:r>
      <w:r w:rsidRPr="00403220">
        <w:rPr>
          <w:rFonts w:cs="Times New Roman"/>
          <w:szCs w:val="24"/>
          <w:lang w:val="fr-CA"/>
        </w:rPr>
        <w:t>le coût des soins de santé dans la plupart des cas</w:t>
      </w:r>
      <w:r w:rsidR="001B7E18" w:rsidRPr="00403220">
        <w:rPr>
          <w:rFonts w:cs="Times New Roman"/>
          <w:szCs w:val="24"/>
          <w:lang w:val="fr-CA"/>
        </w:rPr>
        <w:t xml:space="preserve"> (</w:t>
      </w:r>
      <w:r w:rsidR="00A54DAC" w:rsidRPr="00403220">
        <w:rPr>
          <w:rFonts w:cs="Times New Roman"/>
          <w:szCs w:val="24"/>
          <w:lang w:val="fr-CA"/>
        </w:rPr>
        <w:t>par. </w:t>
      </w:r>
      <w:r w:rsidR="001B7E18" w:rsidRPr="00403220">
        <w:rPr>
          <w:rFonts w:cs="Times New Roman"/>
          <w:szCs w:val="24"/>
          <w:lang w:val="fr-CA"/>
        </w:rPr>
        <w:t>8(1)</w:t>
      </w:r>
      <w:r w:rsidR="004031B6">
        <w:rPr>
          <w:rFonts w:cs="Times New Roman"/>
          <w:szCs w:val="24"/>
          <w:lang w:val="fr-CA"/>
        </w:rPr>
        <w:t>)</w:t>
      </w:r>
      <w:r w:rsidRPr="00403220">
        <w:rPr>
          <w:rFonts w:cs="Times New Roman"/>
          <w:szCs w:val="24"/>
          <w:lang w:val="fr-CA"/>
        </w:rPr>
        <w:t xml:space="preserve">.  Selon le Canada, la </w:t>
      </w:r>
      <w:r w:rsidRPr="00403220">
        <w:rPr>
          <w:rFonts w:cs="Times New Roman"/>
          <w:i/>
          <w:szCs w:val="24"/>
          <w:lang w:val="fr-CA"/>
        </w:rPr>
        <w:t xml:space="preserve">HCCRA </w:t>
      </w:r>
      <w:r w:rsidRPr="00403220">
        <w:rPr>
          <w:rFonts w:cs="Times New Roman"/>
          <w:szCs w:val="24"/>
          <w:lang w:val="fr-CA"/>
        </w:rPr>
        <w:t>est inapplicable parce qu</w:t>
      </w:r>
      <w:r w:rsidR="008372AA" w:rsidRPr="00403220">
        <w:rPr>
          <w:rFonts w:cs="Times New Roman"/>
          <w:szCs w:val="24"/>
          <w:lang w:val="fr-CA"/>
        </w:rPr>
        <w:t>’</w:t>
      </w:r>
      <w:r w:rsidRPr="00403220">
        <w:rPr>
          <w:rFonts w:cs="Times New Roman"/>
          <w:szCs w:val="24"/>
          <w:lang w:val="fr-CA"/>
        </w:rPr>
        <w:t>elle dispose que le droit d</w:t>
      </w:r>
      <w:r w:rsidR="008372AA" w:rsidRPr="00403220">
        <w:rPr>
          <w:rFonts w:cs="Times New Roman"/>
          <w:szCs w:val="24"/>
          <w:lang w:val="fr-CA"/>
        </w:rPr>
        <w:t>’</w:t>
      </w:r>
      <w:r w:rsidRPr="00403220">
        <w:rPr>
          <w:rFonts w:cs="Times New Roman"/>
          <w:szCs w:val="24"/>
          <w:lang w:val="fr-CA"/>
        </w:rPr>
        <w:t xml:space="preserve">action ne peut </w:t>
      </w:r>
      <w:r w:rsidR="002C448D" w:rsidRPr="00403220">
        <w:rPr>
          <w:rFonts w:cs="Times New Roman"/>
          <w:szCs w:val="24"/>
          <w:lang w:val="fr-CA"/>
        </w:rPr>
        <w:t xml:space="preserve">être exercé dans les cas de </w:t>
      </w:r>
      <w:r w:rsidR="00E574E0" w:rsidRPr="00403220">
        <w:rPr>
          <w:rFonts w:cs="Times New Roman"/>
          <w:szCs w:val="24"/>
          <w:lang w:val="fr-CA"/>
        </w:rPr>
        <w:t>[</w:t>
      </w:r>
      <w:r w:rsidR="00E574E0" w:rsidRPr="00403220">
        <w:rPr>
          <w:rFonts w:cs="Times New Roman"/>
          <w:smallCaps/>
          <w:szCs w:val="24"/>
          <w:lang w:val="fr-CA"/>
        </w:rPr>
        <w:t xml:space="preserve">traduction] </w:t>
      </w:r>
      <w:r w:rsidR="002C448D" w:rsidRPr="00403220">
        <w:rPr>
          <w:rFonts w:cs="Times New Roman"/>
          <w:szCs w:val="24"/>
          <w:lang w:val="fr-CA"/>
        </w:rPr>
        <w:t>« </w:t>
      </w:r>
      <w:r w:rsidRPr="00403220">
        <w:rPr>
          <w:rFonts w:cs="Times New Roman"/>
          <w:szCs w:val="24"/>
          <w:lang w:val="fr-CA"/>
        </w:rPr>
        <w:t>faute d</w:t>
      </w:r>
      <w:r w:rsidR="008372AA" w:rsidRPr="00403220">
        <w:rPr>
          <w:rFonts w:cs="Times New Roman"/>
          <w:szCs w:val="24"/>
          <w:lang w:val="fr-CA"/>
        </w:rPr>
        <w:t>’</w:t>
      </w:r>
      <w:r w:rsidR="002C448D" w:rsidRPr="00403220">
        <w:rPr>
          <w:rFonts w:cs="Times New Roman"/>
          <w:szCs w:val="24"/>
          <w:lang w:val="fr-CA"/>
        </w:rPr>
        <w:t>un fabricant </w:t>
      </w:r>
      <w:r w:rsidRPr="00403220">
        <w:rPr>
          <w:rFonts w:cs="Times New Roman"/>
          <w:szCs w:val="24"/>
          <w:lang w:val="fr-CA"/>
        </w:rPr>
        <w:t xml:space="preserve">» au sens de la </w:t>
      </w:r>
      <w:r w:rsidRPr="00403220">
        <w:rPr>
          <w:rFonts w:cs="Times New Roman"/>
          <w:i/>
          <w:szCs w:val="24"/>
          <w:lang w:val="fr-CA"/>
        </w:rPr>
        <w:t>CRA</w:t>
      </w:r>
      <w:r w:rsidR="00E574E0" w:rsidRPr="00403220">
        <w:rPr>
          <w:rFonts w:cs="Times New Roman"/>
          <w:i/>
          <w:szCs w:val="24"/>
          <w:lang w:val="fr-CA"/>
        </w:rPr>
        <w:t xml:space="preserve"> </w:t>
      </w:r>
      <w:r w:rsidR="00E574E0" w:rsidRPr="00403220">
        <w:rPr>
          <w:rFonts w:cs="Times New Roman"/>
          <w:szCs w:val="24"/>
          <w:lang w:val="fr-CA"/>
        </w:rPr>
        <w:t>(</w:t>
      </w:r>
      <w:r w:rsidR="00A54DAC" w:rsidRPr="00403220">
        <w:rPr>
          <w:rFonts w:cs="Times New Roman"/>
          <w:szCs w:val="24"/>
          <w:lang w:val="fr-CA"/>
        </w:rPr>
        <w:t>al. </w:t>
      </w:r>
      <w:r w:rsidR="004031B6">
        <w:rPr>
          <w:rFonts w:cs="Times New Roman"/>
          <w:szCs w:val="24"/>
          <w:lang w:val="fr-CA"/>
        </w:rPr>
        <w:t>24(3</w:t>
      </w:r>
      <w:proofErr w:type="gramStart"/>
      <w:r w:rsidR="004031B6">
        <w:rPr>
          <w:rFonts w:cs="Times New Roman"/>
          <w:szCs w:val="24"/>
          <w:lang w:val="fr-CA"/>
        </w:rPr>
        <w:t>)</w:t>
      </w:r>
      <w:r w:rsidR="00E574E0" w:rsidRPr="00403220">
        <w:rPr>
          <w:rFonts w:cs="Times New Roman"/>
          <w:szCs w:val="24"/>
          <w:lang w:val="fr-CA"/>
        </w:rPr>
        <w:t>b</w:t>
      </w:r>
      <w:proofErr w:type="gramEnd"/>
      <w:r w:rsidR="00E574E0" w:rsidRPr="00403220">
        <w:rPr>
          <w:rFonts w:cs="Times New Roman"/>
          <w:szCs w:val="24"/>
          <w:lang w:val="fr-CA"/>
        </w:rPr>
        <w:t>))</w:t>
      </w:r>
      <w:r w:rsidRPr="00403220">
        <w:rPr>
          <w:rFonts w:cs="Times New Roman"/>
          <w:szCs w:val="24"/>
          <w:lang w:val="fr-CA"/>
        </w:rPr>
        <w:t xml:space="preserve">.  RBH et </w:t>
      </w:r>
      <w:r w:rsidRPr="00403220">
        <w:rPr>
          <w:rFonts w:cs="Times New Roman"/>
          <w:szCs w:val="24"/>
          <w:lang w:val="fr-CA"/>
        </w:rPr>
        <w:lastRenderedPageBreak/>
        <w:t>Philip Morris rétorquent qu</w:t>
      </w:r>
      <w:r w:rsidR="008372AA" w:rsidRPr="00403220">
        <w:rPr>
          <w:rFonts w:cs="Times New Roman"/>
          <w:szCs w:val="24"/>
          <w:lang w:val="fr-CA"/>
        </w:rPr>
        <w:t>’</w:t>
      </w:r>
      <w:r w:rsidRPr="00403220">
        <w:rPr>
          <w:rFonts w:cs="Times New Roman"/>
          <w:szCs w:val="24"/>
          <w:lang w:val="fr-CA"/>
        </w:rPr>
        <w:t>une [</w:t>
      </w:r>
      <w:r w:rsidRPr="00403220">
        <w:rPr>
          <w:rFonts w:cs="Times New Roman"/>
          <w:smallCaps/>
          <w:szCs w:val="24"/>
          <w:lang w:val="fr-CA"/>
        </w:rPr>
        <w:t>traduction]</w:t>
      </w:r>
      <w:r w:rsidRPr="00403220">
        <w:rPr>
          <w:rFonts w:cs="Times New Roman"/>
          <w:szCs w:val="24"/>
          <w:lang w:val="fr-CA"/>
        </w:rPr>
        <w:t xml:space="preserve"> </w:t>
      </w:r>
      <w:r w:rsidR="002C448D" w:rsidRPr="00403220">
        <w:rPr>
          <w:rFonts w:cs="Times New Roman"/>
          <w:szCs w:val="24"/>
          <w:lang w:val="fr-CA"/>
        </w:rPr>
        <w:t>« </w:t>
      </w:r>
      <w:r w:rsidRPr="00403220">
        <w:rPr>
          <w:rFonts w:cs="Times New Roman"/>
          <w:szCs w:val="24"/>
          <w:lang w:val="fr-CA"/>
        </w:rPr>
        <w:t>faute d</w:t>
      </w:r>
      <w:r w:rsidR="008372AA" w:rsidRPr="00403220">
        <w:rPr>
          <w:rFonts w:cs="Times New Roman"/>
          <w:szCs w:val="24"/>
          <w:lang w:val="fr-CA"/>
        </w:rPr>
        <w:t>’</w:t>
      </w:r>
      <w:r w:rsidRPr="00403220">
        <w:rPr>
          <w:rFonts w:cs="Times New Roman"/>
          <w:szCs w:val="24"/>
          <w:lang w:val="fr-CA"/>
        </w:rPr>
        <w:t>un fabricant</w:t>
      </w:r>
      <w:r w:rsidR="002C448D" w:rsidRPr="00403220">
        <w:rPr>
          <w:rFonts w:cs="Times New Roman"/>
          <w:szCs w:val="24"/>
          <w:lang w:val="fr-CA"/>
        </w:rPr>
        <w:t> </w:t>
      </w:r>
      <w:r w:rsidRPr="00403220">
        <w:rPr>
          <w:rFonts w:cs="Times New Roman"/>
          <w:szCs w:val="24"/>
          <w:lang w:val="fr-CA"/>
        </w:rPr>
        <w:t xml:space="preserve">» au sens de la </w:t>
      </w:r>
      <w:r w:rsidRPr="00403220">
        <w:rPr>
          <w:rFonts w:cs="Times New Roman"/>
          <w:i/>
          <w:szCs w:val="24"/>
          <w:lang w:val="fr-CA"/>
        </w:rPr>
        <w:t xml:space="preserve">CRA </w:t>
      </w:r>
      <w:r w:rsidRPr="00403220">
        <w:rPr>
          <w:rFonts w:cs="Times New Roman"/>
          <w:szCs w:val="24"/>
          <w:lang w:val="fr-CA"/>
        </w:rPr>
        <w:t xml:space="preserve">ne peut être commise que par un </w:t>
      </w:r>
      <w:r w:rsidR="004031B6">
        <w:rPr>
          <w:rFonts w:cs="Times New Roman"/>
          <w:szCs w:val="24"/>
          <w:lang w:val="fr-CA"/>
        </w:rPr>
        <w:t>[</w:t>
      </w:r>
      <w:r w:rsidR="004031B6" w:rsidRPr="004031B6">
        <w:rPr>
          <w:rFonts w:cs="Times New Roman"/>
          <w:smallCaps/>
          <w:szCs w:val="24"/>
          <w:lang w:val="fr-CA"/>
        </w:rPr>
        <w:t>traduction</w:t>
      </w:r>
      <w:r w:rsidR="004031B6">
        <w:rPr>
          <w:rFonts w:cs="Times New Roman"/>
          <w:szCs w:val="24"/>
          <w:lang w:val="fr-CA"/>
        </w:rPr>
        <w:t xml:space="preserve">] </w:t>
      </w:r>
      <w:r w:rsidRPr="00403220">
        <w:rPr>
          <w:rFonts w:cs="Times New Roman"/>
          <w:szCs w:val="24"/>
          <w:lang w:val="fr-CA"/>
        </w:rPr>
        <w:t>« fabricant</w:t>
      </w:r>
      <w:r w:rsidR="002C448D" w:rsidRPr="00403220">
        <w:rPr>
          <w:rFonts w:cs="Times New Roman"/>
          <w:szCs w:val="24"/>
          <w:lang w:val="fr-CA"/>
        </w:rPr>
        <w:t> </w:t>
      </w:r>
      <w:r w:rsidRPr="00403220">
        <w:rPr>
          <w:rFonts w:cs="Times New Roman"/>
          <w:szCs w:val="24"/>
          <w:lang w:val="fr-CA"/>
        </w:rPr>
        <w:t xml:space="preserve">».  Par conséquent, si la </w:t>
      </w:r>
      <w:r w:rsidRPr="00403220">
        <w:rPr>
          <w:rFonts w:cs="Times New Roman"/>
          <w:i/>
          <w:szCs w:val="24"/>
          <w:lang w:val="fr-CA"/>
        </w:rPr>
        <w:t xml:space="preserve">CRA </w:t>
      </w:r>
      <w:r w:rsidRPr="00403220">
        <w:rPr>
          <w:rFonts w:cs="Times New Roman"/>
          <w:szCs w:val="24"/>
          <w:lang w:val="fr-CA"/>
        </w:rPr>
        <w:t>ne s</w:t>
      </w:r>
      <w:r w:rsidR="008372AA" w:rsidRPr="00403220">
        <w:rPr>
          <w:rFonts w:cs="Times New Roman"/>
          <w:szCs w:val="24"/>
          <w:lang w:val="fr-CA"/>
        </w:rPr>
        <w:t>’</w:t>
      </w:r>
      <w:r w:rsidRPr="00403220">
        <w:rPr>
          <w:rFonts w:cs="Times New Roman"/>
          <w:szCs w:val="24"/>
          <w:lang w:val="fr-CA"/>
        </w:rPr>
        <w:t>applique pas au Canada parce que ce dernier ne peut être un fabricant, il n</w:t>
      </w:r>
      <w:r w:rsidR="008372AA" w:rsidRPr="00403220">
        <w:rPr>
          <w:rFonts w:cs="Times New Roman"/>
          <w:szCs w:val="24"/>
          <w:lang w:val="fr-CA"/>
        </w:rPr>
        <w:t>’</w:t>
      </w:r>
      <w:r w:rsidRPr="00403220">
        <w:rPr>
          <w:rFonts w:cs="Times New Roman"/>
          <w:szCs w:val="24"/>
          <w:lang w:val="fr-CA"/>
        </w:rPr>
        <w:t xml:space="preserve">est pas loisible au Canada de faire valoir que la </w:t>
      </w:r>
      <w:r w:rsidRPr="00403220">
        <w:rPr>
          <w:rFonts w:cs="Times New Roman"/>
          <w:i/>
          <w:szCs w:val="24"/>
          <w:lang w:val="fr-CA"/>
        </w:rPr>
        <w:t xml:space="preserve">HCCRA — </w:t>
      </w:r>
      <w:r w:rsidRPr="00403220">
        <w:rPr>
          <w:rFonts w:cs="Times New Roman"/>
          <w:szCs w:val="24"/>
          <w:lang w:val="fr-CA"/>
        </w:rPr>
        <w:t xml:space="preserve">une loi plus générale </w:t>
      </w:r>
      <w:r w:rsidRPr="00403220">
        <w:rPr>
          <w:rFonts w:cs="Times New Roman"/>
          <w:i/>
          <w:szCs w:val="24"/>
          <w:lang w:val="fr-CA"/>
        </w:rPr>
        <w:t>—</w:t>
      </w:r>
      <w:r w:rsidRPr="00403220">
        <w:rPr>
          <w:rFonts w:cs="Times New Roman"/>
          <w:szCs w:val="24"/>
          <w:lang w:val="fr-CA"/>
        </w:rPr>
        <w:t xml:space="preserve"> ne trouve pas application non plus. </w:t>
      </w:r>
    </w:p>
    <w:p w:rsidR="0047179D" w:rsidRPr="00403220" w:rsidRDefault="0047179D" w:rsidP="005077DA">
      <w:pPr>
        <w:pStyle w:val="ParaNoNdepar-AltN"/>
        <w:rPr>
          <w:rFonts w:cs="Times New Roman"/>
          <w:szCs w:val="24"/>
          <w:lang w:val="fr-CA"/>
        </w:rPr>
      </w:pPr>
      <w:r w:rsidRPr="00403220">
        <w:rPr>
          <w:rFonts w:cs="Times New Roman"/>
          <w:szCs w:val="24"/>
          <w:lang w:val="fr-CA"/>
        </w:rPr>
        <w:t>À mon avis, les compagnies de tabac ne peuvent s</w:t>
      </w:r>
      <w:r w:rsidR="008372AA" w:rsidRPr="00403220">
        <w:rPr>
          <w:rFonts w:cs="Times New Roman"/>
          <w:szCs w:val="24"/>
          <w:lang w:val="fr-CA"/>
        </w:rPr>
        <w:t>’</w:t>
      </w:r>
      <w:r w:rsidR="00E574E0" w:rsidRPr="00403220">
        <w:rPr>
          <w:rFonts w:cs="Times New Roman"/>
          <w:szCs w:val="24"/>
          <w:lang w:val="fr-CA"/>
        </w:rPr>
        <w:t>appuyer sur la</w:t>
      </w:r>
      <w:r w:rsidRPr="00403220">
        <w:rPr>
          <w:rFonts w:cs="Times New Roman"/>
          <w:szCs w:val="24"/>
          <w:lang w:val="fr-CA"/>
        </w:rPr>
        <w:t xml:space="preserve"> </w:t>
      </w:r>
      <w:r w:rsidRPr="00403220">
        <w:rPr>
          <w:rFonts w:cs="Times New Roman"/>
          <w:i/>
          <w:szCs w:val="24"/>
          <w:lang w:val="fr-CA"/>
        </w:rPr>
        <w:t>HCCRA</w:t>
      </w:r>
      <w:r w:rsidRPr="00403220">
        <w:rPr>
          <w:rFonts w:cs="Times New Roman"/>
          <w:szCs w:val="24"/>
          <w:lang w:val="fr-CA"/>
        </w:rPr>
        <w:t xml:space="preserve"> dans le cadre d</w:t>
      </w:r>
      <w:r w:rsidR="008372AA" w:rsidRPr="00403220">
        <w:rPr>
          <w:rFonts w:cs="Times New Roman"/>
          <w:szCs w:val="24"/>
          <w:lang w:val="fr-CA"/>
        </w:rPr>
        <w:t>’</w:t>
      </w:r>
      <w:r w:rsidRPr="00403220">
        <w:rPr>
          <w:rFonts w:cs="Times New Roman"/>
          <w:szCs w:val="24"/>
          <w:lang w:val="fr-CA"/>
        </w:rPr>
        <w:t xml:space="preserve">une action intentée en vertu de la </w:t>
      </w:r>
      <w:r w:rsidRPr="00403220">
        <w:rPr>
          <w:rFonts w:cs="Times New Roman"/>
          <w:i/>
          <w:szCs w:val="24"/>
          <w:lang w:val="fr-CA"/>
        </w:rPr>
        <w:t xml:space="preserve">CRA </w:t>
      </w:r>
      <w:r w:rsidRPr="00403220">
        <w:rPr>
          <w:rFonts w:cs="Times New Roman"/>
          <w:szCs w:val="24"/>
          <w:lang w:val="fr-CA"/>
        </w:rPr>
        <w:t>pour obtenir une contribution.  Certes, le Canada n</w:t>
      </w:r>
      <w:r w:rsidR="008372AA" w:rsidRPr="00403220">
        <w:rPr>
          <w:rFonts w:cs="Times New Roman"/>
          <w:szCs w:val="24"/>
          <w:lang w:val="fr-CA"/>
        </w:rPr>
        <w:t>’</w:t>
      </w:r>
      <w:r w:rsidRPr="00403220">
        <w:rPr>
          <w:rFonts w:cs="Times New Roman"/>
          <w:szCs w:val="24"/>
          <w:lang w:val="fr-CA"/>
        </w:rPr>
        <w:t xml:space="preserve">est pas en mesure de commettre </w:t>
      </w:r>
      <w:proofErr w:type="spellStart"/>
      <w:r w:rsidRPr="00403220">
        <w:rPr>
          <w:rFonts w:cs="Times New Roman"/>
          <w:szCs w:val="24"/>
          <w:lang w:val="fr-CA"/>
        </w:rPr>
        <w:t>lui</w:t>
      </w:r>
      <w:r w:rsidR="00A54DAC" w:rsidRPr="00403220">
        <w:rPr>
          <w:rFonts w:cs="Times New Roman"/>
          <w:szCs w:val="24"/>
          <w:lang w:val="fr-CA"/>
        </w:rPr>
        <w:noBreakHyphen/>
      </w:r>
      <w:r w:rsidRPr="00403220">
        <w:rPr>
          <w:rFonts w:cs="Times New Roman"/>
          <w:szCs w:val="24"/>
          <w:lang w:val="fr-CA"/>
        </w:rPr>
        <w:t>même</w:t>
      </w:r>
      <w:proofErr w:type="spellEnd"/>
      <w:r w:rsidRPr="00403220">
        <w:rPr>
          <w:rFonts w:cs="Times New Roman"/>
          <w:szCs w:val="24"/>
          <w:lang w:val="fr-CA"/>
        </w:rPr>
        <w:t xml:space="preserve"> une faute d</w:t>
      </w:r>
      <w:r w:rsidR="008372AA" w:rsidRPr="00403220">
        <w:rPr>
          <w:rFonts w:cs="Times New Roman"/>
          <w:szCs w:val="24"/>
          <w:lang w:val="fr-CA"/>
        </w:rPr>
        <w:t>’</w:t>
      </w:r>
      <w:r w:rsidRPr="00403220">
        <w:rPr>
          <w:rFonts w:cs="Times New Roman"/>
          <w:szCs w:val="24"/>
          <w:lang w:val="fr-CA"/>
        </w:rPr>
        <w:t>un fabricant s</w:t>
      </w:r>
      <w:r w:rsidR="008372AA" w:rsidRPr="00403220">
        <w:rPr>
          <w:rFonts w:cs="Times New Roman"/>
          <w:szCs w:val="24"/>
          <w:lang w:val="fr-CA"/>
        </w:rPr>
        <w:t>’</w:t>
      </w:r>
      <w:r w:rsidRPr="00403220">
        <w:rPr>
          <w:rFonts w:cs="Times New Roman"/>
          <w:szCs w:val="24"/>
          <w:lang w:val="fr-CA"/>
        </w:rPr>
        <w:t>il n</w:t>
      </w:r>
      <w:r w:rsidR="008372AA" w:rsidRPr="00403220">
        <w:rPr>
          <w:rFonts w:cs="Times New Roman"/>
          <w:szCs w:val="24"/>
          <w:lang w:val="fr-CA"/>
        </w:rPr>
        <w:t>’</w:t>
      </w:r>
      <w:r w:rsidRPr="00403220">
        <w:rPr>
          <w:rFonts w:cs="Times New Roman"/>
          <w:szCs w:val="24"/>
          <w:lang w:val="fr-CA"/>
        </w:rPr>
        <w:t>est pas un fabricant, mais la cause d</w:t>
      </w:r>
      <w:r w:rsidR="008372AA" w:rsidRPr="00403220">
        <w:rPr>
          <w:rFonts w:cs="Times New Roman"/>
          <w:szCs w:val="24"/>
          <w:lang w:val="fr-CA"/>
        </w:rPr>
        <w:t>’</w:t>
      </w:r>
      <w:r w:rsidRPr="00403220">
        <w:rPr>
          <w:rFonts w:cs="Times New Roman"/>
          <w:szCs w:val="24"/>
          <w:lang w:val="fr-CA"/>
        </w:rPr>
        <w:t xml:space="preserve">action </w:t>
      </w:r>
      <w:proofErr w:type="spellStart"/>
      <w:r w:rsidRPr="00403220">
        <w:rPr>
          <w:rFonts w:cs="Times New Roman"/>
          <w:szCs w:val="24"/>
          <w:lang w:val="fr-CA"/>
        </w:rPr>
        <w:t>sous</w:t>
      </w:r>
      <w:r w:rsidR="00A54DAC" w:rsidRPr="00403220">
        <w:rPr>
          <w:rFonts w:cs="Times New Roman"/>
          <w:szCs w:val="24"/>
          <w:lang w:val="fr-CA"/>
        </w:rPr>
        <w:noBreakHyphen/>
      </w:r>
      <w:r w:rsidRPr="00403220">
        <w:rPr>
          <w:rFonts w:cs="Times New Roman"/>
          <w:szCs w:val="24"/>
          <w:lang w:val="fr-CA"/>
        </w:rPr>
        <w:t>jacente</w:t>
      </w:r>
      <w:proofErr w:type="spellEnd"/>
      <w:r w:rsidRPr="00403220">
        <w:rPr>
          <w:rFonts w:cs="Times New Roman"/>
          <w:szCs w:val="24"/>
          <w:lang w:val="fr-CA"/>
        </w:rPr>
        <w:t xml:space="preserve"> en l</w:t>
      </w:r>
      <w:r w:rsidR="008372AA" w:rsidRPr="00403220">
        <w:rPr>
          <w:rFonts w:cs="Times New Roman"/>
          <w:szCs w:val="24"/>
          <w:lang w:val="fr-CA"/>
        </w:rPr>
        <w:t>’</w:t>
      </w:r>
      <w:r w:rsidRPr="00403220">
        <w:rPr>
          <w:rFonts w:cs="Times New Roman"/>
          <w:szCs w:val="24"/>
          <w:lang w:val="fr-CA"/>
        </w:rPr>
        <w:t>espèce est la faute d</w:t>
      </w:r>
      <w:r w:rsidR="008372AA" w:rsidRPr="00403220">
        <w:rPr>
          <w:rFonts w:cs="Times New Roman"/>
          <w:szCs w:val="24"/>
          <w:lang w:val="fr-CA"/>
        </w:rPr>
        <w:t>’</w:t>
      </w:r>
      <w:r w:rsidRPr="00403220">
        <w:rPr>
          <w:rFonts w:cs="Times New Roman"/>
          <w:szCs w:val="24"/>
          <w:lang w:val="fr-CA"/>
        </w:rPr>
        <w:t>un fabricant qu</w:t>
      </w:r>
      <w:r w:rsidR="008372AA" w:rsidRPr="00403220">
        <w:rPr>
          <w:rFonts w:cs="Times New Roman"/>
          <w:szCs w:val="24"/>
          <w:lang w:val="fr-CA"/>
        </w:rPr>
        <w:t>’</w:t>
      </w:r>
      <w:r w:rsidRPr="00403220">
        <w:rPr>
          <w:rFonts w:cs="Times New Roman"/>
          <w:szCs w:val="24"/>
          <w:lang w:val="fr-CA"/>
        </w:rPr>
        <w:t xml:space="preserve">auraient commise les défenderesses.  Il est précisé dans la </w:t>
      </w:r>
      <w:r w:rsidRPr="00403220">
        <w:rPr>
          <w:rFonts w:cs="Times New Roman"/>
          <w:i/>
          <w:szCs w:val="24"/>
          <w:lang w:val="fr-CA"/>
        </w:rPr>
        <w:t>HCCRA</w:t>
      </w:r>
      <w:r w:rsidRPr="00403220">
        <w:rPr>
          <w:rFonts w:cs="Times New Roman"/>
          <w:szCs w:val="24"/>
          <w:lang w:val="fr-CA"/>
        </w:rPr>
        <w:t xml:space="preserve"> que cette loi ne s</w:t>
      </w:r>
      <w:r w:rsidR="008372AA" w:rsidRPr="00403220">
        <w:rPr>
          <w:rFonts w:cs="Times New Roman"/>
          <w:szCs w:val="24"/>
          <w:lang w:val="fr-CA"/>
        </w:rPr>
        <w:t>’</w:t>
      </w:r>
      <w:r w:rsidRPr="00403220">
        <w:rPr>
          <w:rFonts w:cs="Times New Roman"/>
          <w:szCs w:val="24"/>
          <w:lang w:val="fr-CA"/>
        </w:rPr>
        <w:t>applique pas dans les affaires [</w:t>
      </w:r>
      <w:r w:rsidRPr="00403220">
        <w:rPr>
          <w:rFonts w:cs="Times New Roman"/>
          <w:smallCaps/>
          <w:szCs w:val="24"/>
          <w:lang w:val="fr-CA"/>
        </w:rPr>
        <w:t>traduction]</w:t>
      </w:r>
      <w:r w:rsidRPr="00403220">
        <w:rPr>
          <w:rFonts w:cs="Times New Roman"/>
          <w:szCs w:val="24"/>
          <w:lang w:val="fr-CA"/>
        </w:rPr>
        <w:t xml:space="preserve"> « découlant d</w:t>
      </w:r>
      <w:r w:rsidR="008372AA" w:rsidRPr="00403220">
        <w:rPr>
          <w:rFonts w:cs="Times New Roman"/>
          <w:szCs w:val="24"/>
          <w:lang w:val="fr-CA"/>
        </w:rPr>
        <w:t>’</w:t>
      </w:r>
      <w:r w:rsidRPr="00403220">
        <w:rPr>
          <w:rFonts w:cs="Times New Roman"/>
          <w:szCs w:val="24"/>
          <w:lang w:val="fr-CA"/>
        </w:rPr>
        <w:t>une faute d</w:t>
      </w:r>
      <w:r w:rsidR="008372AA" w:rsidRPr="00403220">
        <w:rPr>
          <w:rFonts w:cs="Times New Roman"/>
          <w:szCs w:val="24"/>
          <w:lang w:val="fr-CA"/>
        </w:rPr>
        <w:t>’</w:t>
      </w:r>
      <w:r w:rsidRPr="00403220">
        <w:rPr>
          <w:rFonts w:cs="Times New Roman"/>
          <w:szCs w:val="24"/>
          <w:lang w:val="fr-CA"/>
        </w:rPr>
        <w:t xml:space="preserve">un fabricant au sens de la </w:t>
      </w:r>
      <w:r w:rsidRPr="00403220">
        <w:rPr>
          <w:rFonts w:cs="Times New Roman"/>
          <w:i/>
          <w:szCs w:val="24"/>
          <w:lang w:val="fr-CA"/>
        </w:rPr>
        <w:t xml:space="preserve">Tobacco Damages and </w:t>
      </w:r>
      <w:proofErr w:type="spellStart"/>
      <w:r w:rsidRPr="00403220">
        <w:rPr>
          <w:rFonts w:cs="Times New Roman"/>
          <w:i/>
          <w:szCs w:val="24"/>
          <w:lang w:val="fr-CA"/>
        </w:rPr>
        <w:t>Health</w:t>
      </w:r>
      <w:proofErr w:type="spellEnd"/>
      <w:r w:rsidRPr="00403220">
        <w:rPr>
          <w:rFonts w:cs="Times New Roman"/>
          <w:i/>
          <w:szCs w:val="24"/>
          <w:lang w:val="fr-CA"/>
        </w:rPr>
        <w:t xml:space="preserve"> Care </w:t>
      </w:r>
      <w:proofErr w:type="spellStart"/>
      <w:r w:rsidRPr="00403220">
        <w:rPr>
          <w:rFonts w:cs="Times New Roman"/>
          <w:i/>
          <w:szCs w:val="24"/>
          <w:lang w:val="fr-CA"/>
        </w:rPr>
        <w:t>Costs</w:t>
      </w:r>
      <w:proofErr w:type="spellEnd"/>
      <w:r w:rsidRPr="00403220">
        <w:rPr>
          <w:rFonts w:cs="Times New Roman"/>
          <w:i/>
          <w:szCs w:val="24"/>
          <w:lang w:val="fr-CA"/>
        </w:rPr>
        <w:t xml:space="preserve"> </w:t>
      </w:r>
      <w:proofErr w:type="spellStart"/>
      <w:r w:rsidRPr="00403220">
        <w:rPr>
          <w:rFonts w:cs="Times New Roman"/>
          <w:i/>
          <w:szCs w:val="24"/>
          <w:lang w:val="fr-CA"/>
        </w:rPr>
        <w:t>Recovery</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002C448D" w:rsidRPr="00403220">
        <w:rPr>
          <w:rFonts w:cs="Times New Roman"/>
          <w:i/>
          <w:szCs w:val="24"/>
          <w:lang w:val="fr-CA"/>
        </w:rPr>
        <w:t> </w:t>
      </w:r>
      <w:r w:rsidRPr="00403220">
        <w:rPr>
          <w:rFonts w:cs="Times New Roman"/>
          <w:szCs w:val="24"/>
          <w:lang w:val="fr-CA"/>
        </w:rPr>
        <w:t>»</w:t>
      </w:r>
      <w:r w:rsidR="002917A3" w:rsidRPr="00403220">
        <w:rPr>
          <w:rFonts w:cs="Times New Roman"/>
          <w:szCs w:val="24"/>
          <w:lang w:val="fr-CA"/>
        </w:rPr>
        <w:t xml:space="preserve"> (</w:t>
      </w:r>
      <w:r w:rsidR="00A54DAC" w:rsidRPr="00403220">
        <w:rPr>
          <w:rFonts w:cs="Times New Roman"/>
          <w:szCs w:val="24"/>
          <w:lang w:val="fr-CA"/>
        </w:rPr>
        <w:t>al. </w:t>
      </w:r>
      <w:r w:rsidR="002917A3" w:rsidRPr="00403220">
        <w:rPr>
          <w:rFonts w:cs="Times New Roman"/>
          <w:szCs w:val="24"/>
          <w:lang w:val="fr-CA"/>
        </w:rPr>
        <w:t>24(3</w:t>
      </w:r>
      <w:proofErr w:type="gramStart"/>
      <w:r w:rsidR="002917A3" w:rsidRPr="00403220">
        <w:rPr>
          <w:rFonts w:cs="Times New Roman"/>
          <w:szCs w:val="24"/>
          <w:lang w:val="fr-CA"/>
        </w:rPr>
        <w:t>)b</w:t>
      </w:r>
      <w:proofErr w:type="gramEnd"/>
      <w:r w:rsidR="002917A3" w:rsidRPr="00403220">
        <w:rPr>
          <w:rFonts w:cs="Times New Roman"/>
          <w:szCs w:val="24"/>
          <w:lang w:val="fr-CA"/>
        </w:rPr>
        <w:t>)</w:t>
      </w:r>
      <w:r w:rsidR="00793FCD" w:rsidRPr="00403220">
        <w:rPr>
          <w:rFonts w:cs="Times New Roman"/>
          <w:szCs w:val="24"/>
          <w:lang w:val="fr-CA"/>
        </w:rPr>
        <w:t>)</w:t>
      </w:r>
      <w:r w:rsidRPr="00403220">
        <w:rPr>
          <w:rFonts w:cs="Times New Roman"/>
          <w:szCs w:val="24"/>
          <w:lang w:val="fr-CA"/>
        </w:rPr>
        <w:t>, ce qui fait obstacle aux demandes de contribution présentées en application</w:t>
      </w:r>
      <w:r w:rsidR="002C448D" w:rsidRPr="00403220">
        <w:rPr>
          <w:rFonts w:cs="Times New Roman"/>
          <w:szCs w:val="24"/>
          <w:lang w:val="fr-CA"/>
        </w:rPr>
        <w:t xml:space="preserve"> de cette </w:t>
      </w:r>
      <w:r w:rsidR="00E574E0" w:rsidRPr="00403220">
        <w:rPr>
          <w:rFonts w:cs="Times New Roman"/>
          <w:szCs w:val="24"/>
          <w:lang w:val="fr-CA"/>
        </w:rPr>
        <w:t>l</w:t>
      </w:r>
      <w:r w:rsidR="002C448D" w:rsidRPr="00403220">
        <w:rPr>
          <w:rFonts w:cs="Times New Roman"/>
          <w:szCs w:val="24"/>
          <w:lang w:val="fr-CA"/>
        </w:rPr>
        <w:t>oi.</w:t>
      </w:r>
    </w:p>
    <w:p w:rsidR="0047179D" w:rsidRPr="00403220" w:rsidRDefault="004031B6" w:rsidP="004031B6">
      <w:pPr>
        <w:pStyle w:val="TitleTitre-AltT"/>
        <w:keepNext/>
        <w:tabs>
          <w:tab w:val="clear" w:pos="360"/>
          <w:tab w:val="left" w:pos="1170"/>
        </w:tabs>
        <w:spacing w:after="720"/>
        <w:ind w:left="1710" w:hanging="1710"/>
        <w:rPr>
          <w:rFonts w:cs="Times New Roman"/>
          <w:szCs w:val="24"/>
          <w:u w:val="single"/>
          <w:lang w:val="fr-CA"/>
        </w:rPr>
      </w:pPr>
      <w:bookmarkStart w:id="47" w:name="sec4subsec2"/>
      <w:bookmarkEnd w:id="47"/>
      <w:r>
        <w:rPr>
          <w:rFonts w:cs="Times New Roman"/>
          <w:szCs w:val="24"/>
          <w:lang w:val="fr-CA"/>
        </w:rPr>
        <w:tab/>
      </w:r>
      <w:bookmarkStart w:id="48" w:name="_Toc314735136"/>
      <w:r w:rsidR="00793FCD" w:rsidRPr="00403220">
        <w:rPr>
          <w:rFonts w:cs="Times New Roman"/>
          <w:szCs w:val="24"/>
          <w:lang w:val="fr-CA"/>
        </w:rPr>
        <w:t>(3</w:t>
      </w:r>
      <w:r w:rsidR="0047179D" w:rsidRPr="00403220">
        <w:rPr>
          <w:rFonts w:cs="Times New Roman"/>
          <w:szCs w:val="24"/>
          <w:lang w:val="fr-CA"/>
        </w:rPr>
        <w:t>)</w:t>
      </w:r>
      <w:r w:rsidR="00793FCD" w:rsidRPr="00403220">
        <w:rPr>
          <w:rFonts w:cs="Times New Roman"/>
          <w:szCs w:val="24"/>
          <w:lang w:val="fr-CA"/>
        </w:rPr>
        <w:tab/>
      </w:r>
      <w:r w:rsidR="0047179D" w:rsidRPr="00403220">
        <w:rPr>
          <w:rFonts w:cs="Times New Roman"/>
          <w:szCs w:val="24"/>
          <w:u w:val="single"/>
          <w:lang w:val="fr-CA"/>
        </w:rPr>
        <w:t xml:space="preserve">Le Canada </w:t>
      </w:r>
      <w:proofErr w:type="spellStart"/>
      <w:r w:rsidR="0047179D" w:rsidRPr="00403220">
        <w:rPr>
          <w:rFonts w:cs="Times New Roman"/>
          <w:szCs w:val="24"/>
          <w:u w:val="single"/>
          <w:lang w:val="fr-CA"/>
        </w:rPr>
        <w:t>peut</w:t>
      </w:r>
      <w:r w:rsidR="00A54DAC" w:rsidRPr="00403220">
        <w:rPr>
          <w:rFonts w:cs="Times New Roman"/>
          <w:szCs w:val="24"/>
          <w:u w:val="single"/>
          <w:lang w:val="fr-CA"/>
        </w:rPr>
        <w:noBreakHyphen/>
      </w:r>
      <w:r w:rsidR="0047179D" w:rsidRPr="00403220">
        <w:rPr>
          <w:rFonts w:cs="Times New Roman"/>
          <w:szCs w:val="24"/>
          <w:u w:val="single"/>
          <w:lang w:val="fr-CA"/>
        </w:rPr>
        <w:t>il</w:t>
      </w:r>
      <w:proofErr w:type="spellEnd"/>
      <w:r w:rsidR="0047179D" w:rsidRPr="00403220">
        <w:rPr>
          <w:rFonts w:cs="Times New Roman"/>
          <w:szCs w:val="24"/>
          <w:u w:val="single"/>
          <w:lang w:val="fr-CA"/>
        </w:rPr>
        <w:t xml:space="preserve"> être tenu </w:t>
      </w:r>
      <w:r w:rsidR="008150EA" w:rsidRPr="00403220">
        <w:rPr>
          <w:rFonts w:cs="Times New Roman"/>
          <w:szCs w:val="24"/>
          <w:u w:val="single"/>
          <w:lang w:val="fr-CA"/>
        </w:rPr>
        <w:t xml:space="preserve">à </w:t>
      </w:r>
      <w:r w:rsidR="0047179D" w:rsidRPr="00403220">
        <w:rPr>
          <w:rFonts w:cs="Times New Roman"/>
          <w:szCs w:val="24"/>
          <w:u w:val="single"/>
          <w:lang w:val="fr-CA"/>
        </w:rPr>
        <w:t>une contribution en application de la</w:t>
      </w:r>
      <w:r w:rsidR="00B772D4" w:rsidRPr="00403220">
        <w:rPr>
          <w:rFonts w:cs="Times New Roman"/>
          <w:szCs w:val="24"/>
          <w:u w:val="single"/>
          <w:lang w:val="fr-CA"/>
        </w:rPr>
        <w:t xml:space="preserve"> </w:t>
      </w:r>
      <w:proofErr w:type="spellStart"/>
      <w:r w:rsidR="0047179D" w:rsidRPr="00403220">
        <w:rPr>
          <w:rFonts w:cs="Times New Roman"/>
          <w:i/>
          <w:szCs w:val="24"/>
          <w:u w:val="single"/>
          <w:lang w:val="fr-CA"/>
        </w:rPr>
        <w:t>Negligence</w:t>
      </w:r>
      <w:proofErr w:type="spellEnd"/>
      <w:r w:rsidR="0047179D" w:rsidRPr="00403220">
        <w:rPr>
          <w:rFonts w:cs="Times New Roman"/>
          <w:i/>
          <w:szCs w:val="24"/>
          <w:u w:val="single"/>
          <w:lang w:val="fr-CA"/>
        </w:rPr>
        <w:t xml:space="preserve"> </w:t>
      </w:r>
      <w:proofErr w:type="spellStart"/>
      <w:r w:rsidR="0047179D" w:rsidRPr="00403220">
        <w:rPr>
          <w:rFonts w:cs="Times New Roman"/>
          <w:i/>
          <w:szCs w:val="24"/>
          <w:u w:val="single"/>
          <w:lang w:val="fr-CA"/>
        </w:rPr>
        <w:t>Act</w:t>
      </w:r>
      <w:proofErr w:type="spellEnd"/>
      <w:r w:rsidR="0047179D" w:rsidRPr="00403220">
        <w:rPr>
          <w:rFonts w:cs="Times New Roman"/>
          <w:szCs w:val="24"/>
          <w:u w:val="single"/>
          <w:lang w:val="fr-CA"/>
        </w:rPr>
        <w:t xml:space="preserve"> s</w:t>
      </w:r>
      <w:r w:rsidR="008372AA" w:rsidRPr="00403220">
        <w:rPr>
          <w:rFonts w:cs="Times New Roman"/>
          <w:szCs w:val="24"/>
          <w:u w:val="single"/>
          <w:lang w:val="fr-CA"/>
        </w:rPr>
        <w:t>’</w:t>
      </w:r>
      <w:r w:rsidR="0047179D" w:rsidRPr="00403220">
        <w:rPr>
          <w:rFonts w:cs="Times New Roman"/>
          <w:szCs w:val="24"/>
          <w:u w:val="single"/>
          <w:lang w:val="fr-CA"/>
        </w:rPr>
        <w:t>il n</w:t>
      </w:r>
      <w:r w:rsidR="008372AA" w:rsidRPr="00403220">
        <w:rPr>
          <w:rFonts w:cs="Times New Roman"/>
          <w:szCs w:val="24"/>
          <w:u w:val="single"/>
          <w:lang w:val="fr-CA"/>
        </w:rPr>
        <w:t>’</w:t>
      </w:r>
      <w:r w:rsidR="0047179D" w:rsidRPr="00403220">
        <w:rPr>
          <w:rFonts w:cs="Times New Roman"/>
          <w:szCs w:val="24"/>
          <w:u w:val="single"/>
          <w:lang w:val="fr-CA"/>
        </w:rPr>
        <w:t xml:space="preserve">est pas directement responsable envers la </w:t>
      </w:r>
      <w:proofErr w:type="spellStart"/>
      <w:r w:rsidR="0047179D" w:rsidRPr="00403220">
        <w:rPr>
          <w:rFonts w:cs="Times New Roman"/>
          <w:szCs w:val="24"/>
          <w:u w:val="single"/>
          <w:lang w:val="fr-CA"/>
        </w:rPr>
        <w:t>Colombie</w:t>
      </w:r>
      <w:r w:rsidR="00A54DAC" w:rsidRPr="00403220">
        <w:rPr>
          <w:rFonts w:cs="Times New Roman"/>
          <w:szCs w:val="24"/>
          <w:u w:val="single"/>
          <w:lang w:val="fr-CA"/>
        </w:rPr>
        <w:noBreakHyphen/>
      </w:r>
      <w:r w:rsidR="0047179D" w:rsidRPr="00403220">
        <w:rPr>
          <w:rFonts w:cs="Times New Roman"/>
          <w:szCs w:val="24"/>
          <w:u w:val="single"/>
          <w:lang w:val="fr-CA"/>
        </w:rPr>
        <w:t>Britannique</w:t>
      </w:r>
      <w:proofErr w:type="spellEnd"/>
      <w:r w:rsidR="0047179D" w:rsidRPr="00403220">
        <w:rPr>
          <w:rFonts w:cs="Times New Roman"/>
          <w:szCs w:val="24"/>
          <w:u w:val="single"/>
          <w:lang w:val="fr-CA"/>
        </w:rPr>
        <w:t>?</w:t>
      </w:r>
      <w:bookmarkEnd w:id="48"/>
    </w:p>
    <w:p w:rsidR="008150EA" w:rsidRPr="00403220" w:rsidRDefault="0047179D" w:rsidP="005077DA">
      <w:pPr>
        <w:pStyle w:val="ParaNoNdepar-AltN"/>
        <w:rPr>
          <w:rFonts w:cs="Times New Roman"/>
          <w:szCs w:val="24"/>
          <w:lang w:val="fr-CA"/>
        </w:rPr>
      </w:pPr>
      <w:r w:rsidRPr="00403220">
        <w:rPr>
          <w:rFonts w:cs="Times New Roman"/>
          <w:szCs w:val="24"/>
          <w:lang w:val="fr-CA"/>
        </w:rPr>
        <w:t>RBH et Philip Morris affirment que, même si le Canada n</w:t>
      </w:r>
      <w:r w:rsidR="008372AA" w:rsidRPr="00403220">
        <w:rPr>
          <w:rFonts w:cs="Times New Roman"/>
          <w:szCs w:val="24"/>
          <w:lang w:val="fr-CA"/>
        </w:rPr>
        <w:t>’</w:t>
      </w:r>
      <w:r w:rsidRPr="00403220">
        <w:rPr>
          <w:rFonts w:cs="Times New Roman"/>
          <w:szCs w:val="24"/>
          <w:lang w:val="fr-CA"/>
        </w:rPr>
        <w:t xml:space="preserve">est pas responsable envers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xml:space="preserve">, il peut néanmoins être tenu </w:t>
      </w:r>
      <w:r w:rsidR="008150EA" w:rsidRPr="00403220">
        <w:rPr>
          <w:rFonts w:cs="Times New Roman"/>
          <w:szCs w:val="24"/>
          <w:lang w:val="fr-CA"/>
        </w:rPr>
        <w:t xml:space="preserve">à </w:t>
      </w:r>
      <w:r w:rsidRPr="00403220">
        <w:rPr>
          <w:rFonts w:cs="Times New Roman"/>
          <w:szCs w:val="24"/>
          <w:lang w:val="fr-CA"/>
        </w:rPr>
        <w:t xml:space="preserve">une </w:t>
      </w:r>
      <w:r w:rsidRPr="00403220">
        <w:rPr>
          <w:rFonts w:cs="Times New Roman"/>
          <w:szCs w:val="24"/>
          <w:lang w:val="fr-CA"/>
        </w:rPr>
        <w:lastRenderedPageBreak/>
        <w:t xml:space="preserve">contribution au titre de la </w:t>
      </w:r>
      <w:proofErr w:type="spellStart"/>
      <w:r w:rsidRPr="00403220">
        <w:rPr>
          <w:rFonts w:cs="Times New Roman"/>
          <w:i/>
          <w:szCs w:val="24"/>
          <w:lang w:val="fr-CA"/>
        </w:rPr>
        <w:t>Negligence</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szCs w:val="24"/>
          <w:lang w:val="fr-CA"/>
        </w:rPr>
        <w:t>.  Elles font valoir que le défendeur n</w:t>
      </w:r>
      <w:r w:rsidR="008372AA" w:rsidRPr="00403220">
        <w:rPr>
          <w:rFonts w:cs="Times New Roman"/>
          <w:szCs w:val="24"/>
          <w:lang w:val="fr-CA"/>
        </w:rPr>
        <w:t>’</w:t>
      </w:r>
      <w:r w:rsidRPr="00403220">
        <w:rPr>
          <w:rFonts w:cs="Times New Roman"/>
          <w:szCs w:val="24"/>
          <w:lang w:val="fr-CA"/>
        </w:rPr>
        <w:t xml:space="preserve">a pas à être directement responsable envers le demandeur pour être condamné à verser une contribution.  </w:t>
      </w:r>
    </w:p>
    <w:p w:rsidR="0047179D" w:rsidRPr="00403220" w:rsidRDefault="0047179D" w:rsidP="005077DA">
      <w:pPr>
        <w:pStyle w:val="ParaNoNdepar-AltN"/>
        <w:rPr>
          <w:rFonts w:cs="Times New Roman"/>
          <w:szCs w:val="24"/>
          <w:lang w:val="fr-CA"/>
        </w:rPr>
      </w:pPr>
      <w:r w:rsidRPr="00403220">
        <w:rPr>
          <w:rFonts w:cs="Times New Roman"/>
          <w:szCs w:val="24"/>
          <w:lang w:val="fr-CA"/>
        </w:rPr>
        <w:t>Comme je l</w:t>
      </w:r>
      <w:r w:rsidR="008372AA" w:rsidRPr="00403220">
        <w:rPr>
          <w:rFonts w:cs="Times New Roman"/>
          <w:szCs w:val="24"/>
          <w:lang w:val="fr-CA"/>
        </w:rPr>
        <w:t>’</w:t>
      </w:r>
      <w:r w:rsidRPr="00403220">
        <w:rPr>
          <w:rFonts w:cs="Times New Roman"/>
          <w:szCs w:val="24"/>
          <w:lang w:val="fr-CA"/>
        </w:rPr>
        <w:t>ai déjà mentionné, je souscris à l</w:t>
      </w:r>
      <w:r w:rsidR="008372AA" w:rsidRPr="00403220">
        <w:rPr>
          <w:rFonts w:cs="Times New Roman"/>
          <w:szCs w:val="24"/>
          <w:lang w:val="fr-CA"/>
        </w:rPr>
        <w:t>’</w:t>
      </w:r>
      <w:r w:rsidRPr="00403220">
        <w:rPr>
          <w:rFonts w:cs="Times New Roman"/>
          <w:szCs w:val="24"/>
          <w:lang w:val="fr-CA"/>
        </w:rPr>
        <w:t>argument du Canada que, depuis l</w:t>
      </w:r>
      <w:r w:rsidR="008372AA" w:rsidRPr="00403220">
        <w:rPr>
          <w:rFonts w:cs="Times New Roman"/>
          <w:szCs w:val="24"/>
          <w:lang w:val="fr-CA"/>
        </w:rPr>
        <w:t>’</w:t>
      </w:r>
      <w:r w:rsidRPr="00403220">
        <w:rPr>
          <w:rFonts w:cs="Times New Roman"/>
          <w:szCs w:val="24"/>
          <w:lang w:val="fr-CA"/>
        </w:rPr>
        <w:t xml:space="preserve">arrêt </w:t>
      </w:r>
      <w:proofErr w:type="spellStart"/>
      <w:r w:rsidRPr="00403220">
        <w:rPr>
          <w:rFonts w:cs="Times New Roman"/>
          <w:i/>
          <w:szCs w:val="24"/>
          <w:lang w:val="fr-CA"/>
        </w:rPr>
        <w:t>Giffels</w:t>
      </w:r>
      <w:proofErr w:type="spellEnd"/>
      <w:r w:rsidRPr="00403220">
        <w:rPr>
          <w:rFonts w:cs="Times New Roman"/>
          <w:szCs w:val="24"/>
          <w:lang w:val="fr-CA"/>
        </w:rPr>
        <w:t xml:space="preserve">, une partie ne peut être condamnée à verser une contribution que si elle est aussi directement responsable envers le demandeur.   </w:t>
      </w:r>
    </w:p>
    <w:p w:rsidR="0047179D" w:rsidRPr="00403220" w:rsidRDefault="0047179D" w:rsidP="005077DA">
      <w:pPr>
        <w:pStyle w:val="ParaNoNdepar-AltN"/>
        <w:rPr>
          <w:rFonts w:cs="Times New Roman"/>
          <w:szCs w:val="24"/>
          <w:lang w:val="fr-CA"/>
        </w:rPr>
      </w:pPr>
      <w:r w:rsidRPr="00403220">
        <w:rPr>
          <w:rFonts w:cs="Times New Roman"/>
          <w:szCs w:val="24"/>
          <w:lang w:val="fr-CA"/>
        </w:rPr>
        <w:t>Je suis donc d</w:t>
      </w:r>
      <w:r w:rsidR="008372AA" w:rsidRPr="00403220">
        <w:rPr>
          <w:rFonts w:cs="Times New Roman"/>
          <w:szCs w:val="24"/>
          <w:lang w:val="fr-CA"/>
        </w:rPr>
        <w:t>’</w:t>
      </w:r>
      <w:r w:rsidRPr="00403220">
        <w:rPr>
          <w:rFonts w:cs="Times New Roman"/>
          <w:szCs w:val="24"/>
          <w:lang w:val="fr-CA"/>
        </w:rPr>
        <w:t>avis de rejeter l</w:t>
      </w:r>
      <w:r w:rsidR="008372AA" w:rsidRPr="00403220">
        <w:rPr>
          <w:rFonts w:cs="Times New Roman"/>
          <w:szCs w:val="24"/>
          <w:lang w:val="fr-CA"/>
        </w:rPr>
        <w:t>’</w:t>
      </w:r>
      <w:r w:rsidRPr="00403220">
        <w:rPr>
          <w:rFonts w:cs="Times New Roman"/>
          <w:szCs w:val="24"/>
          <w:lang w:val="fr-CA"/>
        </w:rPr>
        <w:t xml:space="preserve">argument </w:t>
      </w:r>
      <w:r w:rsidR="008150EA" w:rsidRPr="00403220">
        <w:rPr>
          <w:rFonts w:cs="Times New Roman"/>
          <w:szCs w:val="24"/>
          <w:lang w:val="fr-CA"/>
        </w:rPr>
        <w:t>selon lequel</w:t>
      </w:r>
      <w:r w:rsidRPr="00403220">
        <w:rPr>
          <w:rFonts w:cs="Times New Roman"/>
          <w:szCs w:val="24"/>
          <w:lang w:val="fr-CA"/>
        </w:rPr>
        <w:t xml:space="preserve"> la </w:t>
      </w:r>
      <w:proofErr w:type="spellStart"/>
      <w:r w:rsidR="00E574E0" w:rsidRPr="00403220">
        <w:rPr>
          <w:rFonts w:cs="Times New Roman"/>
          <w:i/>
          <w:szCs w:val="24"/>
          <w:lang w:val="fr-CA"/>
        </w:rPr>
        <w:t>Negligence</w:t>
      </w:r>
      <w:proofErr w:type="spellEnd"/>
      <w:r w:rsidR="00E574E0" w:rsidRPr="00403220">
        <w:rPr>
          <w:rFonts w:cs="Times New Roman"/>
          <w:i/>
          <w:szCs w:val="24"/>
          <w:lang w:val="fr-CA"/>
        </w:rPr>
        <w:t xml:space="preserve"> </w:t>
      </w:r>
      <w:proofErr w:type="spellStart"/>
      <w:r w:rsidR="00E574E0" w:rsidRPr="00403220">
        <w:rPr>
          <w:rFonts w:cs="Times New Roman"/>
          <w:i/>
          <w:szCs w:val="24"/>
          <w:lang w:val="fr-CA"/>
        </w:rPr>
        <w:t>Act</w:t>
      </w:r>
      <w:proofErr w:type="spellEnd"/>
      <w:r w:rsidR="00E574E0" w:rsidRPr="00403220">
        <w:rPr>
          <w:rFonts w:cs="Times New Roman"/>
          <w:i/>
          <w:szCs w:val="24"/>
          <w:lang w:val="fr-CA"/>
        </w:rPr>
        <w:t xml:space="preserve"> </w:t>
      </w:r>
      <w:r w:rsidR="008150EA" w:rsidRPr="00403220">
        <w:rPr>
          <w:rFonts w:cs="Times New Roman"/>
          <w:szCs w:val="24"/>
          <w:lang w:val="fr-CA"/>
        </w:rPr>
        <w:t xml:space="preserve">de la </w:t>
      </w:r>
      <w:proofErr w:type="spellStart"/>
      <w:r w:rsidR="008150EA" w:rsidRPr="00403220">
        <w:rPr>
          <w:rFonts w:cs="Times New Roman"/>
          <w:szCs w:val="24"/>
          <w:lang w:val="fr-CA"/>
        </w:rPr>
        <w:t>Colombie</w:t>
      </w:r>
      <w:r w:rsidR="00A54DAC" w:rsidRPr="00403220">
        <w:rPr>
          <w:rFonts w:cs="Times New Roman"/>
          <w:szCs w:val="24"/>
          <w:lang w:val="fr-CA"/>
        </w:rPr>
        <w:noBreakHyphen/>
      </w:r>
      <w:r w:rsidR="008150EA" w:rsidRPr="00403220">
        <w:rPr>
          <w:rFonts w:cs="Times New Roman"/>
          <w:szCs w:val="24"/>
          <w:lang w:val="fr-CA"/>
        </w:rPr>
        <w:t>Britannique</w:t>
      </w:r>
      <w:proofErr w:type="spellEnd"/>
      <w:r w:rsidR="008150EA" w:rsidRPr="00403220">
        <w:rPr>
          <w:rFonts w:cs="Times New Roman"/>
          <w:szCs w:val="24"/>
          <w:lang w:val="fr-CA"/>
        </w:rPr>
        <w:t xml:space="preserve"> </w:t>
      </w:r>
      <w:r w:rsidRPr="00403220">
        <w:rPr>
          <w:rFonts w:cs="Times New Roman"/>
          <w:szCs w:val="24"/>
          <w:lang w:val="fr-CA"/>
        </w:rPr>
        <w:t>permet de recouvr</w:t>
      </w:r>
      <w:r w:rsidR="008150EA" w:rsidRPr="00403220">
        <w:rPr>
          <w:rFonts w:cs="Times New Roman"/>
          <w:szCs w:val="24"/>
          <w:lang w:val="fr-CA"/>
        </w:rPr>
        <w:t>e</w:t>
      </w:r>
      <w:r w:rsidRPr="00403220">
        <w:rPr>
          <w:rFonts w:cs="Times New Roman"/>
          <w:szCs w:val="24"/>
          <w:lang w:val="fr-CA"/>
        </w:rPr>
        <w:t>r des sommes d</w:t>
      </w:r>
      <w:r w:rsidR="008372AA" w:rsidRPr="00403220">
        <w:rPr>
          <w:rFonts w:cs="Times New Roman"/>
          <w:szCs w:val="24"/>
          <w:lang w:val="fr-CA"/>
        </w:rPr>
        <w:t>’</w:t>
      </w:r>
      <w:r w:rsidRPr="00403220">
        <w:rPr>
          <w:rFonts w:cs="Times New Roman"/>
          <w:szCs w:val="24"/>
          <w:lang w:val="fr-CA"/>
        </w:rPr>
        <w:t>argent auprès d</w:t>
      </w:r>
      <w:r w:rsidR="008372AA" w:rsidRPr="00403220">
        <w:rPr>
          <w:rFonts w:cs="Times New Roman"/>
          <w:szCs w:val="24"/>
          <w:lang w:val="fr-CA"/>
        </w:rPr>
        <w:t>’</w:t>
      </w:r>
      <w:r w:rsidRPr="00403220">
        <w:rPr>
          <w:rFonts w:cs="Times New Roman"/>
          <w:szCs w:val="24"/>
          <w:lang w:val="fr-CA"/>
        </w:rPr>
        <w:t xml:space="preserve">un tiers qui ne pouvait pas être responsable envers le demandeur. </w:t>
      </w:r>
    </w:p>
    <w:p w:rsidR="0047179D" w:rsidRPr="00403220" w:rsidRDefault="004031B6" w:rsidP="004031B6">
      <w:pPr>
        <w:pStyle w:val="TitleTitre-AltT"/>
        <w:keepNext/>
        <w:tabs>
          <w:tab w:val="clear" w:pos="360"/>
          <w:tab w:val="left" w:pos="1170"/>
        </w:tabs>
        <w:spacing w:after="720"/>
        <w:ind w:left="1710" w:hanging="1710"/>
        <w:rPr>
          <w:rFonts w:cs="Times New Roman"/>
          <w:szCs w:val="24"/>
          <w:lang w:val="fr-CA"/>
        </w:rPr>
      </w:pPr>
      <w:bookmarkStart w:id="49" w:name="_Toc285751417"/>
      <w:r>
        <w:rPr>
          <w:rFonts w:cs="Times New Roman"/>
          <w:szCs w:val="24"/>
          <w:lang w:val="fr-CA"/>
        </w:rPr>
        <w:tab/>
      </w:r>
      <w:bookmarkStart w:id="50" w:name="_Toc314735137"/>
      <w:r w:rsidR="00793FCD" w:rsidRPr="00403220">
        <w:rPr>
          <w:rFonts w:cs="Times New Roman"/>
          <w:szCs w:val="24"/>
          <w:lang w:val="fr-CA"/>
        </w:rPr>
        <w:t>(4</w:t>
      </w:r>
      <w:r w:rsidR="0047179D" w:rsidRPr="00403220">
        <w:rPr>
          <w:rFonts w:cs="Times New Roman"/>
          <w:szCs w:val="24"/>
          <w:lang w:val="fr-CA"/>
        </w:rPr>
        <w:t>)</w:t>
      </w:r>
      <w:r w:rsidR="0063537D" w:rsidRPr="00403220">
        <w:rPr>
          <w:rFonts w:cs="Times New Roman"/>
          <w:szCs w:val="24"/>
          <w:lang w:val="fr-CA"/>
        </w:rPr>
        <w:tab/>
      </w:r>
      <w:r w:rsidR="0047179D" w:rsidRPr="00403220">
        <w:rPr>
          <w:rFonts w:cs="Times New Roman"/>
          <w:szCs w:val="24"/>
          <w:u w:val="single"/>
          <w:lang w:val="fr-CA"/>
        </w:rPr>
        <w:t xml:space="preserve">Le Canada </w:t>
      </w:r>
      <w:proofErr w:type="spellStart"/>
      <w:r w:rsidR="0047179D" w:rsidRPr="00403220">
        <w:rPr>
          <w:rFonts w:cs="Times New Roman"/>
          <w:szCs w:val="24"/>
          <w:u w:val="single"/>
          <w:lang w:val="fr-CA"/>
        </w:rPr>
        <w:t>peut</w:t>
      </w:r>
      <w:r w:rsidR="00A54DAC" w:rsidRPr="00403220">
        <w:rPr>
          <w:rFonts w:cs="Times New Roman"/>
          <w:szCs w:val="24"/>
          <w:u w:val="single"/>
          <w:lang w:val="fr-CA"/>
        </w:rPr>
        <w:noBreakHyphen/>
      </w:r>
      <w:r w:rsidR="0047179D" w:rsidRPr="00403220">
        <w:rPr>
          <w:rFonts w:cs="Times New Roman"/>
          <w:szCs w:val="24"/>
          <w:u w:val="single"/>
          <w:lang w:val="fr-CA"/>
        </w:rPr>
        <w:t>il</w:t>
      </w:r>
      <w:proofErr w:type="spellEnd"/>
      <w:r w:rsidR="0047179D" w:rsidRPr="00403220">
        <w:rPr>
          <w:rFonts w:cs="Times New Roman"/>
          <w:szCs w:val="24"/>
          <w:u w:val="single"/>
          <w:lang w:val="fr-CA"/>
        </w:rPr>
        <w:t xml:space="preserve"> être tenu en </w:t>
      </w:r>
      <w:proofErr w:type="spellStart"/>
      <w:r w:rsidR="0047179D" w:rsidRPr="00403220">
        <w:rPr>
          <w:rFonts w:cs="Times New Roman"/>
          <w:szCs w:val="24"/>
          <w:u w:val="single"/>
          <w:lang w:val="fr-CA"/>
        </w:rPr>
        <w:t>common</w:t>
      </w:r>
      <w:proofErr w:type="spellEnd"/>
      <w:r w:rsidR="0047179D" w:rsidRPr="00403220">
        <w:rPr>
          <w:rFonts w:cs="Times New Roman"/>
          <w:szCs w:val="24"/>
          <w:u w:val="single"/>
          <w:lang w:val="fr-CA"/>
        </w:rPr>
        <w:t xml:space="preserve"> </w:t>
      </w:r>
      <w:proofErr w:type="spellStart"/>
      <w:r w:rsidR="0047179D" w:rsidRPr="00403220">
        <w:rPr>
          <w:rFonts w:cs="Times New Roman"/>
          <w:szCs w:val="24"/>
          <w:u w:val="single"/>
          <w:lang w:val="fr-CA"/>
        </w:rPr>
        <w:t>law</w:t>
      </w:r>
      <w:proofErr w:type="spellEnd"/>
      <w:r w:rsidR="0047179D" w:rsidRPr="00403220">
        <w:rPr>
          <w:rFonts w:cs="Times New Roman"/>
          <w:szCs w:val="24"/>
          <w:u w:val="single"/>
          <w:lang w:val="fr-CA"/>
        </w:rPr>
        <w:t xml:space="preserve"> de verser une contribution</w:t>
      </w:r>
      <w:bookmarkEnd w:id="49"/>
      <w:r w:rsidR="0047179D" w:rsidRPr="00403220">
        <w:rPr>
          <w:rFonts w:cs="Times New Roman"/>
          <w:szCs w:val="24"/>
          <w:u w:val="single"/>
          <w:lang w:val="fr-CA"/>
        </w:rPr>
        <w:t>?</w:t>
      </w:r>
      <w:bookmarkEnd w:id="50"/>
    </w:p>
    <w:p w:rsidR="0047179D" w:rsidRPr="00403220" w:rsidRDefault="0047179D" w:rsidP="005077DA">
      <w:pPr>
        <w:pStyle w:val="ParaNoNdepar-AltN"/>
        <w:rPr>
          <w:rFonts w:cs="Times New Roman"/>
          <w:szCs w:val="24"/>
          <w:lang w:val="fr-CA"/>
        </w:rPr>
      </w:pPr>
      <w:r w:rsidRPr="00403220">
        <w:rPr>
          <w:rFonts w:cs="Times New Roman"/>
          <w:szCs w:val="24"/>
          <w:lang w:val="fr-CA"/>
        </w:rPr>
        <w:t>D</w:t>
      </w:r>
      <w:r w:rsidR="008372AA" w:rsidRPr="00403220">
        <w:rPr>
          <w:rFonts w:cs="Times New Roman"/>
          <w:szCs w:val="24"/>
          <w:lang w:val="fr-CA"/>
        </w:rPr>
        <w:t>’</w:t>
      </w:r>
      <w:r w:rsidRPr="00403220">
        <w:rPr>
          <w:rFonts w:cs="Times New Roman"/>
          <w:szCs w:val="24"/>
          <w:lang w:val="fr-CA"/>
        </w:rPr>
        <w:t xml:space="preserve">après RBH et Philip Morris, si notre Cour rejette la demande de contribution présentée en vertu de la </w:t>
      </w:r>
      <w:proofErr w:type="spellStart"/>
      <w:r w:rsidRPr="00403220">
        <w:rPr>
          <w:rFonts w:cs="Times New Roman"/>
          <w:i/>
          <w:szCs w:val="24"/>
          <w:lang w:val="fr-CA"/>
        </w:rPr>
        <w:t>Negligence</w:t>
      </w:r>
      <w:proofErr w:type="spellEnd"/>
      <w:r w:rsidRPr="00403220">
        <w:rPr>
          <w:rFonts w:cs="Times New Roman"/>
          <w:i/>
          <w:szCs w:val="24"/>
          <w:lang w:val="fr-CA"/>
        </w:rPr>
        <w:t xml:space="preserve"> </w:t>
      </w:r>
      <w:proofErr w:type="spellStart"/>
      <w:r w:rsidRPr="00403220">
        <w:rPr>
          <w:rFonts w:cs="Times New Roman"/>
          <w:i/>
          <w:szCs w:val="24"/>
          <w:lang w:val="fr-CA"/>
        </w:rPr>
        <w:t>Act</w:t>
      </w:r>
      <w:proofErr w:type="spellEnd"/>
      <w:r w:rsidRPr="00403220">
        <w:rPr>
          <w:rFonts w:cs="Times New Roman"/>
          <w:szCs w:val="24"/>
          <w:lang w:val="fr-CA"/>
        </w:rPr>
        <w:t xml:space="preserve">, elle devrait faire </w:t>
      </w:r>
      <w:proofErr w:type="gramStart"/>
      <w:r w:rsidRPr="00403220">
        <w:rPr>
          <w:rFonts w:cs="Times New Roman"/>
          <w:szCs w:val="24"/>
          <w:lang w:val="fr-CA"/>
        </w:rPr>
        <w:t>droit</w:t>
      </w:r>
      <w:proofErr w:type="gramEnd"/>
      <w:r w:rsidRPr="00403220">
        <w:rPr>
          <w:rFonts w:cs="Times New Roman"/>
          <w:szCs w:val="24"/>
          <w:lang w:val="fr-CA"/>
        </w:rPr>
        <w:t xml:space="preserve"> à une telle demande en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xml:space="preserve">.  </w:t>
      </w:r>
      <w:r w:rsidR="008150EA" w:rsidRPr="00403220">
        <w:rPr>
          <w:rFonts w:cs="Times New Roman"/>
          <w:szCs w:val="24"/>
          <w:lang w:val="fr-CA"/>
        </w:rPr>
        <w:t xml:space="preserve">Elles </w:t>
      </w:r>
      <w:r w:rsidRPr="00403220">
        <w:rPr>
          <w:rFonts w:cs="Times New Roman"/>
          <w:szCs w:val="24"/>
          <w:lang w:val="fr-CA"/>
        </w:rPr>
        <w:t xml:space="preserve">invoquent les arrêts </w:t>
      </w:r>
      <w:r w:rsidRPr="00403220">
        <w:rPr>
          <w:rFonts w:cs="Times New Roman"/>
          <w:i/>
          <w:szCs w:val="24"/>
          <w:lang w:val="fr-CA"/>
        </w:rPr>
        <w:t xml:space="preserve">Bow </w:t>
      </w:r>
      <w:proofErr w:type="spellStart"/>
      <w:r w:rsidRPr="00403220">
        <w:rPr>
          <w:rFonts w:cs="Times New Roman"/>
          <w:i/>
          <w:szCs w:val="24"/>
          <w:lang w:val="fr-CA"/>
        </w:rPr>
        <w:t>Valley</w:t>
      </w:r>
      <w:proofErr w:type="spellEnd"/>
      <w:r w:rsidRPr="00403220">
        <w:rPr>
          <w:rFonts w:cs="Times New Roman"/>
          <w:szCs w:val="24"/>
          <w:lang w:val="fr-CA"/>
        </w:rPr>
        <w:t xml:space="preserve"> et </w:t>
      </w:r>
      <w:proofErr w:type="spellStart"/>
      <w:r w:rsidRPr="00403220">
        <w:rPr>
          <w:rFonts w:cs="Times New Roman"/>
          <w:i/>
          <w:szCs w:val="24"/>
          <w:lang w:val="fr-CA"/>
        </w:rPr>
        <w:t>Blackwater</w:t>
      </w:r>
      <w:proofErr w:type="spellEnd"/>
      <w:r w:rsidRPr="00403220">
        <w:rPr>
          <w:rFonts w:cs="Times New Roman"/>
          <w:i/>
          <w:szCs w:val="24"/>
          <w:lang w:val="fr-CA"/>
        </w:rPr>
        <w:t xml:space="preserve"> c. </w:t>
      </w:r>
      <w:proofErr w:type="spellStart"/>
      <w:r w:rsidRPr="00403220">
        <w:rPr>
          <w:rFonts w:cs="Times New Roman"/>
          <w:i/>
          <w:szCs w:val="24"/>
          <w:lang w:val="fr-CA"/>
        </w:rPr>
        <w:t>Plint</w:t>
      </w:r>
      <w:proofErr w:type="spellEnd"/>
      <w:r w:rsidRPr="00403220">
        <w:rPr>
          <w:rFonts w:cs="Times New Roman"/>
          <w:szCs w:val="24"/>
          <w:lang w:val="fr-CA"/>
        </w:rPr>
        <w:t xml:space="preserve">, </w:t>
      </w:r>
      <w:r w:rsidR="008150EA" w:rsidRPr="00403220">
        <w:rPr>
          <w:rFonts w:cs="Times New Roman"/>
          <w:szCs w:val="24"/>
          <w:lang w:val="fr-CA"/>
        </w:rPr>
        <w:t xml:space="preserve">2005 CSC 58, </w:t>
      </w:r>
      <w:r w:rsidRPr="00403220">
        <w:rPr>
          <w:rFonts w:cs="Times New Roman"/>
          <w:szCs w:val="24"/>
          <w:lang w:val="fr-CA"/>
        </w:rPr>
        <w:t xml:space="preserve">[2005] 3 R.C.S. 3, où notre Cour a </w:t>
      </w:r>
      <w:r w:rsidR="008150EA" w:rsidRPr="00403220">
        <w:rPr>
          <w:rFonts w:cs="Times New Roman"/>
          <w:szCs w:val="24"/>
          <w:lang w:val="fr-CA"/>
        </w:rPr>
        <w:t xml:space="preserve">accueilli </w:t>
      </w:r>
      <w:r w:rsidRPr="00403220">
        <w:rPr>
          <w:rFonts w:cs="Times New Roman"/>
          <w:szCs w:val="24"/>
          <w:lang w:val="fr-CA"/>
        </w:rPr>
        <w:t xml:space="preserve">des demandes de contribution </w:t>
      </w:r>
      <w:r w:rsidR="008150EA" w:rsidRPr="00403220">
        <w:rPr>
          <w:rFonts w:cs="Times New Roman"/>
          <w:szCs w:val="24"/>
          <w:lang w:val="fr-CA"/>
        </w:rPr>
        <w:t>non permise</w:t>
      </w:r>
      <w:r w:rsidR="002B6005" w:rsidRPr="00403220">
        <w:rPr>
          <w:rFonts w:cs="Times New Roman"/>
          <w:szCs w:val="24"/>
          <w:lang w:val="fr-CA"/>
        </w:rPr>
        <w:t>s</w:t>
      </w:r>
      <w:r w:rsidR="008150EA" w:rsidRPr="00403220">
        <w:rPr>
          <w:rFonts w:cs="Times New Roman"/>
          <w:szCs w:val="24"/>
          <w:lang w:val="fr-CA"/>
        </w:rPr>
        <w:t xml:space="preserve"> </w:t>
      </w:r>
      <w:r w:rsidRPr="00403220">
        <w:rPr>
          <w:rFonts w:cs="Times New Roman"/>
          <w:szCs w:val="24"/>
          <w:lang w:val="fr-CA"/>
        </w:rPr>
        <w:t>par la loi.</w:t>
      </w:r>
    </w:p>
    <w:p w:rsidR="0047179D" w:rsidRPr="00403220" w:rsidRDefault="0047179D" w:rsidP="005077DA">
      <w:pPr>
        <w:pStyle w:val="ParaNoNdepar-AltN"/>
        <w:rPr>
          <w:rFonts w:cs="Times New Roman"/>
          <w:szCs w:val="24"/>
          <w:lang w:val="fr-CA"/>
        </w:rPr>
      </w:pPr>
      <w:r w:rsidRPr="00403220">
        <w:rPr>
          <w:rFonts w:cs="Times New Roman"/>
          <w:szCs w:val="24"/>
          <w:lang w:val="fr-CA"/>
        </w:rPr>
        <w:lastRenderedPageBreak/>
        <w:t>Je suis d</w:t>
      </w:r>
      <w:r w:rsidR="008372AA" w:rsidRPr="00403220">
        <w:rPr>
          <w:rFonts w:cs="Times New Roman"/>
          <w:szCs w:val="24"/>
          <w:lang w:val="fr-CA"/>
        </w:rPr>
        <w:t>’</w:t>
      </w:r>
      <w:r w:rsidRPr="00403220">
        <w:rPr>
          <w:rFonts w:cs="Times New Roman"/>
          <w:szCs w:val="24"/>
          <w:lang w:val="fr-CA"/>
        </w:rPr>
        <w:t xml:space="preserve">avis de rejeter cet argument.  </w:t>
      </w:r>
      <w:r w:rsidR="005E646B" w:rsidRPr="00403220">
        <w:rPr>
          <w:rFonts w:cs="Times New Roman"/>
          <w:szCs w:val="24"/>
          <w:lang w:val="fr-CA"/>
        </w:rPr>
        <w:t xml:space="preserve">Les décisions </w:t>
      </w:r>
      <w:r w:rsidRPr="00403220">
        <w:rPr>
          <w:rFonts w:cs="Times New Roman"/>
          <w:szCs w:val="24"/>
          <w:lang w:val="fr-CA"/>
        </w:rPr>
        <w:t>citée</w:t>
      </w:r>
      <w:r w:rsidR="005E646B" w:rsidRPr="00403220">
        <w:rPr>
          <w:rFonts w:cs="Times New Roman"/>
          <w:szCs w:val="24"/>
          <w:lang w:val="fr-CA"/>
        </w:rPr>
        <w:t>s</w:t>
      </w:r>
      <w:r w:rsidRPr="00403220">
        <w:rPr>
          <w:rFonts w:cs="Times New Roman"/>
          <w:szCs w:val="24"/>
          <w:lang w:val="fr-CA"/>
        </w:rPr>
        <w:t xml:space="preserve"> par RB</w:t>
      </w:r>
      <w:r w:rsidR="0063537D" w:rsidRPr="00403220">
        <w:rPr>
          <w:rFonts w:cs="Times New Roman"/>
          <w:szCs w:val="24"/>
          <w:lang w:val="fr-CA"/>
        </w:rPr>
        <w:t xml:space="preserve">H </w:t>
      </w:r>
      <w:r w:rsidRPr="00403220">
        <w:rPr>
          <w:rFonts w:cs="Times New Roman"/>
          <w:szCs w:val="24"/>
          <w:lang w:val="fr-CA"/>
        </w:rPr>
        <w:t>et Philip Morris me semble</w:t>
      </w:r>
      <w:r w:rsidR="005E646B" w:rsidRPr="00403220">
        <w:rPr>
          <w:rFonts w:cs="Times New Roman"/>
          <w:szCs w:val="24"/>
          <w:lang w:val="fr-CA"/>
        </w:rPr>
        <w:t xml:space="preserve">nt </w:t>
      </w:r>
      <w:r w:rsidRPr="00403220">
        <w:rPr>
          <w:rFonts w:cs="Times New Roman"/>
          <w:szCs w:val="24"/>
          <w:lang w:val="fr-CA"/>
        </w:rPr>
        <w:t>n</w:t>
      </w:r>
      <w:r w:rsidR="008372AA" w:rsidRPr="00403220">
        <w:rPr>
          <w:rFonts w:cs="Times New Roman"/>
          <w:szCs w:val="24"/>
          <w:lang w:val="fr-CA"/>
        </w:rPr>
        <w:t>’</w:t>
      </w:r>
      <w:r w:rsidRPr="00403220">
        <w:rPr>
          <w:rFonts w:cs="Times New Roman"/>
          <w:szCs w:val="24"/>
          <w:lang w:val="fr-CA"/>
        </w:rPr>
        <w:t xml:space="preserve">appuyer les demandes de contribution en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xml:space="preserve"> que dans les cas où le tiers est directement responsable envers le demandeur.  Dans </w:t>
      </w:r>
      <w:r w:rsidRPr="00403220">
        <w:rPr>
          <w:rFonts w:cs="Times New Roman"/>
          <w:i/>
          <w:szCs w:val="24"/>
          <w:lang w:val="fr-CA"/>
        </w:rPr>
        <w:t>Bow </w:t>
      </w:r>
      <w:proofErr w:type="spellStart"/>
      <w:r w:rsidRPr="00403220">
        <w:rPr>
          <w:rFonts w:cs="Times New Roman"/>
          <w:i/>
          <w:szCs w:val="24"/>
          <w:lang w:val="fr-CA"/>
        </w:rPr>
        <w:t>Valley</w:t>
      </w:r>
      <w:proofErr w:type="spellEnd"/>
      <w:r w:rsidRPr="00403220">
        <w:rPr>
          <w:rFonts w:cs="Times New Roman"/>
          <w:szCs w:val="24"/>
          <w:lang w:val="fr-CA"/>
        </w:rPr>
        <w:t xml:space="preserve">, la Cour a reconnu </w:t>
      </w:r>
      <w:r w:rsidR="005E646B" w:rsidRPr="00403220">
        <w:rPr>
          <w:rFonts w:cs="Times New Roman"/>
          <w:szCs w:val="24"/>
          <w:lang w:val="fr-CA"/>
        </w:rPr>
        <w:t xml:space="preserve">un droit restreint à la </w:t>
      </w:r>
      <w:r w:rsidRPr="00403220">
        <w:rPr>
          <w:rFonts w:cs="Times New Roman"/>
          <w:szCs w:val="24"/>
          <w:lang w:val="fr-CA"/>
        </w:rPr>
        <w:t>contribution « entre coauteurs d</w:t>
      </w:r>
      <w:r w:rsidR="008372AA" w:rsidRPr="00403220">
        <w:rPr>
          <w:rFonts w:cs="Times New Roman"/>
          <w:szCs w:val="24"/>
          <w:lang w:val="fr-CA"/>
        </w:rPr>
        <w:t>’</w:t>
      </w:r>
      <w:r w:rsidR="002C448D" w:rsidRPr="00403220">
        <w:rPr>
          <w:rFonts w:cs="Times New Roman"/>
          <w:szCs w:val="24"/>
          <w:lang w:val="fr-CA"/>
        </w:rPr>
        <w:t>un délit </w:t>
      </w:r>
      <w:r w:rsidRPr="00403220">
        <w:rPr>
          <w:rFonts w:cs="Times New Roman"/>
          <w:szCs w:val="24"/>
          <w:lang w:val="fr-CA"/>
        </w:rPr>
        <w:t>», et a fait remarquer que les défenderesses étaient « solidairement responsables envers la demanderesse</w:t>
      </w:r>
      <w:r w:rsidR="002C448D" w:rsidRPr="00403220">
        <w:rPr>
          <w:rFonts w:cs="Times New Roman"/>
          <w:szCs w:val="24"/>
          <w:lang w:val="fr-CA"/>
        </w:rPr>
        <w:t> </w:t>
      </w:r>
      <w:r w:rsidRPr="00403220">
        <w:rPr>
          <w:rFonts w:cs="Times New Roman"/>
          <w:szCs w:val="24"/>
          <w:lang w:val="fr-CA"/>
        </w:rPr>
        <w:t>» (</w:t>
      </w:r>
      <w:r w:rsidR="00A54DAC" w:rsidRPr="00403220">
        <w:rPr>
          <w:rFonts w:cs="Times New Roman"/>
          <w:szCs w:val="24"/>
          <w:lang w:val="fr-CA"/>
        </w:rPr>
        <w:t>par. </w:t>
      </w:r>
      <w:r w:rsidRPr="00403220">
        <w:rPr>
          <w:rFonts w:cs="Times New Roman"/>
          <w:szCs w:val="24"/>
          <w:lang w:val="fr-CA"/>
        </w:rPr>
        <w:t xml:space="preserve">101 et 102).  Notre Cour a fait une observation semblable dans </w:t>
      </w:r>
      <w:proofErr w:type="spellStart"/>
      <w:r w:rsidRPr="00403220">
        <w:rPr>
          <w:rFonts w:cs="Times New Roman"/>
          <w:i/>
          <w:szCs w:val="24"/>
          <w:lang w:val="fr-CA"/>
        </w:rPr>
        <w:t>Blackwater</w:t>
      </w:r>
      <w:proofErr w:type="spellEnd"/>
      <w:r w:rsidRPr="00403220">
        <w:rPr>
          <w:rFonts w:cs="Times New Roman"/>
          <w:i/>
          <w:szCs w:val="24"/>
          <w:lang w:val="fr-CA"/>
        </w:rPr>
        <w:t xml:space="preserve"> </w:t>
      </w:r>
      <w:r w:rsidRPr="00403220">
        <w:rPr>
          <w:rFonts w:cs="Times New Roman"/>
          <w:szCs w:val="24"/>
          <w:lang w:val="fr-CA"/>
        </w:rPr>
        <w:t xml:space="preserve">(la juge en chef </w:t>
      </w:r>
      <w:proofErr w:type="spellStart"/>
      <w:r w:rsidRPr="00403220">
        <w:rPr>
          <w:rFonts w:cs="Times New Roman"/>
          <w:szCs w:val="24"/>
          <w:lang w:val="fr-CA"/>
        </w:rPr>
        <w:t>McLachlin</w:t>
      </w:r>
      <w:proofErr w:type="spellEnd"/>
      <w:r w:rsidRPr="00403220">
        <w:rPr>
          <w:rFonts w:cs="Times New Roman"/>
          <w:szCs w:val="24"/>
          <w:lang w:val="fr-CA"/>
        </w:rPr>
        <w:t>), affirmant qu</w:t>
      </w:r>
      <w:r w:rsidR="002B6005" w:rsidRPr="00403220">
        <w:rPr>
          <w:rFonts w:cs="Times New Roman"/>
          <w:szCs w:val="24"/>
          <w:lang w:val="fr-CA"/>
        </w:rPr>
        <w:t xml:space="preserve">e, </w:t>
      </w:r>
      <w:r w:rsidRPr="00403220">
        <w:rPr>
          <w:rFonts w:cs="Times New Roman"/>
          <w:szCs w:val="24"/>
          <w:lang w:val="fr-CA"/>
        </w:rPr>
        <w:t xml:space="preserve">« en </w:t>
      </w:r>
      <w:proofErr w:type="spellStart"/>
      <w:r w:rsidRPr="00403220">
        <w:rPr>
          <w:rFonts w:cs="Times New Roman"/>
          <w:szCs w:val="24"/>
          <w:lang w:val="fr-CA"/>
        </w:rPr>
        <w:t>common</w:t>
      </w:r>
      <w:proofErr w:type="spellEnd"/>
      <w:r w:rsidRPr="00403220">
        <w:rPr>
          <w:rFonts w:cs="Times New Roman"/>
          <w:szCs w:val="24"/>
          <w:lang w:val="fr-CA"/>
        </w:rPr>
        <w:t xml:space="preserve"> </w:t>
      </w:r>
      <w:proofErr w:type="spellStart"/>
      <w:r w:rsidRPr="00403220">
        <w:rPr>
          <w:rFonts w:cs="Times New Roman"/>
          <w:szCs w:val="24"/>
          <w:lang w:val="fr-CA"/>
        </w:rPr>
        <w:t>law</w:t>
      </w:r>
      <w:proofErr w:type="spellEnd"/>
      <w:r w:rsidRPr="00403220">
        <w:rPr>
          <w:rFonts w:cs="Times New Roman"/>
          <w:szCs w:val="24"/>
          <w:lang w:val="fr-CA"/>
        </w:rPr>
        <w:t xml:space="preserve">, les </w:t>
      </w:r>
      <w:r w:rsidRPr="00403220">
        <w:rPr>
          <w:rFonts w:cs="Times New Roman"/>
          <w:szCs w:val="24"/>
          <w:u w:val="single"/>
          <w:lang w:val="fr-CA"/>
        </w:rPr>
        <w:t>coauteurs d</w:t>
      </w:r>
      <w:r w:rsidR="008372AA" w:rsidRPr="00403220">
        <w:rPr>
          <w:rFonts w:cs="Times New Roman"/>
          <w:szCs w:val="24"/>
          <w:u w:val="single"/>
          <w:lang w:val="fr-CA"/>
        </w:rPr>
        <w:t>’</w:t>
      </w:r>
      <w:r w:rsidRPr="00403220">
        <w:rPr>
          <w:rFonts w:cs="Times New Roman"/>
          <w:szCs w:val="24"/>
          <w:u w:val="single"/>
          <w:lang w:val="fr-CA"/>
        </w:rPr>
        <w:t>un délit</w:t>
      </w:r>
      <w:r w:rsidRPr="00403220">
        <w:rPr>
          <w:rFonts w:cs="Times New Roman"/>
          <w:szCs w:val="24"/>
          <w:lang w:val="fr-CA"/>
        </w:rPr>
        <w:t xml:space="preserve"> pouvaient se réclame</w:t>
      </w:r>
      <w:r w:rsidR="002C448D" w:rsidRPr="00403220">
        <w:rPr>
          <w:rFonts w:cs="Times New Roman"/>
          <w:szCs w:val="24"/>
          <w:lang w:val="fr-CA"/>
        </w:rPr>
        <w:t>r mutuellement une contribution </w:t>
      </w:r>
      <w:r w:rsidRPr="00403220">
        <w:rPr>
          <w:rFonts w:cs="Times New Roman"/>
          <w:szCs w:val="24"/>
          <w:lang w:val="fr-CA"/>
        </w:rPr>
        <w:t>» (</w:t>
      </w:r>
      <w:r w:rsidR="00A54DAC" w:rsidRPr="00403220">
        <w:rPr>
          <w:rFonts w:cs="Times New Roman"/>
          <w:szCs w:val="24"/>
          <w:lang w:val="fr-CA"/>
        </w:rPr>
        <w:t>par. </w:t>
      </w:r>
      <w:r w:rsidRPr="00403220">
        <w:rPr>
          <w:rFonts w:cs="Times New Roman"/>
          <w:szCs w:val="24"/>
          <w:lang w:val="fr-CA"/>
        </w:rPr>
        <w:t>68</w:t>
      </w:r>
      <w:r w:rsidR="00793FCD" w:rsidRPr="00403220">
        <w:rPr>
          <w:rFonts w:cs="Times New Roman"/>
          <w:szCs w:val="24"/>
          <w:lang w:val="fr-CA"/>
        </w:rPr>
        <w:t xml:space="preserve"> (je souligne)</w:t>
      </w:r>
      <w:r w:rsidRPr="00403220">
        <w:rPr>
          <w:rFonts w:cs="Times New Roman"/>
          <w:szCs w:val="24"/>
          <w:lang w:val="fr-CA"/>
        </w:rPr>
        <w:t>).  Rien dans notre jurisprudence ne permet d</w:t>
      </w:r>
      <w:r w:rsidR="008372AA" w:rsidRPr="00403220">
        <w:rPr>
          <w:rFonts w:cs="Times New Roman"/>
          <w:szCs w:val="24"/>
          <w:lang w:val="fr-CA"/>
        </w:rPr>
        <w:t>’</w:t>
      </w:r>
      <w:r w:rsidRPr="00403220">
        <w:rPr>
          <w:rFonts w:cs="Times New Roman"/>
          <w:szCs w:val="24"/>
          <w:lang w:val="fr-CA"/>
        </w:rPr>
        <w:t>accueillir des demandes de contribution en l</w:t>
      </w:r>
      <w:r w:rsidR="008372AA" w:rsidRPr="00403220">
        <w:rPr>
          <w:rFonts w:cs="Times New Roman"/>
          <w:szCs w:val="24"/>
          <w:lang w:val="fr-CA"/>
        </w:rPr>
        <w:t>’</w:t>
      </w:r>
      <w:r w:rsidRPr="00403220">
        <w:rPr>
          <w:rFonts w:cs="Times New Roman"/>
          <w:szCs w:val="24"/>
          <w:lang w:val="fr-CA"/>
        </w:rPr>
        <w:t xml:space="preserve">absence de responsabilité du tiers envers le demandeur. </w:t>
      </w:r>
    </w:p>
    <w:p w:rsidR="0047179D" w:rsidRPr="00403220" w:rsidRDefault="00793FCD" w:rsidP="004031B6">
      <w:pPr>
        <w:pStyle w:val="TitleTitre-AltT"/>
        <w:keepNext/>
        <w:tabs>
          <w:tab w:val="clear" w:pos="360"/>
          <w:tab w:val="left" w:pos="540"/>
        </w:tabs>
        <w:spacing w:before="0" w:after="720"/>
        <w:ind w:left="540" w:hanging="540"/>
        <w:rPr>
          <w:rFonts w:cs="Times New Roman"/>
          <w:szCs w:val="24"/>
          <w:lang w:val="fr-CA"/>
        </w:rPr>
      </w:pPr>
      <w:bookmarkStart w:id="51" w:name="_Toc285751419"/>
      <w:bookmarkStart w:id="52" w:name="_Toc285751663"/>
      <w:bookmarkStart w:id="53" w:name="_Toc314735138"/>
      <w:r w:rsidRPr="00403220">
        <w:rPr>
          <w:rFonts w:cs="Times New Roman"/>
          <w:szCs w:val="24"/>
          <w:lang w:val="fr-CA"/>
        </w:rPr>
        <w:t>G.</w:t>
      </w:r>
      <w:r w:rsidR="0063537D" w:rsidRPr="00403220">
        <w:rPr>
          <w:rFonts w:cs="Times New Roman"/>
          <w:szCs w:val="24"/>
          <w:lang w:val="fr-CA"/>
        </w:rPr>
        <w:tab/>
      </w:r>
      <w:r w:rsidR="0047179D" w:rsidRPr="00403220">
        <w:rPr>
          <w:rFonts w:cs="Times New Roman"/>
          <w:i/>
          <w:szCs w:val="24"/>
          <w:lang w:val="fr-CA"/>
        </w:rPr>
        <w:t>Responsabilité en vertu de la T</w:t>
      </w:r>
      <w:r w:rsidRPr="00403220">
        <w:rPr>
          <w:rFonts w:cs="Times New Roman"/>
          <w:i/>
          <w:szCs w:val="24"/>
          <w:lang w:val="fr-CA"/>
        </w:rPr>
        <w:t xml:space="preserve">rade </w:t>
      </w:r>
      <w:r w:rsidR="0047179D" w:rsidRPr="00403220">
        <w:rPr>
          <w:rFonts w:cs="Times New Roman"/>
          <w:i/>
          <w:szCs w:val="24"/>
          <w:lang w:val="fr-CA"/>
        </w:rPr>
        <w:t>P</w:t>
      </w:r>
      <w:r w:rsidRPr="00403220">
        <w:rPr>
          <w:rFonts w:cs="Times New Roman"/>
          <w:i/>
          <w:szCs w:val="24"/>
          <w:lang w:val="fr-CA"/>
        </w:rPr>
        <w:t xml:space="preserve">ractice </w:t>
      </w:r>
      <w:proofErr w:type="spellStart"/>
      <w:r w:rsidR="0047179D" w:rsidRPr="00403220">
        <w:rPr>
          <w:rFonts w:cs="Times New Roman"/>
          <w:i/>
          <w:szCs w:val="24"/>
          <w:lang w:val="fr-CA"/>
        </w:rPr>
        <w:t>A</w:t>
      </w:r>
      <w:r w:rsidRPr="00403220">
        <w:rPr>
          <w:rFonts w:cs="Times New Roman"/>
          <w:i/>
          <w:szCs w:val="24"/>
          <w:lang w:val="fr-CA"/>
        </w:rPr>
        <w:t>ct</w:t>
      </w:r>
      <w:proofErr w:type="spellEnd"/>
      <w:r w:rsidR="0047179D" w:rsidRPr="00403220">
        <w:rPr>
          <w:rFonts w:cs="Times New Roman"/>
          <w:i/>
          <w:szCs w:val="24"/>
          <w:lang w:val="fr-CA"/>
        </w:rPr>
        <w:t xml:space="preserve"> et de la B</w:t>
      </w:r>
      <w:r w:rsidRPr="00403220">
        <w:rPr>
          <w:rFonts w:cs="Times New Roman"/>
          <w:i/>
          <w:szCs w:val="24"/>
          <w:lang w:val="fr-CA"/>
        </w:rPr>
        <w:t xml:space="preserve">usiness </w:t>
      </w:r>
      <w:r w:rsidR="0047179D" w:rsidRPr="00403220">
        <w:rPr>
          <w:rFonts w:cs="Times New Roman"/>
          <w:i/>
          <w:szCs w:val="24"/>
          <w:lang w:val="fr-CA"/>
        </w:rPr>
        <w:t>P</w:t>
      </w:r>
      <w:r w:rsidRPr="00403220">
        <w:rPr>
          <w:rFonts w:cs="Times New Roman"/>
          <w:i/>
          <w:szCs w:val="24"/>
          <w:lang w:val="fr-CA"/>
        </w:rPr>
        <w:t xml:space="preserve">ractices and Consumer </w:t>
      </w:r>
      <w:r w:rsidR="0047179D" w:rsidRPr="00403220">
        <w:rPr>
          <w:rFonts w:cs="Times New Roman"/>
          <w:i/>
          <w:szCs w:val="24"/>
          <w:lang w:val="fr-CA"/>
        </w:rPr>
        <w:t>P</w:t>
      </w:r>
      <w:r w:rsidRPr="00403220">
        <w:rPr>
          <w:rFonts w:cs="Times New Roman"/>
          <w:i/>
          <w:szCs w:val="24"/>
          <w:lang w:val="fr-CA"/>
        </w:rPr>
        <w:t xml:space="preserve">rotection </w:t>
      </w:r>
      <w:proofErr w:type="spellStart"/>
      <w:r w:rsidR="0047179D" w:rsidRPr="00403220">
        <w:rPr>
          <w:rFonts w:cs="Times New Roman"/>
          <w:i/>
          <w:szCs w:val="24"/>
          <w:lang w:val="fr-CA"/>
        </w:rPr>
        <w:t>A</w:t>
      </w:r>
      <w:bookmarkEnd w:id="51"/>
      <w:bookmarkEnd w:id="52"/>
      <w:r w:rsidRPr="00403220">
        <w:rPr>
          <w:rFonts w:cs="Times New Roman"/>
          <w:i/>
          <w:szCs w:val="24"/>
          <w:lang w:val="fr-CA"/>
        </w:rPr>
        <w:t>ct</w:t>
      </w:r>
      <w:bookmarkEnd w:id="53"/>
      <w:proofErr w:type="spellEnd"/>
    </w:p>
    <w:p w:rsidR="0047179D" w:rsidRPr="00403220" w:rsidRDefault="00E574E0" w:rsidP="005077DA">
      <w:pPr>
        <w:pStyle w:val="ParaNoNdepar-AltN"/>
        <w:rPr>
          <w:rFonts w:cs="Times New Roman"/>
          <w:i/>
          <w:szCs w:val="24"/>
          <w:lang w:val="fr-CA"/>
        </w:rPr>
      </w:pPr>
      <w:r w:rsidRPr="00403220">
        <w:rPr>
          <w:rFonts w:cs="Times New Roman"/>
          <w:szCs w:val="24"/>
          <w:lang w:val="fr-CA"/>
        </w:rPr>
        <w:t xml:space="preserve">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w:t>
      </w:r>
      <w:r w:rsidRPr="00403220">
        <w:rPr>
          <w:rFonts w:cs="Times New Roman"/>
          <w:i/>
          <w:szCs w:val="24"/>
          <w:lang w:val="fr-CA"/>
        </w:rPr>
        <w:t xml:space="preserve"> </w:t>
      </w:r>
      <w:r w:rsidR="00847C22" w:rsidRPr="00403220">
        <w:rPr>
          <w:rFonts w:cs="Times New Roman"/>
          <w:szCs w:val="24"/>
          <w:lang w:val="fr-CA"/>
        </w:rPr>
        <w:t xml:space="preserve">Imperial </w:t>
      </w:r>
      <w:r w:rsidR="0047179D" w:rsidRPr="00403220">
        <w:rPr>
          <w:rFonts w:cs="Times New Roman"/>
          <w:szCs w:val="24"/>
          <w:lang w:val="fr-CA"/>
        </w:rPr>
        <w:t xml:space="preserve">prétend que le Canada répond aux définitions de </w:t>
      </w:r>
      <w:r w:rsidRPr="00403220">
        <w:rPr>
          <w:rFonts w:cs="Times New Roman"/>
          <w:szCs w:val="24"/>
          <w:lang w:val="fr-CA"/>
        </w:rPr>
        <w:t>« </w:t>
      </w:r>
      <w:r w:rsidRPr="00403220">
        <w:rPr>
          <w:rFonts w:cs="Times New Roman"/>
          <w:i/>
          <w:szCs w:val="24"/>
          <w:lang w:val="fr-CA"/>
        </w:rPr>
        <w:t>supplier</w:t>
      </w:r>
      <w:r w:rsidRPr="00403220">
        <w:rPr>
          <w:rFonts w:cs="Times New Roman"/>
          <w:szCs w:val="24"/>
          <w:lang w:val="fr-CA"/>
        </w:rPr>
        <w:t> » (</w:t>
      </w:r>
      <w:r w:rsidR="0047179D" w:rsidRPr="00403220">
        <w:rPr>
          <w:rFonts w:cs="Times New Roman"/>
          <w:szCs w:val="24"/>
          <w:lang w:val="fr-CA"/>
        </w:rPr>
        <w:t>« fournisseur »</w:t>
      </w:r>
      <w:r w:rsidRPr="00403220">
        <w:rPr>
          <w:rFonts w:cs="Times New Roman"/>
          <w:szCs w:val="24"/>
          <w:lang w:val="fr-CA"/>
        </w:rPr>
        <w:t>)</w:t>
      </w:r>
      <w:r w:rsidR="0047179D" w:rsidRPr="00403220">
        <w:rPr>
          <w:rFonts w:cs="Times New Roman"/>
          <w:szCs w:val="24"/>
          <w:lang w:val="fr-CA"/>
        </w:rPr>
        <w:t xml:space="preserve"> qui figurent dans la </w:t>
      </w:r>
      <w:r w:rsidR="0047179D" w:rsidRPr="00403220">
        <w:rPr>
          <w:rFonts w:cs="Times New Roman"/>
          <w:i/>
          <w:szCs w:val="24"/>
          <w:lang w:val="fr-CA"/>
        </w:rPr>
        <w:t xml:space="preserve">Trade Practice </w:t>
      </w:r>
      <w:proofErr w:type="spellStart"/>
      <w:r w:rsidR="0047179D" w:rsidRPr="00403220">
        <w:rPr>
          <w:rFonts w:cs="Times New Roman"/>
          <w:i/>
          <w:szCs w:val="24"/>
          <w:lang w:val="fr-CA"/>
        </w:rPr>
        <w:t>Act</w:t>
      </w:r>
      <w:proofErr w:type="spellEnd"/>
      <w:r w:rsidR="0047179D" w:rsidRPr="00403220">
        <w:rPr>
          <w:rFonts w:cs="Times New Roman"/>
          <w:szCs w:val="24"/>
          <w:lang w:val="fr-CA"/>
        </w:rPr>
        <w:t xml:space="preserve"> (« </w:t>
      </w:r>
      <w:r w:rsidR="0047179D" w:rsidRPr="00403220">
        <w:rPr>
          <w:rFonts w:cs="Times New Roman"/>
          <w:i/>
          <w:szCs w:val="24"/>
          <w:lang w:val="fr-CA"/>
        </w:rPr>
        <w:t>TPA</w:t>
      </w:r>
      <w:r w:rsidR="00EF4589" w:rsidRPr="00403220">
        <w:rPr>
          <w:rFonts w:cs="Times New Roman"/>
          <w:i/>
          <w:szCs w:val="24"/>
          <w:lang w:val="fr-CA"/>
        </w:rPr>
        <w:t> </w:t>
      </w:r>
      <w:r w:rsidR="0047179D" w:rsidRPr="00403220">
        <w:rPr>
          <w:rFonts w:cs="Times New Roman"/>
          <w:szCs w:val="24"/>
          <w:lang w:val="fr-CA"/>
        </w:rPr>
        <w:t xml:space="preserve">») et la </w:t>
      </w:r>
      <w:r w:rsidR="0047179D" w:rsidRPr="00403220">
        <w:rPr>
          <w:rFonts w:cs="Times New Roman"/>
          <w:i/>
          <w:szCs w:val="24"/>
          <w:lang w:val="fr-CA"/>
        </w:rPr>
        <w:t xml:space="preserve">Business Practices and Consumer Protection </w:t>
      </w:r>
      <w:proofErr w:type="spellStart"/>
      <w:r w:rsidR="0047179D" w:rsidRPr="00403220">
        <w:rPr>
          <w:rFonts w:cs="Times New Roman"/>
          <w:i/>
          <w:szCs w:val="24"/>
          <w:lang w:val="fr-CA"/>
        </w:rPr>
        <w:t>Act</w:t>
      </w:r>
      <w:proofErr w:type="spellEnd"/>
      <w:r w:rsidR="0047179D" w:rsidRPr="00403220">
        <w:rPr>
          <w:rFonts w:cs="Times New Roman"/>
          <w:szCs w:val="24"/>
          <w:lang w:val="fr-CA"/>
        </w:rPr>
        <w:t xml:space="preserve"> (« </w:t>
      </w:r>
      <w:r w:rsidR="0047179D" w:rsidRPr="00403220">
        <w:rPr>
          <w:rFonts w:cs="Times New Roman"/>
          <w:bCs/>
          <w:i/>
          <w:szCs w:val="24"/>
          <w:lang w:val="fr-CA"/>
        </w:rPr>
        <w:t>BPCPA</w:t>
      </w:r>
      <w:r w:rsidR="00EF4589" w:rsidRPr="00403220">
        <w:rPr>
          <w:rFonts w:cs="Times New Roman"/>
          <w:bCs/>
          <w:i/>
          <w:szCs w:val="24"/>
          <w:lang w:val="fr-CA"/>
        </w:rPr>
        <w:t> </w:t>
      </w:r>
      <w:r w:rsidR="0047179D" w:rsidRPr="00403220">
        <w:rPr>
          <w:rFonts w:cs="Times New Roman"/>
          <w:bCs/>
          <w:szCs w:val="24"/>
          <w:lang w:val="fr-CA"/>
        </w:rPr>
        <w:t>»)</w:t>
      </w:r>
      <w:r w:rsidR="0047179D" w:rsidRPr="00403220">
        <w:rPr>
          <w:rFonts w:cs="Times New Roman"/>
          <w:szCs w:val="24"/>
          <w:lang w:val="fr-CA"/>
        </w:rPr>
        <w:t xml:space="preserve">.  La </w:t>
      </w:r>
      <w:r w:rsidR="0047179D" w:rsidRPr="00403220">
        <w:rPr>
          <w:rFonts w:cs="Times New Roman"/>
          <w:i/>
          <w:szCs w:val="24"/>
          <w:lang w:val="fr-CA"/>
        </w:rPr>
        <w:t xml:space="preserve">TPA </w:t>
      </w:r>
      <w:r w:rsidR="0047179D" w:rsidRPr="00403220">
        <w:rPr>
          <w:rFonts w:cs="Times New Roman"/>
          <w:szCs w:val="24"/>
          <w:lang w:val="fr-CA"/>
        </w:rPr>
        <w:t xml:space="preserve">a été abrogée et remplacée par la </w:t>
      </w:r>
      <w:r w:rsidR="0047179D" w:rsidRPr="00403220">
        <w:rPr>
          <w:rFonts w:cs="Times New Roman"/>
          <w:i/>
          <w:szCs w:val="24"/>
          <w:lang w:val="fr-CA"/>
        </w:rPr>
        <w:t xml:space="preserve">BPCPA </w:t>
      </w:r>
      <w:r w:rsidR="0047179D" w:rsidRPr="00403220">
        <w:rPr>
          <w:rFonts w:cs="Times New Roman"/>
          <w:szCs w:val="24"/>
          <w:lang w:val="fr-CA"/>
        </w:rPr>
        <w:t xml:space="preserve">en 2004.  </w:t>
      </w:r>
      <w:r w:rsidR="00847C22" w:rsidRPr="00403220">
        <w:rPr>
          <w:rFonts w:cs="Times New Roman"/>
          <w:szCs w:val="24"/>
          <w:lang w:val="fr-CA"/>
        </w:rPr>
        <w:t xml:space="preserve">Imperial </w:t>
      </w:r>
      <w:r w:rsidR="0047179D" w:rsidRPr="00403220">
        <w:rPr>
          <w:rFonts w:cs="Times New Roman"/>
          <w:szCs w:val="24"/>
          <w:lang w:val="fr-CA"/>
        </w:rPr>
        <w:t>fait valoir que la Cour d</w:t>
      </w:r>
      <w:r w:rsidR="008372AA" w:rsidRPr="00403220">
        <w:rPr>
          <w:rFonts w:cs="Times New Roman"/>
          <w:szCs w:val="24"/>
          <w:lang w:val="fr-CA"/>
        </w:rPr>
        <w:t>’</w:t>
      </w:r>
      <w:r w:rsidR="0047179D" w:rsidRPr="00403220">
        <w:rPr>
          <w:rFonts w:cs="Times New Roman"/>
          <w:szCs w:val="24"/>
          <w:lang w:val="fr-CA"/>
        </w:rPr>
        <w:t>appel a radié à tort la poursuite qu</w:t>
      </w:r>
      <w:r w:rsidR="008372AA" w:rsidRPr="00403220">
        <w:rPr>
          <w:rFonts w:cs="Times New Roman"/>
          <w:szCs w:val="24"/>
          <w:lang w:val="fr-CA"/>
        </w:rPr>
        <w:t>’</w:t>
      </w:r>
      <w:r w:rsidR="0047179D" w:rsidRPr="00403220">
        <w:rPr>
          <w:rFonts w:cs="Times New Roman"/>
          <w:szCs w:val="24"/>
          <w:lang w:val="fr-CA"/>
        </w:rPr>
        <w:t>elle avait intentée contre le Canada en vertu de ces lois.</w:t>
      </w:r>
    </w:p>
    <w:p w:rsidR="0047179D" w:rsidRPr="00403220" w:rsidRDefault="0047179D" w:rsidP="00B772D4">
      <w:pPr>
        <w:pStyle w:val="ParaNoNdepar-AltN"/>
        <w:rPr>
          <w:rFonts w:cs="Times New Roman"/>
          <w:szCs w:val="24"/>
          <w:lang w:val="fr-CA"/>
        </w:rPr>
      </w:pPr>
      <w:r w:rsidRPr="00403220">
        <w:rPr>
          <w:rFonts w:cs="Times New Roman"/>
          <w:szCs w:val="24"/>
          <w:lang w:val="fr-CA"/>
        </w:rPr>
        <w:lastRenderedPageBreak/>
        <w:t>À mon av</w:t>
      </w:r>
      <w:r w:rsidR="00EF4589" w:rsidRPr="00403220">
        <w:rPr>
          <w:rFonts w:cs="Times New Roman"/>
          <w:szCs w:val="24"/>
          <w:lang w:val="fr-CA"/>
        </w:rPr>
        <w:t>is, le Canada ne peut être un « fournisseur </w:t>
      </w:r>
      <w:r w:rsidR="00E574E0" w:rsidRPr="00403220">
        <w:rPr>
          <w:rFonts w:cs="Times New Roman"/>
          <w:szCs w:val="24"/>
          <w:lang w:val="fr-CA"/>
        </w:rPr>
        <w:t>» au sens de ces deux l</w:t>
      </w:r>
      <w:r w:rsidRPr="00403220">
        <w:rPr>
          <w:rFonts w:cs="Times New Roman"/>
          <w:szCs w:val="24"/>
          <w:lang w:val="fr-CA"/>
        </w:rPr>
        <w:t>ois c</w:t>
      </w:r>
      <w:r w:rsidR="00B772D4" w:rsidRPr="00403220">
        <w:rPr>
          <w:rFonts w:cs="Times New Roman"/>
          <w:szCs w:val="24"/>
          <w:lang w:val="fr-CA"/>
        </w:rPr>
        <w:t>ompte tenu des faits allégués.</w:t>
      </w:r>
      <w:r w:rsidR="00793FCD" w:rsidRPr="00403220">
        <w:rPr>
          <w:rFonts w:cs="Times New Roman"/>
          <w:szCs w:val="24"/>
          <w:lang w:val="fr-CA"/>
        </w:rPr>
        <w:t xml:space="preserve">  </w:t>
      </w:r>
      <w:r w:rsidRPr="00403220">
        <w:rPr>
          <w:rFonts w:cs="Times New Roman"/>
          <w:szCs w:val="24"/>
          <w:lang w:val="fr-CA"/>
        </w:rPr>
        <w:t>L</w:t>
      </w:r>
      <w:r w:rsidR="008372AA" w:rsidRPr="00403220">
        <w:rPr>
          <w:rFonts w:cs="Times New Roman"/>
          <w:szCs w:val="24"/>
          <w:lang w:val="fr-CA"/>
        </w:rPr>
        <w:t>’</w:t>
      </w:r>
      <w:r w:rsidR="00DF6983">
        <w:rPr>
          <w:rFonts w:cs="Times New Roman"/>
          <w:szCs w:val="24"/>
          <w:lang w:val="fr-CA"/>
        </w:rPr>
        <w:t>article</w:t>
      </w:r>
      <w:r w:rsidR="00A54DAC" w:rsidRPr="00403220">
        <w:rPr>
          <w:rFonts w:cs="Times New Roman"/>
          <w:szCs w:val="24"/>
          <w:lang w:val="fr-CA"/>
        </w:rPr>
        <w:t> </w:t>
      </w:r>
      <w:r w:rsidR="00E574E0" w:rsidRPr="00403220">
        <w:rPr>
          <w:rFonts w:cs="Times New Roman"/>
          <w:szCs w:val="24"/>
          <w:lang w:val="fr-CA"/>
        </w:rPr>
        <w:t>1</w:t>
      </w:r>
      <w:r w:rsidRPr="00403220">
        <w:rPr>
          <w:rFonts w:cs="Times New Roman"/>
          <w:szCs w:val="24"/>
          <w:lang w:val="fr-CA"/>
        </w:rPr>
        <w:t xml:space="preserve"> de la </w:t>
      </w:r>
      <w:r w:rsidRPr="00403220">
        <w:rPr>
          <w:rFonts w:cs="Times New Roman"/>
          <w:i/>
          <w:szCs w:val="24"/>
          <w:lang w:val="fr-CA"/>
        </w:rPr>
        <w:t xml:space="preserve">TPA </w:t>
      </w:r>
      <w:r w:rsidRPr="00403220">
        <w:rPr>
          <w:rFonts w:cs="Times New Roman"/>
          <w:szCs w:val="24"/>
          <w:lang w:val="fr-CA"/>
        </w:rPr>
        <w:t xml:space="preserve">définissait </w:t>
      </w:r>
      <w:r w:rsidR="00E574E0" w:rsidRPr="00403220">
        <w:rPr>
          <w:rFonts w:cs="Times New Roman"/>
          <w:szCs w:val="24"/>
          <w:lang w:val="fr-CA"/>
        </w:rPr>
        <w:t>ainsi</w:t>
      </w:r>
      <w:r w:rsidRPr="00403220">
        <w:rPr>
          <w:rFonts w:cs="Times New Roman"/>
          <w:szCs w:val="24"/>
          <w:lang w:val="fr-CA"/>
        </w:rPr>
        <w:t xml:space="preserve"> le </w:t>
      </w:r>
      <w:r w:rsidR="00E574E0" w:rsidRPr="00403220">
        <w:rPr>
          <w:rFonts w:cs="Times New Roman"/>
          <w:szCs w:val="24"/>
          <w:lang w:val="fr-CA"/>
        </w:rPr>
        <w:t>mot « </w:t>
      </w:r>
      <w:r w:rsidRPr="00403220">
        <w:rPr>
          <w:rFonts w:cs="Times New Roman"/>
          <w:szCs w:val="24"/>
          <w:lang w:val="fr-CA"/>
        </w:rPr>
        <w:t>fournisseur</w:t>
      </w:r>
      <w:r w:rsidR="00E574E0" w:rsidRPr="00403220">
        <w:rPr>
          <w:rFonts w:cs="Times New Roman"/>
          <w:szCs w:val="24"/>
          <w:lang w:val="fr-CA"/>
        </w:rPr>
        <w:t> »</w:t>
      </w:r>
      <w:r w:rsidR="00A54DAC" w:rsidRPr="00403220">
        <w:rPr>
          <w:rFonts w:cs="Times New Roman"/>
          <w:szCs w:val="24"/>
          <w:lang w:val="fr-CA"/>
        </w:rPr>
        <w:t> :</w:t>
      </w:r>
    </w:p>
    <w:p w:rsidR="0047179D" w:rsidRDefault="002256A7" w:rsidP="002256A7">
      <w:pPr>
        <w:pStyle w:val="Citation-AltC"/>
        <w:keepNext/>
        <w:spacing w:after="240"/>
        <w:ind w:hanging="1166"/>
        <w:contextualSpacing w:val="0"/>
        <w:rPr>
          <w:szCs w:val="24"/>
          <w:lang w:val="fr-CA"/>
        </w:rPr>
      </w:pPr>
      <w:r w:rsidRPr="00403220">
        <w:rPr>
          <w:szCs w:val="24"/>
          <w:lang w:val="fr-CA"/>
        </w:rPr>
        <w:tab/>
      </w:r>
      <w:r w:rsidR="0047179D" w:rsidRPr="00403220">
        <w:rPr>
          <w:szCs w:val="24"/>
          <w:lang w:val="fr-CA"/>
        </w:rPr>
        <w:t>[</w:t>
      </w:r>
      <w:r w:rsidR="0047179D" w:rsidRPr="00403220">
        <w:rPr>
          <w:smallCaps/>
          <w:szCs w:val="24"/>
          <w:lang w:val="fr-CA"/>
        </w:rPr>
        <w:t>traduction</w:t>
      </w:r>
      <w:r w:rsidR="0047179D" w:rsidRPr="00403220">
        <w:rPr>
          <w:szCs w:val="24"/>
          <w:lang w:val="fr-CA"/>
        </w:rPr>
        <w:t>]</w:t>
      </w:r>
    </w:p>
    <w:p w:rsidR="00256B62" w:rsidRPr="00403220" w:rsidRDefault="00256B62" w:rsidP="002256A7">
      <w:pPr>
        <w:pStyle w:val="Citation-AltC"/>
        <w:keepNext/>
        <w:spacing w:after="240"/>
        <w:ind w:hanging="1166"/>
        <w:contextualSpacing w:val="0"/>
        <w:rPr>
          <w:szCs w:val="24"/>
          <w:lang w:val="fr-CA"/>
        </w:rPr>
      </w:pPr>
      <w:r>
        <w:rPr>
          <w:szCs w:val="24"/>
          <w:lang w:val="fr-CA"/>
        </w:rPr>
        <w:tab/>
      </w:r>
      <w:r w:rsidRPr="00256B62">
        <w:rPr>
          <w:b/>
          <w:szCs w:val="24"/>
          <w:lang w:val="fr-CA"/>
        </w:rPr>
        <w:t>1</w:t>
      </w:r>
      <w:r>
        <w:rPr>
          <w:szCs w:val="24"/>
          <w:lang w:val="fr-CA"/>
        </w:rPr>
        <w:t xml:space="preserve"> . . .</w:t>
      </w:r>
    </w:p>
    <w:p w:rsidR="0047179D" w:rsidRPr="00403220" w:rsidRDefault="002256A7" w:rsidP="00256B62">
      <w:pPr>
        <w:pStyle w:val="Citation-AltC"/>
        <w:tabs>
          <w:tab w:val="left" w:pos="1440"/>
        </w:tabs>
        <w:spacing w:after="240"/>
        <w:ind w:left="1800" w:hanging="1800"/>
        <w:contextualSpacing w:val="0"/>
        <w:rPr>
          <w:szCs w:val="24"/>
          <w:lang w:val="fr-CA"/>
        </w:rPr>
      </w:pPr>
      <w:r w:rsidRPr="00403220">
        <w:rPr>
          <w:b/>
          <w:szCs w:val="24"/>
          <w:lang w:val="fr-CA"/>
        </w:rPr>
        <w:tab/>
      </w:r>
      <w:r w:rsidR="005077DA" w:rsidRPr="00DF6983">
        <w:rPr>
          <w:b/>
          <w:szCs w:val="24"/>
          <w:lang w:val="fr-CA"/>
        </w:rPr>
        <w:t>« </w:t>
      </w:r>
      <w:proofErr w:type="gramStart"/>
      <w:r w:rsidR="005077DA" w:rsidRPr="00854D03">
        <w:rPr>
          <w:b/>
          <w:szCs w:val="24"/>
          <w:lang w:val="fr-CA"/>
        </w:rPr>
        <w:t>fournisse</w:t>
      </w:r>
      <w:r w:rsidR="001C4D57" w:rsidRPr="00854D03">
        <w:rPr>
          <w:b/>
          <w:szCs w:val="24"/>
          <w:lang w:val="fr-CA"/>
        </w:rPr>
        <w:t>ur</w:t>
      </w:r>
      <w:proofErr w:type="gramEnd"/>
      <w:r w:rsidR="005077DA" w:rsidRPr="00DF6983">
        <w:rPr>
          <w:b/>
          <w:szCs w:val="24"/>
          <w:lang w:val="fr-CA"/>
        </w:rPr>
        <w:t> </w:t>
      </w:r>
      <w:r w:rsidR="0047179D" w:rsidRPr="00DF6983">
        <w:rPr>
          <w:b/>
          <w:szCs w:val="24"/>
          <w:lang w:val="fr-CA"/>
        </w:rPr>
        <w:t>»</w:t>
      </w:r>
      <w:r w:rsidR="0047179D" w:rsidRPr="00403220">
        <w:rPr>
          <w:szCs w:val="24"/>
          <w:lang w:val="fr-CA"/>
        </w:rPr>
        <w:t xml:space="preserve"> </w:t>
      </w:r>
      <w:r w:rsidR="0047179D" w:rsidRPr="00256B62">
        <w:rPr>
          <w:bCs/>
          <w:lang w:val="fr-CA"/>
        </w:rPr>
        <w:t>Une p</w:t>
      </w:r>
      <w:r w:rsidR="0047179D" w:rsidRPr="00854D03">
        <w:rPr>
          <w:szCs w:val="24"/>
          <w:lang w:val="fr-CA"/>
        </w:rPr>
        <w:t>ersonne</w:t>
      </w:r>
      <w:r w:rsidR="0047179D" w:rsidRPr="00403220">
        <w:rPr>
          <w:szCs w:val="24"/>
          <w:lang w:val="fr-CA"/>
        </w:rPr>
        <w:t xml:space="preserve"> autre qu</w:t>
      </w:r>
      <w:r w:rsidR="008372AA" w:rsidRPr="00403220">
        <w:rPr>
          <w:szCs w:val="24"/>
          <w:lang w:val="fr-CA"/>
        </w:rPr>
        <w:t>’</w:t>
      </w:r>
      <w:r w:rsidR="0047179D" w:rsidRPr="00403220">
        <w:rPr>
          <w:szCs w:val="24"/>
          <w:lang w:val="fr-CA"/>
        </w:rPr>
        <w:t>un consommateur qui, dans le cours de ses affaires, sollicite, offre ou annonce l</w:t>
      </w:r>
      <w:r w:rsidR="008372AA" w:rsidRPr="00403220">
        <w:rPr>
          <w:szCs w:val="24"/>
          <w:lang w:val="fr-CA"/>
        </w:rPr>
        <w:t>’</w:t>
      </w:r>
      <w:r w:rsidR="0047179D" w:rsidRPr="00403220">
        <w:rPr>
          <w:szCs w:val="24"/>
          <w:lang w:val="fr-CA"/>
        </w:rPr>
        <w:t>aliénation ou la fourniture de l</w:t>
      </w:r>
      <w:r w:rsidR="008372AA" w:rsidRPr="00403220">
        <w:rPr>
          <w:szCs w:val="24"/>
          <w:lang w:val="fr-CA"/>
        </w:rPr>
        <w:t>’</w:t>
      </w:r>
      <w:r w:rsidR="0047179D" w:rsidRPr="00403220">
        <w:rPr>
          <w:szCs w:val="24"/>
          <w:lang w:val="fr-CA"/>
        </w:rPr>
        <w:t>objet d</w:t>
      </w:r>
      <w:r w:rsidR="008372AA" w:rsidRPr="00403220">
        <w:rPr>
          <w:szCs w:val="24"/>
          <w:lang w:val="fr-CA"/>
        </w:rPr>
        <w:t>’</w:t>
      </w:r>
      <w:r w:rsidR="0047179D" w:rsidRPr="00403220">
        <w:rPr>
          <w:szCs w:val="24"/>
          <w:lang w:val="fr-CA"/>
        </w:rPr>
        <w:t>une opération commerciale ou se livre à des activités promotionnelles à cet égard, prend part à une opération commerciale, l</w:t>
      </w:r>
      <w:r w:rsidR="008372AA" w:rsidRPr="00403220">
        <w:rPr>
          <w:szCs w:val="24"/>
          <w:lang w:val="fr-CA"/>
        </w:rPr>
        <w:t>’</w:t>
      </w:r>
      <w:r w:rsidR="0047179D" w:rsidRPr="00403220">
        <w:rPr>
          <w:szCs w:val="24"/>
          <w:lang w:val="fr-CA"/>
        </w:rPr>
        <w:t>exécute ou y participe autrement, qu</w:t>
      </w:r>
      <w:r w:rsidR="008372AA" w:rsidRPr="00403220">
        <w:rPr>
          <w:szCs w:val="24"/>
          <w:lang w:val="fr-CA"/>
        </w:rPr>
        <w:t>’</w:t>
      </w:r>
      <w:r w:rsidR="0047179D" w:rsidRPr="00403220">
        <w:rPr>
          <w:szCs w:val="24"/>
          <w:lang w:val="fr-CA"/>
        </w:rPr>
        <w:t>il y ait ou non un lien contractuel entre cette personne et le consommateur.  Sont également visés par la présente définition le successeur du fournisseur et le cessionnaire de ses droits et obligations.</w:t>
      </w:r>
    </w:p>
    <w:p w:rsidR="0047179D" w:rsidRPr="00403220" w:rsidRDefault="0047179D" w:rsidP="002256A7">
      <w:pPr>
        <w:pStyle w:val="ContinueParaSuitedupar-AltP"/>
        <w:rPr>
          <w:rFonts w:cs="Times New Roman"/>
          <w:szCs w:val="24"/>
          <w:lang w:val="fr-CA"/>
        </w:rPr>
      </w:pPr>
      <w:r w:rsidRPr="00403220">
        <w:rPr>
          <w:rFonts w:cs="Times New Roman"/>
          <w:szCs w:val="24"/>
          <w:lang w:val="fr-CA"/>
        </w:rPr>
        <w:t>Pour sa part, l</w:t>
      </w:r>
      <w:r w:rsidR="008372AA" w:rsidRPr="00403220">
        <w:rPr>
          <w:rFonts w:cs="Times New Roman"/>
          <w:szCs w:val="24"/>
          <w:lang w:val="fr-CA"/>
        </w:rPr>
        <w:t>’</w:t>
      </w:r>
      <w:r w:rsidR="00A54DAC" w:rsidRPr="00403220">
        <w:rPr>
          <w:rFonts w:cs="Times New Roman"/>
          <w:szCs w:val="24"/>
          <w:lang w:val="fr-CA"/>
        </w:rPr>
        <w:t>art. </w:t>
      </w:r>
      <w:r w:rsidR="00E574E0" w:rsidRPr="00403220">
        <w:rPr>
          <w:rFonts w:cs="Times New Roman"/>
          <w:szCs w:val="24"/>
          <w:lang w:val="fr-CA"/>
        </w:rPr>
        <w:t>1</w:t>
      </w:r>
      <w:r w:rsidR="00DF6983">
        <w:rPr>
          <w:rFonts w:cs="Times New Roman"/>
          <w:szCs w:val="24"/>
          <w:lang w:val="fr-CA"/>
        </w:rPr>
        <w:t>(1)</w:t>
      </w:r>
      <w:r w:rsidRPr="00403220">
        <w:rPr>
          <w:rFonts w:cs="Times New Roman"/>
          <w:szCs w:val="24"/>
          <w:lang w:val="fr-CA"/>
        </w:rPr>
        <w:t xml:space="preserve"> de la </w:t>
      </w:r>
      <w:r w:rsidRPr="00403220">
        <w:rPr>
          <w:rFonts w:cs="Times New Roman"/>
          <w:i/>
          <w:szCs w:val="24"/>
          <w:lang w:val="fr-CA"/>
        </w:rPr>
        <w:t>BPCPA</w:t>
      </w:r>
      <w:r w:rsidRPr="00403220">
        <w:rPr>
          <w:rFonts w:cs="Times New Roman"/>
          <w:szCs w:val="24"/>
          <w:lang w:val="fr-CA"/>
        </w:rPr>
        <w:t xml:space="preserve"> </w:t>
      </w:r>
      <w:r w:rsidR="00E574E0" w:rsidRPr="00403220">
        <w:rPr>
          <w:rFonts w:cs="Times New Roman"/>
          <w:szCs w:val="24"/>
          <w:lang w:val="fr-CA"/>
        </w:rPr>
        <w:t xml:space="preserve">le </w:t>
      </w:r>
      <w:r w:rsidRPr="00403220">
        <w:rPr>
          <w:rFonts w:cs="Times New Roman"/>
          <w:szCs w:val="24"/>
          <w:lang w:val="fr-CA"/>
        </w:rPr>
        <w:t>définit ainsi</w:t>
      </w:r>
      <w:r w:rsidR="00A54DAC" w:rsidRPr="00403220">
        <w:rPr>
          <w:rFonts w:cs="Times New Roman"/>
          <w:szCs w:val="24"/>
          <w:lang w:val="fr-CA"/>
        </w:rPr>
        <w:t> :</w:t>
      </w:r>
    </w:p>
    <w:p w:rsidR="0047179D" w:rsidRDefault="002256A7" w:rsidP="002256A7">
      <w:pPr>
        <w:pStyle w:val="Citation-AltC"/>
        <w:keepNext/>
        <w:spacing w:after="240"/>
        <w:ind w:hanging="1166"/>
        <w:contextualSpacing w:val="0"/>
        <w:rPr>
          <w:szCs w:val="24"/>
          <w:lang w:val="fr-CA"/>
        </w:rPr>
      </w:pPr>
      <w:r w:rsidRPr="00403220">
        <w:rPr>
          <w:szCs w:val="24"/>
          <w:lang w:val="fr-CA"/>
        </w:rPr>
        <w:tab/>
      </w:r>
      <w:r w:rsidR="0047179D" w:rsidRPr="00403220">
        <w:rPr>
          <w:szCs w:val="24"/>
          <w:lang w:val="fr-CA"/>
        </w:rPr>
        <w:t>[</w:t>
      </w:r>
      <w:r w:rsidR="0047179D" w:rsidRPr="00403220">
        <w:rPr>
          <w:smallCaps/>
          <w:szCs w:val="24"/>
          <w:lang w:val="fr-CA"/>
        </w:rPr>
        <w:t>traduction</w:t>
      </w:r>
      <w:r w:rsidR="0047179D" w:rsidRPr="00403220">
        <w:rPr>
          <w:szCs w:val="24"/>
          <w:lang w:val="fr-CA"/>
        </w:rPr>
        <w:t>]</w:t>
      </w:r>
    </w:p>
    <w:p w:rsidR="00DF6983" w:rsidRPr="00403220" w:rsidRDefault="00DF6983" w:rsidP="002256A7">
      <w:pPr>
        <w:pStyle w:val="Citation-AltC"/>
        <w:keepNext/>
        <w:spacing w:after="240"/>
        <w:ind w:hanging="1166"/>
        <w:contextualSpacing w:val="0"/>
        <w:rPr>
          <w:rStyle w:val="Strong"/>
          <w:rFonts w:eastAsiaTheme="minorHAnsi"/>
          <w:szCs w:val="24"/>
          <w:lang w:val="fr-CA"/>
        </w:rPr>
      </w:pPr>
      <w:r>
        <w:rPr>
          <w:szCs w:val="24"/>
          <w:lang w:val="fr-CA"/>
        </w:rPr>
        <w:tab/>
      </w:r>
      <w:r w:rsidRPr="00DF6983">
        <w:rPr>
          <w:b/>
          <w:szCs w:val="24"/>
          <w:lang w:val="fr-CA"/>
        </w:rPr>
        <w:t xml:space="preserve">1 </w:t>
      </w:r>
      <w:r>
        <w:rPr>
          <w:szCs w:val="24"/>
          <w:lang w:val="fr-CA"/>
        </w:rPr>
        <w:t>(1) . . .</w:t>
      </w:r>
    </w:p>
    <w:p w:rsidR="0047179D" w:rsidRPr="00403220" w:rsidRDefault="002256A7" w:rsidP="00DF6983">
      <w:pPr>
        <w:pStyle w:val="Citation-AltC"/>
        <w:tabs>
          <w:tab w:val="left" w:pos="1440"/>
        </w:tabs>
        <w:spacing w:after="240"/>
        <w:ind w:left="1800" w:hanging="1800"/>
        <w:contextualSpacing w:val="0"/>
        <w:rPr>
          <w:rStyle w:val="Strong"/>
          <w:rFonts w:eastAsiaTheme="minorHAnsi"/>
          <w:b w:val="0"/>
          <w:szCs w:val="24"/>
          <w:lang w:val="fr-CA"/>
        </w:rPr>
      </w:pPr>
      <w:r w:rsidRPr="00403220">
        <w:rPr>
          <w:b/>
          <w:szCs w:val="24"/>
          <w:lang w:val="fr-CA"/>
        </w:rPr>
        <w:tab/>
      </w:r>
      <w:r w:rsidR="0047179D" w:rsidRPr="00403220">
        <w:rPr>
          <w:b/>
          <w:szCs w:val="24"/>
          <w:lang w:val="fr-CA"/>
        </w:rPr>
        <w:t>« </w:t>
      </w:r>
      <w:proofErr w:type="gramStart"/>
      <w:r w:rsidR="0047179D" w:rsidRPr="00403220">
        <w:rPr>
          <w:b/>
          <w:szCs w:val="24"/>
          <w:lang w:val="fr-CA"/>
        </w:rPr>
        <w:t>fournisseur</w:t>
      </w:r>
      <w:proofErr w:type="gramEnd"/>
      <w:r w:rsidR="00EF4589" w:rsidRPr="00403220">
        <w:rPr>
          <w:b/>
          <w:szCs w:val="24"/>
          <w:lang w:val="fr-CA"/>
        </w:rPr>
        <w:t> </w:t>
      </w:r>
      <w:r w:rsidR="0047179D" w:rsidRPr="00403220">
        <w:rPr>
          <w:b/>
          <w:szCs w:val="24"/>
          <w:lang w:val="fr-CA"/>
        </w:rPr>
        <w:t>»</w:t>
      </w:r>
      <w:r w:rsidR="0047179D" w:rsidRPr="00403220">
        <w:rPr>
          <w:rStyle w:val="Strong"/>
          <w:rFonts w:eastAsiaTheme="minorHAnsi"/>
          <w:szCs w:val="24"/>
          <w:lang w:val="fr-CA"/>
        </w:rPr>
        <w:t xml:space="preserve"> </w:t>
      </w:r>
      <w:r w:rsidR="0047179D" w:rsidRPr="00403220">
        <w:rPr>
          <w:rStyle w:val="Strong"/>
          <w:rFonts w:eastAsiaTheme="minorHAnsi"/>
          <w:b w:val="0"/>
          <w:szCs w:val="24"/>
          <w:lang w:val="fr-CA"/>
        </w:rPr>
        <w:t xml:space="preserve">Une </w:t>
      </w:r>
      <w:r w:rsidR="0047179D" w:rsidRPr="00854D03">
        <w:rPr>
          <w:bCs/>
          <w:lang w:val="fr-CA"/>
        </w:rPr>
        <w:t>personne</w:t>
      </w:r>
      <w:r w:rsidR="0047179D" w:rsidRPr="00403220">
        <w:rPr>
          <w:rStyle w:val="Strong"/>
          <w:rFonts w:eastAsiaTheme="minorHAnsi"/>
          <w:b w:val="0"/>
          <w:szCs w:val="24"/>
          <w:lang w:val="fr-CA"/>
        </w:rPr>
        <w:t xml:space="preserve">, se trouvant en </w:t>
      </w:r>
      <w:proofErr w:type="spellStart"/>
      <w:r w:rsidR="0047179D" w:rsidRPr="00403220">
        <w:rPr>
          <w:rStyle w:val="Strong"/>
          <w:rFonts w:eastAsiaTheme="minorHAnsi"/>
          <w:b w:val="0"/>
          <w:szCs w:val="24"/>
          <w:lang w:val="fr-CA"/>
        </w:rPr>
        <w:t>Colombie</w:t>
      </w:r>
      <w:r w:rsidR="00A54DAC" w:rsidRPr="00403220">
        <w:rPr>
          <w:rStyle w:val="Strong"/>
          <w:rFonts w:eastAsiaTheme="minorHAnsi"/>
          <w:b w:val="0"/>
          <w:szCs w:val="24"/>
          <w:lang w:val="fr-CA"/>
        </w:rPr>
        <w:noBreakHyphen/>
      </w:r>
      <w:r w:rsidR="0047179D" w:rsidRPr="00403220">
        <w:rPr>
          <w:rStyle w:val="Strong"/>
          <w:rFonts w:eastAsiaTheme="minorHAnsi"/>
          <w:b w:val="0"/>
          <w:szCs w:val="24"/>
          <w:lang w:val="fr-CA"/>
        </w:rPr>
        <w:t>Britannique</w:t>
      </w:r>
      <w:proofErr w:type="spellEnd"/>
      <w:r w:rsidR="0047179D" w:rsidRPr="00403220">
        <w:rPr>
          <w:rStyle w:val="Strong"/>
          <w:rFonts w:eastAsiaTheme="minorHAnsi"/>
          <w:b w:val="0"/>
          <w:szCs w:val="24"/>
          <w:lang w:val="fr-CA"/>
        </w:rPr>
        <w:t xml:space="preserve"> ou ailleurs qui, dans le cours de ses affaires, prend part à une opération commerciale </w:t>
      </w:r>
    </w:p>
    <w:p w:rsidR="0047179D" w:rsidRPr="00403220" w:rsidRDefault="00DA0101" w:rsidP="007926B3">
      <w:pPr>
        <w:pStyle w:val="Citation-AltC"/>
        <w:tabs>
          <w:tab w:val="left" w:pos="1800"/>
        </w:tabs>
        <w:spacing w:after="240"/>
        <w:ind w:left="2430" w:hanging="2520"/>
        <w:contextualSpacing w:val="0"/>
        <w:rPr>
          <w:szCs w:val="24"/>
          <w:lang w:val="fr-CA"/>
        </w:rPr>
      </w:pPr>
      <w:r w:rsidRPr="00403220">
        <w:rPr>
          <w:szCs w:val="24"/>
          <w:lang w:val="fr-CA"/>
        </w:rPr>
        <w:tab/>
      </w:r>
      <w:r w:rsidR="00E574E0" w:rsidRPr="00403220">
        <w:rPr>
          <w:szCs w:val="24"/>
          <w:lang w:val="fr-CA"/>
        </w:rPr>
        <w:t>a</w:t>
      </w:r>
      <w:r w:rsidR="00DF6983">
        <w:rPr>
          <w:szCs w:val="24"/>
          <w:lang w:val="fr-CA"/>
        </w:rPr>
        <w:t>)</w:t>
      </w:r>
      <w:r w:rsidR="00DF6983">
        <w:rPr>
          <w:szCs w:val="24"/>
          <w:lang w:val="fr-CA"/>
        </w:rPr>
        <w:tab/>
      </w:r>
      <w:r w:rsidR="0047179D" w:rsidRPr="00403220">
        <w:rPr>
          <w:szCs w:val="24"/>
          <w:lang w:val="fr-CA"/>
        </w:rPr>
        <w:t xml:space="preserve">soit en </w:t>
      </w:r>
      <w:r w:rsidR="0047179D" w:rsidRPr="004B4A15">
        <w:rPr>
          <w:rStyle w:val="Strong"/>
          <w:rFonts w:eastAsiaTheme="minorHAnsi"/>
          <w:b w:val="0"/>
          <w:lang w:val="fr-CA"/>
        </w:rPr>
        <w:t>fournissant</w:t>
      </w:r>
      <w:r w:rsidR="0047179D" w:rsidRPr="00403220">
        <w:rPr>
          <w:szCs w:val="24"/>
          <w:lang w:val="fr-CA"/>
        </w:rPr>
        <w:t xml:space="preserve"> des biens ou des services à un consommateur,</w:t>
      </w:r>
    </w:p>
    <w:p w:rsidR="002701DE" w:rsidRDefault="00DA0101" w:rsidP="007926B3">
      <w:pPr>
        <w:pStyle w:val="Citation-AltC"/>
        <w:tabs>
          <w:tab w:val="left" w:pos="1800"/>
        </w:tabs>
        <w:spacing w:after="240"/>
        <w:ind w:left="2430" w:hanging="2520"/>
        <w:contextualSpacing w:val="0"/>
        <w:rPr>
          <w:szCs w:val="24"/>
          <w:lang w:val="fr-CA"/>
        </w:rPr>
      </w:pPr>
      <w:r w:rsidRPr="00403220">
        <w:rPr>
          <w:szCs w:val="24"/>
          <w:lang w:val="fr-CA"/>
        </w:rPr>
        <w:tab/>
      </w:r>
      <w:r w:rsidR="00E574E0" w:rsidRPr="00403220">
        <w:rPr>
          <w:szCs w:val="24"/>
          <w:lang w:val="fr-CA"/>
        </w:rPr>
        <w:t>b</w:t>
      </w:r>
      <w:r w:rsidR="0047179D" w:rsidRPr="00403220">
        <w:rPr>
          <w:szCs w:val="24"/>
          <w:lang w:val="fr-CA"/>
        </w:rPr>
        <w:t>)</w:t>
      </w:r>
      <w:r w:rsidR="00DF6983">
        <w:rPr>
          <w:szCs w:val="24"/>
          <w:lang w:val="fr-CA"/>
        </w:rPr>
        <w:tab/>
      </w:r>
      <w:r w:rsidR="0047179D" w:rsidRPr="00403220">
        <w:rPr>
          <w:szCs w:val="24"/>
          <w:lang w:val="fr-CA"/>
        </w:rPr>
        <w:t>soit en sollicitant, en offrant ou en annonçant l</w:t>
      </w:r>
      <w:r w:rsidR="008372AA" w:rsidRPr="00403220">
        <w:rPr>
          <w:szCs w:val="24"/>
          <w:lang w:val="fr-CA"/>
        </w:rPr>
        <w:t>’</w:t>
      </w:r>
      <w:r w:rsidR="0047179D" w:rsidRPr="00403220">
        <w:rPr>
          <w:szCs w:val="24"/>
          <w:lang w:val="fr-CA"/>
        </w:rPr>
        <w:t>opération visée à l</w:t>
      </w:r>
      <w:r w:rsidR="008372AA" w:rsidRPr="00403220">
        <w:rPr>
          <w:szCs w:val="24"/>
          <w:lang w:val="fr-CA"/>
        </w:rPr>
        <w:t>’</w:t>
      </w:r>
      <w:r w:rsidR="0047179D" w:rsidRPr="00403220">
        <w:rPr>
          <w:szCs w:val="24"/>
          <w:lang w:val="fr-CA"/>
        </w:rPr>
        <w:t>alinéa</w:t>
      </w:r>
      <w:r w:rsidR="001C42D4" w:rsidRPr="00403220">
        <w:rPr>
          <w:szCs w:val="24"/>
          <w:lang w:val="fr-CA"/>
        </w:rPr>
        <w:t> </w:t>
      </w:r>
      <w:r w:rsidR="00E574E0" w:rsidRPr="00403220">
        <w:rPr>
          <w:szCs w:val="24"/>
          <w:lang w:val="fr-CA"/>
        </w:rPr>
        <w:t>a</w:t>
      </w:r>
      <w:r w:rsidR="0047179D" w:rsidRPr="00403220">
        <w:rPr>
          <w:szCs w:val="24"/>
          <w:lang w:val="fr-CA"/>
        </w:rPr>
        <w:t>) de la défin</w:t>
      </w:r>
      <w:r w:rsidR="002256A7" w:rsidRPr="00403220">
        <w:rPr>
          <w:szCs w:val="24"/>
          <w:lang w:val="fr-CA"/>
        </w:rPr>
        <w:t>ition d</w:t>
      </w:r>
      <w:r w:rsidR="008372AA" w:rsidRPr="00403220">
        <w:rPr>
          <w:szCs w:val="24"/>
          <w:lang w:val="fr-CA"/>
        </w:rPr>
        <w:t>’</w:t>
      </w:r>
      <w:r w:rsidR="002256A7" w:rsidRPr="00403220">
        <w:rPr>
          <w:szCs w:val="24"/>
          <w:lang w:val="fr-CA"/>
        </w:rPr>
        <w:t>« opération commerciale </w:t>
      </w:r>
      <w:r w:rsidR="0047179D" w:rsidRPr="00403220">
        <w:rPr>
          <w:szCs w:val="24"/>
          <w:lang w:val="fr-CA"/>
        </w:rPr>
        <w:t>» ou en se livrant à des activités promotionnelles à cet égard,</w:t>
      </w:r>
      <w:r w:rsidR="002256A7" w:rsidRPr="00403220">
        <w:rPr>
          <w:szCs w:val="24"/>
          <w:lang w:val="fr-CA"/>
        </w:rPr>
        <w:t xml:space="preserve"> </w:t>
      </w:r>
    </w:p>
    <w:p w:rsidR="0047179D" w:rsidRPr="00403220" w:rsidRDefault="002701DE" w:rsidP="007926B3">
      <w:pPr>
        <w:pStyle w:val="Citation-AltC"/>
        <w:tabs>
          <w:tab w:val="left" w:pos="2430"/>
        </w:tabs>
        <w:ind w:left="1800" w:hanging="1800"/>
        <w:contextualSpacing w:val="0"/>
        <w:rPr>
          <w:szCs w:val="24"/>
          <w:lang w:val="fr-CA"/>
        </w:rPr>
      </w:pPr>
      <w:r>
        <w:rPr>
          <w:szCs w:val="24"/>
          <w:lang w:val="fr-CA"/>
        </w:rPr>
        <w:lastRenderedPageBreak/>
        <w:tab/>
      </w:r>
      <w:proofErr w:type="gramStart"/>
      <w:r w:rsidR="0047179D" w:rsidRPr="00403220">
        <w:rPr>
          <w:szCs w:val="24"/>
          <w:lang w:val="fr-CA"/>
        </w:rPr>
        <w:t>qu</w:t>
      </w:r>
      <w:r w:rsidR="008372AA" w:rsidRPr="00403220">
        <w:rPr>
          <w:szCs w:val="24"/>
          <w:lang w:val="fr-CA"/>
        </w:rPr>
        <w:t>’</w:t>
      </w:r>
      <w:r w:rsidR="0047179D" w:rsidRPr="00403220">
        <w:rPr>
          <w:szCs w:val="24"/>
          <w:lang w:val="fr-CA"/>
        </w:rPr>
        <w:t>il</w:t>
      </w:r>
      <w:proofErr w:type="gramEnd"/>
      <w:r w:rsidR="0047179D" w:rsidRPr="00403220">
        <w:rPr>
          <w:szCs w:val="24"/>
          <w:lang w:val="fr-CA"/>
        </w:rPr>
        <w:t xml:space="preserve"> y ait ou non un lien contractuel entre cette personne et le consommateur.  Sont également visés par la présente définition le successeur de cette personne, le cessionnaire de ses droits et obligations et, sauf aux parties 3 à 5 </w:t>
      </w:r>
      <w:r w:rsidR="0047179D" w:rsidRPr="002701DE">
        <w:rPr>
          <w:rStyle w:val="Emphasis"/>
          <w:szCs w:val="24"/>
          <w:lang w:val="fr-CA"/>
        </w:rPr>
        <w:t>[</w:t>
      </w:r>
      <w:r w:rsidR="0047179D" w:rsidRPr="00403220">
        <w:rPr>
          <w:rStyle w:val="Emphasis"/>
          <w:szCs w:val="24"/>
          <w:lang w:val="fr-CA"/>
        </w:rPr>
        <w:t>Droits des cessionnaires et garants en matière de crédit au consommateur; Contrats de consommation; Communication du coût du crédit au consommateur</w:t>
      </w:r>
      <w:r w:rsidR="0047179D" w:rsidRPr="002701DE">
        <w:rPr>
          <w:rStyle w:val="Emphasis"/>
          <w:szCs w:val="24"/>
          <w:lang w:val="fr-CA"/>
        </w:rPr>
        <w:t>]</w:t>
      </w:r>
      <w:r w:rsidR="002B6005" w:rsidRPr="00403220">
        <w:rPr>
          <w:rStyle w:val="Emphasis"/>
          <w:i w:val="0"/>
          <w:szCs w:val="24"/>
          <w:lang w:val="fr-CA"/>
        </w:rPr>
        <w:t>,</w:t>
      </w:r>
      <w:r w:rsidR="0047179D" w:rsidRPr="00403220">
        <w:rPr>
          <w:szCs w:val="24"/>
          <w:lang w:val="fr-CA"/>
        </w:rPr>
        <w:t xml:space="preserve"> la personne qui demande une somme d</w:t>
      </w:r>
      <w:r w:rsidR="008372AA" w:rsidRPr="00403220">
        <w:rPr>
          <w:szCs w:val="24"/>
          <w:lang w:val="fr-CA"/>
        </w:rPr>
        <w:t>’</w:t>
      </w:r>
      <w:r w:rsidR="0047179D" w:rsidRPr="00403220">
        <w:rPr>
          <w:szCs w:val="24"/>
          <w:lang w:val="fr-CA"/>
        </w:rPr>
        <w:t>argent ou un bien à un consommateur;</w:t>
      </w:r>
    </w:p>
    <w:p w:rsidR="0047179D" w:rsidRPr="00403220" w:rsidRDefault="0047179D" w:rsidP="005077DA">
      <w:pPr>
        <w:pStyle w:val="ParaNoNdepar-AltN"/>
        <w:rPr>
          <w:rFonts w:cs="Times New Roman"/>
          <w:szCs w:val="24"/>
          <w:lang w:val="fr-CA"/>
        </w:rPr>
      </w:pPr>
      <w:r w:rsidRPr="00403220">
        <w:rPr>
          <w:rFonts w:cs="Times New Roman"/>
          <w:szCs w:val="24"/>
          <w:lang w:val="fr-CA"/>
        </w:rPr>
        <w:t>La Cour d</w:t>
      </w:r>
      <w:r w:rsidR="008372AA" w:rsidRPr="00403220">
        <w:rPr>
          <w:rFonts w:cs="Times New Roman"/>
          <w:szCs w:val="24"/>
          <w:lang w:val="fr-CA"/>
        </w:rPr>
        <w:t>’</w:t>
      </w:r>
      <w:r w:rsidRPr="00403220">
        <w:rPr>
          <w:rFonts w:cs="Times New Roman"/>
          <w:szCs w:val="24"/>
          <w:lang w:val="fr-CA"/>
        </w:rPr>
        <w:t>appel a jugé à l</w:t>
      </w:r>
      <w:r w:rsidR="008372AA" w:rsidRPr="00403220">
        <w:rPr>
          <w:rFonts w:cs="Times New Roman"/>
          <w:szCs w:val="24"/>
          <w:lang w:val="fr-CA"/>
        </w:rPr>
        <w:t>’</w:t>
      </w:r>
      <w:r w:rsidRPr="00403220">
        <w:rPr>
          <w:rFonts w:cs="Times New Roman"/>
          <w:szCs w:val="24"/>
          <w:lang w:val="fr-CA"/>
        </w:rPr>
        <w:t>unanimité qu</w:t>
      </w:r>
      <w:r w:rsidR="008372AA" w:rsidRPr="00403220">
        <w:rPr>
          <w:rFonts w:cs="Times New Roman"/>
          <w:szCs w:val="24"/>
          <w:lang w:val="fr-CA"/>
        </w:rPr>
        <w:t>’</w:t>
      </w:r>
      <w:r w:rsidRPr="00403220">
        <w:rPr>
          <w:rFonts w:cs="Times New Roman"/>
          <w:szCs w:val="24"/>
          <w:lang w:val="fr-CA"/>
        </w:rPr>
        <w:t>aucune de ces définitions ne pouvaient s</w:t>
      </w:r>
      <w:r w:rsidR="008372AA" w:rsidRPr="00403220">
        <w:rPr>
          <w:rFonts w:cs="Times New Roman"/>
          <w:szCs w:val="24"/>
          <w:lang w:val="fr-CA"/>
        </w:rPr>
        <w:t>’</w:t>
      </w:r>
      <w:r w:rsidRPr="00403220">
        <w:rPr>
          <w:rFonts w:cs="Times New Roman"/>
          <w:szCs w:val="24"/>
          <w:lang w:val="fr-CA"/>
        </w:rPr>
        <w:t xml:space="preserve">appliquer au </w:t>
      </w:r>
      <w:r w:rsidR="00E574E0" w:rsidRPr="00403220">
        <w:rPr>
          <w:rFonts w:cs="Times New Roman"/>
          <w:szCs w:val="24"/>
          <w:lang w:val="fr-CA"/>
        </w:rPr>
        <w:t>Canada,</w:t>
      </w:r>
      <w:r w:rsidRPr="00403220">
        <w:rPr>
          <w:rFonts w:cs="Times New Roman"/>
          <w:szCs w:val="24"/>
          <w:lang w:val="fr-CA"/>
        </w:rPr>
        <w:t xml:space="preserve"> parce que </w:t>
      </w:r>
      <w:proofErr w:type="spellStart"/>
      <w:r w:rsidRPr="00403220">
        <w:rPr>
          <w:rFonts w:cs="Times New Roman"/>
          <w:szCs w:val="24"/>
          <w:lang w:val="fr-CA"/>
        </w:rPr>
        <w:t>celui</w:t>
      </w:r>
      <w:r w:rsidR="00A54DAC" w:rsidRPr="00403220">
        <w:rPr>
          <w:rFonts w:cs="Times New Roman"/>
          <w:szCs w:val="24"/>
          <w:lang w:val="fr-CA"/>
        </w:rPr>
        <w:noBreakHyphen/>
      </w:r>
      <w:r w:rsidRPr="00403220">
        <w:rPr>
          <w:rFonts w:cs="Times New Roman"/>
          <w:szCs w:val="24"/>
          <w:lang w:val="fr-CA"/>
        </w:rPr>
        <w:t>ci</w:t>
      </w:r>
      <w:proofErr w:type="spellEnd"/>
      <w:r w:rsidRPr="00403220">
        <w:rPr>
          <w:rFonts w:cs="Times New Roman"/>
          <w:szCs w:val="24"/>
          <w:lang w:val="fr-CA"/>
        </w:rPr>
        <w:t xml:space="preserve"> n</w:t>
      </w:r>
      <w:r w:rsidR="008372AA" w:rsidRPr="00403220">
        <w:rPr>
          <w:rFonts w:cs="Times New Roman"/>
          <w:szCs w:val="24"/>
          <w:lang w:val="fr-CA"/>
        </w:rPr>
        <w:t>’</w:t>
      </w:r>
      <w:r w:rsidRPr="00403220">
        <w:rPr>
          <w:rFonts w:cs="Times New Roman"/>
          <w:szCs w:val="24"/>
          <w:lang w:val="fr-CA"/>
        </w:rPr>
        <w:t>a pas commis les actes qu</w:t>
      </w:r>
      <w:r w:rsidR="008372AA" w:rsidRPr="00403220">
        <w:rPr>
          <w:rFonts w:cs="Times New Roman"/>
          <w:szCs w:val="24"/>
          <w:lang w:val="fr-CA"/>
        </w:rPr>
        <w:t>’</w:t>
      </w:r>
      <w:r w:rsidR="00EF4589" w:rsidRPr="00403220">
        <w:rPr>
          <w:rFonts w:cs="Times New Roman"/>
          <w:szCs w:val="24"/>
          <w:lang w:val="fr-CA"/>
        </w:rPr>
        <w:t xml:space="preserve">on lui reproche </w:t>
      </w:r>
      <w:r w:rsidR="006A6C86" w:rsidRPr="00403220">
        <w:rPr>
          <w:rFonts w:cs="Times New Roman"/>
          <w:szCs w:val="24"/>
          <w:lang w:val="fr-CA"/>
        </w:rPr>
        <w:t>[</w:t>
      </w:r>
      <w:r w:rsidR="006A6C86" w:rsidRPr="00403220">
        <w:rPr>
          <w:rFonts w:cs="Times New Roman"/>
          <w:smallCaps/>
          <w:szCs w:val="24"/>
          <w:lang w:val="fr-CA"/>
        </w:rPr>
        <w:t>traduction</w:t>
      </w:r>
      <w:r w:rsidR="006A6C86" w:rsidRPr="00403220">
        <w:rPr>
          <w:rFonts w:cs="Times New Roman"/>
          <w:szCs w:val="24"/>
          <w:lang w:val="fr-CA"/>
        </w:rPr>
        <w:t xml:space="preserve">] </w:t>
      </w:r>
      <w:r w:rsidR="00EF4589" w:rsidRPr="00403220">
        <w:rPr>
          <w:rFonts w:cs="Times New Roman"/>
          <w:szCs w:val="24"/>
          <w:lang w:val="fr-CA"/>
        </w:rPr>
        <w:t>« </w:t>
      </w:r>
      <w:r w:rsidRPr="00403220">
        <w:rPr>
          <w:rFonts w:cs="Times New Roman"/>
          <w:szCs w:val="24"/>
          <w:lang w:val="fr-CA"/>
        </w:rPr>
        <w:t>dans le cours de ses affaires</w:t>
      </w:r>
      <w:r w:rsidR="00EF4589" w:rsidRPr="00403220">
        <w:rPr>
          <w:rFonts w:cs="Times New Roman"/>
          <w:szCs w:val="24"/>
          <w:lang w:val="fr-CA"/>
        </w:rPr>
        <w:t> </w:t>
      </w:r>
      <w:r w:rsidRPr="00403220">
        <w:rPr>
          <w:rFonts w:cs="Times New Roman"/>
          <w:szCs w:val="24"/>
          <w:lang w:val="fr-CA"/>
        </w:rPr>
        <w:t xml:space="preserve">».  </w:t>
      </w:r>
      <w:r w:rsidR="00E574E0" w:rsidRPr="00403220">
        <w:rPr>
          <w:rFonts w:cs="Times New Roman"/>
          <w:szCs w:val="24"/>
          <w:lang w:val="fr-CA"/>
        </w:rPr>
        <w:t>Selon la C</w:t>
      </w:r>
      <w:r w:rsidRPr="00403220">
        <w:rPr>
          <w:rFonts w:cs="Times New Roman"/>
          <w:szCs w:val="24"/>
          <w:lang w:val="fr-CA"/>
        </w:rPr>
        <w:t>our d</w:t>
      </w:r>
      <w:r w:rsidR="008372AA" w:rsidRPr="00403220">
        <w:rPr>
          <w:rFonts w:cs="Times New Roman"/>
          <w:szCs w:val="24"/>
          <w:lang w:val="fr-CA"/>
        </w:rPr>
        <w:t>’</w:t>
      </w:r>
      <w:r w:rsidRPr="00403220">
        <w:rPr>
          <w:rFonts w:cs="Times New Roman"/>
          <w:szCs w:val="24"/>
          <w:lang w:val="fr-CA"/>
        </w:rPr>
        <w:t>appel, il est allégué dans les actes de procédure que le Canada a encouragé la consommation de cigarettes douces et légères, mais uniquement dans le but de réduire les risques que présente l</w:t>
      </w:r>
      <w:r w:rsidR="008372AA" w:rsidRPr="00403220">
        <w:rPr>
          <w:rFonts w:cs="Times New Roman"/>
          <w:szCs w:val="24"/>
          <w:lang w:val="fr-CA"/>
        </w:rPr>
        <w:t>’</w:t>
      </w:r>
      <w:r w:rsidRPr="00403220">
        <w:rPr>
          <w:rFonts w:cs="Times New Roman"/>
          <w:szCs w:val="24"/>
          <w:lang w:val="fr-CA"/>
        </w:rPr>
        <w:t>usage du tabac pour la santé, et non dans le cadre d</w:t>
      </w:r>
      <w:r w:rsidR="008372AA" w:rsidRPr="00403220">
        <w:rPr>
          <w:rFonts w:cs="Times New Roman"/>
          <w:szCs w:val="24"/>
          <w:lang w:val="fr-CA"/>
        </w:rPr>
        <w:t>’</w:t>
      </w:r>
      <w:r w:rsidRPr="00403220">
        <w:rPr>
          <w:rFonts w:cs="Times New Roman"/>
          <w:szCs w:val="24"/>
          <w:lang w:val="fr-CA"/>
        </w:rPr>
        <w:t>une activité exercée en vue de réaliser un profit (</w:t>
      </w:r>
      <w:r w:rsidR="00D34611">
        <w:rPr>
          <w:rFonts w:cs="Times New Roman"/>
          <w:szCs w:val="24"/>
          <w:lang w:val="fr-CA"/>
        </w:rPr>
        <w:t>l’</w:t>
      </w:r>
      <w:r w:rsidR="00DF6983" w:rsidRPr="00DF6983">
        <w:rPr>
          <w:rFonts w:cs="Times New Roman"/>
          <w:i/>
          <w:szCs w:val="24"/>
          <w:lang w:val="fr-CA"/>
        </w:rPr>
        <w:t>Affaire Knight</w:t>
      </w:r>
      <w:r w:rsidR="00DF6983">
        <w:rPr>
          <w:rFonts w:cs="Times New Roman"/>
          <w:szCs w:val="24"/>
          <w:lang w:val="fr-CA"/>
        </w:rPr>
        <w:t xml:space="preserve">, </w:t>
      </w:r>
      <w:r w:rsidR="00A54DAC" w:rsidRPr="00403220">
        <w:rPr>
          <w:rFonts w:cs="Times New Roman"/>
          <w:szCs w:val="24"/>
          <w:lang w:val="fr-CA"/>
        </w:rPr>
        <w:t>par. </w:t>
      </w:r>
      <w:r w:rsidRPr="00403220">
        <w:rPr>
          <w:rFonts w:cs="Times New Roman"/>
          <w:szCs w:val="24"/>
          <w:lang w:val="fr-CA"/>
        </w:rPr>
        <w:t>35).</w:t>
      </w:r>
    </w:p>
    <w:p w:rsidR="0047179D" w:rsidRPr="00403220" w:rsidRDefault="00847C22" w:rsidP="005077DA">
      <w:pPr>
        <w:pStyle w:val="ParaNoNdepar-AltN"/>
        <w:rPr>
          <w:rFonts w:cs="Times New Roman"/>
          <w:szCs w:val="24"/>
          <w:lang w:val="fr-CA"/>
        </w:rPr>
      </w:pPr>
      <w:r w:rsidRPr="00403220">
        <w:rPr>
          <w:rFonts w:cs="Times New Roman"/>
          <w:szCs w:val="24"/>
          <w:lang w:val="fr-CA"/>
        </w:rPr>
        <w:t xml:space="preserve">Imperial </w:t>
      </w:r>
      <w:r w:rsidR="0047179D" w:rsidRPr="00403220">
        <w:rPr>
          <w:rFonts w:cs="Times New Roman"/>
          <w:szCs w:val="24"/>
          <w:lang w:val="fr-CA"/>
        </w:rPr>
        <w:t>soutient que le Canada n</w:t>
      </w:r>
      <w:r w:rsidR="008372AA" w:rsidRPr="00403220">
        <w:rPr>
          <w:rFonts w:cs="Times New Roman"/>
          <w:szCs w:val="24"/>
          <w:lang w:val="fr-CA"/>
        </w:rPr>
        <w:t>’</w:t>
      </w:r>
      <w:r w:rsidR="0047179D" w:rsidRPr="00403220">
        <w:rPr>
          <w:rFonts w:cs="Times New Roman"/>
          <w:szCs w:val="24"/>
          <w:lang w:val="fr-CA"/>
        </w:rPr>
        <w:t>avait pas à être motivé par le profit p</w:t>
      </w:r>
      <w:r w:rsidR="005077DA" w:rsidRPr="00403220">
        <w:rPr>
          <w:rFonts w:cs="Times New Roman"/>
          <w:szCs w:val="24"/>
          <w:lang w:val="fr-CA"/>
        </w:rPr>
        <w:t>our être un « fournisseur </w:t>
      </w:r>
      <w:r w:rsidR="0047179D" w:rsidRPr="00403220">
        <w:rPr>
          <w:rFonts w:cs="Times New Roman"/>
          <w:szCs w:val="24"/>
          <w:lang w:val="fr-CA"/>
        </w:rPr>
        <w:t>» au sens des lois applicables, pourvu qu</w:t>
      </w:r>
      <w:r w:rsidR="008372AA" w:rsidRPr="00403220">
        <w:rPr>
          <w:rFonts w:cs="Times New Roman"/>
          <w:szCs w:val="24"/>
          <w:lang w:val="fr-CA"/>
        </w:rPr>
        <w:t>’</w:t>
      </w:r>
      <w:r w:rsidR="0047179D" w:rsidRPr="00403220">
        <w:rPr>
          <w:rFonts w:cs="Times New Roman"/>
          <w:szCs w:val="24"/>
          <w:lang w:val="fr-CA"/>
        </w:rPr>
        <w:t>il ait conçu et fabriqué un produit défectueux et fait des recherches à cet égard.  Le Canada répond que son intention d</w:t>
      </w:r>
      <w:r w:rsidR="008372AA" w:rsidRPr="00403220">
        <w:rPr>
          <w:rFonts w:cs="Times New Roman"/>
          <w:szCs w:val="24"/>
          <w:lang w:val="fr-CA"/>
        </w:rPr>
        <w:t>’</w:t>
      </w:r>
      <w:r w:rsidR="0047179D" w:rsidRPr="00403220">
        <w:rPr>
          <w:rFonts w:cs="Times New Roman"/>
          <w:szCs w:val="24"/>
          <w:lang w:val="fr-CA"/>
        </w:rPr>
        <w:t>améliorer la santé des Canadiens et Canadiennes démontre qu</w:t>
      </w:r>
      <w:r w:rsidR="008372AA" w:rsidRPr="00403220">
        <w:rPr>
          <w:rFonts w:cs="Times New Roman"/>
          <w:szCs w:val="24"/>
          <w:lang w:val="fr-CA"/>
        </w:rPr>
        <w:t>’</w:t>
      </w:r>
      <w:r w:rsidR="0047179D" w:rsidRPr="00403220">
        <w:rPr>
          <w:rFonts w:cs="Times New Roman"/>
          <w:szCs w:val="24"/>
          <w:lang w:val="fr-CA"/>
        </w:rPr>
        <w:t>il n</w:t>
      </w:r>
      <w:r w:rsidR="008372AA" w:rsidRPr="00403220">
        <w:rPr>
          <w:rFonts w:cs="Times New Roman"/>
          <w:szCs w:val="24"/>
          <w:lang w:val="fr-CA"/>
        </w:rPr>
        <w:t>’</w:t>
      </w:r>
      <w:r w:rsidR="0047179D" w:rsidRPr="00403220">
        <w:rPr>
          <w:rFonts w:cs="Times New Roman"/>
          <w:szCs w:val="24"/>
          <w:lang w:val="fr-CA"/>
        </w:rPr>
        <w:t xml:space="preserve">agissait pas dans le cours </w:t>
      </w:r>
      <w:r w:rsidR="00D27464" w:rsidRPr="00403220">
        <w:rPr>
          <w:rFonts w:cs="Times New Roman"/>
          <w:szCs w:val="24"/>
          <w:lang w:val="fr-CA"/>
        </w:rPr>
        <w:t>de ses affaires</w:t>
      </w:r>
      <w:r w:rsidR="0047179D" w:rsidRPr="00403220">
        <w:rPr>
          <w:rFonts w:cs="Times New Roman"/>
          <w:szCs w:val="24"/>
          <w:lang w:val="fr-CA"/>
        </w:rPr>
        <w:t>.  Il n</w:t>
      </w:r>
      <w:r w:rsidR="008372AA" w:rsidRPr="00403220">
        <w:rPr>
          <w:rFonts w:cs="Times New Roman"/>
          <w:szCs w:val="24"/>
          <w:lang w:val="fr-CA"/>
        </w:rPr>
        <w:t>’</w:t>
      </w:r>
      <w:r w:rsidR="0047179D" w:rsidRPr="00403220">
        <w:rPr>
          <w:rFonts w:cs="Times New Roman"/>
          <w:szCs w:val="24"/>
          <w:lang w:val="fr-CA"/>
        </w:rPr>
        <w:t>était pas question en l</w:t>
      </w:r>
      <w:r w:rsidR="008372AA" w:rsidRPr="00403220">
        <w:rPr>
          <w:rFonts w:cs="Times New Roman"/>
          <w:szCs w:val="24"/>
          <w:lang w:val="fr-CA"/>
        </w:rPr>
        <w:t>’</w:t>
      </w:r>
      <w:r w:rsidR="0047179D" w:rsidRPr="00403220">
        <w:rPr>
          <w:rFonts w:cs="Times New Roman"/>
          <w:szCs w:val="24"/>
          <w:lang w:val="fr-CA"/>
        </w:rPr>
        <w:t>espèce d</w:t>
      </w:r>
      <w:r w:rsidR="008372AA" w:rsidRPr="00403220">
        <w:rPr>
          <w:rFonts w:cs="Times New Roman"/>
          <w:szCs w:val="24"/>
          <w:lang w:val="fr-CA"/>
        </w:rPr>
        <w:t>’</w:t>
      </w:r>
      <w:r w:rsidR="0047179D" w:rsidRPr="00403220">
        <w:rPr>
          <w:rFonts w:cs="Times New Roman"/>
          <w:szCs w:val="24"/>
          <w:lang w:val="fr-CA"/>
        </w:rPr>
        <w:t>un organisme public exerçant les activités d</w:t>
      </w:r>
      <w:r w:rsidR="008372AA" w:rsidRPr="00403220">
        <w:rPr>
          <w:rFonts w:cs="Times New Roman"/>
          <w:szCs w:val="24"/>
          <w:lang w:val="fr-CA"/>
        </w:rPr>
        <w:t>’</w:t>
      </w:r>
      <w:r w:rsidR="0047179D" w:rsidRPr="00403220">
        <w:rPr>
          <w:rFonts w:cs="Times New Roman"/>
          <w:szCs w:val="24"/>
          <w:lang w:val="fr-CA"/>
        </w:rPr>
        <w:t xml:space="preserve">une entreprise du secteur privé, mais plutôt </w:t>
      </w:r>
      <w:r w:rsidR="0047179D" w:rsidRPr="00403220">
        <w:rPr>
          <w:rFonts w:cs="Times New Roman"/>
          <w:szCs w:val="24"/>
          <w:lang w:val="fr-CA"/>
        </w:rPr>
        <w:lastRenderedPageBreak/>
        <w:t>d</w:t>
      </w:r>
      <w:r w:rsidR="008372AA" w:rsidRPr="00403220">
        <w:rPr>
          <w:rFonts w:cs="Times New Roman"/>
          <w:szCs w:val="24"/>
          <w:lang w:val="fr-CA"/>
        </w:rPr>
        <w:t>’</w:t>
      </w:r>
      <w:r w:rsidR="0047179D" w:rsidRPr="00403220">
        <w:rPr>
          <w:rFonts w:cs="Times New Roman"/>
          <w:szCs w:val="24"/>
          <w:lang w:val="fr-CA"/>
        </w:rPr>
        <w:t>un organisme public qui cherche à réglementer l</w:t>
      </w:r>
      <w:r w:rsidR="008372AA" w:rsidRPr="00403220">
        <w:rPr>
          <w:rFonts w:cs="Times New Roman"/>
          <w:szCs w:val="24"/>
          <w:lang w:val="fr-CA"/>
        </w:rPr>
        <w:t>’</w:t>
      </w:r>
      <w:r w:rsidR="0047179D" w:rsidRPr="00403220">
        <w:rPr>
          <w:rFonts w:cs="Times New Roman"/>
          <w:szCs w:val="24"/>
          <w:lang w:val="fr-CA"/>
        </w:rPr>
        <w:t>industrie en faisant la promotion d</w:t>
      </w:r>
      <w:r w:rsidR="008372AA" w:rsidRPr="00403220">
        <w:rPr>
          <w:rFonts w:cs="Times New Roman"/>
          <w:szCs w:val="24"/>
          <w:lang w:val="fr-CA"/>
        </w:rPr>
        <w:t>’</w:t>
      </w:r>
      <w:r w:rsidR="0047179D" w:rsidRPr="00403220">
        <w:rPr>
          <w:rFonts w:cs="Times New Roman"/>
          <w:szCs w:val="24"/>
          <w:lang w:val="fr-CA"/>
        </w:rPr>
        <w:t xml:space="preserve">un type de cigarette.  </w:t>
      </w:r>
    </w:p>
    <w:p w:rsidR="0047179D" w:rsidRPr="00403220" w:rsidRDefault="0047179D" w:rsidP="005077DA">
      <w:pPr>
        <w:pStyle w:val="ParaNoNdepar-AltN"/>
        <w:rPr>
          <w:rFonts w:cs="Times New Roman"/>
          <w:szCs w:val="24"/>
          <w:lang w:val="fr-CA"/>
        </w:rPr>
      </w:pPr>
      <w:r w:rsidRPr="00403220">
        <w:rPr>
          <w:rFonts w:cs="Times New Roman"/>
          <w:szCs w:val="24"/>
          <w:lang w:val="fr-CA"/>
        </w:rPr>
        <w:t>Je reconnais que le but recherché par le Canada lorsqu</w:t>
      </w:r>
      <w:r w:rsidR="008372AA" w:rsidRPr="00403220">
        <w:rPr>
          <w:rFonts w:cs="Times New Roman"/>
          <w:szCs w:val="24"/>
          <w:lang w:val="fr-CA"/>
        </w:rPr>
        <w:t>’</w:t>
      </w:r>
      <w:r w:rsidRPr="00403220">
        <w:rPr>
          <w:rFonts w:cs="Times New Roman"/>
          <w:szCs w:val="24"/>
          <w:lang w:val="fr-CA"/>
        </w:rPr>
        <w:t>il a développé et promu le tabac, comme l</w:t>
      </w:r>
      <w:r w:rsidR="008372AA" w:rsidRPr="00403220">
        <w:rPr>
          <w:rFonts w:cs="Times New Roman"/>
          <w:szCs w:val="24"/>
          <w:lang w:val="fr-CA"/>
        </w:rPr>
        <w:t>’</w:t>
      </w:r>
      <w:r w:rsidRPr="00403220">
        <w:rPr>
          <w:rFonts w:cs="Times New Roman"/>
          <w:szCs w:val="24"/>
          <w:lang w:val="fr-CA"/>
        </w:rPr>
        <w:t>indique l</w:t>
      </w:r>
      <w:r w:rsidR="008372AA" w:rsidRPr="00403220">
        <w:rPr>
          <w:rFonts w:cs="Times New Roman"/>
          <w:szCs w:val="24"/>
          <w:lang w:val="fr-CA"/>
        </w:rPr>
        <w:t>’</w:t>
      </w:r>
      <w:r w:rsidRPr="00403220">
        <w:rPr>
          <w:rFonts w:cs="Times New Roman"/>
          <w:szCs w:val="24"/>
          <w:lang w:val="fr-CA"/>
        </w:rPr>
        <w:t>avis de mise en cause, tend à indiquer que le Canada n</w:t>
      </w:r>
      <w:r w:rsidR="008372AA" w:rsidRPr="00403220">
        <w:rPr>
          <w:rFonts w:cs="Times New Roman"/>
          <w:szCs w:val="24"/>
          <w:lang w:val="fr-CA"/>
        </w:rPr>
        <w:t>’</w:t>
      </w:r>
      <w:r w:rsidRPr="00403220">
        <w:rPr>
          <w:rFonts w:cs="Times New Roman"/>
          <w:szCs w:val="24"/>
          <w:lang w:val="fr-CA"/>
        </w:rPr>
        <w:t>agissait pas [</w:t>
      </w:r>
      <w:r w:rsidRPr="00403220">
        <w:rPr>
          <w:rFonts w:cs="Times New Roman"/>
          <w:smallCaps/>
          <w:szCs w:val="24"/>
          <w:lang w:val="fr-CA"/>
        </w:rPr>
        <w:t>traduction</w:t>
      </w:r>
      <w:r w:rsidRPr="00403220">
        <w:rPr>
          <w:rFonts w:cs="Times New Roman"/>
          <w:szCs w:val="24"/>
          <w:lang w:val="fr-CA"/>
        </w:rPr>
        <w:t>] «</w:t>
      </w:r>
      <w:r w:rsidR="00EF4589" w:rsidRPr="00403220">
        <w:rPr>
          <w:rFonts w:cs="Times New Roman"/>
          <w:szCs w:val="24"/>
          <w:lang w:val="fr-CA"/>
        </w:rPr>
        <w:t> dans le cours de ses affaires </w:t>
      </w:r>
      <w:r w:rsidRPr="00403220">
        <w:rPr>
          <w:rFonts w:cs="Times New Roman"/>
          <w:szCs w:val="24"/>
          <w:lang w:val="fr-CA"/>
        </w:rPr>
        <w:t xml:space="preserve">», dans le sens où cette expression est employée dans la </w:t>
      </w:r>
      <w:r w:rsidRPr="00403220">
        <w:rPr>
          <w:rFonts w:cs="Times New Roman"/>
          <w:i/>
          <w:szCs w:val="24"/>
          <w:lang w:val="fr-CA"/>
        </w:rPr>
        <w:t xml:space="preserve">TPA </w:t>
      </w:r>
      <w:r w:rsidRPr="00403220">
        <w:rPr>
          <w:rFonts w:cs="Times New Roman"/>
          <w:szCs w:val="24"/>
          <w:lang w:val="fr-CA"/>
        </w:rPr>
        <w:t xml:space="preserve">ou la </w:t>
      </w:r>
      <w:r w:rsidRPr="00403220">
        <w:rPr>
          <w:rFonts w:cs="Times New Roman"/>
          <w:i/>
          <w:szCs w:val="24"/>
          <w:lang w:val="fr-CA"/>
        </w:rPr>
        <w:t>BPCPA</w:t>
      </w:r>
      <w:r w:rsidRPr="00403220">
        <w:rPr>
          <w:rFonts w:cs="Times New Roman"/>
          <w:szCs w:val="24"/>
          <w:lang w:val="fr-CA"/>
        </w:rPr>
        <w:t xml:space="preserve">, et </w:t>
      </w:r>
      <w:r w:rsidR="00A81812" w:rsidRPr="00403220">
        <w:rPr>
          <w:rFonts w:cs="Times New Roman"/>
          <w:szCs w:val="24"/>
          <w:lang w:val="fr-CA"/>
        </w:rPr>
        <w:t>que le Canada</w:t>
      </w:r>
      <w:r w:rsidRPr="00403220">
        <w:rPr>
          <w:rFonts w:cs="Times New Roman"/>
          <w:szCs w:val="24"/>
          <w:lang w:val="fr-CA"/>
        </w:rPr>
        <w:t xml:space="preserve"> ne peut </w:t>
      </w:r>
      <w:r w:rsidR="00A81812" w:rsidRPr="00403220">
        <w:rPr>
          <w:rFonts w:cs="Times New Roman"/>
          <w:szCs w:val="24"/>
          <w:lang w:val="fr-CA"/>
        </w:rPr>
        <w:t>donc être un</w:t>
      </w:r>
      <w:r w:rsidR="006A6C86" w:rsidRPr="00403220">
        <w:rPr>
          <w:rFonts w:cs="Times New Roman"/>
          <w:szCs w:val="24"/>
          <w:lang w:val="fr-CA"/>
        </w:rPr>
        <w:t xml:space="preserve"> </w:t>
      </w:r>
      <w:r w:rsidR="00EF4589" w:rsidRPr="00403220">
        <w:rPr>
          <w:rFonts w:cs="Times New Roman"/>
          <w:szCs w:val="24"/>
          <w:lang w:val="fr-CA"/>
        </w:rPr>
        <w:t>« </w:t>
      </w:r>
      <w:r w:rsidRPr="00403220">
        <w:rPr>
          <w:rFonts w:cs="Times New Roman"/>
          <w:szCs w:val="24"/>
          <w:lang w:val="fr-CA"/>
        </w:rPr>
        <w:t>fournisseur</w:t>
      </w:r>
      <w:r w:rsidR="00EF4589" w:rsidRPr="00403220">
        <w:rPr>
          <w:rFonts w:cs="Times New Roman"/>
          <w:szCs w:val="24"/>
          <w:lang w:val="fr-CA"/>
        </w:rPr>
        <w:t> </w:t>
      </w:r>
      <w:r w:rsidRPr="00403220">
        <w:rPr>
          <w:rFonts w:cs="Times New Roman"/>
          <w:szCs w:val="24"/>
          <w:lang w:val="fr-CA"/>
        </w:rPr>
        <w:t>» au sens de l</w:t>
      </w:r>
      <w:r w:rsidR="008372AA" w:rsidRPr="00403220">
        <w:rPr>
          <w:rFonts w:cs="Times New Roman"/>
          <w:szCs w:val="24"/>
          <w:lang w:val="fr-CA"/>
        </w:rPr>
        <w:t>’</w:t>
      </w:r>
      <w:r w:rsidRPr="00403220">
        <w:rPr>
          <w:rFonts w:cs="Times New Roman"/>
          <w:szCs w:val="24"/>
          <w:lang w:val="fr-CA"/>
        </w:rPr>
        <w:t>une ou l</w:t>
      </w:r>
      <w:r w:rsidR="008372AA" w:rsidRPr="00403220">
        <w:rPr>
          <w:rFonts w:cs="Times New Roman"/>
          <w:szCs w:val="24"/>
          <w:lang w:val="fr-CA"/>
        </w:rPr>
        <w:t>’</w:t>
      </w:r>
      <w:r w:rsidR="00A81812" w:rsidRPr="00403220">
        <w:rPr>
          <w:rFonts w:cs="Times New Roman"/>
          <w:szCs w:val="24"/>
          <w:lang w:val="fr-CA"/>
        </w:rPr>
        <w:t>autre de ces l</w:t>
      </w:r>
      <w:r w:rsidRPr="00403220">
        <w:rPr>
          <w:rFonts w:cs="Times New Roman"/>
          <w:szCs w:val="24"/>
          <w:lang w:val="fr-CA"/>
        </w:rPr>
        <w:t>ois.  L</w:t>
      </w:r>
      <w:r w:rsidR="008372AA" w:rsidRPr="00403220">
        <w:rPr>
          <w:rFonts w:cs="Times New Roman"/>
          <w:szCs w:val="24"/>
          <w:lang w:val="fr-CA"/>
        </w:rPr>
        <w:t>’</w:t>
      </w:r>
      <w:r w:rsidR="00EF4589" w:rsidRPr="00403220">
        <w:rPr>
          <w:rFonts w:cs="Times New Roman"/>
          <w:szCs w:val="24"/>
          <w:lang w:val="fr-CA"/>
        </w:rPr>
        <w:t xml:space="preserve">expression </w:t>
      </w:r>
      <w:r w:rsidR="006A6C86" w:rsidRPr="00403220">
        <w:rPr>
          <w:rFonts w:cs="Times New Roman"/>
          <w:szCs w:val="24"/>
          <w:lang w:val="fr-CA"/>
        </w:rPr>
        <w:t>[</w:t>
      </w:r>
      <w:r w:rsidR="006A6C86" w:rsidRPr="00403220">
        <w:rPr>
          <w:rFonts w:cs="Times New Roman"/>
          <w:smallCaps/>
          <w:szCs w:val="24"/>
          <w:lang w:val="fr-CA"/>
        </w:rPr>
        <w:t>traduction</w:t>
      </w:r>
      <w:r w:rsidR="006A6C86" w:rsidRPr="00403220">
        <w:rPr>
          <w:rFonts w:cs="Times New Roman"/>
          <w:szCs w:val="24"/>
          <w:lang w:val="fr-CA"/>
        </w:rPr>
        <w:t xml:space="preserve">] </w:t>
      </w:r>
      <w:r w:rsidR="00EF4589" w:rsidRPr="00403220">
        <w:rPr>
          <w:rFonts w:cs="Times New Roman"/>
          <w:szCs w:val="24"/>
          <w:lang w:val="fr-CA"/>
        </w:rPr>
        <w:t>« dans le cours de ses affaires </w:t>
      </w:r>
      <w:r w:rsidRPr="00403220">
        <w:rPr>
          <w:rFonts w:cs="Times New Roman"/>
          <w:szCs w:val="24"/>
          <w:lang w:val="fr-CA"/>
        </w:rPr>
        <w:t>» peut avoir des significations différentes selon le contexte.  D</w:t>
      </w:r>
      <w:r w:rsidR="008372AA" w:rsidRPr="00403220">
        <w:rPr>
          <w:rFonts w:cs="Times New Roman"/>
          <w:szCs w:val="24"/>
          <w:lang w:val="fr-CA"/>
        </w:rPr>
        <w:t>’</w:t>
      </w:r>
      <w:r w:rsidRPr="00403220">
        <w:rPr>
          <w:rFonts w:cs="Times New Roman"/>
          <w:szCs w:val="24"/>
          <w:lang w:val="fr-CA"/>
        </w:rPr>
        <w:t>une part, il est possible de considérer qu</w:t>
      </w:r>
      <w:r w:rsidR="008372AA" w:rsidRPr="00403220">
        <w:rPr>
          <w:rFonts w:cs="Times New Roman"/>
          <w:szCs w:val="24"/>
          <w:lang w:val="fr-CA"/>
        </w:rPr>
        <w:t>’</w:t>
      </w:r>
      <w:r w:rsidRPr="00403220">
        <w:rPr>
          <w:rFonts w:cs="Times New Roman"/>
          <w:szCs w:val="24"/>
          <w:lang w:val="fr-CA"/>
        </w:rPr>
        <w:t>elle englobe toutes les activités auxquelles se livre un particulier durant sa carrière professionnelle</w:t>
      </w:r>
      <w:r w:rsidR="00A54DAC" w:rsidRPr="00403220">
        <w:rPr>
          <w:rFonts w:cs="Times New Roman"/>
          <w:szCs w:val="24"/>
          <w:lang w:val="fr-CA"/>
        </w:rPr>
        <w:t> :</w:t>
      </w:r>
      <w:r w:rsidRPr="00403220">
        <w:rPr>
          <w:rFonts w:cs="Times New Roman"/>
          <w:szCs w:val="24"/>
          <w:lang w:val="fr-CA"/>
        </w:rPr>
        <w:t xml:space="preserve"> voir notamment l</w:t>
      </w:r>
      <w:r w:rsidR="008372AA" w:rsidRPr="00403220">
        <w:rPr>
          <w:rFonts w:cs="Times New Roman"/>
          <w:szCs w:val="24"/>
          <w:lang w:val="fr-CA"/>
        </w:rPr>
        <w:t>’</w:t>
      </w:r>
      <w:r w:rsidRPr="00403220">
        <w:rPr>
          <w:rFonts w:cs="Times New Roman"/>
          <w:szCs w:val="24"/>
          <w:lang w:val="fr-CA"/>
        </w:rPr>
        <w:t xml:space="preserve">analyse </w:t>
      </w:r>
      <w:proofErr w:type="spellStart"/>
      <w:r w:rsidRPr="00403220">
        <w:rPr>
          <w:rFonts w:cs="Times New Roman"/>
          <w:szCs w:val="24"/>
          <w:lang w:val="fr-CA"/>
        </w:rPr>
        <w:t>ci</w:t>
      </w:r>
      <w:r w:rsidR="00A54DAC" w:rsidRPr="00403220">
        <w:rPr>
          <w:rFonts w:cs="Times New Roman"/>
          <w:szCs w:val="24"/>
          <w:lang w:val="fr-CA"/>
        </w:rPr>
        <w:noBreakHyphen/>
      </w:r>
      <w:r w:rsidRPr="00403220">
        <w:rPr>
          <w:rFonts w:cs="Times New Roman"/>
          <w:szCs w:val="24"/>
          <w:lang w:val="fr-CA"/>
        </w:rPr>
        <w:t>dessus</w:t>
      </w:r>
      <w:proofErr w:type="spellEnd"/>
      <w:r w:rsidRPr="00403220">
        <w:rPr>
          <w:rFonts w:cs="Times New Roman"/>
          <w:szCs w:val="24"/>
          <w:lang w:val="fr-CA"/>
        </w:rPr>
        <w:t xml:space="preserve"> des indices de confiance raisonnable.  D</w:t>
      </w:r>
      <w:r w:rsidR="008372AA" w:rsidRPr="00403220">
        <w:rPr>
          <w:rFonts w:cs="Times New Roman"/>
          <w:szCs w:val="24"/>
          <w:lang w:val="fr-CA"/>
        </w:rPr>
        <w:t>’</w:t>
      </w:r>
      <w:r w:rsidRPr="00403220">
        <w:rPr>
          <w:rFonts w:cs="Times New Roman"/>
          <w:szCs w:val="24"/>
          <w:lang w:val="fr-CA"/>
        </w:rPr>
        <w:t>autre part, elle peut être interprétée comme visant seulement les activités exercées à une fin commerciale.  J</w:t>
      </w:r>
      <w:r w:rsidR="008372AA" w:rsidRPr="00403220">
        <w:rPr>
          <w:rFonts w:cs="Times New Roman"/>
          <w:szCs w:val="24"/>
          <w:lang w:val="fr-CA"/>
        </w:rPr>
        <w:t>’</w:t>
      </w:r>
      <w:r w:rsidRPr="00403220">
        <w:rPr>
          <w:rFonts w:cs="Times New Roman"/>
          <w:szCs w:val="24"/>
          <w:lang w:val="fr-CA"/>
        </w:rPr>
        <w:t xml:space="preserve">estime que les contextes dans lesquels cette expression est employée dans la </w:t>
      </w:r>
      <w:r w:rsidRPr="00403220">
        <w:rPr>
          <w:rFonts w:cs="Times New Roman"/>
          <w:i/>
          <w:szCs w:val="24"/>
          <w:lang w:val="fr-CA"/>
        </w:rPr>
        <w:t xml:space="preserve">TPA </w:t>
      </w:r>
      <w:r w:rsidRPr="00403220">
        <w:rPr>
          <w:rFonts w:cs="Times New Roman"/>
          <w:szCs w:val="24"/>
          <w:lang w:val="fr-CA"/>
        </w:rPr>
        <w:t xml:space="preserve">et la </w:t>
      </w:r>
      <w:r w:rsidRPr="00403220">
        <w:rPr>
          <w:rFonts w:cs="Times New Roman"/>
          <w:i/>
          <w:szCs w:val="24"/>
          <w:lang w:val="fr-CA"/>
        </w:rPr>
        <w:t>BPCPA</w:t>
      </w:r>
      <w:r w:rsidRPr="00403220">
        <w:rPr>
          <w:rFonts w:cs="Times New Roman"/>
          <w:szCs w:val="24"/>
          <w:lang w:val="fr-CA"/>
        </w:rPr>
        <w:t xml:space="preserve"> appuient la deuxième interprétation.  L</w:t>
      </w:r>
      <w:r w:rsidR="00EF4589" w:rsidRPr="00403220">
        <w:rPr>
          <w:rFonts w:cs="Times New Roman"/>
          <w:szCs w:val="24"/>
          <w:lang w:val="fr-CA"/>
        </w:rPr>
        <w:t xml:space="preserve">es définitions de </w:t>
      </w:r>
      <w:r w:rsidR="006A6C86" w:rsidRPr="00403220">
        <w:rPr>
          <w:rFonts w:cs="Times New Roman"/>
          <w:szCs w:val="24"/>
          <w:lang w:val="fr-CA"/>
        </w:rPr>
        <w:t>[</w:t>
      </w:r>
      <w:r w:rsidR="006A6C86" w:rsidRPr="00403220">
        <w:rPr>
          <w:rFonts w:cs="Times New Roman"/>
          <w:smallCaps/>
          <w:szCs w:val="24"/>
          <w:lang w:val="fr-CA"/>
        </w:rPr>
        <w:t>traduction</w:t>
      </w:r>
      <w:r w:rsidR="006A6C86" w:rsidRPr="00403220">
        <w:rPr>
          <w:rFonts w:cs="Times New Roman"/>
          <w:szCs w:val="24"/>
          <w:lang w:val="fr-CA"/>
        </w:rPr>
        <w:t xml:space="preserve">] </w:t>
      </w:r>
      <w:r w:rsidR="00EF4589" w:rsidRPr="00403220">
        <w:rPr>
          <w:rFonts w:cs="Times New Roman"/>
          <w:szCs w:val="24"/>
          <w:lang w:val="fr-CA"/>
        </w:rPr>
        <w:t>« fournisseur </w:t>
      </w:r>
      <w:r w:rsidR="006A6C86" w:rsidRPr="00403220">
        <w:rPr>
          <w:rFonts w:cs="Times New Roman"/>
          <w:szCs w:val="24"/>
          <w:lang w:val="fr-CA"/>
        </w:rPr>
        <w:t xml:space="preserve">» figurant dans les deux </w:t>
      </w:r>
      <w:r w:rsidR="00A81812" w:rsidRPr="00403220">
        <w:rPr>
          <w:rFonts w:cs="Times New Roman"/>
          <w:szCs w:val="24"/>
          <w:lang w:val="fr-CA"/>
        </w:rPr>
        <w:t>l</w:t>
      </w:r>
      <w:r w:rsidRPr="00403220">
        <w:rPr>
          <w:rFonts w:cs="Times New Roman"/>
          <w:szCs w:val="24"/>
          <w:lang w:val="fr-CA"/>
        </w:rPr>
        <w:t xml:space="preserve">ois </w:t>
      </w:r>
      <w:r w:rsidR="004D4CE3" w:rsidRPr="00403220">
        <w:rPr>
          <w:rFonts w:cs="Times New Roman"/>
          <w:szCs w:val="24"/>
          <w:lang w:val="fr-CA"/>
        </w:rPr>
        <w:t xml:space="preserve">renvoient à des </w:t>
      </w:r>
      <w:r w:rsidR="006A6C86" w:rsidRPr="00403220">
        <w:rPr>
          <w:rFonts w:cs="Times New Roman"/>
          <w:szCs w:val="24"/>
          <w:lang w:val="fr-CA"/>
        </w:rPr>
        <w:t>[</w:t>
      </w:r>
      <w:r w:rsidR="006A6C86" w:rsidRPr="00403220">
        <w:rPr>
          <w:rFonts w:cs="Times New Roman"/>
          <w:smallCaps/>
          <w:szCs w:val="24"/>
          <w:lang w:val="fr-CA"/>
        </w:rPr>
        <w:t>traduction</w:t>
      </w:r>
      <w:r w:rsidR="006A6C86" w:rsidRPr="00403220">
        <w:rPr>
          <w:rFonts w:cs="Times New Roman"/>
          <w:szCs w:val="24"/>
          <w:lang w:val="fr-CA"/>
        </w:rPr>
        <w:t xml:space="preserve">] </w:t>
      </w:r>
      <w:r w:rsidRPr="00403220">
        <w:rPr>
          <w:rFonts w:cs="Times New Roman"/>
          <w:szCs w:val="24"/>
          <w:lang w:val="fr-CA"/>
        </w:rPr>
        <w:t>«</w:t>
      </w:r>
      <w:r w:rsidR="00EF4589" w:rsidRPr="00403220">
        <w:rPr>
          <w:rFonts w:cs="Times New Roman"/>
          <w:szCs w:val="24"/>
          <w:lang w:val="fr-CA"/>
        </w:rPr>
        <w:t> opérations commerciales </w:t>
      </w:r>
      <w:r w:rsidRPr="00403220">
        <w:rPr>
          <w:rFonts w:cs="Times New Roman"/>
          <w:szCs w:val="24"/>
          <w:lang w:val="fr-CA"/>
        </w:rPr>
        <w:t>» et font la distinction entre les fournisseurs</w:t>
      </w:r>
      <w:r w:rsidR="00A81812" w:rsidRPr="00403220">
        <w:rPr>
          <w:rFonts w:cs="Times New Roman"/>
          <w:szCs w:val="24"/>
          <w:lang w:val="fr-CA"/>
        </w:rPr>
        <w:t xml:space="preserve"> </w:t>
      </w:r>
      <w:r w:rsidR="00B30032">
        <w:rPr>
          <w:rFonts w:cs="Times New Roman"/>
          <w:szCs w:val="24"/>
          <w:lang w:val="fr-CA"/>
        </w:rPr>
        <w:t>—</w:t>
      </w:r>
      <w:r w:rsidRPr="00403220">
        <w:rPr>
          <w:rFonts w:cs="Times New Roman"/>
          <w:szCs w:val="24"/>
          <w:lang w:val="fr-CA"/>
        </w:rPr>
        <w:t xml:space="preserve"> qui poursuivent une fin commerciale</w:t>
      </w:r>
      <w:r w:rsidR="00A81812" w:rsidRPr="00403220">
        <w:rPr>
          <w:rFonts w:cs="Times New Roman"/>
          <w:szCs w:val="24"/>
          <w:lang w:val="fr-CA"/>
        </w:rPr>
        <w:t xml:space="preserve"> </w:t>
      </w:r>
      <w:r w:rsidR="00B30032">
        <w:rPr>
          <w:rFonts w:cs="Times New Roman"/>
          <w:szCs w:val="24"/>
          <w:lang w:val="fr-CA"/>
        </w:rPr>
        <w:t>—</w:t>
      </w:r>
      <w:r w:rsidRPr="00403220">
        <w:rPr>
          <w:rFonts w:cs="Times New Roman"/>
          <w:szCs w:val="24"/>
          <w:lang w:val="fr-CA"/>
        </w:rPr>
        <w:t xml:space="preserve"> et les consommateurs.  Il ressort </w:t>
      </w:r>
      <w:r w:rsidR="00A81812" w:rsidRPr="00403220">
        <w:rPr>
          <w:rFonts w:cs="Times New Roman"/>
          <w:szCs w:val="24"/>
          <w:lang w:val="fr-CA"/>
        </w:rPr>
        <w:t>de façon évidente et manifeste</w:t>
      </w:r>
      <w:r w:rsidRPr="00403220">
        <w:rPr>
          <w:rFonts w:cs="Times New Roman"/>
          <w:szCs w:val="24"/>
          <w:lang w:val="fr-CA"/>
        </w:rPr>
        <w:t xml:space="preserve"> des faits allégués que le Canada a promu la consommation de cigarettes à faible teneur en goudron non pas à une fin commerciale, mais à une fin liée à la santé.  Le Canada n</w:t>
      </w:r>
      <w:r w:rsidR="008372AA" w:rsidRPr="00403220">
        <w:rPr>
          <w:rFonts w:cs="Times New Roman"/>
          <w:szCs w:val="24"/>
          <w:lang w:val="fr-CA"/>
        </w:rPr>
        <w:t>’</w:t>
      </w:r>
      <w:r w:rsidRPr="00403220">
        <w:rPr>
          <w:rFonts w:cs="Times New Roman"/>
          <w:szCs w:val="24"/>
          <w:lang w:val="fr-CA"/>
        </w:rPr>
        <w:t xml:space="preserve">est donc pas un </w:t>
      </w:r>
      <w:r w:rsidRPr="00403220">
        <w:rPr>
          <w:rFonts w:cs="Times New Roman"/>
          <w:szCs w:val="24"/>
          <w:lang w:val="fr-CA"/>
        </w:rPr>
        <w:lastRenderedPageBreak/>
        <w:t xml:space="preserve">fournisseur au sens de la </w:t>
      </w:r>
      <w:r w:rsidRPr="00403220">
        <w:rPr>
          <w:rFonts w:cs="Times New Roman"/>
          <w:i/>
          <w:szCs w:val="24"/>
          <w:lang w:val="fr-CA"/>
        </w:rPr>
        <w:t>TPA</w:t>
      </w:r>
      <w:r w:rsidRPr="00403220">
        <w:rPr>
          <w:rFonts w:cs="Times New Roman"/>
          <w:szCs w:val="24"/>
          <w:lang w:val="fr-CA"/>
        </w:rPr>
        <w:t xml:space="preserve"> ou de la </w:t>
      </w:r>
      <w:r w:rsidRPr="00403220">
        <w:rPr>
          <w:rFonts w:cs="Times New Roman"/>
          <w:i/>
          <w:szCs w:val="24"/>
          <w:lang w:val="fr-CA"/>
        </w:rPr>
        <w:t>BPCPA</w:t>
      </w:r>
      <w:r w:rsidR="00A81812" w:rsidRPr="00403220">
        <w:rPr>
          <w:rFonts w:cs="Times New Roman"/>
          <w:szCs w:val="24"/>
          <w:lang w:val="fr-CA"/>
        </w:rPr>
        <w:t>, et</w:t>
      </w:r>
      <w:r w:rsidR="00A81812" w:rsidRPr="00403220">
        <w:rPr>
          <w:rFonts w:cs="Times New Roman"/>
          <w:i/>
          <w:szCs w:val="24"/>
          <w:lang w:val="fr-CA"/>
        </w:rPr>
        <w:t xml:space="preserve"> </w:t>
      </w:r>
      <w:r w:rsidR="00A81812" w:rsidRPr="00403220">
        <w:rPr>
          <w:rFonts w:cs="Times New Roman"/>
          <w:szCs w:val="24"/>
          <w:lang w:val="fr-CA"/>
        </w:rPr>
        <w:t xml:space="preserve">la demande de contribution fondée sur ce motif et sur la </w:t>
      </w:r>
      <w:proofErr w:type="spellStart"/>
      <w:r w:rsidR="00A81812" w:rsidRPr="00403220">
        <w:rPr>
          <w:rFonts w:cs="Times New Roman"/>
          <w:i/>
          <w:szCs w:val="24"/>
          <w:lang w:val="fr-CA"/>
        </w:rPr>
        <w:t>Negligence</w:t>
      </w:r>
      <w:proofErr w:type="spellEnd"/>
      <w:r w:rsidR="00A81812" w:rsidRPr="00403220">
        <w:rPr>
          <w:rFonts w:cs="Times New Roman"/>
          <w:i/>
          <w:szCs w:val="24"/>
          <w:lang w:val="fr-CA"/>
        </w:rPr>
        <w:t xml:space="preserve"> </w:t>
      </w:r>
      <w:proofErr w:type="spellStart"/>
      <w:r w:rsidR="00A81812" w:rsidRPr="00403220">
        <w:rPr>
          <w:rFonts w:cs="Times New Roman"/>
          <w:i/>
          <w:szCs w:val="24"/>
          <w:lang w:val="fr-CA"/>
        </w:rPr>
        <w:t>Act</w:t>
      </w:r>
      <w:proofErr w:type="spellEnd"/>
      <w:r w:rsidR="00A81812" w:rsidRPr="00403220">
        <w:rPr>
          <w:rFonts w:cs="Times New Roman"/>
          <w:szCs w:val="24"/>
          <w:lang w:val="fr-CA"/>
        </w:rPr>
        <w:t xml:space="preserve"> doit être radiée</w:t>
      </w:r>
      <w:r w:rsidRPr="00403220">
        <w:rPr>
          <w:rFonts w:cs="Times New Roman"/>
          <w:szCs w:val="24"/>
          <w:lang w:val="fr-CA"/>
        </w:rPr>
        <w:t>.</w:t>
      </w:r>
    </w:p>
    <w:p w:rsidR="0047179D" w:rsidRPr="00403220" w:rsidRDefault="0047179D" w:rsidP="005077DA">
      <w:pPr>
        <w:pStyle w:val="ParaNoNdepar-AltN"/>
        <w:rPr>
          <w:rFonts w:cs="Times New Roman"/>
          <w:szCs w:val="24"/>
          <w:lang w:val="fr-CA"/>
        </w:rPr>
      </w:pPr>
      <w:r w:rsidRPr="00403220">
        <w:rPr>
          <w:rFonts w:cs="Times New Roman"/>
          <w:szCs w:val="24"/>
          <w:lang w:val="fr-CA"/>
        </w:rPr>
        <w:t>Vu ma conclusion que la responsabilité du Canada n</w:t>
      </w:r>
      <w:r w:rsidR="008372AA" w:rsidRPr="00403220">
        <w:rPr>
          <w:rFonts w:cs="Times New Roman"/>
          <w:szCs w:val="24"/>
          <w:lang w:val="fr-CA"/>
        </w:rPr>
        <w:t>’</w:t>
      </w:r>
      <w:r w:rsidRPr="00403220">
        <w:rPr>
          <w:rFonts w:cs="Times New Roman"/>
          <w:szCs w:val="24"/>
          <w:lang w:val="fr-CA"/>
        </w:rPr>
        <w:t xml:space="preserve">est pas engagée en application de la </w:t>
      </w:r>
      <w:r w:rsidRPr="00403220">
        <w:rPr>
          <w:rFonts w:cs="Times New Roman"/>
          <w:i/>
          <w:szCs w:val="24"/>
          <w:lang w:val="fr-CA"/>
        </w:rPr>
        <w:t>TPA</w:t>
      </w:r>
      <w:r w:rsidRPr="00403220">
        <w:rPr>
          <w:rFonts w:cs="Times New Roman"/>
          <w:szCs w:val="24"/>
          <w:lang w:val="fr-CA"/>
        </w:rPr>
        <w:t xml:space="preserve"> ou de la </w:t>
      </w:r>
      <w:r w:rsidRPr="00403220">
        <w:rPr>
          <w:rFonts w:cs="Times New Roman"/>
          <w:i/>
          <w:szCs w:val="24"/>
          <w:lang w:val="fr-CA"/>
        </w:rPr>
        <w:t>BPCPA</w:t>
      </w:r>
      <w:r w:rsidRPr="00403220">
        <w:rPr>
          <w:rFonts w:cs="Times New Roman"/>
          <w:szCs w:val="24"/>
          <w:lang w:val="fr-CA"/>
        </w:rPr>
        <w:t>, point n</w:t>
      </w:r>
      <w:r w:rsidR="008372AA" w:rsidRPr="00403220">
        <w:rPr>
          <w:rFonts w:cs="Times New Roman"/>
          <w:szCs w:val="24"/>
          <w:lang w:val="fr-CA"/>
        </w:rPr>
        <w:t>’</w:t>
      </w:r>
      <w:r w:rsidRPr="00403220">
        <w:rPr>
          <w:rFonts w:cs="Times New Roman"/>
          <w:szCs w:val="24"/>
          <w:lang w:val="fr-CA"/>
        </w:rPr>
        <w:t>est besoin de déterminer si le Canada serait, dans l</w:t>
      </w:r>
      <w:r w:rsidR="008372AA" w:rsidRPr="00403220">
        <w:rPr>
          <w:rFonts w:cs="Times New Roman"/>
          <w:szCs w:val="24"/>
          <w:lang w:val="fr-CA"/>
        </w:rPr>
        <w:t>’</w:t>
      </w:r>
      <w:r w:rsidRPr="00403220">
        <w:rPr>
          <w:rFonts w:cs="Times New Roman"/>
          <w:szCs w:val="24"/>
          <w:lang w:val="fr-CA"/>
        </w:rPr>
        <w:t>affirmative, protégé par l</w:t>
      </w:r>
      <w:r w:rsidR="008372AA" w:rsidRPr="00403220">
        <w:rPr>
          <w:rFonts w:cs="Times New Roman"/>
          <w:szCs w:val="24"/>
          <w:lang w:val="fr-CA"/>
        </w:rPr>
        <w:t>’</w:t>
      </w:r>
      <w:r w:rsidRPr="00403220">
        <w:rPr>
          <w:rFonts w:cs="Times New Roman"/>
          <w:szCs w:val="24"/>
          <w:lang w:val="fr-CA"/>
        </w:rPr>
        <w:t>immunité de l</w:t>
      </w:r>
      <w:r w:rsidR="008372AA" w:rsidRPr="00403220">
        <w:rPr>
          <w:rFonts w:cs="Times New Roman"/>
          <w:szCs w:val="24"/>
          <w:lang w:val="fr-CA"/>
        </w:rPr>
        <w:t>’</w:t>
      </w:r>
      <w:r w:rsidRPr="00403220">
        <w:rPr>
          <w:rFonts w:cs="Times New Roman"/>
          <w:szCs w:val="24"/>
          <w:lang w:val="fr-CA"/>
        </w:rPr>
        <w:t xml:space="preserve">État.   </w:t>
      </w:r>
    </w:p>
    <w:p w:rsidR="0047179D" w:rsidRPr="00403220" w:rsidRDefault="00FB71B1" w:rsidP="001C42D4">
      <w:pPr>
        <w:pStyle w:val="TitleTitre-AltT"/>
        <w:keepNext/>
        <w:spacing w:before="0" w:after="720"/>
        <w:ind w:left="357" w:hanging="357"/>
        <w:rPr>
          <w:rFonts w:cs="Times New Roman"/>
          <w:szCs w:val="24"/>
          <w:lang w:val="fr-CA"/>
        </w:rPr>
      </w:pPr>
      <w:bookmarkStart w:id="54" w:name="_Toc314735139"/>
      <w:r w:rsidRPr="00403220">
        <w:rPr>
          <w:rFonts w:cs="Times New Roman"/>
          <w:szCs w:val="24"/>
          <w:lang w:val="fr-CA"/>
        </w:rPr>
        <w:t>H</w:t>
      </w:r>
      <w:r w:rsidR="0063537D" w:rsidRPr="00403220">
        <w:rPr>
          <w:rFonts w:cs="Times New Roman"/>
          <w:szCs w:val="24"/>
          <w:lang w:val="fr-CA"/>
        </w:rPr>
        <w:t>.</w:t>
      </w:r>
      <w:r w:rsidR="0063537D" w:rsidRPr="00403220">
        <w:rPr>
          <w:rFonts w:cs="Times New Roman"/>
          <w:szCs w:val="24"/>
          <w:lang w:val="fr-CA"/>
        </w:rPr>
        <w:tab/>
      </w:r>
      <w:r w:rsidR="0047179D" w:rsidRPr="00403220">
        <w:rPr>
          <w:rFonts w:cs="Times New Roman"/>
          <w:i/>
          <w:szCs w:val="24"/>
          <w:lang w:val="fr-CA"/>
        </w:rPr>
        <w:t>La demande d</w:t>
      </w:r>
      <w:r w:rsidR="008372AA" w:rsidRPr="00403220">
        <w:rPr>
          <w:rFonts w:cs="Times New Roman"/>
          <w:i/>
          <w:szCs w:val="24"/>
          <w:lang w:val="fr-CA"/>
        </w:rPr>
        <w:t>’</w:t>
      </w:r>
      <w:r w:rsidR="0047179D" w:rsidRPr="00403220">
        <w:rPr>
          <w:rFonts w:cs="Times New Roman"/>
          <w:i/>
          <w:szCs w:val="24"/>
          <w:lang w:val="fr-CA"/>
        </w:rPr>
        <w:t>indemnité fondée sur l</w:t>
      </w:r>
      <w:r w:rsidR="008372AA" w:rsidRPr="00403220">
        <w:rPr>
          <w:rFonts w:cs="Times New Roman"/>
          <w:i/>
          <w:szCs w:val="24"/>
          <w:lang w:val="fr-CA"/>
        </w:rPr>
        <w:t>’</w:t>
      </w:r>
      <w:proofErr w:type="spellStart"/>
      <w:r w:rsidR="0047179D" w:rsidRPr="00403220">
        <w:rPr>
          <w:rFonts w:cs="Times New Roman"/>
          <w:i/>
          <w:szCs w:val="24"/>
          <w:lang w:val="fr-CA"/>
        </w:rPr>
        <w:t>equity</w:t>
      </w:r>
      <w:bookmarkEnd w:id="54"/>
      <w:proofErr w:type="spellEnd"/>
    </w:p>
    <w:p w:rsidR="0047179D" w:rsidRPr="00403220" w:rsidRDefault="0047179D" w:rsidP="005077DA">
      <w:pPr>
        <w:pStyle w:val="ParaNoNdepar-AltN"/>
        <w:rPr>
          <w:rFonts w:cs="Times New Roman"/>
          <w:szCs w:val="24"/>
          <w:lang w:val="fr-CA"/>
        </w:rPr>
      </w:pPr>
      <w:r w:rsidRPr="00403220">
        <w:rPr>
          <w:rFonts w:cs="Times New Roman"/>
          <w:szCs w:val="24"/>
          <w:lang w:val="fr-CA"/>
        </w:rPr>
        <w:t>RBH et Philip Morris soutiennent que, si les compagnies de tabac sont tenues responsables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 xml:space="preserve">ffaire </w:t>
      </w:r>
      <w:r w:rsidR="00321EF3" w:rsidRPr="00403220">
        <w:rPr>
          <w:rFonts w:cs="Times New Roman"/>
          <w:i/>
          <w:szCs w:val="24"/>
          <w:lang w:val="fr-CA"/>
        </w:rPr>
        <w:t xml:space="preserve">du </w:t>
      </w:r>
      <w:r w:rsidRPr="00403220">
        <w:rPr>
          <w:rFonts w:cs="Times New Roman"/>
          <w:i/>
          <w:szCs w:val="24"/>
          <w:lang w:val="fr-CA"/>
        </w:rPr>
        <w:t>recouvrement des coûts</w:t>
      </w:r>
      <w:r w:rsidRPr="00403220">
        <w:rPr>
          <w:rFonts w:cs="Times New Roman"/>
          <w:szCs w:val="24"/>
          <w:lang w:val="fr-CA"/>
        </w:rPr>
        <w:t xml:space="preserve">, le Canada doit verser </w:t>
      </w:r>
      <w:r w:rsidR="00EF4589" w:rsidRPr="00403220">
        <w:rPr>
          <w:rFonts w:cs="Times New Roman"/>
          <w:szCs w:val="24"/>
          <w:lang w:val="fr-CA"/>
        </w:rPr>
        <w:t>une</w:t>
      </w:r>
      <w:r w:rsidR="00DF6983">
        <w:rPr>
          <w:rFonts w:cs="Times New Roman"/>
          <w:szCs w:val="24"/>
          <w:lang w:val="fr-CA"/>
        </w:rPr>
        <w:t xml:space="preserve"> [</w:t>
      </w:r>
      <w:r w:rsidR="00DF6983" w:rsidRPr="00DF6983">
        <w:rPr>
          <w:rFonts w:cs="Times New Roman"/>
          <w:smallCaps/>
          <w:szCs w:val="24"/>
          <w:lang w:val="fr-CA"/>
        </w:rPr>
        <w:t>traduction</w:t>
      </w:r>
      <w:r w:rsidR="00DF6983">
        <w:rPr>
          <w:rFonts w:cs="Times New Roman"/>
          <w:szCs w:val="24"/>
          <w:lang w:val="fr-CA"/>
        </w:rPr>
        <w:t>]</w:t>
      </w:r>
      <w:r w:rsidR="00EF4589" w:rsidRPr="00403220">
        <w:rPr>
          <w:rFonts w:cs="Times New Roman"/>
          <w:szCs w:val="24"/>
          <w:lang w:val="fr-CA"/>
        </w:rPr>
        <w:t xml:space="preserve"> « indemnité en </w:t>
      </w:r>
      <w:proofErr w:type="spellStart"/>
      <w:r w:rsidR="006A6C86" w:rsidRPr="00403220">
        <w:rPr>
          <w:rFonts w:cs="Times New Roman"/>
          <w:szCs w:val="24"/>
          <w:lang w:val="fr-CA"/>
        </w:rPr>
        <w:t>equity</w:t>
      </w:r>
      <w:proofErr w:type="spellEnd"/>
      <w:r w:rsidR="00EF4589" w:rsidRPr="00403220">
        <w:rPr>
          <w:rFonts w:cs="Times New Roman"/>
          <w:szCs w:val="24"/>
          <w:lang w:val="fr-CA"/>
        </w:rPr>
        <w:t> </w:t>
      </w:r>
      <w:r w:rsidRPr="00403220">
        <w:rPr>
          <w:rFonts w:cs="Times New Roman"/>
          <w:szCs w:val="24"/>
          <w:lang w:val="fr-CA"/>
        </w:rPr>
        <w:t xml:space="preserve">» compte tenu des faits allégués.  Selon </w:t>
      </w:r>
      <w:r w:rsidR="004D4CE3" w:rsidRPr="00403220">
        <w:rPr>
          <w:rFonts w:cs="Times New Roman"/>
          <w:szCs w:val="24"/>
          <w:lang w:val="fr-CA"/>
        </w:rPr>
        <w:t>elles</w:t>
      </w:r>
      <w:r w:rsidRPr="00403220">
        <w:rPr>
          <w:rFonts w:cs="Times New Roman"/>
          <w:szCs w:val="24"/>
          <w:lang w:val="fr-CA"/>
        </w:rPr>
        <w:t>, chaque fois qu</w:t>
      </w:r>
      <w:r w:rsidR="008372AA" w:rsidRPr="00403220">
        <w:rPr>
          <w:rFonts w:cs="Times New Roman"/>
          <w:szCs w:val="24"/>
          <w:lang w:val="fr-CA"/>
        </w:rPr>
        <w:t>’</w:t>
      </w:r>
      <w:r w:rsidRPr="00403220">
        <w:rPr>
          <w:rFonts w:cs="Times New Roman"/>
          <w:szCs w:val="24"/>
          <w:lang w:val="fr-CA"/>
        </w:rPr>
        <w:t xml:space="preserve">une personne demande ou </w:t>
      </w:r>
      <w:r w:rsidR="004D4CE3" w:rsidRPr="00403220">
        <w:rPr>
          <w:rFonts w:cs="Times New Roman"/>
          <w:szCs w:val="24"/>
          <w:lang w:val="fr-CA"/>
        </w:rPr>
        <w:t>or</w:t>
      </w:r>
      <w:r w:rsidRPr="00403220">
        <w:rPr>
          <w:rFonts w:cs="Times New Roman"/>
          <w:szCs w:val="24"/>
          <w:lang w:val="fr-CA"/>
        </w:rPr>
        <w:t xml:space="preserve">donne à une autre de faire quelque chose qui engage la responsabilité de cette dernière, </w:t>
      </w:r>
      <w:r w:rsidR="004D4CE3" w:rsidRPr="00403220">
        <w:rPr>
          <w:rFonts w:cs="Times New Roman"/>
          <w:szCs w:val="24"/>
          <w:lang w:val="fr-CA"/>
        </w:rPr>
        <w:t xml:space="preserve">la personne qui </w:t>
      </w:r>
      <w:r w:rsidRPr="00403220">
        <w:rPr>
          <w:rFonts w:cs="Times New Roman"/>
          <w:szCs w:val="24"/>
          <w:lang w:val="fr-CA"/>
        </w:rPr>
        <w:t xml:space="preserve">demande ou </w:t>
      </w:r>
      <w:r w:rsidR="004D4CE3" w:rsidRPr="00403220">
        <w:rPr>
          <w:rFonts w:cs="Times New Roman"/>
          <w:szCs w:val="24"/>
          <w:lang w:val="fr-CA"/>
        </w:rPr>
        <w:t xml:space="preserve">ordonne de faire </w:t>
      </w:r>
      <w:r w:rsidR="008E276E" w:rsidRPr="00403220">
        <w:rPr>
          <w:rFonts w:cs="Times New Roman"/>
          <w:szCs w:val="24"/>
          <w:lang w:val="fr-CA"/>
        </w:rPr>
        <w:t>cette</w:t>
      </w:r>
      <w:r w:rsidR="004D4CE3" w:rsidRPr="00403220">
        <w:rPr>
          <w:rFonts w:cs="Times New Roman"/>
          <w:szCs w:val="24"/>
          <w:lang w:val="fr-CA"/>
        </w:rPr>
        <w:t xml:space="preserve"> chose </w:t>
      </w:r>
      <w:r w:rsidRPr="00403220">
        <w:rPr>
          <w:rFonts w:cs="Times New Roman"/>
          <w:szCs w:val="24"/>
          <w:lang w:val="fr-CA"/>
        </w:rPr>
        <w:t>est tenu</w:t>
      </w:r>
      <w:r w:rsidR="004D4CE3" w:rsidRPr="00403220">
        <w:rPr>
          <w:rFonts w:cs="Times New Roman"/>
          <w:szCs w:val="24"/>
          <w:lang w:val="fr-CA"/>
        </w:rPr>
        <w:t>e</w:t>
      </w:r>
      <w:r w:rsidRPr="00403220">
        <w:rPr>
          <w:rFonts w:cs="Times New Roman"/>
          <w:szCs w:val="24"/>
          <w:lang w:val="fr-CA"/>
        </w:rPr>
        <w:t xml:space="preserve"> </w:t>
      </w:r>
      <w:r w:rsidR="004D4CE3" w:rsidRPr="00403220">
        <w:rPr>
          <w:rFonts w:cs="Times New Roman"/>
          <w:szCs w:val="24"/>
          <w:lang w:val="fr-CA"/>
        </w:rPr>
        <w:t>d’</w:t>
      </w:r>
      <w:r w:rsidRPr="00403220">
        <w:rPr>
          <w:rFonts w:cs="Times New Roman"/>
          <w:szCs w:val="24"/>
          <w:lang w:val="fr-CA"/>
        </w:rPr>
        <w:t xml:space="preserve">indemniser </w:t>
      </w:r>
      <w:r w:rsidR="004D4CE3" w:rsidRPr="00403220">
        <w:rPr>
          <w:rFonts w:cs="Times New Roman"/>
          <w:szCs w:val="24"/>
          <w:lang w:val="fr-CA"/>
        </w:rPr>
        <w:t xml:space="preserve">l’autre </w:t>
      </w:r>
      <w:r w:rsidRPr="00403220">
        <w:rPr>
          <w:rFonts w:cs="Times New Roman"/>
          <w:szCs w:val="24"/>
          <w:lang w:val="fr-CA"/>
        </w:rPr>
        <w:t>pour sa responsabilité.  C</w:t>
      </w:r>
      <w:r w:rsidR="008372AA" w:rsidRPr="00403220">
        <w:rPr>
          <w:rFonts w:cs="Times New Roman"/>
          <w:szCs w:val="24"/>
          <w:lang w:val="fr-CA"/>
        </w:rPr>
        <w:t>’</w:t>
      </w:r>
      <w:r w:rsidRPr="00403220">
        <w:rPr>
          <w:rFonts w:cs="Times New Roman"/>
          <w:szCs w:val="24"/>
          <w:lang w:val="fr-CA"/>
        </w:rPr>
        <w:t xml:space="preserve">est ce que fait valoir </w:t>
      </w:r>
      <w:r w:rsidR="00847C22" w:rsidRPr="00403220">
        <w:rPr>
          <w:rFonts w:cs="Times New Roman"/>
          <w:szCs w:val="24"/>
          <w:lang w:val="fr-CA"/>
        </w:rPr>
        <w:t xml:space="preserve">Imperial </w:t>
      </w:r>
      <w:r w:rsidRPr="00403220">
        <w:rPr>
          <w:rFonts w:cs="Times New Roman"/>
          <w:szCs w:val="24"/>
          <w:lang w:val="fr-CA"/>
        </w:rPr>
        <w:t xml:space="preserve">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w:t>
      </w:r>
    </w:p>
    <w:p w:rsidR="0047179D" w:rsidRPr="00DF6983" w:rsidRDefault="0047179D" w:rsidP="005077DA">
      <w:pPr>
        <w:pStyle w:val="ParaNoNdepar-AltN"/>
        <w:rPr>
          <w:rFonts w:cs="Times New Roman"/>
          <w:szCs w:val="24"/>
          <w:lang w:val="fr-CA"/>
        </w:rPr>
      </w:pPr>
      <w:r w:rsidRPr="00403220">
        <w:rPr>
          <w:rFonts w:cs="Times New Roman"/>
          <w:szCs w:val="24"/>
          <w:lang w:val="fr-CA"/>
        </w:rPr>
        <w:t>La doctrine de l</w:t>
      </w:r>
      <w:r w:rsidR="008372AA" w:rsidRPr="00403220">
        <w:rPr>
          <w:rFonts w:cs="Times New Roman"/>
          <w:szCs w:val="24"/>
          <w:lang w:val="fr-CA"/>
        </w:rPr>
        <w:t>’</w:t>
      </w:r>
      <w:r w:rsidRPr="00403220">
        <w:rPr>
          <w:rFonts w:cs="Times New Roman"/>
          <w:szCs w:val="24"/>
          <w:lang w:val="fr-CA"/>
        </w:rPr>
        <w:t>indemnité fondée sur l</w:t>
      </w:r>
      <w:r w:rsidR="008372AA" w:rsidRPr="00403220">
        <w:rPr>
          <w:rFonts w:cs="Times New Roman"/>
          <w:szCs w:val="24"/>
          <w:lang w:val="fr-CA"/>
        </w:rPr>
        <w:t>’</w:t>
      </w:r>
      <w:proofErr w:type="spellStart"/>
      <w:r w:rsidR="006A6C86" w:rsidRPr="00403220">
        <w:rPr>
          <w:rFonts w:cs="Times New Roman"/>
          <w:szCs w:val="24"/>
          <w:lang w:val="fr-CA"/>
        </w:rPr>
        <w:t>equity</w:t>
      </w:r>
      <w:proofErr w:type="spellEnd"/>
      <w:r w:rsidRPr="00403220">
        <w:rPr>
          <w:rFonts w:cs="Times New Roman"/>
          <w:szCs w:val="24"/>
          <w:lang w:val="fr-CA"/>
        </w:rPr>
        <w:t xml:space="preserve"> est une doctrine </w:t>
      </w:r>
      <w:r w:rsidR="004D4CE3" w:rsidRPr="00403220">
        <w:rPr>
          <w:rFonts w:cs="Times New Roman"/>
          <w:szCs w:val="24"/>
          <w:lang w:val="fr-CA"/>
        </w:rPr>
        <w:t xml:space="preserve">restreinte </w:t>
      </w:r>
      <w:r w:rsidRPr="00403220">
        <w:rPr>
          <w:rFonts w:cs="Times New Roman"/>
          <w:szCs w:val="24"/>
          <w:lang w:val="fr-CA"/>
        </w:rPr>
        <w:t>qui ne s</w:t>
      </w:r>
      <w:r w:rsidR="008372AA" w:rsidRPr="00403220">
        <w:rPr>
          <w:rFonts w:cs="Times New Roman"/>
          <w:szCs w:val="24"/>
          <w:lang w:val="fr-CA"/>
        </w:rPr>
        <w:t>’</w:t>
      </w:r>
      <w:r w:rsidRPr="00403220">
        <w:rPr>
          <w:rFonts w:cs="Times New Roman"/>
          <w:szCs w:val="24"/>
          <w:lang w:val="fr-CA"/>
        </w:rPr>
        <w:t>applique que dans les cas où le mandant s</w:t>
      </w:r>
      <w:r w:rsidR="008372AA" w:rsidRPr="00403220">
        <w:rPr>
          <w:rFonts w:cs="Times New Roman"/>
          <w:szCs w:val="24"/>
          <w:lang w:val="fr-CA"/>
        </w:rPr>
        <w:t>’</w:t>
      </w:r>
      <w:r w:rsidRPr="00403220">
        <w:rPr>
          <w:rFonts w:cs="Times New Roman"/>
          <w:szCs w:val="24"/>
          <w:lang w:val="fr-CA"/>
        </w:rPr>
        <w:t>engage expressément ou implicitement à indemniser son mandataire pour avoir agi conformément à ses directives.  Comme le mentionne l</w:t>
      </w:r>
      <w:r w:rsidR="008372AA" w:rsidRPr="00403220">
        <w:rPr>
          <w:rFonts w:cs="Times New Roman"/>
          <w:szCs w:val="24"/>
          <w:lang w:val="fr-CA"/>
        </w:rPr>
        <w:t>’</w:t>
      </w:r>
      <w:r w:rsidRPr="00403220">
        <w:rPr>
          <w:rFonts w:cs="Times New Roman"/>
          <w:szCs w:val="24"/>
          <w:lang w:val="fr-CA"/>
        </w:rPr>
        <w:t xml:space="preserve">arrêt </w:t>
      </w:r>
      <w:proofErr w:type="spellStart"/>
      <w:r w:rsidRPr="00403220">
        <w:rPr>
          <w:rFonts w:cs="Times New Roman"/>
          <w:i/>
          <w:szCs w:val="24"/>
          <w:lang w:val="fr-CA"/>
        </w:rPr>
        <w:t>Parmley</w:t>
      </w:r>
      <w:proofErr w:type="spellEnd"/>
      <w:r w:rsidRPr="00403220">
        <w:rPr>
          <w:rFonts w:cs="Times New Roman"/>
          <w:i/>
          <w:szCs w:val="24"/>
          <w:lang w:val="fr-CA"/>
        </w:rPr>
        <w:t xml:space="preserve"> c. </w:t>
      </w:r>
      <w:proofErr w:type="spellStart"/>
      <w:r w:rsidRPr="00403220">
        <w:rPr>
          <w:rFonts w:cs="Times New Roman"/>
          <w:i/>
          <w:szCs w:val="24"/>
          <w:lang w:val="fr-CA"/>
        </w:rPr>
        <w:t>Parmley</w:t>
      </w:r>
      <w:proofErr w:type="spellEnd"/>
      <w:r w:rsidRPr="00403220">
        <w:rPr>
          <w:rFonts w:cs="Times New Roman"/>
          <w:szCs w:val="24"/>
          <w:lang w:val="fr-CA"/>
        </w:rPr>
        <w:t xml:space="preserve">, [1945] </w:t>
      </w:r>
      <w:r w:rsidR="008E276E" w:rsidRPr="00403220">
        <w:rPr>
          <w:rFonts w:cs="Times New Roman"/>
          <w:szCs w:val="24"/>
          <w:lang w:val="fr-CA"/>
        </w:rPr>
        <w:t>R.C.</w:t>
      </w:r>
      <w:r w:rsidRPr="00403220">
        <w:rPr>
          <w:rFonts w:cs="Times New Roman"/>
          <w:szCs w:val="24"/>
          <w:lang w:val="fr-CA"/>
        </w:rPr>
        <w:t xml:space="preserve">S. 635, les </w:t>
      </w:r>
      <w:r w:rsidRPr="00403220">
        <w:rPr>
          <w:rFonts w:cs="Times New Roman"/>
          <w:szCs w:val="24"/>
          <w:lang w:val="fr-CA"/>
        </w:rPr>
        <w:lastRenderedPageBreak/>
        <w:t>demandes d</w:t>
      </w:r>
      <w:r w:rsidR="008372AA" w:rsidRPr="00403220">
        <w:rPr>
          <w:rFonts w:cs="Times New Roman"/>
          <w:szCs w:val="24"/>
          <w:lang w:val="fr-CA"/>
        </w:rPr>
        <w:t>’</w:t>
      </w:r>
      <w:r w:rsidRPr="00403220">
        <w:rPr>
          <w:rFonts w:cs="Times New Roman"/>
          <w:szCs w:val="24"/>
          <w:lang w:val="fr-CA"/>
        </w:rPr>
        <w:t>indemnité fondées sur l</w:t>
      </w:r>
      <w:r w:rsidR="008372AA" w:rsidRPr="00403220">
        <w:rPr>
          <w:rFonts w:cs="Times New Roman"/>
          <w:szCs w:val="24"/>
          <w:lang w:val="fr-CA"/>
        </w:rPr>
        <w:t>’</w:t>
      </w:r>
      <w:proofErr w:type="spellStart"/>
      <w:r w:rsidR="006A6C86" w:rsidRPr="00403220">
        <w:rPr>
          <w:rFonts w:cs="Times New Roman"/>
          <w:szCs w:val="24"/>
          <w:lang w:val="fr-CA"/>
        </w:rPr>
        <w:t>equity</w:t>
      </w:r>
      <w:proofErr w:type="spellEnd"/>
      <w:r w:rsidRPr="00403220">
        <w:rPr>
          <w:rFonts w:cs="Times New Roman"/>
          <w:szCs w:val="24"/>
          <w:lang w:val="fr-CA"/>
        </w:rPr>
        <w:t xml:space="preserve"> [</w:t>
      </w:r>
      <w:r w:rsidRPr="00403220">
        <w:rPr>
          <w:rFonts w:cs="Times New Roman"/>
          <w:smallCaps/>
          <w:szCs w:val="24"/>
          <w:lang w:val="fr-CA"/>
        </w:rPr>
        <w:t>traduction</w:t>
      </w:r>
      <w:r w:rsidR="00EF4589" w:rsidRPr="00403220">
        <w:rPr>
          <w:rFonts w:cs="Times New Roman"/>
          <w:szCs w:val="24"/>
          <w:lang w:val="fr-CA"/>
        </w:rPr>
        <w:t>] « </w:t>
      </w:r>
      <w:r w:rsidRPr="00403220">
        <w:rPr>
          <w:rFonts w:cs="Times New Roman"/>
          <w:szCs w:val="24"/>
          <w:lang w:val="fr-CA"/>
        </w:rPr>
        <w:t>reposent sur l</w:t>
      </w:r>
      <w:r w:rsidR="008372AA" w:rsidRPr="00403220">
        <w:rPr>
          <w:rFonts w:cs="Times New Roman"/>
          <w:szCs w:val="24"/>
          <w:lang w:val="fr-CA"/>
        </w:rPr>
        <w:t>’</w:t>
      </w:r>
      <w:r w:rsidRPr="00403220">
        <w:rPr>
          <w:rFonts w:cs="Times New Roman"/>
          <w:szCs w:val="24"/>
          <w:lang w:val="fr-CA"/>
        </w:rPr>
        <w:t>idée qu</w:t>
      </w:r>
      <w:r w:rsidR="008372AA" w:rsidRPr="00403220">
        <w:rPr>
          <w:rFonts w:cs="Times New Roman"/>
          <w:szCs w:val="24"/>
          <w:lang w:val="fr-CA"/>
        </w:rPr>
        <w:t>’</w:t>
      </w:r>
      <w:r w:rsidRPr="00403220">
        <w:rPr>
          <w:rFonts w:cs="Times New Roman"/>
          <w:szCs w:val="24"/>
          <w:lang w:val="fr-CA"/>
        </w:rPr>
        <w:t xml:space="preserve">une personne fait une demande dans des circonstances où la loi présume que les deux parties </w:t>
      </w:r>
      <w:r w:rsidR="00912175" w:rsidRPr="00403220">
        <w:rPr>
          <w:rFonts w:cs="Times New Roman"/>
          <w:szCs w:val="24"/>
          <w:lang w:val="fr-CA"/>
        </w:rPr>
        <w:t>s</w:t>
      </w:r>
      <w:r w:rsidRPr="00403220">
        <w:rPr>
          <w:rFonts w:cs="Times New Roman"/>
          <w:szCs w:val="24"/>
          <w:lang w:val="fr-CA"/>
        </w:rPr>
        <w:t xml:space="preserve">ont </w:t>
      </w:r>
      <w:r w:rsidR="00912175" w:rsidRPr="00403220">
        <w:rPr>
          <w:rFonts w:cs="Times New Roman"/>
          <w:szCs w:val="24"/>
          <w:lang w:val="fr-CA"/>
        </w:rPr>
        <w:t>consciente</w:t>
      </w:r>
      <w:r w:rsidR="001C4D57" w:rsidRPr="00403220">
        <w:rPr>
          <w:rFonts w:cs="Times New Roman"/>
          <w:szCs w:val="24"/>
          <w:lang w:val="fr-CA"/>
        </w:rPr>
        <w:t>s</w:t>
      </w:r>
      <w:r w:rsidR="00912175" w:rsidRPr="00403220">
        <w:rPr>
          <w:rFonts w:cs="Times New Roman"/>
          <w:szCs w:val="24"/>
          <w:lang w:val="fr-CA"/>
        </w:rPr>
        <w:t xml:space="preserve"> </w:t>
      </w:r>
      <w:r w:rsidRPr="00403220">
        <w:rPr>
          <w:rFonts w:cs="Times New Roman"/>
          <w:szCs w:val="24"/>
          <w:lang w:val="fr-CA"/>
        </w:rPr>
        <w:t>de l</w:t>
      </w:r>
      <w:r w:rsidR="008372AA" w:rsidRPr="00403220">
        <w:rPr>
          <w:rFonts w:cs="Times New Roman"/>
          <w:szCs w:val="24"/>
          <w:lang w:val="fr-CA"/>
        </w:rPr>
        <w:t>’</w:t>
      </w:r>
      <w:r w:rsidRPr="00403220">
        <w:rPr>
          <w:rFonts w:cs="Times New Roman"/>
          <w:szCs w:val="24"/>
          <w:lang w:val="fr-CA"/>
        </w:rPr>
        <w:t>obligation d</w:t>
      </w:r>
      <w:r w:rsidR="008372AA" w:rsidRPr="00403220">
        <w:rPr>
          <w:rFonts w:cs="Times New Roman"/>
          <w:szCs w:val="24"/>
          <w:lang w:val="fr-CA"/>
        </w:rPr>
        <w:t>’</w:t>
      </w:r>
      <w:r w:rsidRPr="00403220">
        <w:rPr>
          <w:rFonts w:cs="Times New Roman"/>
          <w:szCs w:val="24"/>
          <w:lang w:val="fr-CA"/>
        </w:rPr>
        <w:t>indemniser la person</w:t>
      </w:r>
      <w:r w:rsidR="00EF4589" w:rsidRPr="00403220">
        <w:rPr>
          <w:rFonts w:cs="Times New Roman"/>
          <w:szCs w:val="24"/>
          <w:lang w:val="fr-CA"/>
        </w:rPr>
        <w:t>ne donnant suite à la demande »</w:t>
      </w:r>
      <w:r w:rsidRPr="00403220">
        <w:rPr>
          <w:rFonts w:cs="Times New Roman"/>
          <w:szCs w:val="24"/>
          <w:lang w:val="fr-CA"/>
        </w:rPr>
        <w:t xml:space="preserve"> (</w:t>
      </w:r>
      <w:r w:rsidR="00A54DAC" w:rsidRPr="00403220">
        <w:rPr>
          <w:rFonts w:cs="Times New Roman"/>
          <w:szCs w:val="24"/>
          <w:lang w:val="fr-CA"/>
        </w:rPr>
        <w:t>p. </w:t>
      </w:r>
      <w:r w:rsidRPr="00403220">
        <w:rPr>
          <w:rFonts w:cs="Times New Roman"/>
          <w:szCs w:val="24"/>
          <w:lang w:val="fr-CA"/>
        </w:rPr>
        <w:t>648</w:t>
      </w:r>
      <w:r w:rsidR="00A81812" w:rsidRPr="00403220">
        <w:rPr>
          <w:rFonts w:cs="Times New Roman"/>
          <w:szCs w:val="24"/>
          <w:lang w:val="fr-CA"/>
        </w:rPr>
        <w:t xml:space="preserve">, </w:t>
      </w:r>
      <w:r w:rsidR="00492012" w:rsidRPr="00403220">
        <w:rPr>
          <w:rFonts w:cs="Times New Roman"/>
          <w:szCs w:val="24"/>
          <w:lang w:val="fr-CA"/>
        </w:rPr>
        <w:t>citant</w:t>
      </w:r>
      <w:r w:rsidR="00DF6983">
        <w:rPr>
          <w:rFonts w:cs="Times New Roman"/>
          <w:szCs w:val="24"/>
          <w:lang w:val="fr-CA"/>
        </w:rPr>
        <w:t xml:space="preserve"> le juge Bowen, </w:t>
      </w:r>
      <w:r w:rsidR="00DF6983" w:rsidRPr="00DF6983">
        <w:rPr>
          <w:rFonts w:cs="Times New Roman"/>
          <w:i/>
          <w:szCs w:val="24"/>
          <w:lang w:val="fr-CA"/>
        </w:rPr>
        <w:t>Bi</w:t>
      </w:r>
      <w:r w:rsidR="00B16FD1">
        <w:rPr>
          <w:rFonts w:cs="Times New Roman"/>
          <w:i/>
          <w:szCs w:val="24"/>
          <w:lang w:val="fr-CA"/>
        </w:rPr>
        <w:t>rmingham and District Land Co. c</w:t>
      </w:r>
      <w:r w:rsidR="00DF6983" w:rsidRPr="00DF6983">
        <w:rPr>
          <w:rFonts w:cs="Times New Roman"/>
          <w:i/>
          <w:szCs w:val="24"/>
          <w:lang w:val="fr-CA"/>
        </w:rPr>
        <w:t xml:space="preserve">. London and </w:t>
      </w:r>
      <w:proofErr w:type="spellStart"/>
      <w:r w:rsidR="00DF6983" w:rsidRPr="00DF6983">
        <w:rPr>
          <w:rFonts w:cs="Times New Roman"/>
          <w:i/>
          <w:szCs w:val="24"/>
          <w:lang w:val="fr-CA"/>
        </w:rPr>
        <w:t>North</w:t>
      </w:r>
      <w:proofErr w:type="spellEnd"/>
      <w:r w:rsidR="00DF6983" w:rsidRPr="00DF6983">
        <w:rPr>
          <w:rFonts w:cs="Times New Roman"/>
          <w:i/>
          <w:szCs w:val="24"/>
          <w:lang w:val="fr-CA"/>
        </w:rPr>
        <w:t xml:space="preserve"> Western </w:t>
      </w:r>
      <w:proofErr w:type="spellStart"/>
      <w:r w:rsidR="00DF6983" w:rsidRPr="00DF6983">
        <w:rPr>
          <w:rFonts w:cs="Times New Roman"/>
          <w:i/>
          <w:szCs w:val="24"/>
          <w:lang w:val="fr-CA"/>
        </w:rPr>
        <w:t>Railway</w:t>
      </w:r>
      <w:proofErr w:type="spellEnd"/>
      <w:r w:rsidR="00DF6983" w:rsidRPr="00DF6983">
        <w:rPr>
          <w:rFonts w:cs="Times New Roman"/>
          <w:i/>
          <w:szCs w:val="24"/>
          <w:lang w:val="fr-CA"/>
        </w:rPr>
        <w:t xml:space="preserve"> Co</w:t>
      </w:r>
      <w:r w:rsidR="00125F41">
        <w:rPr>
          <w:rFonts w:cs="Times New Roman"/>
          <w:i/>
          <w:szCs w:val="24"/>
          <w:lang w:val="fr-CA"/>
        </w:rPr>
        <w:t>.</w:t>
      </w:r>
      <w:r w:rsidR="00B16FD1">
        <w:rPr>
          <w:rFonts w:cs="Times New Roman"/>
          <w:szCs w:val="24"/>
          <w:lang w:val="fr-CA"/>
        </w:rPr>
        <w:t xml:space="preserve"> (1886), 34 Ch. D. 26</w:t>
      </w:r>
      <w:r w:rsidR="00DF6983">
        <w:rPr>
          <w:rFonts w:cs="Times New Roman"/>
          <w:szCs w:val="24"/>
          <w:lang w:val="fr-CA"/>
        </w:rPr>
        <w:t>1, p. 275</w:t>
      </w:r>
      <w:r w:rsidRPr="00DF6983">
        <w:rPr>
          <w:rFonts w:cs="Times New Roman"/>
          <w:szCs w:val="24"/>
          <w:lang w:val="fr-CA"/>
        </w:rPr>
        <w:t>.</w:t>
      </w:r>
    </w:p>
    <w:p w:rsidR="0047179D" w:rsidRPr="00403220" w:rsidRDefault="0047179D" w:rsidP="005077DA">
      <w:pPr>
        <w:pStyle w:val="ParaNoNdepar-AltN"/>
        <w:rPr>
          <w:rFonts w:cs="Times New Roman"/>
          <w:szCs w:val="24"/>
          <w:lang w:val="fr-CA"/>
        </w:rPr>
      </w:pPr>
      <w:r w:rsidRPr="00403220">
        <w:rPr>
          <w:rFonts w:cs="Times New Roman"/>
          <w:szCs w:val="24"/>
          <w:lang w:val="fr-CA"/>
        </w:rPr>
        <w:t xml:space="preserve">À mon avis, </w:t>
      </w:r>
      <w:r w:rsidR="00912175" w:rsidRPr="00403220">
        <w:rPr>
          <w:rFonts w:cs="Times New Roman"/>
          <w:szCs w:val="24"/>
          <w:lang w:val="fr-CA"/>
        </w:rPr>
        <w:t xml:space="preserve">le juge Hall de </w:t>
      </w:r>
      <w:r w:rsidRPr="00403220">
        <w:rPr>
          <w:rFonts w:cs="Times New Roman"/>
          <w:szCs w:val="24"/>
          <w:lang w:val="fr-CA"/>
        </w:rPr>
        <w:t>la Cour d</w:t>
      </w:r>
      <w:r w:rsidR="008372AA" w:rsidRPr="00403220">
        <w:rPr>
          <w:rFonts w:cs="Times New Roman"/>
          <w:szCs w:val="24"/>
          <w:lang w:val="fr-CA"/>
        </w:rPr>
        <w:t>’</w:t>
      </w:r>
      <w:r w:rsidRPr="00403220">
        <w:rPr>
          <w:rFonts w:cs="Times New Roman"/>
          <w:szCs w:val="24"/>
          <w:lang w:val="fr-CA"/>
        </w:rPr>
        <w:t xml:space="preserve">appel </w:t>
      </w:r>
      <w:r w:rsidR="00912175" w:rsidRPr="00403220">
        <w:rPr>
          <w:rFonts w:cs="Times New Roman"/>
          <w:szCs w:val="24"/>
          <w:lang w:val="fr-CA"/>
        </w:rPr>
        <w:t xml:space="preserve">avait raison de conclure </w:t>
      </w:r>
      <w:r w:rsidRPr="00403220">
        <w:rPr>
          <w:rFonts w:cs="Times New Roman"/>
          <w:szCs w:val="24"/>
          <w:lang w:val="fr-CA"/>
        </w:rPr>
        <w:t>que les compagnies de tabac n</w:t>
      </w:r>
      <w:r w:rsidR="008372AA" w:rsidRPr="00403220">
        <w:rPr>
          <w:rFonts w:cs="Times New Roman"/>
          <w:szCs w:val="24"/>
          <w:lang w:val="fr-CA"/>
        </w:rPr>
        <w:t>’</w:t>
      </w:r>
      <w:r w:rsidRPr="00403220">
        <w:rPr>
          <w:rFonts w:cs="Times New Roman"/>
          <w:szCs w:val="24"/>
          <w:lang w:val="fr-CA"/>
        </w:rPr>
        <w:t>étaient pas en mesure d</w:t>
      </w:r>
      <w:r w:rsidR="008372AA" w:rsidRPr="00403220">
        <w:rPr>
          <w:rFonts w:cs="Times New Roman"/>
          <w:szCs w:val="24"/>
          <w:lang w:val="fr-CA"/>
        </w:rPr>
        <w:t>’</w:t>
      </w:r>
      <w:r w:rsidRPr="00403220">
        <w:rPr>
          <w:rFonts w:cs="Times New Roman"/>
          <w:szCs w:val="24"/>
          <w:lang w:val="fr-CA"/>
        </w:rPr>
        <w:t>établir cette condition de la demande</w:t>
      </w:r>
      <w:r w:rsidR="00A54DAC" w:rsidRPr="00403220">
        <w:rPr>
          <w:rFonts w:cs="Times New Roman"/>
          <w:szCs w:val="24"/>
          <w:lang w:val="fr-CA"/>
        </w:rPr>
        <w:t> :</w:t>
      </w:r>
      <w:r w:rsidRPr="00403220">
        <w:rPr>
          <w:rFonts w:cs="Times New Roman"/>
          <w:szCs w:val="24"/>
          <w:lang w:val="fr-CA"/>
        </w:rPr>
        <w:t xml:space="preserve"> </w:t>
      </w:r>
    </w:p>
    <w:p w:rsidR="0047179D" w:rsidRPr="00403220" w:rsidRDefault="002256A7" w:rsidP="00FE49F1">
      <w:pPr>
        <w:pStyle w:val="Citation-AltC"/>
        <w:ind w:hanging="1166"/>
        <w:rPr>
          <w:szCs w:val="24"/>
          <w:lang w:val="fr-CA"/>
        </w:rPr>
      </w:pPr>
      <w:r w:rsidRPr="00403220">
        <w:rPr>
          <w:szCs w:val="24"/>
          <w:lang w:val="fr-CA"/>
        </w:rPr>
        <w:tab/>
      </w:r>
      <w:r w:rsidR="00DF6983" w:rsidRPr="00403220">
        <w:rPr>
          <w:smallCaps/>
          <w:szCs w:val="24"/>
          <w:lang w:val="fr-CA"/>
        </w:rPr>
        <w:t>[traduction]</w:t>
      </w:r>
      <w:r w:rsidR="00DF6983" w:rsidRPr="00403220">
        <w:rPr>
          <w:szCs w:val="24"/>
          <w:lang w:val="fr-CA"/>
        </w:rPr>
        <w:t xml:space="preserve"> </w:t>
      </w:r>
      <w:r w:rsidR="008E276E" w:rsidRPr="00403220">
        <w:rPr>
          <w:szCs w:val="24"/>
          <w:lang w:val="fr-CA"/>
        </w:rPr>
        <w:t>[S]</w:t>
      </w:r>
      <w:r w:rsidR="0047179D" w:rsidRPr="00403220">
        <w:rPr>
          <w:szCs w:val="24"/>
          <w:lang w:val="fr-CA"/>
        </w:rPr>
        <w:t>i l</w:t>
      </w:r>
      <w:r w:rsidR="008372AA" w:rsidRPr="00403220">
        <w:rPr>
          <w:szCs w:val="24"/>
          <w:lang w:val="fr-CA"/>
        </w:rPr>
        <w:t>’</w:t>
      </w:r>
      <w:r w:rsidR="0047179D" w:rsidRPr="00403220">
        <w:rPr>
          <w:szCs w:val="24"/>
          <w:lang w:val="fr-CA"/>
        </w:rPr>
        <w:t>on demandait à l</w:t>
      </w:r>
      <w:r w:rsidR="008372AA" w:rsidRPr="00403220">
        <w:rPr>
          <w:szCs w:val="24"/>
          <w:lang w:val="fr-CA"/>
        </w:rPr>
        <w:t>’</w:t>
      </w:r>
      <w:r w:rsidR="0047179D" w:rsidRPr="00403220">
        <w:rPr>
          <w:szCs w:val="24"/>
          <w:lang w:val="fr-CA"/>
        </w:rPr>
        <w:t>observateur raisonnable hypothétique si, dans les rapports qu</w:t>
      </w:r>
      <w:r w:rsidR="008372AA" w:rsidRPr="00403220">
        <w:rPr>
          <w:szCs w:val="24"/>
          <w:lang w:val="fr-CA"/>
        </w:rPr>
        <w:t>’</w:t>
      </w:r>
      <w:r w:rsidR="0047179D" w:rsidRPr="00403220">
        <w:rPr>
          <w:szCs w:val="24"/>
          <w:lang w:val="fr-CA"/>
        </w:rPr>
        <w:t>il a entretenus pendant de nombreuses décennies avec les appelantes, le Canada s</w:t>
      </w:r>
      <w:r w:rsidR="008372AA" w:rsidRPr="00403220">
        <w:rPr>
          <w:szCs w:val="24"/>
          <w:lang w:val="fr-CA"/>
        </w:rPr>
        <w:t>’</w:t>
      </w:r>
      <w:r w:rsidR="0047179D" w:rsidRPr="00403220">
        <w:rPr>
          <w:szCs w:val="24"/>
          <w:lang w:val="fr-CA"/>
        </w:rPr>
        <w:t xml:space="preserve">était engagé à les indemniser pour une quelconque responsabilité </w:t>
      </w:r>
      <w:r w:rsidR="00912175" w:rsidRPr="00403220">
        <w:rPr>
          <w:szCs w:val="24"/>
          <w:lang w:val="fr-CA"/>
        </w:rPr>
        <w:t xml:space="preserve">ultérieure </w:t>
      </w:r>
      <w:r w:rsidR="0047179D" w:rsidRPr="00403220">
        <w:rPr>
          <w:szCs w:val="24"/>
          <w:lang w:val="fr-CA"/>
        </w:rPr>
        <w:t>susceptible de découler de leurs activités, l</w:t>
      </w:r>
      <w:r w:rsidR="008372AA" w:rsidRPr="00403220">
        <w:rPr>
          <w:szCs w:val="24"/>
          <w:lang w:val="fr-CA"/>
        </w:rPr>
        <w:t>’</w:t>
      </w:r>
      <w:r w:rsidR="0047179D" w:rsidRPr="00403220">
        <w:rPr>
          <w:szCs w:val="24"/>
          <w:lang w:val="fr-CA"/>
        </w:rPr>
        <w:t>observateur répondrait que cette attente ne pourrait être rationnelle, eu égard à la relation entre les parties.  D</w:t>
      </w:r>
      <w:r w:rsidR="00912175" w:rsidRPr="00403220">
        <w:rPr>
          <w:szCs w:val="24"/>
          <w:lang w:val="fr-CA"/>
        </w:rPr>
        <w:t xml:space="preserve">e </w:t>
      </w:r>
      <w:r w:rsidR="0047179D" w:rsidRPr="00403220">
        <w:rPr>
          <w:szCs w:val="24"/>
          <w:lang w:val="fr-CA"/>
        </w:rPr>
        <w:t>même, si les représentants des appelantes avaient demandé explicitement ou suggéré au Canada</w:t>
      </w:r>
      <w:r w:rsidR="00912175" w:rsidRPr="00403220">
        <w:rPr>
          <w:szCs w:val="24"/>
          <w:lang w:val="fr-CA"/>
        </w:rPr>
        <w:t>,</w:t>
      </w:r>
      <w:r w:rsidR="0047179D" w:rsidRPr="00403220">
        <w:rPr>
          <w:szCs w:val="24"/>
          <w:lang w:val="fr-CA"/>
        </w:rPr>
        <w:t xml:space="preserve"> par l</w:t>
      </w:r>
      <w:r w:rsidR="008372AA" w:rsidRPr="00403220">
        <w:rPr>
          <w:szCs w:val="24"/>
          <w:lang w:val="fr-CA"/>
        </w:rPr>
        <w:t>’</w:t>
      </w:r>
      <w:r w:rsidR="00912175" w:rsidRPr="00403220">
        <w:rPr>
          <w:szCs w:val="24"/>
          <w:lang w:val="fr-CA"/>
        </w:rPr>
        <w:t xml:space="preserve">entremise de ses mandataires, </w:t>
      </w:r>
      <w:r w:rsidR="0047179D" w:rsidRPr="00403220">
        <w:rPr>
          <w:szCs w:val="24"/>
          <w:lang w:val="fr-CA"/>
        </w:rPr>
        <w:t>d</w:t>
      </w:r>
      <w:r w:rsidR="008372AA" w:rsidRPr="00403220">
        <w:rPr>
          <w:szCs w:val="24"/>
          <w:lang w:val="fr-CA"/>
        </w:rPr>
        <w:t>’</w:t>
      </w:r>
      <w:r w:rsidR="0047179D" w:rsidRPr="00403220">
        <w:rPr>
          <w:szCs w:val="24"/>
          <w:lang w:val="fr-CA"/>
        </w:rPr>
        <w:t>indemniser l</w:t>
      </w:r>
      <w:r w:rsidR="00D87B7D" w:rsidRPr="00403220">
        <w:rPr>
          <w:szCs w:val="24"/>
          <w:lang w:val="fr-CA"/>
        </w:rPr>
        <w:t xml:space="preserve">es </w:t>
      </w:r>
      <w:r w:rsidR="0047179D" w:rsidRPr="00403220">
        <w:rPr>
          <w:szCs w:val="24"/>
          <w:lang w:val="fr-CA"/>
        </w:rPr>
        <w:t>appelante</w:t>
      </w:r>
      <w:r w:rsidR="00D87B7D" w:rsidRPr="00403220">
        <w:rPr>
          <w:szCs w:val="24"/>
          <w:lang w:val="fr-CA"/>
        </w:rPr>
        <w:t>s</w:t>
      </w:r>
      <w:r w:rsidR="0047179D" w:rsidRPr="00403220">
        <w:rPr>
          <w:szCs w:val="24"/>
          <w:lang w:val="fr-CA"/>
        </w:rPr>
        <w:t xml:space="preserve"> pour une telle responsabilité ou d</w:t>
      </w:r>
      <w:r w:rsidR="008372AA" w:rsidRPr="00403220">
        <w:rPr>
          <w:szCs w:val="24"/>
          <w:lang w:val="fr-CA"/>
        </w:rPr>
        <w:t>’</w:t>
      </w:r>
      <w:r w:rsidR="0047179D" w:rsidRPr="00403220">
        <w:rPr>
          <w:szCs w:val="24"/>
          <w:lang w:val="fr-CA"/>
        </w:rPr>
        <w:t xml:space="preserve">engager pareille responsabilité, le Canada aurait répondu fermement par la négative.  </w:t>
      </w:r>
      <w:r w:rsidR="00FB71B1" w:rsidRPr="00403220">
        <w:rPr>
          <w:szCs w:val="24"/>
          <w:lang w:val="fr-CA"/>
        </w:rPr>
        <w:t>[</w:t>
      </w:r>
      <w:r w:rsidR="00747BA1">
        <w:rPr>
          <w:szCs w:val="24"/>
          <w:lang w:val="fr-CA"/>
        </w:rPr>
        <w:t>L’</w:t>
      </w:r>
      <w:r w:rsidR="00A81812" w:rsidRPr="00403220">
        <w:rPr>
          <w:i/>
          <w:szCs w:val="24"/>
          <w:lang w:val="fr-CA"/>
        </w:rPr>
        <w:t>Affaire du recouvrement des coûts</w:t>
      </w:r>
      <w:r w:rsidR="00A81812" w:rsidRPr="00403220">
        <w:rPr>
          <w:szCs w:val="24"/>
          <w:lang w:val="fr-CA"/>
        </w:rPr>
        <w:t>,</w:t>
      </w:r>
      <w:r w:rsidR="00A81812" w:rsidRPr="00403220">
        <w:rPr>
          <w:i/>
          <w:szCs w:val="24"/>
          <w:lang w:val="fr-CA"/>
        </w:rPr>
        <w:t xml:space="preserve"> </w:t>
      </w:r>
      <w:r w:rsidR="00A54DAC" w:rsidRPr="00403220">
        <w:rPr>
          <w:szCs w:val="24"/>
          <w:lang w:val="fr-CA"/>
        </w:rPr>
        <w:t>par. </w:t>
      </w:r>
      <w:r w:rsidR="0047179D" w:rsidRPr="00403220">
        <w:rPr>
          <w:szCs w:val="24"/>
          <w:lang w:val="fr-CA"/>
        </w:rPr>
        <w:t>57</w:t>
      </w:r>
      <w:r w:rsidR="00FB71B1" w:rsidRPr="00403220">
        <w:rPr>
          <w:szCs w:val="24"/>
          <w:lang w:val="fr-CA"/>
        </w:rPr>
        <w:t>]</w:t>
      </w:r>
    </w:p>
    <w:p w:rsidR="0047179D" w:rsidRPr="00403220" w:rsidRDefault="0047179D" w:rsidP="005077DA">
      <w:pPr>
        <w:pStyle w:val="ContinueParaSuitedupar-AltP"/>
        <w:rPr>
          <w:rFonts w:cs="Times New Roman"/>
          <w:szCs w:val="24"/>
          <w:lang w:val="fr-CA"/>
        </w:rPr>
      </w:pPr>
      <w:r w:rsidRPr="00403220">
        <w:rPr>
          <w:rFonts w:cs="Times New Roman"/>
          <w:szCs w:val="24"/>
          <w:lang w:val="fr-CA"/>
        </w:rPr>
        <w:t>Lorsque le Canada a donné à l</w:t>
      </w:r>
      <w:r w:rsidR="008372AA" w:rsidRPr="00403220">
        <w:rPr>
          <w:rFonts w:cs="Times New Roman"/>
          <w:szCs w:val="24"/>
          <w:lang w:val="fr-CA"/>
        </w:rPr>
        <w:t>’</w:t>
      </w:r>
      <w:r w:rsidRPr="00403220">
        <w:rPr>
          <w:rFonts w:cs="Times New Roman"/>
          <w:szCs w:val="24"/>
          <w:lang w:val="fr-CA"/>
        </w:rPr>
        <w:t>industrie du tabac des directives sur la manière dont elle devrait se comporter, il le faisait à titre d</w:t>
      </w:r>
      <w:r w:rsidR="008372AA" w:rsidRPr="00403220">
        <w:rPr>
          <w:rFonts w:cs="Times New Roman"/>
          <w:szCs w:val="24"/>
          <w:lang w:val="fr-CA"/>
        </w:rPr>
        <w:t>’</w:t>
      </w:r>
      <w:r w:rsidRPr="00403220">
        <w:rPr>
          <w:rFonts w:cs="Times New Roman"/>
          <w:szCs w:val="24"/>
          <w:lang w:val="fr-CA"/>
        </w:rPr>
        <w:t xml:space="preserve">autorité </w:t>
      </w:r>
      <w:r w:rsidR="004C5423" w:rsidRPr="00403220">
        <w:rPr>
          <w:rFonts w:cs="Times New Roman"/>
          <w:szCs w:val="24"/>
          <w:lang w:val="fr-CA"/>
        </w:rPr>
        <w:t>de réglementation</w:t>
      </w:r>
      <w:r w:rsidRPr="00403220">
        <w:rPr>
          <w:rFonts w:cs="Times New Roman"/>
          <w:szCs w:val="24"/>
          <w:lang w:val="fr-CA"/>
        </w:rPr>
        <w:t xml:space="preserve"> du gouvernement qui se souciait de la santé des Canadiens et </w:t>
      </w:r>
      <w:r w:rsidR="00C45952" w:rsidRPr="00403220">
        <w:rPr>
          <w:rFonts w:cs="Times New Roman"/>
          <w:szCs w:val="24"/>
          <w:lang w:val="fr-CA"/>
        </w:rPr>
        <w:t xml:space="preserve">des </w:t>
      </w:r>
      <w:r w:rsidRPr="00403220">
        <w:rPr>
          <w:rFonts w:cs="Times New Roman"/>
          <w:szCs w:val="24"/>
          <w:lang w:val="fr-CA"/>
        </w:rPr>
        <w:t xml:space="preserve">Canadiennes.  Dans ces </w:t>
      </w:r>
      <w:r w:rsidRPr="00403220">
        <w:rPr>
          <w:rFonts w:cs="Times New Roman"/>
          <w:szCs w:val="24"/>
          <w:lang w:val="fr-CA"/>
        </w:rPr>
        <w:lastRenderedPageBreak/>
        <w:t>circonstances, il est déraisonnable de déduire que le Canada avait promis implicitement d</w:t>
      </w:r>
      <w:r w:rsidR="008372AA" w:rsidRPr="00403220">
        <w:rPr>
          <w:rFonts w:cs="Times New Roman"/>
          <w:szCs w:val="24"/>
          <w:lang w:val="fr-CA"/>
        </w:rPr>
        <w:t>’</w:t>
      </w:r>
      <w:r w:rsidRPr="00403220">
        <w:rPr>
          <w:rFonts w:cs="Times New Roman"/>
          <w:szCs w:val="24"/>
          <w:lang w:val="fr-CA"/>
        </w:rPr>
        <w:t>indemniser l</w:t>
      </w:r>
      <w:r w:rsidR="008372AA" w:rsidRPr="00403220">
        <w:rPr>
          <w:rFonts w:cs="Times New Roman"/>
          <w:szCs w:val="24"/>
          <w:lang w:val="fr-CA"/>
        </w:rPr>
        <w:t>’</w:t>
      </w:r>
      <w:r w:rsidRPr="00403220">
        <w:rPr>
          <w:rFonts w:cs="Times New Roman"/>
          <w:szCs w:val="24"/>
          <w:lang w:val="fr-CA"/>
        </w:rPr>
        <w:t>industrie pour avoir donné suite à sa demande.</w:t>
      </w:r>
    </w:p>
    <w:p w:rsidR="0047179D" w:rsidRPr="00403220" w:rsidRDefault="00FB71B1" w:rsidP="00C9404B">
      <w:pPr>
        <w:pStyle w:val="TitleTitre-AltT"/>
        <w:keepNext/>
        <w:spacing w:before="0" w:after="720"/>
        <w:ind w:left="357" w:hanging="357"/>
        <w:rPr>
          <w:rFonts w:cs="Times New Roman"/>
          <w:szCs w:val="24"/>
          <w:lang w:val="fr-CA"/>
        </w:rPr>
      </w:pPr>
      <w:bookmarkStart w:id="55" w:name="_Toc314735140"/>
      <w:r w:rsidRPr="00403220">
        <w:rPr>
          <w:rFonts w:cs="Times New Roman"/>
          <w:szCs w:val="24"/>
          <w:lang w:val="fr-CA"/>
        </w:rPr>
        <w:t>I</w:t>
      </w:r>
      <w:r w:rsidR="0063537D" w:rsidRPr="00403220">
        <w:rPr>
          <w:rFonts w:cs="Times New Roman"/>
          <w:szCs w:val="24"/>
          <w:lang w:val="fr-CA"/>
        </w:rPr>
        <w:t>.</w:t>
      </w:r>
      <w:r w:rsidR="0063537D" w:rsidRPr="00403220">
        <w:rPr>
          <w:rFonts w:cs="Times New Roman"/>
          <w:szCs w:val="24"/>
          <w:lang w:val="fr-CA"/>
        </w:rPr>
        <w:tab/>
      </w:r>
      <w:r w:rsidR="0047179D" w:rsidRPr="00403220">
        <w:rPr>
          <w:rFonts w:cs="Times New Roman"/>
          <w:i/>
          <w:szCs w:val="24"/>
          <w:lang w:val="fr-CA"/>
        </w:rPr>
        <w:t>Considérations d</w:t>
      </w:r>
      <w:r w:rsidR="008372AA" w:rsidRPr="00403220">
        <w:rPr>
          <w:rFonts w:cs="Times New Roman"/>
          <w:i/>
          <w:szCs w:val="24"/>
          <w:lang w:val="fr-CA"/>
        </w:rPr>
        <w:t>’</w:t>
      </w:r>
      <w:r w:rsidR="0047179D" w:rsidRPr="00403220">
        <w:rPr>
          <w:rFonts w:cs="Times New Roman"/>
          <w:i/>
          <w:szCs w:val="24"/>
          <w:lang w:val="fr-CA"/>
        </w:rPr>
        <w:t>ordre procédural</w:t>
      </w:r>
      <w:bookmarkEnd w:id="55"/>
    </w:p>
    <w:p w:rsidR="0047179D" w:rsidRPr="00403220" w:rsidRDefault="0047179D" w:rsidP="005077DA">
      <w:pPr>
        <w:pStyle w:val="ParaNoNdepar-AltN"/>
        <w:rPr>
          <w:rFonts w:cs="Times New Roman"/>
          <w:szCs w:val="24"/>
          <w:lang w:val="fr-CA"/>
        </w:rPr>
      </w:pPr>
      <w:r w:rsidRPr="00403220">
        <w:rPr>
          <w:rFonts w:cs="Times New Roman"/>
          <w:szCs w:val="24"/>
          <w:lang w:val="fr-CA"/>
        </w:rPr>
        <w:t>Les compagnies de tabac ont fait valoir devant les juridictions inférieures que, même si les demandes d</w:t>
      </w:r>
      <w:r w:rsidR="008372AA" w:rsidRPr="00403220">
        <w:rPr>
          <w:rFonts w:cs="Times New Roman"/>
          <w:szCs w:val="24"/>
          <w:lang w:val="fr-CA"/>
        </w:rPr>
        <w:t>’</w:t>
      </w:r>
      <w:r w:rsidRPr="00403220">
        <w:rPr>
          <w:rFonts w:cs="Times New Roman"/>
          <w:szCs w:val="24"/>
          <w:lang w:val="fr-CA"/>
        </w:rPr>
        <w:t>indemnisation présentées à l</w:t>
      </w:r>
      <w:r w:rsidR="008372AA" w:rsidRPr="00403220">
        <w:rPr>
          <w:rFonts w:cs="Times New Roman"/>
          <w:szCs w:val="24"/>
          <w:lang w:val="fr-CA"/>
        </w:rPr>
        <w:t>’</w:t>
      </w:r>
      <w:r w:rsidRPr="00403220">
        <w:rPr>
          <w:rFonts w:cs="Times New Roman"/>
          <w:szCs w:val="24"/>
          <w:lang w:val="fr-CA"/>
        </w:rPr>
        <w:t>encontre du Canada étaient radiées, la mise en cause du Canada devrait se poursuivre en l</w:t>
      </w:r>
      <w:r w:rsidR="008372AA" w:rsidRPr="00403220">
        <w:rPr>
          <w:rFonts w:cs="Times New Roman"/>
          <w:szCs w:val="24"/>
          <w:lang w:val="fr-CA"/>
        </w:rPr>
        <w:t>’</w:t>
      </w:r>
      <w:r w:rsidRPr="00403220">
        <w:rPr>
          <w:rFonts w:cs="Times New Roman"/>
          <w:szCs w:val="24"/>
          <w:lang w:val="fr-CA"/>
        </w:rPr>
        <w:t xml:space="preserve">espèce pour des motifs </w:t>
      </w:r>
      <w:r w:rsidR="00A81812" w:rsidRPr="00403220">
        <w:rPr>
          <w:rFonts w:cs="Times New Roman"/>
          <w:szCs w:val="24"/>
          <w:lang w:val="fr-CA"/>
        </w:rPr>
        <w:t>d’ordre procédur</w:t>
      </w:r>
      <w:r w:rsidR="00A54DAC" w:rsidRPr="00403220">
        <w:rPr>
          <w:rFonts w:cs="Times New Roman"/>
          <w:szCs w:val="24"/>
          <w:lang w:val="fr-CA"/>
        </w:rPr>
        <w:t>al. </w:t>
      </w:r>
      <w:r w:rsidRPr="00403220">
        <w:rPr>
          <w:rFonts w:cs="Times New Roman"/>
          <w:szCs w:val="24"/>
          <w:lang w:val="fr-CA"/>
        </w:rPr>
        <w:t xml:space="preserve"> Toujours selon les compagnies de tabac, leur capacité de se défendre contre la </w:t>
      </w:r>
      <w:proofErr w:type="spellStart"/>
      <w:r w:rsidRPr="00403220">
        <w:rPr>
          <w:rFonts w:cs="Times New Roman"/>
          <w:szCs w:val="24"/>
          <w:lang w:val="fr-CA"/>
        </w:rPr>
        <w:t>Colombie</w:t>
      </w:r>
      <w:r w:rsidR="00A54DAC" w:rsidRPr="00403220">
        <w:rPr>
          <w:rFonts w:cs="Times New Roman"/>
          <w:szCs w:val="24"/>
          <w:lang w:val="fr-CA"/>
        </w:rPr>
        <w:noBreakHyphen/>
      </w:r>
      <w:r w:rsidRPr="00403220">
        <w:rPr>
          <w:rFonts w:cs="Times New Roman"/>
          <w:szCs w:val="24"/>
          <w:lang w:val="fr-CA"/>
        </w:rPr>
        <w:t>Britannique</w:t>
      </w:r>
      <w:proofErr w:type="spellEnd"/>
      <w:r w:rsidRPr="00403220">
        <w:rPr>
          <w:rFonts w:cs="Times New Roman"/>
          <w:szCs w:val="24"/>
          <w:lang w:val="fr-CA"/>
        </w:rPr>
        <w:t xml:space="preserve"> dans l</w:t>
      </w:r>
      <w:r w:rsidR="008372AA" w:rsidRPr="00403220">
        <w:rPr>
          <w:rFonts w:cs="Times New Roman"/>
          <w:szCs w:val="24"/>
          <w:lang w:val="fr-CA"/>
        </w:rPr>
        <w:t>’</w:t>
      </w:r>
      <w:r w:rsidR="00E64960" w:rsidRPr="00403220">
        <w:rPr>
          <w:rFonts w:cs="Times New Roman"/>
          <w:i/>
          <w:szCs w:val="24"/>
          <w:lang w:val="fr-CA"/>
        </w:rPr>
        <w:t>A</w:t>
      </w:r>
      <w:r w:rsidRPr="00403220">
        <w:rPr>
          <w:rFonts w:cs="Times New Roman"/>
          <w:i/>
          <w:szCs w:val="24"/>
          <w:lang w:val="fr-CA"/>
        </w:rPr>
        <w:t xml:space="preserve">ffaire </w:t>
      </w:r>
      <w:r w:rsidR="00321EF3" w:rsidRPr="00403220">
        <w:rPr>
          <w:rFonts w:cs="Times New Roman"/>
          <w:i/>
          <w:szCs w:val="24"/>
          <w:lang w:val="fr-CA"/>
        </w:rPr>
        <w:t xml:space="preserve">du </w:t>
      </w:r>
      <w:r w:rsidRPr="00403220">
        <w:rPr>
          <w:rFonts w:cs="Times New Roman"/>
          <w:i/>
          <w:szCs w:val="24"/>
          <w:lang w:val="fr-CA"/>
        </w:rPr>
        <w:t>recouvrement des coûts</w:t>
      </w:r>
      <w:r w:rsidRPr="00403220">
        <w:rPr>
          <w:rFonts w:cs="Times New Roman"/>
          <w:szCs w:val="24"/>
          <w:lang w:val="fr-CA"/>
        </w:rPr>
        <w:t xml:space="preserve"> ainsi que </w:t>
      </w:r>
      <w:r w:rsidR="00253B47" w:rsidRPr="00403220">
        <w:rPr>
          <w:rFonts w:cs="Times New Roman"/>
          <w:szCs w:val="24"/>
          <w:lang w:val="fr-CA"/>
        </w:rPr>
        <w:t xml:space="preserve">contre </w:t>
      </w:r>
      <w:r w:rsidRPr="00403220">
        <w:rPr>
          <w:rFonts w:cs="Times New Roman"/>
          <w:szCs w:val="24"/>
          <w:lang w:val="fr-CA"/>
        </w:rPr>
        <w:t xml:space="preserve">le groupe dans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Pr="00403220">
        <w:rPr>
          <w:rFonts w:cs="Times New Roman"/>
          <w:szCs w:val="24"/>
          <w:lang w:val="fr-CA"/>
        </w:rPr>
        <w:t xml:space="preserve"> serait gravement compromise si la mise en cause du Canada prenait fin.  Les juges </w:t>
      </w:r>
      <w:proofErr w:type="spellStart"/>
      <w:r w:rsidRPr="00403220">
        <w:rPr>
          <w:rFonts w:cs="Times New Roman"/>
          <w:szCs w:val="24"/>
          <w:lang w:val="fr-CA"/>
        </w:rPr>
        <w:t>Wedge</w:t>
      </w:r>
      <w:proofErr w:type="spellEnd"/>
      <w:r w:rsidRPr="00403220">
        <w:rPr>
          <w:rFonts w:cs="Times New Roman"/>
          <w:szCs w:val="24"/>
          <w:lang w:val="fr-CA"/>
        </w:rPr>
        <w:t xml:space="preserve"> et </w:t>
      </w:r>
      <w:proofErr w:type="spellStart"/>
      <w:r w:rsidRPr="00403220">
        <w:rPr>
          <w:rFonts w:cs="Times New Roman"/>
          <w:szCs w:val="24"/>
          <w:lang w:val="fr-CA"/>
        </w:rPr>
        <w:t>Satanove</w:t>
      </w:r>
      <w:proofErr w:type="spellEnd"/>
      <w:r w:rsidRPr="00403220">
        <w:rPr>
          <w:rFonts w:cs="Times New Roman"/>
          <w:szCs w:val="24"/>
          <w:lang w:val="fr-CA"/>
        </w:rPr>
        <w:t>, qui</w:t>
      </w:r>
      <w:r w:rsidR="00DF6983">
        <w:rPr>
          <w:rFonts w:cs="Times New Roman"/>
          <w:szCs w:val="24"/>
          <w:lang w:val="fr-CA"/>
        </w:rPr>
        <w:t xml:space="preserve"> siégeaient en cabinet, ont toutes</w:t>
      </w:r>
      <w:r w:rsidRPr="00403220">
        <w:rPr>
          <w:rFonts w:cs="Times New Roman"/>
          <w:szCs w:val="24"/>
          <w:lang w:val="fr-CA"/>
        </w:rPr>
        <w:t xml:space="preserve"> deux rejeté cet argument.  La Cour d</w:t>
      </w:r>
      <w:r w:rsidR="008372AA" w:rsidRPr="00403220">
        <w:rPr>
          <w:rFonts w:cs="Times New Roman"/>
          <w:szCs w:val="24"/>
          <w:lang w:val="fr-CA"/>
        </w:rPr>
        <w:t>’</w:t>
      </w:r>
      <w:r w:rsidRPr="00403220">
        <w:rPr>
          <w:rFonts w:cs="Times New Roman"/>
          <w:szCs w:val="24"/>
          <w:lang w:val="fr-CA"/>
        </w:rPr>
        <w:t>appel a conclu à la majorité qu</w:t>
      </w:r>
      <w:r w:rsidR="008372AA" w:rsidRPr="00403220">
        <w:rPr>
          <w:rFonts w:cs="Times New Roman"/>
          <w:szCs w:val="24"/>
          <w:lang w:val="fr-CA"/>
        </w:rPr>
        <w:t>’</w:t>
      </w:r>
      <w:r w:rsidRPr="00403220">
        <w:rPr>
          <w:rFonts w:cs="Times New Roman"/>
          <w:szCs w:val="24"/>
          <w:lang w:val="fr-CA"/>
        </w:rPr>
        <w:t>il était inutile d</w:t>
      </w:r>
      <w:r w:rsidR="008372AA" w:rsidRPr="00403220">
        <w:rPr>
          <w:rFonts w:cs="Times New Roman"/>
          <w:szCs w:val="24"/>
          <w:lang w:val="fr-CA"/>
        </w:rPr>
        <w:t>’</w:t>
      </w:r>
      <w:r w:rsidRPr="00403220">
        <w:rPr>
          <w:rFonts w:cs="Times New Roman"/>
          <w:szCs w:val="24"/>
          <w:lang w:val="fr-CA"/>
        </w:rPr>
        <w:t>examiner la question, alors que le juge Hall était d</w:t>
      </w:r>
      <w:r w:rsidR="008372AA" w:rsidRPr="00403220">
        <w:rPr>
          <w:rFonts w:cs="Times New Roman"/>
          <w:szCs w:val="24"/>
          <w:lang w:val="fr-CA"/>
        </w:rPr>
        <w:t>’</w:t>
      </w:r>
      <w:r w:rsidRPr="00403220">
        <w:rPr>
          <w:rFonts w:cs="Times New Roman"/>
          <w:szCs w:val="24"/>
          <w:lang w:val="fr-CA"/>
        </w:rPr>
        <w:t>avis de confirmer les conclusions des juges siégeant en cabinet.</w:t>
      </w:r>
    </w:p>
    <w:p w:rsidR="0047179D" w:rsidRPr="00403220" w:rsidRDefault="0047179D" w:rsidP="005077DA">
      <w:pPr>
        <w:pStyle w:val="ParaNoNdepar-AltN"/>
        <w:rPr>
          <w:rFonts w:cs="Times New Roman"/>
          <w:szCs w:val="24"/>
          <w:lang w:val="fr-CA"/>
        </w:rPr>
      </w:pPr>
      <w:r w:rsidRPr="00403220">
        <w:rPr>
          <w:rFonts w:cs="Times New Roman"/>
          <w:szCs w:val="24"/>
          <w:lang w:val="fr-CA"/>
        </w:rPr>
        <w:t>Les compagnies de tabac n</w:t>
      </w:r>
      <w:r w:rsidR="008372AA" w:rsidRPr="00403220">
        <w:rPr>
          <w:rFonts w:cs="Times New Roman"/>
          <w:szCs w:val="24"/>
          <w:lang w:val="fr-CA"/>
        </w:rPr>
        <w:t>’</w:t>
      </w:r>
      <w:r w:rsidRPr="00403220">
        <w:rPr>
          <w:rFonts w:cs="Times New Roman"/>
          <w:szCs w:val="24"/>
          <w:lang w:val="fr-CA"/>
        </w:rPr>
        <w:t xml:space="preserve">ont pas </w:t>
      </w:r>
      <w:r w:rsidR="008E276E" w:rsidRPr="00403220">
        <w:rPr>
          <w:rFonts w:cs="Times New Roman"/>
          <w:szCs w:val="24"/>
          <w:lang w:val="fr-CA"/>
        </w:rPr>
        <w:t>débattu</w:t>
      </w:r>
      <w:r w:rsidRPr="00403220">
        <w:rPr>
          <w:rFonts w:cs="Times New Roman"/>
          <w:szCs w:val="24"/>
          <w:lang w:val="fr-CA"/>
        </w:rPr>
        <w:t xml:space="preserve"> cette question </w:t>
      </w:r>
      <w:r w:rsidR="008E276E" w:rsidRPr="00403220">
        <w:rPr>
          <w:rFonts w:cs="Times New Roman"/>
          <w:szCs w:val="24"/>
          <w:lang w:val="fr-CA"/>
        </w:rPr>
        <w:t>dans le pourvoi</w:t>
      </w:r>
      <w:r w:rsidRPr="00403220">
        <w:rPr>
          <w:rFonts w:cs="Times New Roman"/>
          <w:szCs w:val="24"/>
          <w:lang w:val="fr-CA"/>
        </w:rPr>
        <w:t>.  Je suis d</w:t>
      </w:r>
      <w:r w:rsidR="008372AA" w:rsidRPr="00403220">
        <w:rPr>
          <w:rFonts w:cs="Times New Roman"/>
          <w:szCs w:val="24"/>
          <w:lang w:val="fr-CA"/>
        </w:rPr>
        <w:t>’</w:t>
      </w:r>
      <w:r w:rsidRPr="00403220">
        <w:rPr>
          <w:rFonts w:cs="Times New Roman"/>
          <w:szCs w:val="24"/>
          <w:lang w:val="fr-CA"/>
        </w:rPr>
        <w:t xml:space="preserve">avis de confirmer les conclusions des juges </w:t>
      </w:r>
      <w:proofErr w:type="spellStart"/>
      <w:r w:rsidRPr="00403220">
        <w:rPr>
          <w:rFonts w:cs="Times New Roman"/>
          <w:szCs w:val="24"/>
          <w:lang w:val="fr-CA"/>
        </w:rPr>
        <w:t>Wedge</w:t>
      </w:r>
      <w:proofErr w:type="spellEnd"/>
      <w:r w:rsidRPr="00403220">
        <w:rPr>
          <w:rFonts w:cs="Times New Roman"/>
          <w:szCs w:val="24"/>
          <w:lang w:val="fr-CA"/>
        </w:rPr>
        <w:t xml:space="preserve">, </w:t>
      </w:r>
      <w:proofErr w:type="spellStart"/>
      <w:r w:rsidRPr="00403220">
        <w:rPr>
          <w:rFonts w:cs="Times New Roman"/>
          <w:szCs w:val="24"/>
          <w:lang w:val="fr-CA"/>
        </w:rPr>
        <w:t>Satanove</w:t>
      </w:r>
      <w:proofErr w:type="spellEnd"/>
      <w:r w:rsidRPr="00403220">
        <w:rPr>
          <w:rFonts w:cs="Times New Roman"/>
          <w:szCs w:val="24"/>
          <w:lang w:val="fr-CA"/>
        </w:rPr>
        <w:t xml:space="preserve"> et Hall, et de radier les demandes de jugement déclaratoire.</w:t>
      </w:r>
    </w:p>
    <w:p w:rsidR="0047179D" w:rsidRPr="00403220" w:rsidRDefault="00FB71B1" w:rsidP="0063537D">
      <w:pPr>
        <w:pStyle w:val="TitleTitre-AltT"/>
        <w:keepNext/>
        <w:spacing w:after="720"/>
        <w:rPr>
          <w:rFonts w:cs="Times New Roman"/>
          <w:szCs w:val="24"/>
          <w:u w:val="single"/>
          <w:lang w:val="fr-CA"/>
        </w:rPr>
      </w:pPr>
      <w:bookmarkStart w:id="56" w:name="_Toc314735141"/>
      <w:r w:rsidRPr="00403220">
        <w:rPr>
          <w:rFonts w:cs="Times New Roman"/>
          <w:szCs w:val="24"/>
          <w:lang w:val="fr-CA"/>
        </w:rPr>
        <w:lastRenderedPageBreak/>
        <w:t>V</w:t>
      </w:r>
      <w:r w:rsidR="0063537D" w:rsidRPr="00403220">
        <w:rPr>
          <w:rFonts w:cs="Times New Roman"/>
          <w:szCs w:val="24"/>
          <w:lang w:val="fr-CA"/>
        </w:rPr>
        <w:t>.</w:t>
      </w:r>
      <w:r w:rsidR="0063537D" w:rsidRPr="00403220">
        <w:rPr>
          <w:rFonts w:cs="Times New Roman"/>
          <w:szCs w:val="24"/>
          <w:lang w:val="fr-CA"/>
        </w:rPr>
        <w:tab/>
      </w:r>
      <w:r w:rsidR="0047179D" w:rsidRPr="00403220">
        <w:rPr>
          <w:rFonts w:cs="Times New Roman"/>
          <w:szCs w:val="24"/>
          <w:u w:val="single"/>
          <w:lang w:val="fr-CA"/>
        </w:rPr>
        <w:t>Conclusion</w:t>
      </w:r>
      <w:bookmarkEnd w:id="56"/>
    </w:p>
    <w:p w:rsidR="00AE7CB5" w:rsidRDefault="00B96BCB" w:rsidP="005077DA">
      <w:pPr>
        <w:pStyle w:val="ParaNoNdepar-AltN"/>
        <w:rPr>
          <w:rFonts w:cs="Times New Roman"/>
          <w:szCs w:val="24"/>
          <w:lang w:val="fr-CA"/>
        </w:rPr>
      </w:pPr>
      <w:r w:rsidRPr="00403220">
        <w:rPr>
          <w:rFonts w:cs="Times New Roman"/>
          <w:szCs w:val="24"/>
          <w:lang w:val="fr-CA"/>
        </w:rPr>
        <w:t xml:space="preserve">Je conclus qu’il est </w:t>
      </w:r>
      <w:r w:rsidR="0047179D" w:rsidRPr="00403220">
        <w:rPr>
          <w:rFonts w:cs="Times New Roman"/>
          <w:szCs w:val="24"/>
          <w:lang w:val="fr-CA"/>
        </w:rPr>
        <w:t>manifeste et évident que les allégations des compagnies de tabac visant le Canada n</w:t>
      </w:r>
      <w:r w:rsidR="008372AA" w:rsidRPr="00403220">
        <w:rPr>
          <w:rFonts w:cs="Times New Roman"/>
          <w:szCs w:val="24"/>
          <w:lang w:val="fr-CA"/>
        </w:rPr>
        <w:t>’</w:t>
      </w:r>
      <w:r w:rsidR="0047179D" w:rsidRPr="00403220">
        <w:rPr>
          <w:rFonts w:cs="Times New Roman"/>
          <w:szCs w:val="24"/>
          <w:lang w:val="fr-CA"/>
        </w:rPr>
        <w:t xml:space="preserve">ont aucune </w:t>
      </w:r>
      <w:r w:rsidR="00253B47" w:rsidRPr="00403220">
        <w:rPr>
          <w:rFonts w:cs="Times New Roman"/>
          <w:szCs w:val="24"/>
          <w:lang w:val="fr-CA"/>
        </w:rPr>
        <w:t xml:space="preserve">possibilité </w:t>
      </w:r>
      <w:r w:rsidR="0047179D" w:rsidRPr="00403220">
        <w:rPr>
          <w:rFonts w:cs="Times New Roman"/>
          <w:szCs w:val="24"/>
          <w:lang w:val="fr-CA"/>
        </w:rPr>
        <w:t>raisonnable d</w:t>
      </w:r>
      <w:r w:rsidR="008372AA" w:rsidRPr="00403220">
        <w:rPr>
          <w:rFonts w:cs="Times New Roman"/>
          <w:szCs w:val="24"/>
          <w:lang w:val="fr-CA"/>
        </w:rPr>
        <w:t>’</w:t>
      </w:r>
      <w:r w:rsidR="0047179D" w:rsidRPr="00403220">
        <w:rPr>
          <w:rFonts w:cs="Times New Roman"/>
          <w:szCs w:val="24"/>
          <w:lang w:val="fr-CA"/>
        </w:rPr>
        <w:t>être retenues et doivent être radiées.  Les appels interjetés par le Canada dans l</w:t>
      </w:r>
      <w:r w:rsidR="008372AA" w:rsidRPr="00403220">
        <w:rPr>
          <w:rFonts w:cs="Times New Roman"/>
          <w:szCs w:val="24"/>
          <w:lang w:val="fr-CA"/>
        </w:rPr>
        <w:t>’</w:t>
      </w:r>
      <w:r w:rsidR="00E64960" w:rsidRPr="00403220">
        <w:rPr>
          <w:rFonts w:cs="Times New Roman"/>
          <w:i/>
          <w:szCs w:val="24"/>
          <w:lang w:val="fr-CA"/>
        </w:rPr>
        <w:t>A</w:t>
      </w:r>
      <w:r w:rsidR="0047179D" w:rsidRPr="00403220">
        <w:rPr>
          <w:rFonts w:cs="Times New Roman"/>
          <w:i/>
          <w:szCs w:val="24"/>
          <w:lang w:val="fr-CA"/>
        </w:rPr>
        <w:t xml:space="preserve">ffaire </w:t>
      </w:r>
      <w:r w:rsidR="00321EF3" w:rsidRPr="00403220">
        <w:rPr>
          <w:rFonts w:cs="Times New Roman"/>
          <w:i/>
          <w:szCs w:val="24"/>
          <w:lang w:val="fr-CA"/>
        </w:rPr>
        <w:t xml:space="preserve">du </w:t>
      </w:r>
      <w:r w:rsidR="0047179D" w:rsidRPr="00403220">
        <w:rPr>
          <w:rFonts w:cs="Times New Roman"/>
          <w:i/>
          <w:szCs w:val="24"/>
          <w:lang w:val="fr-CA"/>
        </w:rPr>
        <w:t>recouvrement des coûts</w:t>
      </w:r>
      <w:r w:rsidR="0047179D" w:rsidRPr="00403220">
        <w:rPr>
          <w:rFonts w:cs="Times New Roman"/>
          <w:szCs w:val="24"/>
          <w:lang w:val="fr-CA"/>
        </w:rPr>
        <w:t xml:space="preserve"> et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47179D" w:rsidRPr="00403220">
        <w:rPr>
          <w:rFonts w:cs="Times New Roman"/>
          <w:i/>
          <w:szCs w:val="24"/>
          <w:lang w:val="fr-CA"/>
        </w:rPr>
        <w:t xml:space="preserve"> </w:t>
      </w:r>
      <w:r w:rsidR="0047179D" w:rsidRPr="00403220">
        <w:rPr>
          <w:rFonts w:cs="Times New Roman"/>
          <w:szCs w:val="24"/>
          <w:lang w:val="fr-CA"/>
        </w:rPr>
        <w:t xml:space="preserve">sont accueillis, et les appels incidents sont rejetés.  </w:t>
      </w:r>
      <w:r w:rsidR="00847C22" w:rsidRPr="00403220">
        <w:rPr>
          <w:rFonts w:cs="Times New Roman"/>
          <w:szCs w:val="24"/>
          <w:lang w:val="fr-CA"/>
        </w:rPr>
        <w:t xml:space="preserve">Imperial </w:t>
      </w:r>
      <w:r w:rsidR="0047179D" w:rsidRPr="00403220">
        <w:rPr>
          <w:rFonts w:cs="Times New Roman"/>
          <w:szCs w:val="24"/>
          <w:lang w:val="fr-CA"/>
        </w:rPr>
        <w:t>est condamnée aux dépens d</w:t>
      </w:r>
      <w:r w:rsidR="00A81812" w:rsidRPr="00403220">
        <w:rPr>
          <w:rFonts w:cs="Times New Roman"/>
          <w:szCs w:val="24"/>
          <w:lang w:val="fr-CA"/>
        </w:rPr>
        <w:t>evant toutes les cours d</w:t>
      </w:r>
      <w:r w:rsidR="0047179D" w:rsidRPr="00403220">
        <w:rPr>
          <w:rFonts w:cs="Times New Roman"/>
          <w:szCs w:val="24"/>
          <w:lang w:val="fr-CA"/>
        </w:rPr>
        <w:t xml:space="preserve">ans </w:t>
      </w:r>
      <w:r w:rsidR="00903A9E" w:rsidRPr="00403220">
        <w:rPr>
          <w:rFonts w:cs="Times New Roman"/>
          <w:szCs w:val="24"/>
          <w:lang w:val="fr-CA"/>
        </w:rPr>
        <w:t>l’</w:t>
      </w:r>
      <w:r w:rsidR="00903A9E" w:rsidRPr="00403220">
        <w:rPr>
          <w:rFonts w:cs="Times New Roman"/>
          <w:i/>
          <w:szCs w:val="24"/>
          <w:lang w:val="fr-CA"/>
        </w:rPr>
        <w:t>Affaire</w:t>
      </w:r>
      <w:r w:rsidR="00903A9E" w:rsidRPr="00403220">
        <w:rPr>
          <w:rFonts w:cs="Times New Roman"/>
          <w:szCs w:val="24"/>
          <w:lang w:val="fr-CA"/>
        </w:rPr>
        <w:t xml:space="preserve"> </w:t>
      </w:r>
      <w:r w:rsidR="00903A9E" w:rsidRPr="00403220">
        <w:rPr>
          <w:rFonts w:cs="Times New Roman"/>
          <w:i/>
          <w:szCs w:val="24"/>
          <w:lang w:val="fr-CA"/>
        </w:rPr>
        <w:t>Knight</w:t>
      </w:r>
      <w:r w:rsidR="0047179D" w:rsidRPr="00403220">
        <w:rPr>
          <w:rFonts w:cs="Times New Roman"/>
          <w:szCs w:val="24"/>
          <w:lang w:val="fr-CA"/>
        </w:rPr>
        <w:t xml:space="preserve">, et les compagnies de tabac sont </w:t>
      </w:r>
      <w:r w:rsidR="00253B47" w:rsidRPr="00403220">
        <w:rPr>
          <w:rFonts w:cs="Times New Roman"/>
          <w:szCs w:val="24"/>
          <w:lang w:val="fr-CA"/>
        </w:rPr>
        <w:t xml:space="preserve">condamnées aux dépens </w:t>
      </w:r>
      <w:r w:rsidR="008E276E" w:rsidRPr="00403220">
        <w:rPr>
          <w:rFonts w:cs="Times New Roman"/>
          <w:szCs w:val="24"/>
          <w:lang w:val="fr-CA"/>
        </w:rPr>
        <w:t xml:space="preserve">devant toutes les cours </w:t>
      </w:r>
      <w:r w:rsidR="0047179D" w:rsidRPr="00403220">
        <w:rPr>
          <w:rFonts w:cs="Times New Roman"/>
          <w:szCs w:val="24"/>
          <w:lang w:val="fr-CA"/>
        </w:rPr>
        <w:t>dans l</w:t>
      </w:r>
      <w:r w:rsidR="008372AA" w:rsidRPr="00403220">
        <w:rPr>
          <w:rFonts w:cs="Times New Roman"/>
          <w:szCs w:val="24"/>
          <w:lang w:val="fr-CA"/>
        </w:rPr>
        <w:t>’</w:t>
      </w:r>
      <w:r w:rsidR="00E64960" w:rsidRPr="00403220">
        <w:rPr>
          <w:rFonts w:cs="Times New Roman"/>
          <w:i/>
          <w:szCs w:val="24"/>
          <w:lang w:val="fr-CA"/>
        </w:rPr>
        <w:t>A</w:t>
      </w:r>
      <w:r w:rsidR="0047179D" w:rsidRPr="00403220">
        <w:rPr>
          <w:rFonts w:cs="Times New Roman"/>
          <w:i/>
          <w:szCs w:val="24"/>
          <w:lang w:val="fr-CA"/>
        </w:rPr>
        <w:t xml:space="preserve">ffaire </w:t>
      </w:r>
      <w:r w:rsidR="00321EF3" w:rsidRPr="00403220">
        <w:rPr>
          <w:rFonts w:cs="Times New Roman"/>
          <w:i/>
          <w:szCs w:val="24"/>
          <w:lang w:val="fr-CA"/>
        </w:rPr>
        <w:t xml:space="preserve">du </w:t>
      </w:r>
      <w:r w:rsidR="0047179D" w:rsidRPr="00403220">
        <w:rPr>
          <w:rFonts w:cs="Times New Roman"/>
          <w:i/>
          <w:szCs w:val="24"/>
          <w:lang w:val="fr-CA"/>
        </w:rPr>
        <w:t>recouvrement des coûts</w:t>
      </w:r>
      <w:r w:rsidR="0047179D" w:rsidRPr="00403220">
        <w:rPr>
          <w:rFonts w:cs="Times New Roman"/>
          <w:szCs w:val="24"/>
          <w:lang w:val="fr-CA"/>
        </w:rPr>
        <w:t xml:space="preserve">.  Aucuns dépens ne sont adjugés contre la </w:t>
      </w:r>
      <w:proofErr w:type="spellStart"/>
      <w:r w:rsidR="0047179D" w:rsidRPr="00403220">
        <w:rPr>
          <w:rFonts w:cs="Times New Roman"/>
          <w:szCs w:val="24"/>
          <w:lang w:val="fr-CA"/>
        </w:rPr>
        <w:t>Colombie</w:t>
      </w:r>
      <w:r w:rsidR="00A54DAC" w:rsidRPr="00403220">
        <w:rPr>
          <w:rFonts w:cs="Times New Roman"/>
          <w:szCs w:val="24"/>
          <w:lang w:val="fr-CA"/>
        </w:rPr>
        <w:noBreakHyphen/>
      </w:r>
      <w:r w:rsidR="0047179D" w:rsidRPr="00403220">
        <w:rPr>
          <w:rFonts w:cs="Times New Roman"/>
          <w:szCs w:val="24"/>
          <w:lang w:val="fr-CA"/>
        </w:rPr>
        <w:t>Britannique</w:t>
      </w:r>
      <w:proofErr w:type="spellEnd"/>
      <w:r w:rsidR="0047179D" w:rsidRPr="00403220">
        <w:rPr>
          <w:rFonts w:cs="Times New Roman"/>
          <w:szCs w:val="24"/>
          <w:lang w:val="fr-CA"/>
        </w:rPr>
        <w:t xml:space="preserve"> ou </w:t>
      </w:r>
      <w:r w:rsidR="00A81812" w:rsidRPr="00403220">
        <w:rPr>
          <w:rFonts w:cs="Times New Roman"/>
          <w:szCs w:val="24"/>
          <w:lang w:val="fr-CA"/>
        </w:rPr>
        <w:t>en faveur de</w:t>
      </w:r>
      <w:r w:rsidR="0047179D" w:rsidRPr="00403220">
        <w:rPr>
          <w:rFonts w:cs="Times New Roman"/>
          <w:szCs w:val="24"/>
          <w:lang w:val="fr-CA"/>
        </w:rPr>
        <w:t xml:space="preserve"> </w:t>
      </w:r>
      <w:proofErr w:type="spellStart"/>
      <w:r w:rsidR="0047179D" w:rsidRPr="00403220">
        <w:rPr>
          <w:rFonts w:cs="Times New Roman"/>
          <w:szCs w:val="24"/>
          <w:lang w:val="fr-CA"/>
        </w:rPr>
        <w:t>celle</w:t>
      </w:r>
      <w:r w:rsidR="00A54DAC" w:rsidRPr="00403220">
        <w:rPr>
          <w:rFonts w:cs="Times New Roman"/>
          <w:szCs w:val="24"/>
          <w:lang w:val="fr-CA"/>
        </w:rPr>
        <w:noBreakHyphen/>
      </w:r>
      <w:r w:rsidR="0047179D" w:rsidRPr="00403220">
        <w:rPr>
          <w:rFonts w:cs="Times New Roman"/>
          <w:szCs w:val="24"/>
          <w:lang w:val="fr-CA"/>
        </w:rPr>
        <w:t>ci</w:t>
      </w:r>
      <w:proofErr w:type="spellEnd"/>
      <w:r w:rsidR="0047179D" w:rsidRPr="00403220">
        <w:rPr>
          <w:rFonts w:cs="Times New Roman"/>
          <w:szCs w:val="24"/>
          <w:lang w:val="fr-CA"/>
        </w:rPr>
        <w:t xml:space="preserve"> dans l</w:t>
      </w:r>
      <w:r w:rsidR="008372AA" w:rsidRPr="00403220">
        <w:rPr>
          <w:rFonts w:cs="Times New Roman"/>
          <w:szCs w:val="24"/>
          <w:lang w:val="fr-CA"/>
        </w:rPr>
        <w:t>’</w:t>
      </w:r>
      <w:r w:rsidR="00E64960" w:rsidRPr="00403220">
        <w:rPr>
          <w:rFonts w:cs="Times New Roman"/>
          <w:i/>
          <w:szCs w:val="24"/>
          <w:lang w:val="fr-CA"/>
        </w:rPr>
        <w:t>A</w:t>
      </w:r>
      <w:r w:rsidR="0047179D" w:rsidRPr="00403220">
        <w:rPr>
          <w:rFonts w:cs="Times New Roman"/>
          <w:i/>
          <w:szCs w:val="24"/>
          <w:lang w:val="fr-CA"/>
        </w:rPr>
        <w:t xml:space="preserve">ffaire </w:t>
      </w:r>
      <w:r w:rsidR="00321EF3" w:rsidRPr="00403220">
        <w:rPr>
          <w:rFonts w:cs="Times New Roman"/>
          <w:i/>
          <w:szCs w:val="24"/>
          <w:lang w:val="fr-CA"/>
        </w:rPr>
        <w:t xml:space="preserve">du </w:t>
      </w:r>
      <w:r w:rsidR="0047179D" w:rsidRPr="00403220">
        <w:rPr>
          <w:rFonts w:cs="Times New Roman"/>
          <w:i/>
          <w:szCs w:val="24"/>
          <w:lang w:val="fr-CA"/>
        </w:rPr>
        <w:t>recouvrement des coûts</w:t>
      </w:r>
      <w:r w:rsidR="0047179D" w:rsidRPr="00403220">
        <w:rPr>
          <w:rFonts w:cs="Times New Roman"/>
          <w:szCs w:val="24"/>
          <w:lang w:val="fr-CA"/>
        </w:rPr>
        <w:t xml:space="preserve">.  </w:t>
      </w:r>
    </w:p>
    <w:p w:rsidR="00C74417" w:rsidRPr="00073DF1" w:rsidRDefault="00C74417" w:rsidP="00C74417">
      <w:pPr>
        <w:pStyle w:val="SCCNormalDoubleSpacing"/>
        <w:spacing w:after="480"/>
        <w:rPr>
          <w:i/>
        </w:rPr>
      </w:pPr>
      <w:r w:rsidRPr="00073DF1">
        <w:rPr>
          <w:i/>
        </w:rPr>
        <w:tab/>
        <w:t>Pourvois accueillis et pourvois incidents rejetés avec dépens.</w:t>
      </w:r>
    </w:p>
    <w:p w:rsidR="00C74417" w:rsidRPr="00073DF1" w:rsidRDefault="00C74417" w:rsidP="00C74417">
      <w:pPr>
        <w:pStyle w:val="SCCNormalDoubleSpacing"/>
        <w:spacing w:after="480"/>
        <w:rPr>
          <w:i/>
        </w:rPr>
      </w:pPr>
      <w:r w:rsidRPr="00073DF1">
        <w:rPr>
          <w:i/>
        </w:rPr>
        <w:tab/>
        <w:t>Procureur des appelants/intimés au pourvoi incident (33559</w:t>
      </w:r>
      <w:r w:rsidRPr="00073DF1">
        <w:rPr>
          <w:i/>
        </w:rPr>
        <w:noBreakHyphen/>
        <w:t>33563) : Procureur général du Canada, Ottawa.</w:t>
      </w:r>
    </w:p>
    <w:p w:rsidR="00C74417" w:rsidRPr="00073DF1" w:rsidRDefault="00C74417" w:rsidP="00C74417">
      <w:pPr>
        <w:pStyle w:val="SCCNormalDoubleSpacing"/>
        <w:spacing w:after="480"/>
        <w:rPr>
          <w:i/>
        </w:rPr>
      </w:pPr>
      <w:r w:rsidRPr="00073DF1">
        <w:rPr>
          <w:i/>
        </w:rPr>
        <w:tab/>
        <w:t xml:space="preserve">Procureurs de l’intimée/appelante au pourvoi incident Imperial Tobacco Canada Limitée (33559) : Hunter </w:t>
      </w:r>
      <w:proofErr w:type="spellStart"/>
      <w:r w:rsidRPr="00073DF1">
        <w:rPr>
          <w:i/>
        </w:rPr>
        <w:t>Litigation</w:t>
      </w:r>
      <w:proofErr w:type="spellEnd"/>
      <w:r w:rsidRPr="00073DF1">
        <w:rPr>
          <w:i/>
        </w:rPr>
        <w:t xml:space="preserve"> Chambers Law Corporation, Vancouver.</w:t>
      </w:r>
    </w:p>
    <w:p w:rsidR="00C74417" w:rsidRPr="00073DF1" w:rsidRDefault="00C74417" w:rsidP="00C74417">
      <w:pPr>
        <w:pStyle w:val="SCCNormalDoubleSpacing"/>
        <w:spacing w:after="480"/>
        <w:rPr>
          <w:i/>
        </w:rPr>
      </w:pPr>
      <w:r w:rsidRPr="00073DF1">
        <w:rPr>
          <w:i/>
        </w:rPr>
        <w:lastRenderedPageBreak/>
        <w:tab/>
        <w:t xml:space="preserve">Procureurs de l’intimée Sa Majesté la Reine du chef de la </w:t>
      </w:r>
      <w:proofErr w:type="spellStart"/>
      <w:r w:rsidRPr="00073DF1">
        <w:rPr>
          <w:i/>
        </w:rPr>
        <w:t>Colombie</w:t>
      </w:r>
      <w:r w:rsidRPr="00073DF1">
        <w:rPr>
          <w:i/>
        </w:rPr>
        <w:noBreakHyphen/>
        <w:t>Britannique</w:t>
      </w:r>
      <w:proofErr w:type="spellEnd"/>
      <w:r w:rsidRPr="00073DF1">
        <w:rPr>
          <w:i/>
        </w:rPr>
        <w:t xml:space="preserve"> (33563) : Bull, Housser &amp; </w:t>
      </w:r>
      <w:proofErr w:type="spellStart"/>
      <w:r w:rsidRPr="00073DF1">
        <w:rPr>
          <w:i/>
        </w:rPr>
        <w:t>Tupper</w:t>
      </w:r>
      <w:proofErr w:type="spellEnd"/>
      <w:r w:rsidRPr="00073DF1">
        <w:rPr>
          <w:i/>
        </w:rPr>
        <w:t>, Vancouver.</w:t>
      </w:r>
    </w:p>
    <w:p w:rsidR="00C74417" w:rsidRPr="00073DF1" w:rsidRDefault="00C74417" w:rsidP="00C74417">
      <w:pPr>
        <w:pStyle w:val="SCCNormalDoubleSpacing"/>
        <w:spacing w:after="480"/>
        <w:rPr>
          <w:i/>
        </w:rPr>
      </w:pPr>
      <w:r w:rsidRPr="00073DF1">
        <w:rPr>
          <w:i/>
        </w:rPr>
        <w:tab/>
        <w:t xml:space="preserve">Procureurs de l’intimée/appelante au pourvoi incident Imperial Tobacco Canada Limitée (33563) : Osler, </w:t>
      </w:r>
      <w:proofErr w:type="spellStart"/>
      <w:r w:rsidRPr="00073DF1">
        <w:rPr>
          <w:i/>
        </w:rPr>
        <w:t>Hoskin</w:t>
      </w:r>
      <w:proofErr w:type="spellEnd"/>
      <w:r w:rsidRPr="00073DF1">
        <w:rPr>
          <w:i/>
        </w:rPr>
        <w:t xml:space="preserve"> &amp; Harcourt, Toronto.</w:t>
      </w:r>
    </w:p>
    <w:p w:rsidR="00C74417" w:rsidRPr="00073DF1" w:rsidRDefault="00C74417" w:rsidP="00C74417">
      <w:pPr>
        <w:pStyle w:val="SCCNormalDoubleSpacing"/>
        <w:spacing w:after="480"/>
        <w:rPr>
          <w:i/>
        </w:rPr>
      </w:pPr>
      <w:r w:rsidRPr="00073DF1">
        <w:rPr>
          <w:i/>
        </w:rPr>
        <w:tab/>
        <w:t xml:space="preserve">Procureurs des intimées/appelantes au pourvoi incident </w:t>
      </w:r>
      <w:proofErr w:type="spellStart"/>
      <w:r w:rsidRPr="00073DF1">
        <w:rPr>
          <w:i/>
        </w:rPr>
        <w:t>Rothmans</w:t>
      </w:r>
      <w:proofErr w:type="spellEnd"/>
      <w:r w:rsidRPr="00073DF1">
        <w:rPr>
          <w:i/>
        </w:rPr>
        <w:t xml:space="preserve">, Benson &amp; </w:t>
      </w:r>
      <w:proofErr w:type="spellStart"/>
      <w:r w:rsidRPr="00073DF1">
        <w:rPr>
          <w:i/>
        </w:rPr>
        <w:t>Hedges</w:t>
      </w:r>
      <w:proofErr w:type="spellEnd"/>
      <w:r w:rsidRPr="00073DF1">
        <w:rPr>
          <w:i/>
        </w:rPr>
        <w:t xml:space="preserve"> Inc. et </w:t>
      </w:r>
      <w:proofErr w:type="spellStart"/>
      <w:r w:rsidRPr="00073DF1">
        <w:rPr>
          <w:i/>
        </w:rPr>
        <w:t>Rothmans</w:t>
      </w:r>
      <w:proofErr w:type="spellEnd"/>
      <w:r w:rsidRPr="00073DF1">
        <w:rPr>
          <w:i/>
        </w:rPr>
        <w:t xml:space="preserve"> Inc. (33563) : </w:t>
      </w:r>
      <w:proofErr w:type="spellStart"/>
      <w:r w:rsidRPr="00073DF1">
        <w:rPr>
          <w:i/>
        </w:rPr>
        <w:t>Affleck</w:t>
      </w:r>
      <w:proofErr w:type="spellEnd"/>
      <w:r w:rsidRPr="00073DF1">
        <w:rPr>
          <w:i/>
        </w:rPr>
        <w:t xml:space="preserve"> </w:t>
      </w:r>
      <w:proofErr w:type="spellStart"/>
      <w:r w:rsidRPr="00073DF1">
        <w:rPr>
          <w:i/>
        </w:rPr>
        <w:t>Hira</w:t>
      </w:r>
      <w:proofErr w:type="spellEnd"/>
      <w:r w:rsidRPr="00073DF1">
        <w:rPr>
          <w:i/>
        </w:rPr>
        <w:t xml:space="preserve"> Burgoyne, Vancouver.</w:t>
      </w:r>
    </w:p>
    <w:p w:rsidR="00C74417" w:rsidRPr="00073DF1" w:rsidRDefault="00C74417" w:rsidP="00C74417">
      <w:pPr>
        <w:pStyle w:val="SCCNormalDoubleSpacing"/>
        <w:spacing w:after="480"/>
        <w:rPr>
          <w:i/>
        </w:rPr>
      </w:pPr>
      <w:r w:rsidRPr="00073DF1">
        <w:rPr>
          <w:i/>
        </w:rPr>
        <w:tab/>
        <w:t xml:space="preserve">Procureurs des intimées/appelantes au pourvoi incident </w:t>
      </w:r>
      <w:proofErr w:type="spellStart"/>
      <w:r w:rsidRPr="00073DF1">
        <w:rPr>
          <w:i/>
        </w:rPr>
        <w:t>JTI</w:t>
      </w:r>
      <w:r w:rsidRPr="00073DF1">
        <w:rPr>
          <w:i/>
        </w:rPr>
        <w:noBreakHyphen/>
        <w:t>MacDonald</w:t>
      </w:r>
      <w:proofErr w:type="spellEnd"/>
      <w:r w:rsidRPr="00073DF1">
        <w:rPr>
          <w:i/>
        </w:rPr>
        <w:t xml:space="preserve"> Corp., R.J. Reynolds Tobacco </w:t>
      </w:r>
      <w:proofErr w:type="spellStart"/>
      <w:r w:rsidRPr="00073DF1">
        <w:rPr>
          <w:i/>
        </w:rPr>
        <w:t>Company</w:t>
      </w:r>
      <w:proofErr w:type="spellEnd"/>
      <w:r w:rsidRPr="00073DF1">
        <w:rPr>
          <w:i/>
        </w:rPr>
        <w:t xml:space="preserve"> et R.J. Reynolds Tobacco International Inc. (33563) :</w:t>
      </w:r>
      <w:r w:rsidR="00125F41">
        <w:rPr>
          <w:i/>
        </w:rPr>
        <w:t> </w:t>
      </w:r>
      <w:proofErr w:type="spellStart"/>
      <w:r w:rsidR="00125F41">
        <w:rPr>
          <w:i/>
        </w:rPr>
        <w:t>Farris</w:t>
      </w:r>
      <w:proofErr w:type="spellEnd"/>
      <w:r w:rsidR="00125F41">
        <w:rPr>
          <w:i/>
        </w:rPr>
        <w:t>, Vaughan, Will</w:t>
      </w:r>
      <w:r w:rsidRPr="00073DF1">
        <w:rPr>
          <w:i/>
        </w:rPr>
        <w:t>s &amp; Murphy, Vancouver.</w:t>
      </w:r>
    </w:p>
    <w:p w:rsidR="00C74417" w:rsidRPr="00073DF1" w:rsidRDefault="00C74417" w:rsidP="00C74417">
      <w:pPr>
        <w:pStyle w:val="SCCNormalDoubleSpacing"/>
        <w:spacing w:after="480"/>
        <w:rPr>
          <w:i/>
        </w:rPr>
      </w:pPr>
      <w:r w:rsidRPr="00073DF1">
        <w:rPr>
          <w:i/>
        </w:rPr>
        <w:tab/>
        <w:t xml:space="preserve">Procureurs des intimées/appelantes au pourvoi incident B.A.T. Industries </w:t>
      </w:r>
      <w:proofErr w:type="spellStart"/>
      <w:r w:rsidRPr="00073DF1">
        <w:rPr>
          <w:i/>
        </w:rPr>
        <w:t>p.l.c</w:t>
      </w:r>
      <w:proofErr w:type="spellEnd"/>
      <w:r w:rsidRPr="00073DF1">
        <w:rPr>
          <w:i/>
        </w:rPr>
        <w:t>. et British American Tobacco (</w:t>
      </w:r>
      <w:proofErr w:type="spellStart"/>
      <w:r w:rsidRPr="00073DF1">
        <w:rPr>
          <w:i/>
        </w:rPr>
        <w:t>Investments</w:t>
      </w:r>
      <w:proofErr w:type="spellEnd"/>
      <w:r w:rsidRPr="00073DF1">
        <w:rPr>
          <w:i/>
        </w:rPr>
        <w:t xml:space="preserve">) Limited (33563) : </w:t>
      </w:r>
      <w:proofErr w:type="spellStart"/>
      <w:r w:rsidRPr="00073DF1">
        <w:rPr>
          <w:i/>
        </w:rPr>
        <w:t>Sugden</w:t>
      </w:r>
      <w:proofErr w:type="spellEnd"/>
      <w:r w:rsidRPr="00073DF1">
        <w:rPr>
          <w:i/>
        </w:rPr>
        <w:t xml:space="preserve">, </w:t>
      </w:r>
      <w:proofErr w:type="spellStart"/>
      <w:r w:rsidRPr="00073DF1">
        <w:rPr>
          <w:i/>
        </w:rPr>
        <w:t>McFee</w:t>
      </w:r>
      <w:proofErr w:type="spellEnd"/>
      <w:r w:rsidRPr="00073DF1">
        <w:rPr>
          <w:i/>
        </w:rPr>
        <w:t xml:space="preserve"> &amp; </w:t>
      </w:r>
      <w:proofErr w:type="spellStart"/>
      <w:r w:rsidRPr="00073DF1">
        <w:rPr>
          <w:i/>
        </w:rPr>
        <w:t>Roos</w:t>
      </w:r>
      <w:proofErr w:type="spellEnd"/>
      <w:r w:rsidRPr="00073DF1">
        <w:rPr>
          <w:i/>
        </w:rPr>
        <w:t>, Vancouver.</w:t>
      </w:r>
    </w:p>
    <w:p w:rsidR="00C74417" w:rsidRPr="00073DF1" w:rsidRDefault="00C74417" w:rsidP="00C74417">
      <w:pPr>
        <w:pStyle w:val="SCCNormalDoubleSpacing"/>
        <w:spacing w:after="480"/>
        <w:rPr>
          <w:i/>
        </w:rPr>
      </w:pPr>
      <w:r w:rsidRPr="00073DF1">
        <w:rPr>
          <w:i/>
        </w:rPr>
        <w:tab/>
        <w:t xml:space="preserve">Procureurs de l’intimée/appelante au pourvoi incident Carreras </w:t>
      </w:r>
      <w:proofErr w:type="spellStart"/>
      <w:r w:rsidRPr="00073DF1">
        <w:rPr>
          <w:i/>
        </w:rPr>
        <w:t>Rothmans</w:t>
      </w:r>
      <w:proofErr w:type="spellEnd"/>
      <w:r w:rsidRPr="00073DF1">
        <w:rPr>
          <w:i/>
        </w:rPr>
        <w:t xml:space="preserve"> Limited (33563) : Harper Grey, Vancouver.</w:t>
      </w:r>
    </w:p>
    <w:p w:rsidR="00C74417" w:rsidRPr="00073DF1" w:rsidRDefault="00C74417" w:rsidP="00C74417">
      <w:pPr>
        <w:pStyle w:val="SCCNormalDoubleSpacing"/>
        <w:spacing w:after="480"/>
        <w:rPr>
          <w:i/>
        </w:rPr>
      </w:pPr>
      <w:r w:rsidRPr="00073DF1">
        <w:rPr>
          <w:i/>
        </w:rPr>
        <w:lastRenderedPageBreak/>
        <w:tab/>
        <w:t xml:space="preserve">Procureurs de l’intimée/appelante au pourvoi incident Philip Morris U.S.A. Inc. (33563) : Davis &amp; </w:t>
      </w:r>
      <w:proofErr w:type="spellStart"/>
      <w:r w:rsidRPr="00073DF1">
        <w:rPr>
          <w:i/>
        </w:rPr>
        <w:t>Company</w:t>
      </w:r>
      <w:proofErr w:type="spellEnd"/>
      <w:r w:rsidRPr="00073DF1">
        <w:rPr>
          <w:i/>
        </w:rPr>
        <w:t>, Vancouver.</w:t>
      </w:r>
    </w:p>
    <w:p w:rsidR="00C74417" w:rsidRPr="00073DF1" w:rsidRDefault="00C74417" w:rsidP="00C74417">
      <w:pPr>
        <w:pStyle w:val="SCCNormalDoubleSpacing"/>
        <w:spacing w:after="480"/>
        <w:rPr>
          <w:i/>
        </w:rPr>
      </w:pPr>
      <w:r w:rsidRPr="00073DF1">
        <w:rPr>
          <w:i/>
        </w:rPr>
        <w:tab/>
        <w:t xml:space="preserve">Procureurs de l’intimée/appelante au pourvoi incident Philip Morris International Inc. (33563) : McCarthy </w:t>
      </w:r>
      <w:proofErr w:type="spellStart"/>
      <w:r w:rsidRPr="00073DF1">
        <w:rPr>
          <w:i/>
        </w:rPr>
        <w:t>Tétrault</w:t>
      </w:r>
      <w:proofErr w:type="spellEnd"/>
      <w:r w:rsidRPr="00073DF1">
        <w:rPr>
          <w:i/>
        </w:rPr>
        <w:t>, Montréal.</w:t>
      </w:r>
    </w:p>
    <w:p w:rsidR="00C74417" w:rsidRPr="00073DF1" w:rsidRDefault="00C74417" w:rsidP="00C74417">
      <w:pPr>
        <w:pStyle w:val="SCCNormalDoubleSpacing"/>
        <w:spacing w:after="480"/>
        <w:rPr>
          <w:i/>
        </w:rPr>
      </w:pPr>
      <w:r w:rsidRPr="00073DF1">
        <w:rPr>
          <w:i/>
        </w:rPr>
        <w:tab/>
        <w:t>Procureur de l’intervenant le procureur général de l’Ontario (33559</w:t>
      </w:r>
      <w:r w:rsidRPr="00073DF1">
        <w:rPr>
          <w:i/>
        </w:rPr>
        <w:noBreakHyphen/>
        <w:t>33563) : Procureur général de l’Ontario, Toronto.</w:t>
      </w:r>
    </w:p>
    <w:p w:rsidR="00C74417" w:rsidRPr="00073DF1" w:rsidRDefault="00C74417" w:rsidP="00C74417">
      <w:pPr>
        <w:pStyle w:val="SCCNormalDoubleSpacing"/>
        <w:spacing w:after="480"/>
        <w:rPr>
          <w:i/>
        </w:rPr>
      </w:pPr>
      <w:r w:rsidRPr="00073DF1">
        <w:rPr>
          <w:i/>
        </w:rPr>
        <w:tab/>
        <w:t xml:space="preserve">Procureurs de l’intervenante Sa Majesté la Reine du chef de la province du </w:t>
      </w:r>
      <w:proofErr w:type="spellStart"/>
      <w:r w:rsidRPr="00073DF1">
        <w:rPr>
          <w:i/>
        </w:rPr>
        <w:t>Nouveau</w:t>
      </w:r>
      <w:r w:rsidRPr="00073DF1">
        <w:rPr>
          <w:i/>
        </w:rPr>
        <w:noBreakHyphen/>
        <w:t>Brunswick</w:t>
      </w:r>
      <w:proofErr w:type="spellEnd"/>
      <w:r w:rsidRPr="00073DF1">
        <w:rPr>
          <w:i/>
        </w:rPr>
        <w:t xml:space="preserve"> (33563) : Bennett Jones, Toronto.</w:t>
      </w:r>
    </w:p>
    <w:p w:rsidR="00C74417" w:rsidRPr="00403220" w:rsidRDefault="00C74417" w:rsidP="00C74417">
      <w:pPr>
        <w:pStyle w:val="ParaNoNdepar-AltN"/>
        <w:numPr>
          <w:ilvl w:val="0"/>
          <w:numId w:val="0"/>
        </w:numPr>
        <w:rPr>
          <w:rFonts w:cs="Times New Roman"/>
          <w:szCs w:val="24"/>
          <w:lang w:val="fr-CA"/>
        </w:rPr>
      </w:pPr>
      <w:r w:rsidRPr="00B1794F">
        <w:rPr>
          <w:i/>
          <w:lang w:val="fr-CA"/>
        </w:rPr>
        <w:tab/>
        <w:t xml:space="preserve">Procureur de l’intervenant le procureur général de la </w:t>
      </w:r>
      <w:proofErr w:type="spellStart"/>
      <w:r w:rsidRPr="00B1794F">
        <w:rPr>
          <w:i/>
          <w:lang w:val="fr-CA"/>
        </w:rPr>
        <w:t>Colombie</w:t>
      </w:r>
      <w:r w:rsidRPr="00B1794F">
        <w:rPr>
          <w:i/>
          <w:lang w:val="fr-CA"/>
        </w:rPr>
        <w:noBreakHyphen/>
        <w:t>Britannique</w:t>
      </w:r>
      <w:proofErr w:type="spellEnd"/>
      <w:r w:rsidRPr="00B1794F">
        <w:rPr>
          <w:i/>
          <w:lang w:val="fr-CA"/>
        </w:rPr>
        <w:t xml:space="preserve"> (33559</w:t>
      </w:r>
      <w:r w:rsidRPr="00B1794F">
        <w:rPr>
          <w:i/>
          <w:lang w:val="fr-CA"/>
        </w:rPr>
        <w:noBreakHyphen/>
        <w:t xml:space="preserve">33563) : Procureur général de la </w:t>
      </w:r>
      <w:proofErr w:type="spellStart"/>
      <w:r w:rsidRPr="00B1794F">
        <w:rPr>
          <w:i/>
          <w:lang w:val="fr-CA"/>
        </w:rPr>
        <w:t>Colombie</w:t>
      </w:r>
      <w:r w:rsidRPr="00B1794F">
        <w:rPr>
          <w:i/>
          <w:lang w:val="fr-CA"/>
        </w:rPr>
        <w:noBreakHyphen/>
        <w:t>Britannique</w:t>
      </w:r>
      <w:proofErr w:type="spellEnd"/>
      <w:r w:rsidRPr="00B1794F">
        <w:rPr>
          <w:i/>
          <w:lang w:val="fr-CA"/>
        </w:rPr>
        <w:t>, Victoria.</w:t>
      </w:r>
    </w:p>
    <w:sectPr w:rsidR="00C74417" w:rsidRPr="00403220" w:rsidSect="00C74417">
      <w:headerReference w:type="default" r:id="rId10"/>
      <w:pgSz w:w="12240" w:h="15840"/>
      <w:pgMar w:top="1800" w:right="2160" w:bottom="1714" w:left="1800" w:header="180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AD" w:rsidRDefault="003654AD" w:rsidP="001270DD">
      <w:r>
        <w:separator/>
      </w:r>
    </w:p>
  </w:endnote>
  <w:endnote w:type="continuationSeparator" w:id="0">
    <w:p w:rsidR="003654AD" w:rsidRDefault="003654AD" w:rsidP="00127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AD" w:rsidRDefault="003654AD" w:rsidP="001270DD">
      <w:r>
        <w:separator/>
      </w:r>
    </w:p>
  </w:footnote>
  <w:footnote w:type="continuationSeparator" w:id="0">
    <w:p w:rsidR="003654AD" w:rsidRDefault="003654AD" w:rsidP="0012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0E" w:rsidRDefault="008D0A0E" w:rsidP="007E2BD5">
    <w:pPr>
      <w:pStyle w:val="Header"/>
      <w:spacing w:after="480" w:line="480" w:lineRule="auto"/>
      <w:jc w:val="center"/>
    </w:pPr>
    <w:r>
      <w:t xml:space="preserve">- </w:t>
    </w:r>
    <w:sdt>
      <w:sdtPr>
        <w:id w:val="521990970"/>
        <w:docPartObj>
          <w:docPartGallery w:val="Page Numbers (Top of Page)"/>
          <w:docPartUnique/>
        </w:docPartObj>
      </w:sdtPr>
      <w:sdtContent>
        <w:fldSimple w:instr=" PAGE   \* MERGEFORMAT ">
          <w:r w:rsidR="00F77C7D">
            <w:rPr>
              <w:noProof/>
            </w:rPr>
            <w:t>4</w:t>
          </w:r>
        </w:fldSimple>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BA0"/>
    <w:multiLevelType w:val="hybridMultilevel"/>
    <w:tmpl w:val="5742DC2C"/>
    <w:lvl w:ilvl="0" w:tplc="323471C8">
      <w:start w:val="1"/>
      <w:numFmt w:val="decimal"/>
      <w:pStyle w:val="paranum"/>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DEA46C3"/>
    <w:multiLevelType w:val="hybridMultilevel"/>
    <w:tmpl w:val="24CC309E"/>
    <w:lvl w:ilvl="0" w:tplc="20FCB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283EE8"/>
    <w:multiLevelType w:val="multilevel"/>
    <w:tmpl w:val="9C78174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2"/>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47179D"/>
    <w:rsid w:val="00000263"/>
    <w:rsid w:val="000016DF"/>
    <w:rsid w:val="000156D3"/>
    <w:rsid w:val="00016815"/>
    <w:rsid w:val="00016A2E"/>
    <w:rsid w:val="000332EE"/>
    <w:rsid w:val="00034B1D"/>
    <w:rsid w:val="00034C42"/>
    <w:rsid w:val="00043A1D"/>
    <w:rsid w:val="0004516B"/>
    <w:rsid w:val="00045427"/>
    <w:rsid w:val="000640B8"/>
    <w:rsid w:val="00066F16"/>
    <w:rsid w:val="00080526"/>
    <w:rsid w:val="000809A8"/>
    <w:rsid w:val="00086041"/>
    <w:rsid w:val="00095015"/>
    <w:rsid w:val="000B4CD8"/>
    <w:rsid w:val="000B64C9"/>
    <w:rsid w:val="000B7A60"/>
    <w:rsid w:val="000C472C"/>
    <w:rsid w:val="000C483E"/>
    <w:rsid w:val="000D2C56"/>
    <w:rsid w:val="000D2C86"/>
    <w:rsid w:val="000D3C28"/>
    <w:rsid w:val="000E2CB4"/>
    <w:rsid w:val="000E4A87"/>
    <w:rsid w:val="00101A5D"/>
    <w:rsid w:val="00101AB7"/>
    <w:rsid w:val="001025F8"/>
    <w:rsid w:val="00104AF1"/>
    <w:rsid w:val="00117EFF"/>
    <w:rsid w:val="00122628"/>
    <w:rsid w:val="00125F41"/>
    <w:rsid w:val="001270DD"/>
    <w:rsid w:val="0013101A"/>
    <w:rsid w:val="00152216"/>
    <w:rsid w:val="00152D1A"/>
    <w:rsid w:val="001559FD"/>
    <w:rsid w:val="001632F6"/>
    <w:rsid w:val="001744DF"/>
    <w:rsid w:val="00185DA0"/>
    <w:rsid w:val="00193275"/>
    <w:rsid w:val="0019339E"/>
    <w:rsid w:val="001A0BF7"/>
    <w:rsid w:val="001B023F"/>
    <w:rsid w:val="001B0976"/>
    <w:rsid w:val="001B1C40"/>
    <w:rsid w:val="001B7E18"/>
    <w:rsid w:val="001C3FB4"/>
    <w:rsid w:val="001C42D4"/>
    <w:rsid w:val="001C4C63"/>
    <w:rsid w:val="001C4D57"/>
    <w:rsid w:val="001C7AB2"/>
    <w:rsid w:val="001D1BD6"/>
    <w:rsid w:val="001D4B47"/>
    <w:rsid w:val="001E1FE1"/>
    <w:rsid w:val="001E4BA1"/>
    <w:rsid w:val="001F08B2"/>
    <w:rsid w:val="001F15E8"/>
    <w:rsid w:val="001F6D7B"/>
    <w:rsid w:val="00201CC9"/>
    <w:rsid w:val="0020410B"/>
    <w:rsid w:val="002107FC"/>
    <w:rsid w:val="00213440"/>
    <w:rsid w:val="0021614B"/>
    <w:rsid w:val="002162BC"/>
    <w:rsid w:val="00217708"/>
    <w:rsid w:val="00217971"/>
    <w:rsid w:val="002256A7"/>
    <w:rsid w:val="002309D0"/>
    <w:rsid w:val="002401F4"/>
    <w:rsid w:val="00247947"/>
    <w:rsid w:val="00253B47"/>
    <w:rsid w:val="00256B62"/>
    <w:rsid w:val="00264E55"/>
    <w:rsid w:val="002701DE"/>
    <w:rsid w:val="00273359"/>
    <w:rsid w:val="00273EF7"/>
    <w:rsid w:val="002917A3"/>
    <w:rsid w:val="002A076B"/>
    <w:rsid w:val="002A0CAE"/>
    <w:rsid w:val="002A5F66"/>
    <w:rsid w:val="002A69DA"/>
    <w:rsid w:val="002B084C"/>
    <w:rsid w:val="002B5231"/>
    <w:rsid w:val="002B6005"/>
    <w:rsid w:val="002C448D"/>
    <w:rsid w:val="002C51FB"/>
    <w:rsid w:val="002C6E7C"/>
    <w:rsid w:val="002C77E1"/>
    <w:rsid w:val="002C7EDF"/>
    <w:rsid w:val="002D13ED"/>
    <w:rsid w:val="002D48B7"/>
    <w:rsid w:val="002D4FA3"/>
    <w:rsid w:val="002E1E0D"/>
    <w:rsid w:val="002E388B"/>
    <w:rsid w:val="002E3D2A"/>
    <w:rsid w:val="002E4EF3"/>
    <w:rsid w:val="002E6A65"/>
    <w:rsid w:val="002F528C"/>
    <w:rsid w:val="00301F22"/>
    <w:rsid w:val="003073B6"/>
    <w:rsid w:val="00316E0A"/>
    <w:rsid w:val="003216E8"/>
    <w:rsid w:val="00321EF3"/>
    <w:rsid w:val="00327DEF"/>
    <w:rsid w:val="00334234"/>
    <w:rsid w:val="00336CFE"/>
    <w:rsid w:val="0034378D"/>
    <w:rsid w:val="003568B3"/>
    <w:rsid w:val="003654AD"/>
    <w:rsid w:val="003714EA"/>
    <w:rsid w:val="003772DF"/>
    <w:rsid w:val="00377327"/>
    <w:rsid w:val="00382868"/>
    <w:rsid w:val="0039003F"/>
    <w:rsid w:val="00393FEB"/>
    <w:rsid w:val="00397066"/>
    <w:rsid w:val="003A612B"/>
    <w:rsid w:val="003B54EE"/>
    <w:rsid w:val="003C26FD"/>
    <w:rsid w:val="003C3FC0"/>
    <w:rsid w:val="003D06FF"/>
    <w:rsid w:val="003E2B8D"/>
    <w:rsid w:val="003E3A9D"/>
    <w:rsid w:val="003F642C"/>
    <w:rsid w:val="004031B6"/>
    <w:rsid w:val="00403220"/>
    <w:rsid w:val="00412DE8"/>
    <w:rsid w:val="004130E8"/>
    <w:rsid w:val="004131DF"/>
    <w:rsid w:val="00413740"/>
    <w:rsid w:val="00415D23"/>
    <w:rsid w:val="004209DF"/>
    <w:rsid w:val="00425A55"/>
    <w:rsid w:val="00427A77"/>
    <w:rsid w:val="00427B06"/>
    <w:rsid w:val="004340C3"/>
    <w:rsid w:val="00440E4D"/>
    <w:rsid w:val="00441D84"/>
    <w:rsid w:val="0044592F"/>
    <w:rsid w:val="00450DBA"/>
    <w:rsid w:val="004511B8"/>
    <w:rsid w:val="00452247"/>
    <w:rsid w:val="00452E2C"/>
    <w:rsid w:val="004540D4"/>
    <w:rsid w:val="004631C2"/>
    <w:rsid w:val="0047179D"/>
    <w:rsid w:val="00474B01"/>
    <w:rsid w:val="00475C06"/>
    <w:rsid w:val="00484981"/>
    <w:rsid w:val="00492012"/>
    <w:rsid w:val="00493CAD"/>
    <w:rsid w:val="004A44D8"/>
    <w:rsid w:val="004B02A1"/>
    <w:rsid w:val="004B4A15"/>
    <w:rsid w:val="004B6B9C"/>
    <w:rsid w:val="004B71A0"/>
    <w:rsid w:val="004C5423"/>
    <w:rsid w:val="004C7DF2"/>
    <w:rsid w:val="004D09DD"/>
    <w:rsid w:val="004D1C55"/>
    <w:rsid w:val="004D4CE3"/>
    <w:rsid w:val="004D7925"/>
    <w:rsid w:val="004E153F"/>
    <w:rsid w:val="004F4A8D"/>
    <w:rsid w:val="004F5FFA"/>
    <w:rsid w:val="0050057C"/>
    <w:rsid w:val="00502FF7"/>
    <w:rsid w:val="005077DA"/>
    <w:rsid w:val="00512C94"/>
    <w:rsid w:val="00514EE8"/>
    <w:rsid w:val="0052025C"/>
    <w:rsid w:val="00521AAF"/>
    <w:rsid w:val="005239D4"/>
    <w:rsid w:val="00525C3C"/>
    <w:rsid w:val="005261B0"/>
    <w:rsid w:val="00530020"/>
    <w:rsid w:val="00545657"/>
    <w:rsid w:val="00546B00"/>
    <w:rsid w:val="005475DE"/>
    <w:rsid w:val="00557671"/>
    <w:rsid w:val="00557E3D"/>
    <w:rsid w:val="0056013A"/>
    <w:rsid w:val="00566993"/>
    <w:rsid w:val="00573241"/>
    <w:rsid w:val="005760DE"/>
    <w:rsid w:val="005862BB"/>
    <w:rsid w:val="00591784"/>
    <w:rsid w:val="005922B2"/>
    <w:rsid w:val="00594FEA"/>
    <w:rsid w:val="005A33F7"/>
    <w:rsid w:val="005A7564"/>
    <w:rsid w:val="005B0C09"/>
    <w:rsid w:val="005B16C7"/>
    <w:rsid w:val="005B2E86"/>
    <w:rsid w:val="005B4E9E"/>
    <w:rsid w:val="005E646B"/>
    <w:rsid w:val="005F6D55"/>
    <w:rsid w:val="00600FAA"/>
    <w:rsid w:val="00604A41"/>
    <w:rsid w:val="00605A5C"/>
    <w:rsid w:val="00606338"/>
    <w:rsid w:val="00611178"/>
    <w:rsid w:val="00611310"/>
    <w:rsid w:val="00614051"/>
    <w:rsid w:val="006163A9"/>
    <w:rsid w:val="006220A1"/>
    <w:rsid w:val="00627223"/>
    <w:rsid w:val="006332B3"/>
    <w:rsid w:val="0063537D"/>
    <w:rsid w:val="006603C4"/>
    <w:rsid w:val="00663F1D"/>
    <w:rsid w:val="006640F5"/>
    <w:rsid w:val="00676BA5"/>
    <w:rsid w:val="006A1245"/>
    <w:rsid w:val="006A26F8"/>
    <w:rsid w:val="006A6C86"/>
    <w:rsid w:val="006B6EFC"/>
    <w:rsid w:val="006C2DF9"/>
    <w:rsid w:val="006E0560"/>
    <w:rsid w:val="006F0FAF"/>
    <w:rsid w:val="006F3D56"/>
    <w:rsid w:val="007024C3"/>
    <w:rsid w:val="00702CD2"/>
    <w:rsid w:val="00704ED5"/>
    <w:rsid w:val="007118A3"/>
    <w:rsid w:val="00715571"/>
    <w:rsid w:val="00733AC7"/>
    <w:rsid w:val="00742490"/>
    <w:rsid w:val="00747BA1"/>
    <w:rsid w:val="00773704"/>
    <w:rsid w:val="00773C48"/>
    <w:rsid w:val="00775974"/>
    <w:rsid w:val="00785D34"/>
    <w:rsid w:val="007926B3"/>
    <w:rsid w:val="007937F3"/>
    <w:rsid w:val="00793FCD"/>
    <w:rsid w:val="007B5ED0"/>
    <w:rsid w:val="007C00EC"/>
    <w:rsid w:val="007C188B"/>
    <w:rsid w:val="007C5416"/>
    <w:rsid w:val="007C5445"/>
    <w:rsid w:val="007D1A9B"/>
    <w:rsid w:val="007E077C"/>
    <w:rsid w:val="007E2BD5"/>
    <w:rsid w:val="007E6354"/>
    <w:rsid w:val="007E6E84"/>
    <w:rsid w:val="007F581B"/>
    <w:rsid w:val="00813224"/>
    <w:rsid w:val="00813C0E"/>
    <w:rsid w:val="008150EA"/>
    <w:rsid w:val="00816408"/>
    <w:rsid w:val="00817AAD"/>
    <w:rsid w:val="008230AF"/>
    <w:rsid w:val="00826807"/>
    <w:rsid w:val="008304F7"/>
    <w:rsid w:val="00832390"/>
    <w:rsid w:val="00835F39"/>
    <w:rsid w:val="008372AA"/>
    <w:rsid w:val="00847C22"/>
    <w:rsid w:val="0085045E"/>
    <w:rsid w:val="008540D4"/>
    <w:rsid w:val="00854D03"/>
    <w:rsid w:val="00856C00"/>
    <w:rsid w:val="00856C6C"/>
    <w:rsid w:val="0086265E"/>
    <w:rsid w:val="00871D6C"/>
    <w:rsid w:val="00874213"/>
    <w:rsid w:val="008819FC"/>
    <w:rsid w:val="008830FB"/>
    <w:rsid w:val="00891AB5"/>
    <w:rsid w:val="00893825"/>
    <w:rsid w:val="00894B76"/>
    <w:rsid w:val="008A0C1C"/>
    <w:rsid w:val="008A225C"/>
    <w:rsid w:val="008B23A6"/>
    <w:rsid w:val="008B68F4"/>
    <w:rsid w:val="008B6E53"/>
    <w:rsid w:val="008D0A0E"/>
    <w:rsid w:val="008D5847"/>
    <w:rsid w:val="008E09A3"/>
    <w:rsid w:val="008E276E"/>
    <w:rsid w:val="008E61EA"/>
    <w:rsid w:val="008F13D4"/>
    <w:rsid w:val="008F478E"/>
    <w:rsid w:val="00902059"/>
    <w:rsid w:val="0090274C"/>
    <w:rsid w:val="00903A9E"/>
    <w:rsid w:val="00905B7E"/>
    <w:rsid w:val="00911EF9"/>
    <w:rsid w:val="00912175"/>
    <w:rsid w:val="0091288B"/>
    <w:rsid w:val="00916727"/>
    <w:rsid w:val="009168E8"/>
    <w:rsid w:val="00920E73"/>
    <w:rsid w:val="00936545"/>
    <w:rsid w:val="009408D9"/>
    <w:rsid w:val="00941A1E"/>
    <w:rsid w:val="009666BF"/>
    <w:rsid w:val="00972F04"/>
    <w:rsid w:val="00975663"/>
    <w:rsid w:val="0097633F"/>
    <w:rsid w:val="00980541"/>
    <w:rsid w:val="0098269F"/>
    <w:rsid w:val="0099483A"/>
    <w:rsid w:val="00995586"/>
    <w:rsid w:val="00997FBD"/>
    <w:rsid w:val="009A4DEB"/>
    <w:rsid w:val="009A68D8"/>
    <w:rsid w:val="009A798C"/>
    <w:rsid w:val="009B0EEE"/>
    <w:rsid w:val="009B4BFB"/>
    <w:rsid w:val="009D0564"/>
    <w:rsid w:val="009D39DD"/>
    <w:rsid w:val="009E55B2"/>
    <w:rsid w:val="009F2B57"/>
    <w:rsid w:val="009F78A9"/>
    <w:rsid w:val="00A0570A"/>
    <w:rsid w:val="00A06917"/>
    <w:rsid w:val="00A10368"/>
    <w:rsid w:val="00A131C1"/>
    <w:rsid w:val="00A242DE"/>
    <w:rsid w:val="00A2437F"/>
    <w:rsid w:val="00A31094"/>
    <w:rsid w:val="00A35F55"/>
    <w:rsid w:val="00A4754D"/>
    <w:rsid w:val="00A54DAC"/>
    <w:rsid w:val="00A6319C"/>
    <w:rsid w:val="00A75E43"/>
    <w:rsid w:val="00A80A95"/>
    <w:rsid w:val="00A80E78"/>
    <w:rsid w:val="00A80F52"/>
    <w:rsid w:val="00A81812"/>
    <w:rsid w:val="00A8207A"/>
    <w:rsid w:val="00A83BBE"/>
    <w:rsid w:val="00A87172"/>
    <w:rsid w:val="00A92829"/>
    <w:rsid w:val="00A934AF"/>
    <w:rsid w:val="00A93A67"/>
    <w:rsid w:val="00AA1D59"/>
    <w:rsid w:val="00AA3116"/>
    <w:rsid w:val="00AB2E1C"/>
    <w:rsid w:val="00AB4BA8"/>
    <w:rsid w:val="00AB6B9E"/>
    <w:rsid w:val="00AC08A1"/>
    <w:rsid w:val="00AC4643"/>
    <w:rsid w:val="00AD41A8"/>
    <w:rsid w:val="00AD768D"/>
    <w:rsid w:val="00AE7CB5"/>
    <w:rsid w:val="00AF187E"/>
    <w:rsid w:val="00AF212E"/>
    <w:rsid w:val="00AF560D"/>
    <w:rsid w:val="00B07C2B"/>
    <w:rsid w:val="00B10485"/>
    <w:rsid w:val="00B16FD1"/>
    <w:rsid w:val="00B175DF"/>
    <w:rsid w:val="00B1794F"/>
    <w:rsid w:val="00B21DC2"/>
    <w:rsid w:val="00B22699"/>
    <w:rsid w:val="00B30032"/>
    <w:rsid w:val="00B31C02"/>
    <w:rsid w:val="00B32F50"/>
    <w:rsid w:val="00B33A15"/>
    <w:rsid w:val="00B401B4"/>
    <w:rsid w:val="00B4690E"/>
    <w:rsid w:val="00B563DD"/>
    <w:rsid w:val="00B647BB"/>
    <w:rsid w:val="00B719B6"/>
    <w:rsid w:val="00B72E73"/>
    <w:rsid w:val="00B772D4"/>
    <w:rsid w:val="00B82CFE"/>
    <w:rsid w:val="00B85006"/>
    <w:rsid w:val="00B86A5A"/>
    <w:rsid w:val="00B95136"/>
    <w:rsid w:val="00B96BCB"/>
    <w:rsid w:val="00BA022D"/>
    <w:rsid w:val="00BA3188"/>
    <w:rsid w:val="00BA4F6F"/>
    <w:rsid w:val="00BB0B36"/>
    <w:rsid w:val="00BD30CB"/>
    <w:rsid w:val="00BD5125"/>
    <w:rsid w:val="00BF6A41"/>
    <w:rsid w:val="00C145C7"/>
    <w:rsid w:val="00C1588F"/>
    <w:rsid w:val="00C21FA2"/>
    <w:rsid w:val="00C244EC"/>
    <w:rsid w:val="00C27023"/>
    <w:rsid w:val="00C3246A"/>
    <w:rsid w:val="00C42974"/>
    <w:rsid w:val="00C45952"/>
    <w:rsid w:val="00C46FDF"/>
    <w:rsid w:val="00C522D7"/>
    <w:rsid w:val="00C53C5F"/>
    <w:rsid w:val="00C676C8"/>
    <w:rsid w:val="00C71A7C"/>
    <w:rsid w:val="00C74417"/>
    <w:rsid w:val="00C917DF"/>
    <w:rsid w:val="00C9404B"/>
    <w:rsid w:val="00CA1DB0"/>
    <w:rsid w:val="00CB396B"/>
    <w:rsid w:val="00CB39E3"/>
    <w:rsid w:val="00CB66C4"/>
    <w:rsid w:val="00CC4B41"/>
    <w:rsid w:val="00CD494E"/>
    <w:rsid w:val="00CD596B"/>
    <w:rsid w:val="00CD726E"/>
    <w:rsid w:val="00CE4D0F"/>
    <w:rsid w:val="00CE56B3"/>
    <w:rsid w:val="00CF1EFC"/>
    <w:rsid w:val="00CF56B2"/>
    <w:rsid w:val="00CF5CFD"/>
    <w:rsid w:val="00CF657D"/>
    <w:rsid w:val="00D0006E"/>
    <w:rsid w:val="00D11969"/>
    <w:rsid w:val="00D139C4"/>
    <w:rsid w:val="00D1540D"/>
    <w:rsid w:val="00D15B9A"/>
    <w:rsid w:val="00D15CEE"/>
    <w:rsid w:val="00D178E5"/>
    <w:rsid w:val="00D226E9"/>
    <w:rsid w:val="00D27464"/>
    <w:rsid w:val="00D274D9"/>
    <w:rsid w:val="00D30477"/>
    <w:rsid w:val="00D31D8A"/>
    <w:rsid w:val="00D34611"/>
    <w:rsid w:val="00D45BE0"/>
    <w:rsid w:val="00D51C1A"/>
    <w:rsid w:val="00D55272"/>
    <w:rsid w:val="00D6311B"/>
    <w:rsid w:val="00D63B65"/>
    <w:rsid w:val="00D66E6F"/>
    <w:rsid w:val="00D74137"/>
    <w:rsid w:val="00D83890"/>
    <w:rsid w:val="00D877CD"/>
    <w:rsid w:val="00D87B7D"/>
    <w:rsid w:val="00D931F2"/>
    <w:rsid w:val="00DA0101"/>
    <w:rsid w:val="00DA48B4"/>
    <w:rsid w:val="00DA5F7D"/>
    <w:rsid w:val="00DB0A79"/>
    <w:rsid w:val="00DB0E7C"/>
    <w:rsid w:val="00DB41A6"/>
    <w:rsid w:val="00DB482D"/>
    <w:rsid w:val="00DB671D"/>
    <w:rsid w:val="00DB687B"/>
    <w:rsid w:val="00DC1930"/>
    <w:rsid w:val="00DC64D5"/>
    <w:rsid w:val="00DC6F31"/>
    <w:rsid w:val="00DC72B9"/>
    <w:rsid w:val="00DC7636"/>
    <w:rsid w:val="00DD0E66"/>
    <w:rsid w:val="00DD352E"/>
    <w:rsid w:val="00DD3EE4"/>
    <w:rsid w:val="00DD7B5C"/>
    <w:rsid w:val="00DD7D7F"/>
    <w:rsid w:val="00DE0981"/>
    <w:rsid w:val="00DF40DF"/>
    <w:rsid w:val="00DF6983"/>
    <w:rsid w:val="00E01FC9"/>
    <w:rsid w:val="00E05D89"/>
    <w:rsid w:val="00E114F5"/>
    <w:rsid w:val="00E203E6"/>
    <w:rsid w:val="00E21845"/>
    <w:rsid w:val="00E22E92"/>
    <w:rsid w:val="00E237E1"/>
    <w:rsid w:val="00E2584C"/>
    <w:rsid w:val="00E37240"/>
    <w:rsid w:val="00E50F1B"/>
    <w:rsid w:val="00E512B0"/>
    <w:rsid w:val="00E51F8D"/>
    <w:rsid w:val="00E54FED"/>
    <w:rsid w:val="00E574E0"/>
    <w:rsid w:val="00E64960"/>
    <w:rsid w:val="00E64DF3"/>
    <w:rsid w:val="00E738EE"/>
    <w:rsid w:val="00E81D7E"/>
    <w:rsid w:val="00E905DF"/>
    <w:rsid w:val="00EB62DC"/>
    <w:rsid w:val="00EB7767"/>
    <w:rsid w:val="00EB7DB6"/>
    <w:rsid w:val="00EC6110"/>
    <w:rsid w:val="00EC6F12"/>
    <w:rsid w:val="00ED5B11"/>
    <w:rsid w:val="00EE4ECD"/>
    <w:rsid w:val="00EE52A1"/>
    <w:rsid w:val="00EE5DA3"/>
    <w:rsid w:val="00EF10DC"/>
    <w:rsid w:val="00EF2B14"/>
    <w:rsid w:val="00EF30DB"/>
    <w:rsid w:val="00EF4589"/>
    <w:rsid w:val="00F365DC"/>
    <w:rsid w:val="00F42E8C"/>
    <w:rsid w:val="00F50381"/>
    <w:rsid w:val="00F507EA"/>
    <w:rsid w:val="00F5159C"/>
    <w:rsid w:val="00F63D4E"/>
    <w:rsid w:val="00F77C7D"/>
    <w:rsid w:val="00F93935"/>
    <w:rsid w:val="00F9526B"/>
    <w:rsid w:val="00F97A07"/>
    <w:rsid w:val="00FA2636"/>
    <w:rsid w:val="00FA386D"/>
    <w:rsid w:val="00FB15B2"/>
    <w:rsid w:val="00FB71B1"/>
    <w:rsid w:val="00FB7AB7"/>
    <w:rsid w:val="00FC2DFC"/>
    <w:rsid w:val="00FD08F5"/>
    <w:rsid w:val="00FD18C7"/>
    <w:rsid w:val="00FD5A78"/>
    <w:rsid w:val="00FE07BC"/>
    <w:rsid w:val="00FE3BE7"/>
    <w:rsid w:val="00FE3D41"/>
    <w:rsid w:val="00FE49F1"/>
    <w:rsid w:val="00FE618E"/>
    <w:rsid w:val="00FF2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3714EA"/>
    <w:pPr>
      <w:spacing w:after="0" w:line="240" w:lineRule="auto"/>
    </w:pPr>
    <w:rPr>
      <w:rFonts w:eastAsia="Times New Roman"/>
      <w:szCs w:val="20"/>
      <w:lang w:val="en-CA" w:eastAsia="en-CA"/>
    </w:rPr>
  </w:style>
  <w:style w:type="paragraph" w:styleId="Heading1">
    <w:name w:val="heading 1"/>
    <w:next w:val="Normal"/>
    <w:link w:val="Heading1Char"/>
    <w:uiPriority w:val="2"/>
    <w:rsid w:val="003714EA"/>
    <w:pPr>
      <w:tabs>
        <w:tab w:val="left" w:pos="360"/>
      </w:tabs>
      <w:spacing w:before="480" w:after="480" w:line="240" w:lineRule="auto"/>
      <w:ind w:left="360" w:hanging="360"/>
      <w:jc w:val="both"/>
      <w:outlineLvl w:val="0"/>
    </w:pPr>
    <w:rPr>
      <w:rFonts w:eastAsiaTheme="majorEastAsia" w:cstheme="majorBidi"/>
      <w:bCs/>
      <w:szCs w:val="28"/>
      <w:lang w:val="en-CA"/>
    </w:rPr>
  </w:style>
  <w:style w:type="paragraph" w:styleId="Heading2">
    <w:name w:val="heading 2"/>
    <w:basedOn w:val="Normal"/>
    <w:next w:val="Normal"/>
    <w:link w:val="Heading2Char"/>
    <w:uiPriority w:val="9"/>
    <w:semiHidden/>
    <w:unhideWhenUsed/>
    <w:rsid w:val="003714EA"/>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179D"/>
    <w:pPr>
      <w:ind w:left="720"/>
    </w:pPr>
  </w:style>
  <w:style w:type="paragraph" w:customStyle="1" w:styleId="SCCLsocOtherPartySeparator">
    <w:name w:val="SCC.Lsoc.OtherPartySeparator"/>
    <w:basedOn w:val="Normal"/>
    <w:next w:val="Normal"/>
    <w:link w:val="SCCLsocOtherPartySeparatorChar"/>
    <w:rsid w:val="003714EA"/>
    <w:pPr>
      <w:spacing w:after="480"/>
    </w:pPr>
    <w:rPr>
      <w:rFonts w:eastAsiaTheme="minorHAnsi" w:cstheme="minorBidi"/>
      <w:szCs w:val="22"/>
      <w:lang w:eastAsia="en-US"/>
    </w:rPr>
  </w:style>
  <w:style w:type="paragraph" w:customStyle="1" w:styleId="SCCCoram">
    <w:name w:val="SCC.Coram"/>
    <w:basedOn w:val="Normal"/>
    <w:next w:val="Normal"/>
    <w:link w:val="SCCCoramChar"/>
    <w:rsid w:val="003714EA"/>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3714EA"/>
    <w:pPr>
      <w:spacing w:after="480"/>
      <w:jc w:val="both"/>
    </w:pPr>
    <w:rPr>
      <w:rFonts w:eastAsiaTheme="minorHAnsi" w:cstheme="minorBidi"/>
      <w:szCs w:val="22"/>
      <w:lang w:eastAsia="en-US"/>
    </w:rPr>
  </w:style>
  <w:style w:type="paragraph" w:customStyle="1" w:styleId="SCCLsocVersus">
    <w:name w:val="SCC.Lsoc.Versus"/>
    <w:basedOn w:val="Normal"/>
    <w:next w:val="Normal"/>
    <w:link w:val="SCCLsocVersusChar"/>
    <w:rsid w:val="003714EA"/>
    <w:pPr>
      <w:spacing w:after="480"/>
    </w:pPr>
    <w:rPr>
      <w:rFonts w:eastAsiaTheme="minorHAnsi" w:cstheme="minorBidi"/>
      <w:szCs w:val="22"/>
      <w:lang w:eastAsia="en-US"/>
    </w:rPr>
  </w:style>
  <w:style w:type="character" w:customStyle="1" w:styleId="SCCCoramChar">
    <w:name w:val="SCC.Coram Char"/>
    <w:basedOn w:val="DefaultParagraphFont"/>
    <w:link w:val="SCCCoram"/>
    <w:rsid w:val="003714EA"/>
    <w:rPr>
      <w:rFonts w:cstheme="minorBidi"/>
      <w:szCs w:val="22"/>
      <w:lang w:val="en-CA"/>
    </w:rPr>
  </w:style>
  <w:style w:type="character" w:customStyle="1" w:styleId="SCCLsocOtherPartySeparatorChar">
    <w:name w:val="SCC.Lsoc.OtherPartySeparator Char"/>
    <w:basedOn w:val="DefaultParagraphFont"/>
    <w:link w:val="SCCLsocOtherPartySeparator"/>
    <w:rsid w:val="003714EA"/>
    <w:rPr>
      <w:rFonts w:cstheme="minorBidi"/>
      <w:szCs w:val="22"/>
      <w:lang w:val="en-CA"/>
    </w:rPr>
  </w:style>
  <w:style w:type="character" w:customStyle="1" w:styleId="SCCLsocPartyChar">
    <w:name w:val="SCC.Lsoc.Party Char"/>
    <w:basedOn w:val="DefaultParagraphFont"/>
    <w:link w:val="SCCLsocParty"/>
    <w:rsid w:val="003714EA"/>
    <w:rPr>
      <w:rFonts w:cstheme="minorBidi"/>
      <w:szCs w:val="22"/>
      <w:lang w:val="en-CA"/>
    </w:rPr>
  </w:style>
  <w:style w:type="character" w:customStyle="1" w:styleId="SCCLsocVersusChar">
    <w:name w:val="SCC.Lsoc.Versus Char"/>
    <w:basedOn w:val="DefaultParagraphFont"/>
    <w:link w:val="SCCLsocVersus"/>
    <w:rsid w:val="003714EA"/>
    <w:rPr>
      <w:rFonts w:cstheme="minorBidi"/>
      <w:szCs w:val="22"/>
      <w:lang w:val="en-CA"/>
    </w:rPr>
  </w:style>
  <w:style w:type="table" w:styleId="TableGrid">
    <w:name w:val="Table Grid"/>
    <w:basedOn w:val="TableNormal"/>
    <w:uiPriority w:val="59"/>
    <w:rsid w:val="003714EA"/>
    <w:pPr>
      <w:spacing w:after="0" w:line="240" w:lineRule="auto"/>
    </w:pPr>
    <w:rPr>
      <w:rFonts w:eastAsia="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body">
    <w:name w:val="documentbody"/>
    <w:basedOn w:val="DefaultParagraphFont"/>
    <w:rsid w:val="0047179D"/>
  </w:style>
  <w:style w:type="paragraph" w:customStyle="1" w:styleId="paranum">
    <w:name w:val="para num"/>
    <w:basedOn w:val="ListParagraph"/>
    <w:link w:val="paranumChar"/>
    <w:rsid w:val="0047179D"/>
    <w:pPr>
      <w:numPr>
        <w:numId w:val="1"/>
      </w:numPr>
      <w:tabs>
        <w:tab w:val="left" w:pos="1170"/>
      </w:tabs>
      <w:spacing w:after="480" w:line="480" w:lineRule="auto"/>
      <w:ind w:left="0" w:firstLine="0"/>
      <w:jc w:val="both"/>
    </w:pPr>
  </w:style>
  <w:style w:type="character" w:customStyle="1" w:styleId="ListParagraphChar">
    <w:name w:val="List Paragraph Char"/>
    <w:basedOn w:val="DefaultParagraphFont"/>
    <w:link w:val="ListParagraph"/>
    <w:uiPriority w:val="34"/>
    <w:rsid w:val="0047179D"/>
    <w:rPr>
      <w:rFonts w:eastAsia="Times New Roman"/>
      <w:szCs w:val="20"/>
      <w:lang w:val="en-CA" w:eastAsia="en-CA"/>
    </w:rPr>
  </w:style>
  <w:style w:type="character" w:customStyle="1" w:styleId="paranumChar">
    <w:name w:val="para num Char"/>
    <w:basedOn w:val="ListParagraphChar"/>
    <w:link w:val="paranum"/>
    <w:rsid w:val="0047179D"/>
  </w:style>
  <w:style w:type="character" w:styleId="Emphasis">
    <w:name w:val="Emphasis"/>
    <w:basedOn w:val="DefaultParagraphFont"/>
    <w:uiPriority w:val="20"/>
    <w:qFormat/>
    <w:rsid w:val="0047179D"/>
    <w:rPr>
      <w:i/>
      <w:iCs/>
    </w:rPr>
  </w:style>
  <w:style w:type="character" w:customStyle="1" w:styleId="c23">
    <w:name w:val="c23"/>
    <w:basedOn w:val="DefaultParagraphFont"/>
    <w:rsid w:val="0047179D"/>
    <w:rPr>
      <w:color w:val="008800"/>
    </w:rPr>
  </w:style>
  <w:style w:type="character" w:customStyle="1" w:styleId="Heading1Char">
    <w:name w:val="Heading 1 Char"/>
    <w:basedOn w:val="DefaultParagraphFont"/>
    <w:link w:val="Heading1"/>
    <w:uiPriority w:val="2"/>
    <w:rsid w:val="003714EA"/>
    <w:rPr>
      <w:rFonts w:eastAsiaTheme="majorEastAsia" w:cstheme="majorBidi"/>
      <w:bCs/>
      <w:szCs w:val="28"/>
      <w:lang w:val="en-CA"/>
    </w:rPr>
  </w:style>
  <w:style w:type="character" w:customStyle="1" w:styleId="Heading2Char">
    <w:name w:val="Heading 2 Char"/>
    <w:basedOn w:val="DefaultParagraphFont"/>
    <w:link w:val="Heading2"/>
    <w:uiPriority w:val="9"/>
    <w:semiHidden/>
    <w:rsid w:val="003714EA"/>
    <w:rPr>
      <w:rFonts w:asciiTheme="majorHAnsi" w:eastAsiaTheme="majorEastAsia" w:hAnsiTheme="majorHAnsi" w:cstheme="majorBidi"/>
      <w:b/>
      <w:bCs/>
      <w:color w:val="DDDDDD" w:themeColor="accent1"/>
      <w:sz w:val="26"/>
      <w:szCs w:val="26"/>
      <w:lang w:val="en-CA" w:eastAsia="en-CA"/>
    </w:rPr>
  </w:style>
  <w:style w:type="paragraph" w:customStyle="1" w:styleId="1">
    <w:name w:val="1"/>
    <w:aliases w:val=" 2, 3, A"/>
    <w:basedOn w:val="Normal"/>
    <w:rsid w:val="0047179D"/>
    <w:pPr>
      <w:widowControl w:val="0"/>
    </w:pPr>
  </w:style>
  <w:style w:type="paragraph" w:styleId="Header">
    <w:name w:val="header"/>
    <w:basedOn w:val="Normal"/>
    <w:link w:val="HeaderChar"/>
    <w:uiPriority w:val="99"/>
    <w:unhideWhenUsed/>
    <w:rsid w:val="003714EA"/>
    <w:pPr>
      <w:tabs>
        <w:tab w:val="center" w:pos="4680"/>
        <w:tab w:val="right" w:pos="9360"/>
      </w:tabs>
    </w:pPr>
  </w:style>
  <w:style w:type="character" w:customStyle="1" w:styleId="HeaderChar">
    <w:name w:val="Header Char"/>
    <w:basedOn w:val="DefaultParagraphFont"/>
    <w:link w:val="Header"/>
    <w:uiPriority w:val="99"/>
    <w:rsid w:val="003714EA"/>
    <w:rPr>
      <w:rFonts w:eastAsia="Times New Roman"/>
      <w:szCs w:val="20"/>
      <w:lang w:val="en-CA" w:eastAsia="en-CA"/>
    </w:rPr>
  </w:style>
  <w:style w:type="paragraph" w:styleId="Footer">
    <w:name w:val="footer"/>
    <w:basedOn w:val="Normal"/>
    <w:link w:val="FooterChar"/>
    <w:uiPriority w:val="99"/>
    <w:semiHidden/>
    <w:unhideWhenUsed/>
    <w:rsid w:val="003714EA"/>
    <w:pPr>
      <w:tabs>
        <w:tab w:val="center" w:pos="4680"/>
        <w:tab w:val="right" w:pos="9360"/>
      </w:tabs>
    </w:pPr>
  </w:style>
  <w:style w:type="character" w:customStyle="1" w:styleId="FooterChar">
    <w:name w:val="Footer Char"/>
    <w:basedOn w:val="DefaultParagraphFont"/>
    <w:link w:val="Footer"/>
    <w:uiPriority w:val="99"/>
    <w:semiHidden/>
    <w:rsid w:val="003714EA"/>
    <w:rPr>
      <w:rFonts w:eastAsia="Times New Roman"/>
      <w:szCs w:val="20"/>
      <w:lang w:val="en-CA" w:eastAsia="en-CA"/>
    </w:rPr>
  </w:style>
  <w:style w:type="paragraph" w:styleId="NoSpacing">
    <w:name w:val="No Spacing"/>
    <w:uiPriority w:val="1"/>
    <w:rsid w:val="0047179D"/>
    <w:pPr>
      <w:spacing w:after="0" w:line="240" w:lineRule="auto"/>
    </w:pPr>
    <w:rPr>
      <w:rFonts w:eastAsia="Times New Roman"/>
      <w:szCs w:val="20"/>
      <w:lang w:val="en-CA" w:eastAsia="en-CA"/>
    </w:rPr>
  </w:style>
  <w:style w:type="paragraph" w:customStyle="1" w:styleId="SCCLsocOtherPartyRoleSeparator">
    <w:name w:val="SCC.Lsoc.OtherPartyRoleSeparator"/>
    <w:basedOn w:val="Normal"/>
    <w:next w:val="Normal"/>
    <w:link w:val="SCCLsocOtherPartyRoleSeparatorChar"/>
    <w:rsid w:val="003714EA"/>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3714E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714EA"/>
    <w:rPr>
      <w:rFonts w:cstheme="minorBidi"/>
      <w:szCs w:val="22"/>
      <w:lang w:val="en-CA"/>
    </w:rPr>
  </w:style>
  <w:style w:type="character" w:customStyle="1" w:styleId="SCCLsocSubfileSeparatorChar">
    <w:name w:val="SCC.Lsoc.SubfileSeparator Char"/>
    <w:basedOn w:val="DefaultParagraphFont"/>
    <w:link w:val="SCCLsocSubfileSeparator"/>
    <w:rsid w:val="003714EA"/>
    <w:rPr>
      <w:rFonts w:cstheme="minorBidi"/>
      <w:szCs w:val="22"/>
      <w:lang w:val="en-CA"/>
    </w:rPr>
  </w:style>
  <w:style w:type="paragraph" w:customStyle="1" w:styleId="SCCBanSummary">
    <w:name w:val="SCC.BanSummary"/>
    <w:basedOn w:val="Normal"/>
    <w:next w:val="Normal"/>
    <w:link w:val="SCCBanSummaryChar"/>
    <w:rsid w:val="003714EA"/>
    <w:pPr>
      <w:jc w:val="right"/>
    </w:pPr>
    <w:rPr>
      <w:rFonts w:eastAsiaTheme="minorEastAsia"/>
      <w:b/>
      <w:szCs w:val="24"/>
    </w:rPr>
  </w:style>
  <w:style w:type="character" w:customStyle="1" w:styleId="SCCBanSummaryChar">
    <w:name w:val="SCC.BanSummary Char"/>
    <w:basedOn w:val="DefaultParagraphFont"/>
    <w:link w:val="SCCBanSummary"/>
    <w:rsid w:val="003714EA"/>
    <w:rPr>
      <w:rFonts w:eastAsiaTheme="minorEastAsia"/>
      <w:b/>
      <w:lang w:val="en-CA" w:eastAsia="en-CA"/>
    </w:rPr>
  </w:style>
  <w:style w:type="character" w:styleId="PlaceholderText">
    <w:name w:val="Placeholder Text"/>
    <w:basedOn w:val="DefaultParagraphFont"/>
    <w:uiPriority w:val="99"/>
    <w:semiHidden/>
    <w:rsid w:val="003714EA"/>
    <w:rPr>
      <w:color w:val="808080"/>
    </w:rPr>
  </w:style>
  <w:style w:type="paragraph" w:styleId="BalloonText">
    <w:name w:val="Balloon Text"/>
    <w:basedOn w:val="Normal"/>
    <w:link w:val="BalloonTextChar"/>
    <w:uiPriority w:val="99"/>
    <w:semiHidden/>
    <w:unhideWhenUsed/>
    <w:rsid w:val="003714EA"/>
    <w:rPr>
      <w:rFonts w:cs="Tahoma"/>
      <w:sz w:val="28"/>
      <w:szCs w:val="16"/>
    </w:rPr>
  </w:style>
  <w:style w:type="character" w:customStyle="1" w:styleId="BalloonTextChar">
    <w:name w:val="Balloon Text Char"/>
    <w:basedOn w:val="DefaultParagraphFont"/>
    <w:link w:val="BalloonText"/>
    <w:uiPriority w:val="99"/>
    <w:semiHidden/>
    <w:rsid w:val="003714EA"/>
    <w:rPr>
      <w:rFonts w:eastAsia="Times New Roman" w:cs="Tahoma"/>
      <w:sz w:val="28"/>
      <w:szCs w:val="16"/>
      <w:lang w:val="en-CA" w:eastAsia="en-CA"/>
    </w:rPr>
  </w:style>
  <w:style w:type="paragraph" w:customStyle="1" w:styleId="Citation1">
    <w:name w:val="Citation1"/>
    <w:basedOn w:val="Normal"/>
    <w:rsid w:val="0047179D"/>
    <w:pPr>
      <w:spacing w:after="720"/>
      <w:ind w:left="1166"/>
      <w:contextualSpacing/>
      <w:jc w:val="both"/>
    </w:pPr>
  </w:style>
  <w:style w:type="paragraph" w:customStyle="1" w:styleId="memopara">
    <w:name w:val="memo para"/>
    <w:basedOn w:val="Normal"/>
    <w:link w:val="memoparaChar"/>
    <w:rsid w:val="0047179D"/>
    <w:pPr>
      <w:spacing w:before="120" w:after="120"/>
      <w:ind w:firstLine="720"/>
      <w:jc w:val="both"/>
    </w:pPr>
    <w:rPr>
      <w:noProof/>
      <w:szCs w:val="24"/>
    </w:rPr>
  </w:style>
  <w:style w:type="character" w:customStyle="1" w:styleId="memoparaChar">
    <w:name w:val="memo para Char"/>
    <w:basedOn w:val="DefaultParagraphFont"/>
    <w:link w:val="memopara"/>
    <w:rsid w:val="0047179D"/>
    <w:rPr>
      <w:rFonts w:eastAsia="Times New Roman"/>
      <w:noProof/>
      <w:lang w:val="en-CA" w:eastAsia="en-CA"/>
    </w:rPr>
  </w:style>
  <w:style w:type="paragraph" w:customStyle="1" w:styleId="InQuote">
    <w:name w:val="In Quote"/>
    <w:basedOn w:val="Normal"/>
    <w:link w:val="InQuoteChar"/>
    <w:rsid w:val="0047179D"/>
    <w:pPr>
      <w:widowControl w:val="0"/>
      <w:spacing w:after="120" w:line="0" w:lineRule="atLeast"/>
      <w:ind w:left="360" w:right="360"/>
      <w:jc w:val="both"/>
    </w:pPr>
    <w:rPr>
      <w:lang w:val="en-US"/>
    </w:rPr>
  </w:style>
  <w:style w:type="character" w:customStyle="1" w:styleId="InQuoteChar">
    <w:name w:val="In Quote Char"/>
    <w:basedOn w:val="DefaultParagraphFont"/>
    <w:link w:val="InQuote"/>
    <w:rsid w:val="0047179D"/>
    <w:rPr>
      <w:rFonts w:eastAsia="Times New Roman"/>
      <w:szCs w:val="20"/>
      <w:lang w:eastAsia="en-CA"/>
    </w:rPr>
  </w:style>
  <w:style w:type="paragraph" w:customStyle="1" w:styleId="Memotext">
    <w:name w:val="Memo text"/>
    <w:basedOn w:val="Normal"/>
    <w:link w:val="MemotextChar"/>
    <w:rsid w:val="0047179D"/>
    <w:pPr>
      <w:widowControl w:val="0"/>
      <w:spacing w:after="120" w:line="0" w:lineRule="atLeast"/>
      <w:ind w:firstLine="720"/>
      <w:jc w:val="both"/>
    </w:pPr>
  </w:style>
  <w:style w:type="character" w:customStyle="1" w:styleId="MemotextChar">
    <w:name w:val="Memo text Char"/>
    <w:basedOn w:val="DefaultParagraphFont"/>
    <w:link w:val="Memotext"/>
    <w:rsid w:val="0047179D"/>
    <w:rPr>
      <w:rFonts w:eastAsia="Times New Roman"/>
      <w:szCs w:val="20"/>
      <w:lang w:val="en-CA" w:eastAsia="en-CA"/>
    </w:rPr>
  </w:style>
  <w:style w:type="paragraph" w:styleId="FootnoteText">
    <w:name w:val="footnote text"/>
    <w:basedOn w:val="Normal"/>
    <w:link w:val="FootnoteTextChar"/>
    <w:uiPriority w:val="99"/>
    <w:semiHidden/>
    <w:unhideWhenUsed/>
    <w:rsid w:val="0047179D"/>
    <w:rPr>
      <w:noProof/>
      <w:sz w:val="20"/>
    </w:rPr>
  </w:style>
  <w:style w:type="character" w:customStyle="1" w:styleId="FootnoteTextChar">
    <w:name w:val="Footnote Text Char"/>
    <w:basedOn w:val="DefaultParagraphFont"/>
    <w:link w:val="FootnoteText"/>
    <w:uiPriority w:val="99"/>
    <w:semiHidden/>
    <w:rsid w:val="0047179D"/>
    <w:rPr>
      <w:rFonts w:eastAsia="Times New Roman"/>
      <w:noProof/>
      <w:sz w:val="20"/>
      <w:szCs w:val="20"/>
      <w:lang w:val="en-CA" w:eastAsia="en-CA"/>
    </w:rPr>
  </w:style>
  <w:style w:type="character" w:styleId="FootnoteReference">
    <w:name w:val="footnote reference"/>
    <w:basedOn w:val="DefaultParagraphFont"/>
    <w:uiPriority w:val="99"/>
    <w:semiHidden/>
    <w:unhideWhenUsed/>
    <w:rsid w:val="0047179D"/>
    <w:rPr>
      <w:vertAlign w:val="superscript"/>
    </w:rPr>
  </w:style>
  <w:style w:type="paragraph" w:customStyle="1" w:styleId="quoter">
    <w:name w:val="quoter"/>
    <w:basedOn w:val="Normal"/>
    <w:link w:val="quoterChar"/>
    <w:rsid w:val="0047179D"/>
    <w:pPr>
      <w:widowControl w:val="0"/>
      <w:spacing w:before="120" w:after="120" w:line="0" w:lineRule="atLeast"/>
      <w:ind w:left="360" w:right="360"/>
      <w:jc w:val="both"/>
    </w:pPr>
  </w:style>
  <w:style w:type="paragraph" w:customStyle="1" w:styleId="para">
    <w:name w:val="para"/>
    <w:basedOn w:val="Normal"/>
    <w:link w:val="paraChar"/>
    <w:rsid w:val="0047179D"/>
    <w:pPr>
      <w:widowControl w:val="0"/>
      <w:spacing w:before="120" w:after="120" w:line="0" w:lineRule="atLeast"/>
      <w:ind w:firstLine="720"/>
      <w:jc w:val="both"/>
    </w:pPr>
  </w:style>
  <w:style w:type="character" w:customStyle="1" w:styleId="quoterChar">
    <w:name w:val="quoter Char"/>
    <w:basedOn w:val="DefaultParagraphFont"/>
    <w:link w:val="quoter"/>
    <w:rsid w:val="0047179D"/>
    <w:rPr>
      <w:rFonts w:eastAsia="Times New Roman"/>
      <w:szCs w:val="20"/>
      <w:lang w:val="en-CA" w:eastAsia="en-CA"/>
    </w:rPr>
  </w:style>
  <w:style w:type="character" w:customStyle="1" w:styleId="paraChar">
    <w:name w:val="para Char"/>
    <w:basedOn w:val="DefaultParagraphFont"/>
    <w:link w:val="para"/>
    <w:rsid w:val="0047179D"/>
    <w:rPr>
      <w:rFonts w:eastAsia="Times New Roman"/>
      <w:szCs w:val="20"/>
      <w:lang w:val="en-CA" w:eastAsia="en-CA"/>
    </w:rPr>
  </w:style>
  <w:style w:type="character" w:customStyle="1" w:styleId="ptext-1">
    <w:name w:val="ptext-1"/>
    <w:basedOn w:val="DefaultParagraphFont"/>
    <w:rsid w:val="0047179D"/>
  </w:style>
  <w:style w:type="character" w:styleId="Strong">
    <w:name w:val="Strong"/>
    <w:basedOn w:val="DefaultParagraphFont"/>
    <w:uiPriority w:val="22"/>
    <w:qFormat/>
    <w:rsid w:val="0047179D"/>
    <w:rPr>
      <w:b/>
      <w:bCs/>
    </w:rPr>
  </w:style>
  <w:style w:type="paragraph" w:customStyle="1" w:styleId="1heading">
    <w:name w:val="1 heading"/>
    <w:basedOn w:val="Heading1"/>
    <w:link w:val="1headingChar"/>
    <w:rsid w:val="0047179D"/>
    <w:pPr>
      <w:spacing w:before="240" w:after="120"/>
      <w:jc w:val="center"/>
    </w:pPr>
    <w:rPr>
      <w:rFonts w:cs="Times New Roman"/>
      <w:szCs w:val="24"/>
    </w:rPr>
  </w:style>
  <w:style w:type="character" w:customStyle="1" w:styleId="1headingChar">
    <w:name w:val="1 heading Char"/>
    <w:basedOn w:val="Heading1Char"/>
    <w:link w:val="1heading"/>
    <w:rsid w:val="0047179D"/>
  </w:style>
  <w:style w:type="paragraph" w:customStyle="1" w:styleId="def">
    <w:name w:val="def"/>
    <w:basedOn w:val="Normal"/>
    <w:rsid w:val="0047179D"/>
    <w:pPr>
      <w:spacing w:before="100" w:beforeAutospacing="1" w:after="100" w:afterAutospacing="1"/>
    </w:pPr>
    <w:rPr>
      <w:szCs w:val="24"/>
      <w:lang w:val="en-US" w:eastAsia="en-US"/>
    </w:rPr>
  </w:style>
  <w:style w:type="character" w:customStyle="1" w:styleId="noarticlepara">
    <w:name w:val="no_article_para"/>
    <w:basedOn w:val="DefaultParagraphFont"/>
    <w:rsid w:val="0047179D"/>
  </w:style>
  <w:style w:type="paragraph" w:customStyle="1" w:styleId="normalnumber">
    <w:name w:val="normalnumber"/>
    <w:basedOn w:val="Normal"/>
    <w:rsid w:val="0047179D"/>
    <w:pPr>
      <w:spacing w:before="100" w:beforeAutospacing="1" w:after="100" w:afterAutospacing="1"/>
    </w:pPr>
    <w:rPr>
      <w:szCs w:val="24"/>
      <w:lang w:val="en-US" w:eastAsia="en-US"/>
    </w:rPr>
  </w:style>
  <w:style w:type="character" w:customStyle="1" w:styleId="term0">
    <w:name w:val="term0"/>
    <w:basedOn w:val="DefaultParagraphFont"/>
    <w:rsid w:val="0047179D"/>
  </w:style>
  <w:style w:type="character" w:styleId="Hyperlink">
    <w:name w:val="Hyperlink"/>
    <w:basedOn w:val="DefaultParagraphFont"/>
    <w:uiPriority w:val="99"/>
    <w:unhideWhenUsed/>
    <w:rsid w:val="0047179D"/>
    <w:rPr>
      <w:color w:val="0000FF"/>
      <w:u w:val="single"/>
    </w:rPr>
  </w:style>
  <w:style w:type="character" w:styleId="CommentReference">
    <w:name w:val="annotation reference"/>
    <w:basedOn w:val="DefaultParagraphFont"/>
    <w:uiPriority w:val="99"/>
    <w:semiHidden/>
    <w:unhideWhenUsed/>
    <w:rsid w:val="003714EA"/>
    <w:rPr>
      <w:sz w:val="16"/>
      <w:szCs w:val="16"/>
    </w:rPr>
  </w:style>
  <w:style w:type="paragraph" w:styleId="CommentText">
    <w:name w:val="annotation text"/>
    <w:basedOn w:val="Normal"/>
    <w:link w:val="CommentTextChar"/>
    <w:uiPriority w:val="99"/>
    <w:semiHidden/>
    <w:unhideWhenUsed/>
    <w:rsid w:val="003714EA"/>
    <w:rPr>
      <w:sz w:val="20"/>
    </w:rPr>
  </w:style>
  <w:style w:type="character" w:customStyle="1" w:styleId="CommentTextChar">
    <w:name w:val="Comment Text Char"/>
    <w:basedOn w:val="DefaultParagraphFont"/>
    <w:link w:val="CommentText"/>
    <w:uiPriority w:val="99"/>
    <w:semiHidden/>
    <w:rsid w:val="003714EA"/>
    <w:rPr>
      <w:rFonts w:eastAsia="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714EA"/>
    <w:rPr>
      <w:b/>
      <w:bCs/>
    </w:rPr>
  </w:style>
  <w:style w:type="character" w:customStyle="1" w:styleId="CommentSubjectChar">
    <w:name w:val="Comment Subject Char"/>
    <w:basedOn w:val="CommentTextChar"/>
    <w:link w:val="CommentSubject"/>
    <w:uiPriority w:val="99"/>
    <w:semiHidden/>
    <w:rsid w:val="003714EA"/>
    <w:rPr>
      <w:b/>
      <w:bCs/>
    </w:rPr>
  </w:style>
  <w:style w:type="paragraph" w:styleId="Revision">
    <w:name w:val="Revision"/>
    <w:hidden/>
    <w:uiPriority w:val="99"/>
    <w:semiHidden/>
    <w:rsid w:val="0047179D"/>
    <w:pPr>
      <w:spacing w:after="0" w:line="240" w:lineRule="auto"/>
    </w:pPr>
    <w:rPr>
      <w:rFonts w:eastAsia="Times New Roman"/>
      <w:szCs w:val="20"/>
      <w:lang w:val="en-CA" w:eastAsia="en-CA"/>
    </w:rPr>
  </w:style>
  <w:style w:type="character" w:customStyle="1" w:styleId="canliicitation">
    <w:name w:val="canliicitation"/>
    <w:basedOn w:val="DefaultParagraphFont"/>
    <w:rsid w:val="0047179D"/>
  </w:style>
  <w:style w:type="character" w:customStyle="1" w:styleId="item">
    <w:name w:val="item"/>
    <w:basedOn w:val="DefaultParagraphFont"/>
    <w:rsid w:val="0047179D"/>
  </w:style>
  <w:style w:type="character" w:customStyle="1" w:styleId="title">
    <w:name w:val="title"/>
    <w:basedOn w:val="DefaultParagraphFont"/>
    <w:rsid w:val="0047179D"/>
  </w:style>
  <w:style w:type="character" w:customStyle="1" w:styleId="selected">
    <w:name w:val="selected"/>
    <w:basedOn w:val="DefaultParagraphFont"/>
    <w:rsid w:val="0047179D"/>
  </w:style>
  <w:style w:type="character" w:customStyle="1" w:styleId="listitemlarge">
    <w:name w:val="listitemlarge"/>
    <w:basedOn w:val="DefaultParagraphFont"/>
    <w:rsid w:val="0047179D"/>
  </w:style>
  <w:style w:type="character" w:customStyle="1" w:styleId="reference">
    <w:name w:val="reference"/>
    <w:basedOn w:val="DefaultParagraphFont"/>
    <w:rsid w:val="0047179D"/>
  </w:style>
  <w:style w:type="paragraph" w:styleId="TOC1">
    <w:name w:val="toc 1"/>
    <w:basedOn w:val="Normal"/>
    <w:next w:val="Normal"/>
    <w:autoRedefine/>
    <w:uiPriority w:val="39"/>
    <w:unhideWhenUsed/>
    <w:qFormat/>
    <w:rsid w:val="000E4A87"/>
    <w:pPr>
      <w:tabs>
        <w:tab w:val="left" w:pos="480"/>
        <w:tab w:val="right" w:leader="dot" w:pos="7200"/>
      </w:tabs>
      <w:spacing w:before="120" w:after="120"/>
      <w:ind w:left="475" w:hanging="475"/>
    </w:pPr>
    <w:rPr>
      <w:noProof/>
    </w:rPr>
  </w:style>
  <w:style w:type="paragraph" w:styleId="TOC2">
    <w:name w:val="toc 2"/>
    <w:basedOn w:val="Normal"/>
    <w:next w:val="Normal"/>
    <w:autoRedefine/>
    <w:uiPriority w:val="39"/>
    <w:semiHidden/>
    <w:unhideWhenUsed/>
    <w:qFormat/>
    <w:rsid w:val="0047179D"/>
    <w:pPr>
      <w:spacing w:after="100"/>
      <w:ind w:left="240"/>
    </w:pPr>
  </w:style>
  <w:style w:type="paragraph" w:styleId="TOC3">
    <w:name w:val="toc 3"/>
    <w:basedOn w:val="Normal"/>
    <w:next w:val="Normal"/>
    <w:autoRedefine/>
    <w:uiPriority w:val="39"/>
    <w:semiHidden/>
    <w:unhideWhenUsed/>
    <w:qFormat/>
    <w:rsid w:val="0047179D"/>
    <w:pPr>
      <w:spacing w:after="100"/>
      <w:ind w:left="480"/>
    </w:pPr>
  </w:style>
  <w:style w:type="paragraph" w:styleId="TOC4">
    <w:name w:val="toc 4"/>
    <w:basedOn w:val="Normal"/>
    <w:next w:val="Normal"/>
    <w:autoRedefine/>
    <w:uiPriority w:val="39"/>
    <w:semiHidden/>
    <w:unhideWhenUsed/>
    <w:rsid w:val="0047179D"/>
    <w:pPr>
      <w:spacing w:after="100"/>
      <w:ind w:left="720"/>
    </w:pPr>
  </w:style>
  <w:style w:type="paragraph" w:styleId="TOC5">
    <w:name w:val="toc 5"/>
    <w:basedOn w:val="Normal"/>
    <w:next w:val="Normal"/>
    <w:autoRedefine/>
    <w:uiPriority w:val="39"/>
    <w:semiHidden/>
    <w:unhideWhenUsed/>
    <w:rsid w:val="0047179D"/>
    <w:pPr>
      <w:spacing w:after="100"/>
      <w:ind w:left="960"/>
    </w:pPr>
  </w:style>
  <w:style w:type="paragraph" w:styleId="TOCHeading">
    <w:name w:val="TOC Heading"/>
    <w:basedOn w:val="Heading1"/>
    <w:next w:val="Normal"/>
    <w:uiPriority w:val="39"/>
    <w:semiHidden/>
    <w:unhideWhenUsed/>
    <w:qFormat/>
    <w:rsid w:val="0047179D"/>
    <w:pPr>
      <w:spacing w:line="276" w:lineRule="auto"/>
      <w:outlineLvl w:val="9"/>
    </w:pPr>
    <w:rPr>
      <w:lang w:val="en-US"/>
    </w:rPr>
  </w:style>
  <w:style w:type="paragraph" w:customStyle="1" w:styleId="Citation-AltC">
    <w:name w:val="Citation - Alt C"/>
    <w:uiPriority w:val="2"/>
    <w:qFormat/>
    <w:rsid w:val="003714EA"/>
    <w:pPr>
      <w:spacing w:after="720" w:line="240" w:lineRule="auto"/>
      <w:ind w:left="1166"/>
      <w:contextualSpacing/>
      <w:jc w:val="both"/>
    </w:pPr>
    <w:rPr>
      <w:rFonts w:eastAsia="Times New Roman"/>
      <w:szCs w:val="20"/>
      <w:lang w:val="en-CA" w:eastAsia="en-CA"/>
    </w:rPr>
  </w:style>
  <w:style w:type="paragraph" w:customStyle="1" w:styleId="ContinueParaSuitedupar-AltP">
    <w:name w:val="Continue Para. / Suite du par. - Alt P"/>
    <w:next w:val="ParaNoNdepar-AltN"/>
    <w:uiPriority w:val="1"/>
    <w:qFormat/>
    <w:rsid w:val="003714EA"/>
    <w:pPr>
      <w:spacing w:before="480" w:after="480" w:line="480" w:lineRule="auto"/>
      <w:jc w:val="both"/>
    </w:pPr>
    <w:rPr>
      <w:rFonts w:cstheme="minorBidi"/>
      <w:szCs w:val="22"/>
      <w:lang w:val="en-CA"/>
    </w:rPr>
  </w:style>
  <w:style w:type="paragraph" w:customStyle="1" w:styleId="TitleTitre-AltT">
    <w:name w:val="Title / Titre - Alt T"/>
    <w:next w:val="ParaNoNdepar-AltN"/>
    <w:uiPriority w:val="3"/>
    <w:qFormat/>
    <w:rsid w:val="003714EA"/>
    <w:pPr>
      <w:tabs>
        <w:tab w:val="left" w:pos="360"/>
      </w:tabs>
      <w:spacing w:before="480" w:after="480" w:line="240" w:lineRule="auto"/>
      <w:ind w:left="360" w:hanging="360"/>
      <w:jc w:val="both"/>
    </w:pPr>
    <w:rPr>
      <w:rFonts w:cstheme="minorBidi"/>
      <w:szCs w:val="22"/>
      <w:lang w:val="en-CA"/>
    </w:rPr>
  </w:style>
  <w:style w:type="paragraph" w:customStyle="1" w:styleId="JudgeJuge">
    <w:name w:val="Judge / Juge"/>
    <w:uiPriority w:val="3"/>
    <w:rsid w:val="003714EA"/>
    <w:pPr>
      <w:tabs>
        <w:tab w:val="left" w:pos="1260"/>
      </w:tabs>
      <w:spacing w:after="480" w:line="480" w:lineRule="auto"/>
    </w:pPr>
    <w:rPr>
      <w:rFonts w:eastAsia="Times New Roman"/>
      <w:smallCaps/>
      <w:szCs w:val="20"/>
      <w:lang w:val="en-CA" w:eastAsia="en-CA"/>
    </w:rPr>
  </w:style>
  <w:style w:type="paragraph" w:customStyle="1" w:styleId="ParaNoNdepar-AltN">
    <w:name w:val="Para. No. / Nº de par. - Alt N"/>
    <w:qFormat/>
    <w:rsid w:val="003714EA"/>
    <w:pPr>
      <w:numPr>
        <w:numId w:val="3"/>
      </w:numPr>
      <w:spacing w:before="480" w:after="480" w:line="480" w:lineRule="auto"/>
      <w:jc w:val="both"/>
    </w:pPr>
    <w:rPr>
      <w:rFonts w:eastAsiaTheme="minorEastAsia" w:cstheme="minorBidi"/>
      <w:szCs w:val="22"/>
      <w:lang w:val="en-CA"/>
    </w:rPr>
  </w:style>
  <w:style w:type="paragraph" w:customStyle="1" w:styleId="SCCNormalDoubleSpacing">
    <w:name w:val="SCC.Normal.DoubleSpacing"/>
    <w:basedOn w:val="Normal"/>
    <w:link w:val="SCCNormalDoubleSpacingChar"/>
    <w:rsid w:val="00C74417"/>
    <w:pPr>
      <w:tabs>
        <w:tab w:val="left" w:pos="1168"/>
      </w:tabs>
      <w:spacing w:line="480" w:lineRule="auto"/>
      <w:jc w:val="both"/>
    </w:pPr>
    <w:rPr>
      <w:lang w:val="fr-CA"/>
    </w:rPr>
  </w:style>
  <w:style w:type="character" w:customStyle="1" w:styleId="SCCNormalDoubleSpacingChar">
    <w:name w:val="SCC.Normal.DoubleSpacing Char"/>
    <w:basedOn w:val="DefaultParagraphFont"/>
    <w:link w:val="SCCNormalDoubleSpacing"/>
    <w:rsid w:val="00C74417"/>
    <w:rPr>
      <w:rFonts w:eastAsia="Times New Roman"/>
      <w:szCs w:val="20"/>
      <w:lang w:val="fr-CA" w:eastAsia="en-CA"/>
    </w:rPr>
  </w:style>
  <w:style w:type="paragraph" w:styleId="Quote">
    <w:name w:val="Quote"/>
    <w:basedOn w:val="Normal"/>
    <w:next w:val="Normal"/>
    <w:link w:val="QuoteChar"/>
    <w:uiPriority w:val="29"/>
    <w:qFormat/>
    <w:rsid w:val="00C74417"/>
    <w:rPr>
      <w:i/>
      <w:iCs/>
      <w:color w:val="000000" w:themeColor="text1"/>
      <w:lang w:val="fr-CA"/>
    </w:rPr>
  </w:style>
  <w:style w:type="character" w:customStyle="1" w:styleId="QuoteChar">
    <w:name w:val="Quote Char"/>
    <w:basedOn w:val="DefaultParagraphFont"/>
    <w:link w:val="Quote"/>
    <w:uiPriority w:val="29"/>
    <w:rsid w:val="00C74417"/>
    <w:rPr>
      <w:rFonts w:eastAsia="Times New Roman"/>
      <w:i/>
      <w:iCs/>
      <w:color w:val="000000" w:themeColor="text1"/>
      <w:szCs w:val="20"/>
      <w:lang w:val="fr-CA" w:eastAsia="en-CA"/>
    </w:rPr>
  </w:style>
  <w:style w:type="paragraph" w:customStyle="1" w:styleId="SCCAppellantForRunningHead">
    <w:name w:val="SCC.AppellantForRunningHead"/>
    <w:basedOn w:val="Normal"/>
    <w:next w:val="Normal"/>
    <w:link w:val="SCCAppellantForRunningHeadChar"/>
    <w:rsid w:val="00C74417"/>
    <w:rPr>
      <w:smallCaps/>
      <w:lang w:val="fr-CA"/>
    </w:rPr>
  </w:style>
  <w:style w:type="character" w:customStyle="1" w:styleId="SCCAppellantForRunningHeadChar">
    <w:name w:val="SCC.AppellantForRunningHead Char"/>
    <w:basedOn w:val="DefaultParagraphFont"/>
    <w:link w:val="SCCAppellantForRunningHead"/>
    <w:rsid w:val="00C74417"/>
    <w:rPr>
      <w:rFonts w:eastAsia="Times New Roman"/>
      <w:smallCaps/>
      <w:szCs w:val="20"/>
      <w:lang w:val="fr-CA" w:eastAsia="en-CA"/>
    </w:rPr>
  </w:style>
  <w:style w:type="paragraph" w:customStyle="1" w:styleId="SCCRespondentForRunningHead">
    <w:name w:val="SCC.RespondentForRunningHead"/>
    <w:basedOn w:val="Normal"/>
    <w:next w:val="Normal"/>
    <w:link w:val="SCCRespondentForRunningHeadChar"/>
    <w:rsid w:val="00C74417"/>
    <w:rPr>
      <w:smallCaps/>
      <w:lang w:val="fr-CA"/>
    </w:rPr>
  </w:style>
  <w:style w:type="character" w:customStyle="1" w:styleId="SCCRespondentForRunningHeadChar">
    <w:name w:val="SCC.RespondentForRunningHead Char"/>
    <w:basedOn w:val="DefaultParagraphFont"/>
    <w:link w:val="SCCRespondentForRunningHead"/>
    <w:rsid w:val="00C74417"/>
    <w:rPr>
      <w:rFonts w:eastAsia="Times New Roman"/>
      <w:smallCaps/>
      <w:szCs w:val="20"/>
      <w:lang w:val="fr-CA" w:eastAsia="en-CA"/>
    </w:rPr>
  </w:style>
  <w:style w:type="paragraph" w:customStyle="1" w:styleId="SCCAppellantForIndex">
    <w:name w:val="SCC.AppellantForIndex"/>
    <w:basedOn w:val="Normal"/>
    <w:next w:val="Normal"/>
    <w:link w:val="SCCAppellantForIndexChar"/>
    <w:rsid w:val="00C74417"/>
    <w:rPr>
      <w:b/>
      <w:lang w:val="fr-CA"/>
    </w:rPr>
  </w:style>
  <w:style w:type="character" w:customStyle="1" w:styleId="SCCAppellantForIndexChar">
    <w:name w:val="SCC.AppellantForIndex Char"/>
    <w:basedOn w:val="DefaultParagraphFont"/>
    <w:link w:val="SCCAppellantForIndex"/>
    <w:rsid w:val="00C74417"/>
    <w:rPr>
      <w:rFonts w:eastAsia="Times New Roman"/>
      <w:b/>
      <w:szCs w:val="20"/>
      <w:lang w:val="fr-CA" w:eastAsia="en-CA"/>
    </w:rPr>
  </w:style>
  <w:style w:type="paragraph" w:customStyle="1" w:styleId="SCCRespondentForIndex">
    <w:name w:val="SCC.RespondentForIndex"/>
    <w:basedOn w:val="Normal"/>
    <w:next w:val="Normal"/>
    <w:link w:val="SCCRespondentForIndexChar"/>
    <w:rsid w:val="00C74417"/>
    <w:rPr>
      <w:b/>
      <w:lang w:val="fr-CA"/>
    </w:rPr>
  </w:style>
  <w:style w:type="character" w:customStyle="1" w:styleId="SCCRespondentForIndexChar">
    <w:name w:val="SCC.RespondentForIndex Char"/>
    <w:basedOn w:val="DefaultParagraphFont"/>
    <w:link w:val="SCCRespondentForIndex"/>
    <w:rsid w:val="00C74417"/>
    <w:rPr>
      <w:rFonts w:eastAsia="Times New Roman"/>
      <w:b/>
      <w:szCs w:val="20"/>
      <w:lang w:val="fr-CA" w:eastAsia="en-CA"/>
    </w:rPr>
  </w:style>
  <w:style w:type="paragraph" w:customStyle="1" w:styleId="SCCSystemYear">
    <w:name w:val="SCC.SystemYear"/>
    <w:basedOn w:val="Normal"/>
    <w:next w:val="Normal"/>
    <w:link w:val="SCCSystemYearChar"/>
    <w:rsid w:val="00C74417"/>
    <w:rPr>
      <w:b/>
      <w:lang w:val="fr-CA"/>
    </w:rPr>
  </w:style>
  <w:style w:type="character" w:customStyle="1" w:styleId="SCCSystemYearChar">
    <w:name w:val="SCC.SystemYear Char"/>
    <w:basedOn w:val="DefaultParagraphFont"/>
    <w:link w:val="SCCSystemYear"/>
    <w:rsid w:val="00C74417"/>
    <w:rPr>
      <w:rFonts w:eastAsia="Times New Roman"/>
      <w:b/>
      <w:szCs w:val="20"/>
      <w:lang w:val="fr-CA" w:eastAsia="en-CA"/>
    </w:rPr>
  </w:style>
  <w:style w:type="paragraph" w:customStyle="1" w:styleId="SCCLowerCourtNameLowercase">
    <w:name w:val="SCC.LowerCourtNameLowercase"/>
    <w:basedOn w:val="SCCNormalDoubleSpacing"/>
    <w:next w:val="SCCNormalDoubleSpacing"/>
    <w:rsid w:val="00C74417"/>
    <w:rPr>
      <w:smallCaps/>
    </w:rPr>
  </w:style>
  <w:style w:type="paragraph" w:customStyle="1" w:styleId="SCCAppellantForCitation">
    <w:name w:val="SCC.AppellantForCitation"/>
    <w:basedOn w:val="Normal"/>
    <w:next w:val="Normal"/>
    <w:link w:val="SCCAppellantForCitationChar"/>
    <w:rsid w:val="00C74417"/>
    <w:rPr>
      <w:i/>
      <w:lang w:val="fr-CA"/>
    </w:rPr>
  </w:style>
  <w:style w:type="character" w:customStyle="1" w:styleId="SCCAppellantForCitationChar">
    <w:name w:val="SCC.AppellantForCitation Char"/>
    <w:basedOn w:val="DefaultParagraphFont"/>
    <w:link w:val="SCCAppellantForCitation"/>
    <w:rsid w:val="00C74417"/>
    <w:rPr>
      <w:rFonts w:eastAsia="Times New Roman"/>
      <w:i/>
      <w:szCs w:val="20"/>
      <w:lang w:val="fr-CA" w:eastAsia="en-CA"/>
    </w:rPr>
  </w:style>
  <w:style w:type="paragraph" w:customStyle="1" w:styleId="SCCRespondentForCitation">
    <w:name w:val="SCC.RespondentForCitation"/>
    <w:basedOn w:val="Normal"/>
    <w:next w:val="Normal"/>
    <w:link w:val="SCCRespondentForCitationChar"/>
    <w:rsid w:val="00C74417"/>
    <w:rPr>
      <w:i/>
      <w:lang w:val="fr-CA"/>
    </w:rPr>
  </w:style>
  <w:style w:type="character" w:customStyle="1" w:styleId="SCCRespondentForCitationChar">
    <w:name w:val="SCC.RespondentForCitation Char"/>
    <w:basedOn w:val="DefaultParagraphFont"/>
    <w:link w:val="SCCRespondentForCitation"/>
    <w:rsid w:val="00C74417"/>
    <w:rPr>
      <w:rFonts w:eastAsia="Times New Roman"/>
      <w:i/>
      <w:szCs w:val="20"/>
      <w:lang w:val="fr-CA" w:eastAsia="en-CA"/>
    </w:rPr>
  </w:style>
  <w:style w:type="table" w:customStyle="1" w:styleId="TableGrid1">
    <w:name w:val="Table Grid1"/>
    <w:basedOn w:val="TableNormal"/>
    <w:next w:val="TableGrid"/>
    <w:uiPriority w:val="59"/>
    <w:rsid w:val="00D931F2"/>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5048-5F27-4A49-A045-7BB00754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24170</Words>
  <Characters>132937</Characters>
  <Application>Microsoft Office Word</Application>
  <DocSecurity>0</DocSecurity>
  <Lines>1107</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2012-01-19T16:15:00Z</dcterms:created>
  <dcterms:modified xsi:type="dcterms:W3CDTF">2012-01-19T18:20:00Z</dcterms:modified>
</cp:coreProperties>
</file>