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019" w:rsidRPr="00DC28DC" w:rsidRDefault="00E37019" w:rsidP="00E37019">
      <w:pPr>
        <w:tabs>
          <w:tab w:val="center" w:pos="4680"/>
          <w:tab w:val="right" w:pos="9360"/>
        </w:tabs>
        <w:jc w:val="center"/>
        <w:rPr>
          <w:rFonts w:eastAsiaTheme="minorHAnsi" w:cstheme="minorBidi"/>
          <w:szCs w:val="24"/>
          <w:lang w:eastAsia="en-US"/>
        </w:rPr>
      </w:pPr>
      <w:r w:rsidRPr="00DC28DC">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388398647" r:id="rId9"/>
        </w:object>
      </w:r>
    </w:p>
    <w:p w:rsidR="00E37019" w:rsidRPr="00DC28DC" w:rsidRDefault="00E37019" w:rsidP="00E37019">
      <w:pPr>
        <w:tabs>
          <w:tab w:val="center" w:pos="4680"/>
          <w:tab w:val="right" w:pos="9360"/>
        </w:tabs>
        <w:rPr>
          <w:rFonts w:eastAsiaTheme="minorHAnsi" w:cstheme="minorBidi"/>
          <w:szCs w:val="24"/>
          <w:lang w:eastAsia="en-US"/>
        </w:rPr>
      </w:pPr>
    </w:p>
    <w:p w:rsidR="00E37019" w:rsidRPr="00DC28DC" w:rsidRDefault="00E37019" w:rsidP="00E37019">
      <w:pPr>
        <w:jc w:val="center"/>
        <w:rPr>
          <w:rFonts w:eastAsiaTheme="minorHAnsi" w:cstheme="minorBidi"/>
          <w:b/>
          <w:szCs w:val="24"/>
          <w:lang w:eastAsia="en-US"/>
        </w:rPr>
      </w:pPr>
      <w:r w:rsidRPr="00DC28DC">
        <w:rPr>
          <w:rFonts w:eastAsiaTheme="minorHAnsi" w:cstheme="minorBidi"/>
          <w:b/>
          <w:szCs w:val="24"/>
          <w:lang w:eastAsia="en-US"/>
        </w:rPr>
        <w:t>COUR SUPRÊME DU CANADA</w:t>
      </w:r>
    </w:p>
    <w:p w:rsidR="00E37019" w:rsidRPr="00DC28DC" w:rsidRDefault="00E37019" w:rsidP="00E37019">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E37019" w:rsidRPr="00DC28DC" w:rsidTr="00070D1C">
        <w:trPr>
          <w:cantSplit/>
        </w:trPr>
        <w:tc>
          <w:tcPr>
            <w:tcW w:w="6768" w:type="dxa"/>
          </w:tcPr>
          <w:p w:rsidR="00E37019" w:rsidRPr="00E37019" w:rsidRDefault="00E37019" w:rsidP="00070D1C">
            <w:pPr>
              <w:rPr>
                <w:sz w:val="24"/>
                <w:szCs w:val="24"/>
              </w:rPr>
            </w:pPr>
            <w:r w:rsidRPr="00E37019">
              <w:rPr>
                <w:b/>
                <w:smallCaps/>
                <w:sz w:val="24"/>
                <w:szCs w:val="24"/>
              </w:rPr>
              <w:t>Référence :</w:t>
            </w:r>
            <w:r w:rsidRPr="00E37019">
              <w:rPr>
                <w:sz w:val="24"/>
                <w:szCs w:val="24"/>
              </w:rPr>
              <w:t xml:space="preserve"> R. </w:t>
            </w:r>
            <w:r w:rsidRPr="00E37019">
              <w:rPr>
                <w:i/>
                <w:sz w:val="24"/>
                <w:szCs w:val="24"/>
              </w:rPr>
              <w:t>c.</w:t>
            </w:r>
            <w:r w:rsidRPr="00E37019">
              <w:rPr>
                <w:sz w:val="24"/>
                <w:szCs w:val="24"/>
              </w:rPr>
              <w:t xml:space="preserve"> Côté, 2011 CSC 46</w:t>
            </w:r>
            <w:r w:rsidRPr="00E37019">
              <w:rPr>
                <w:rStyle w:val="SCCRespondentForRunningHeadChar"/>
                <w:szCs w:val="24"/>
              </w:rPr>
              <w:t>, [2011] 3 R.C.S. 215</w:t>
            </w:r>
          </w:p>
        </w:tc>
        <w:tc>
          <w:tcPr>
            <w:tcW w:w="2808" w:type="dxa"/>
          </w:tcPr>
          <w:p w:rsidR="00E37019" w:rsidRPr="00E37019" w:rsidRDefault="00E37019" w:rsidP="00070D1C">
            <w:pPr>
              <w:rPr>
                <w:sz w:val="24"/>
                <w:szCs w:val="24"/>
              </w:rPr>
            </w:pPr>
            <w:r w:rsidRPr="00E37019">
              <w:rPr>
                <w:b/>
                <w:smallCaps/>
                <w:sz w:val="24"/>
                <w:szCs w:val="24"/>
              </w:rPr>
              <w:t>Date :</w:t>
            </w:r>
            <w:r w:rsidRPr="00E37019">
              <w:rPr>
                <w:sz w:val="24"/>
                <w:szCs w:val="24"/>
              </w:rPr>
              <w:t xml:space="preserve"> 20111014</w:t>
            </w:r>
          </w:p>
          <w:p w:rsidR="00E37019" w:rsidRPr="00DC28DC" w:rsidRDefault="00E37019" w:rsidP="00070D1C">
            <w:r w:rsidRPr="00E37019">
              <w:rPr>
                <w:b/>
                <w:smallCaps/>
                <w:sz w:val="24"/>
                <w:szCs w:val="24"/>
              </w:rPr>
              <w:t>Dossier :</w:t>
            </w:r>
            <w:r w:rsidRPr="00E37019">
              <w:rPr>
                <w:sz w:val="24"/>
                <w:szCs w:val="24"/>
              </w:rPr>
              <w:t xml:space="preserve"> 33645</w:t>
            </w:r>
          </w:p>
        </w:tc>
      </w:tr>
    </w:tbl>
    <w:p w:rsidR="00E37019" w:rsidRPr="00DC28DC" w:rsidRDefault="00E37019" w:rsidP="00E37019">
      <w:pPr>
        <w:rPr>
          <w:rFonts w:eastAsiaTheme="minorHAnsi" w:cstheme="minorBidi"/>
          <w:szCs w:val="24"/>
          <w:lang w:eastAsia="en-US"/>
        </w:rPr>
      </w:pPr>
    </w:p>
    <w:p w:rsidR="00E37019" w:rsidRPr="00DC28DC" w:rsidRDefault="00E37019" w:rsidP="00E37019">
      <w:pPr>
        <w:rPr>
          <w:rFonts w:eastAsiaTheme="minorHAnsi" w:cstheme="minorBidi"/>
          <w:b/>
          <w:smallCaps/>
          <w:szCs w:val="24"/>
          <w:lang w:eastAsia="en-US"/>
        </w:rPr>
      </w:pPr>
      <w:r w:rsidRPr="00DC28DC">
        <w:rPr>
          <w:rFonts w:eastAsiaTheme="minorHAnsi" w:cstheme="minorBidi"/>
          <w:b/>
          <w:smallCaps/>
          <w:szCs w:val="24"/>
          <w:lang w:eastAsia="en-US"/>
        </w:rPr>
        <w:t>Entre :</w:t>
      </w:r>
    </w:p>
    <w:p w:rsidR="00E37019" w:rsidRPr="00DC28DC" w:rsidRDefault="00E37019" w:rsidP="00E37019">
      <w:pPr>
        <w:jc w:val="center"/>
        <w:rPr>
          <w:rFonts w:eastAsiaTheme="minorHAnsi" w:cstheme="minorBidi"/>
          <w:b/>
          <w:szCs w:val="24"/>
          <w:lang w:eastAsia="en-US"/>
        </w:rPr>
      </w:pPr>
      <w:r w:rsidRPr="00DC28DC">
        <w:rPr>
          <w:rFonts w:eastAsiaTheme="minorHAnsi" w:cstheme="minorBidi"/>
          <w:b/>
          <w:szCs w:val="24"/>
          <w:lang w:eastAsia="en-US"/>
        </w:rPr>
        <w:t>Armande Côté</w:t>
      </w:r>
    </w:p>
    <w:p w:rsidR="00E37019" w:rsidRPr="00DC28DC" w:rsidRDefault="00E37019" w:rsidP="00E37019">
      <w:pPr>
        <w:jc w:val="center"/>
        <w:rPr>
          <w:rFonts w:eastAsiaTheme="minorHAnsi" w:cstheme="minorBidi"/>
          <w:szCs w:val="24"/>
          <w:lang w:eastAsia="en-US"/>
        </w:rPr>
      </w:pPr>
      <w:r w:rsidRPr="00DC28DC">
        <w:rPr>
          <w:rFonts w:eastAsiaTheme="minorHAnsi" w:cstheme="minorBidi"/>
          <w:szCs w:val="24"/>
          <w:lang w:eastAsia="en-US"/>
        </w:rPr>
        <w:t>Appelante</w:t>
      </w:r>
    </w:p>
    <w:p w:rsidR="00E37019" w:rsidRPr="00DC28DC" w:rsidRDefault="00E37019" w:rsidP="00E37019">
      <w:pPr>
        <w:jc w:val="center"/>
        <w:rPr>
          <w:rFonts w:eastAsiaTheme="minorHAnsi" w:cstheme="minorBidi"/>
          <w:szCs w:val="24"/>
          <w:lang w:eastAsia="en-US"/>
        </w:rPr>
      </w:pPr>
      <w:proofErr w:type="gramStart"/>
      <w:r w:rsidRPr="00DC28DC">
        <w:rPr>
          <w:rFonts w:eastAsiaTheme="minorHAnsi" w:cstheme="minorBidi"/>
          <w:szCs w:val="24"/>
          <w:lang w:eastAsia="en-US"/>
        </w:rPr>
        <w:t>et</w:t>
      </w:r>
      <w:proofErr w:type="gramEnd"/>
    </w:p>
    <w:p w:rsidR="00E37019" w:rsidRPr="00DC28DC" w:rsidRDefault="00E37019" w:rsidP="00E37019">
      <w:pPr>
        <w:jc w:val="center"/>
        <w:rPr>
          <w:rFonts w:eastAsiaTheme="minorHAnsi" w:cstheme="minorBidi"/>
          <w:b/>
          <w:szCs w:val="24"/>
          <w:lang w:eastAsia="en-US"/>
        </w:rPr>
      </w:pPr>
      <w:r w:rsidRPr="00DC28DC">
        <w:rPr>
          <w:rFonts w:eastAsiaTheme="minorHAnsi" w:cstheme="minorBidi"/>
          <w:b/>
          <w:szCs w:val="24"/>
          <w:lang w:eastAsia="en-US"/>
        </w:rPr>
        <w:t>Sa Majesté la Reine</w:t>
      </w:r>
    </w:p>
    <w:p w:rsidR="00E37019" w:rsidRPr="00DC28DC" w:rsidRDefault="00E37019" w:rsidP="00E37019">
      <w:pPr>
        <w:jc w:val="center"/>
        <w:rPr>
          <w:rFonts w:eastAsiaTheme="minorHAnsi" w:cstheme="minorBidi"/>
          <w:szCs w:val="24"/>
          <w:lang w:eastAsia="en-US"/>
        </w:rPr>
      </w:pPr>
      <w:r w:rsidRPr="00DC28DC">
        <w:rPr>
          <w:rFonts w:eastAsiaTheme="minorHAnsi" w:cstheme="minorBidi"/>
          <w:szCs w:val="24"/>
          <w:lang w:eastAsia="en-US"/>
        </w:rPr>
        <w:t>Intimée</w:t>
      </w:r>
    </w:p>
    <w:p w:rsidR="00E37019" w:rsidRPr="00DC28DC" w:rsidRDefault="00E37019" w:rsidP="00E37019">
      <w:pPr>
        <w:jc w:val="center"/>
        <w:rPr>
          <w:rFonts w:eastAsiaTheme="minorHAnsi" w:cstheme="minorBidi"/>
          <w:szCs w:val="24"/>
          <w:lang w:eastAsia="en-US"/>
        </w:rPr>
      </w:pPr>
      <w:r w:rsidRPr="00DC28DC">
        <w:rPr>
          <w:rFonts w:eastAsiaTheme="minorHAnsi" w:cstheme="minorBidi"/>
          <w:szCs w:val="24"/>
          <w:lang w:eastAsia="en-US"/>
        </w:rPr>
        <w:t>- et -</w:t>
      </w:r>
    </w:p>
    <w:p w:rsidR="00E37019" w:rsidRPr="00DC28DC" w:rsidRDefault="00E37019" w:rsidP="00E37019">
      <w:pPr>
        <w:jc w:val="center"/>
        <w:rPr>
          <w:rFonts w:eastAsiaTheme="minorHAnsi" w:cstheme="minorBidi"/>
          <w:b/>
          <w:szCs w:val="24"/>
          <w:lang w:eastAsia="en-US"/>
        </w:rPr>
      </w:pPr>
      <w:proofErr w:type="spellStart"/>
      <w:r w:rsidRPr="00DC28DC">
        <w:rPr>
          <w:rFonts w:eastAsiaTheme="minorHAnsi" w:cstheme="minorBidi"/>
          <w:b/>
          <w:szCs w:val="24"/>
          <w:lang w:eastAsia="en-US"/>
        </w:rPr>
        <w:t>Criminal</w:t>
      </w:r>
      <w:proofErr w:type="spellEnd"/>
      <w:r w:rsidRPr="00DC28DC">
        <w:rPr>
          <w:rFonts w:eastAsiaTheme="minorHAnsi" w:cstheme="minorBidi"/>
          <w:b/>
          <w:szCs w:val="24"/>
          <w:lang w:eastAsia="en-US"/>
        </w:rPr>
        <w:t xml:space="preserve"> </w:t>
      </w:r>
      <w:proofErr w:type="spellStart"/>
      <w:r w:rsidRPr="00DC28DC">
        <w:rPr>
          <w:rFonts w:eastAsiaTheme="minorHAnsi" w:cstheme="minorBidi"/>
          <w:b/>
          <w:szCs w:val="24"/>
          <w:lang w:eastAsia="en-US"/>
        </w:rPr>
        <w:t>Lawyers</w:t>
      </w:r>
      <w:proofErr w:type="spellEnd"/>
      <w:r w:rsidRPr="00DC28DC">
        <w:rPr>
          <w:rFonts w:eastAsiaTheme="minorHAnsi" w:cstheme="minorBidi"/>
          <w:b/>
          <w:szCs w:val="24"/>
          <w:lang w:eastAsia="en-US"/>
        </w:rPr>
        <w:t>’ Association (Ontario)</w:t>
      </w:r>
    </w:p>
    <w:p w:rsidR="00E37019" w:rsidRPr="00DC28DC" w:rsidRDefault="00E37019" w:rsidP="00E37019">
      <w:pPr>
        <w:jc w:val="center"/>
        <w:rPr>
          <w:rFonts w:eastAsiaTheme="minorHAnsi" w:cstheme="minorBidi"/>
          <w:szCs w:val="24"/>
          <w:lang w:eastAsia="en-US"/>
        </w:rPr>
      </w:pPr>
      <w:r w:rsidRPr="00DC28DC">
        <w:rPr>
          <w:rFonts w:eastAsiaTheme="minorHAnsi" w:cstheme="minorBidi"/>
          <w:szCs w:val="24"/>
          <w:lang w:eastAsia="en-US"/>
        </w:rPr>
        <w:t>Intervenante</w:t>
      </w:r>
    </w:p>
    <w:p w:rsidR="00E37019" w:rsidRPr="00DC28DC" w:rsidRDefault="00E37019" w:rsidP="00E37019">
      <w:pPr>
        <w:rPr>
          <w:rFonts w:eastAsiaTheme="minorHAnsi" w:cstheme="minorBidi"/>
          <w:szCs w:val="24"/>
          <w:lang w:eastAsia="en-US"/>
        </w:rPr>
      </w:pPr>
    </w:p>
    <w:p w:rsidR="00E37019" w:rsidRPr="00DC28DC" w:rsidRDefault="00E37019" w:rsidP="00E37019">
      <w:pPr>
        <w:rPr>
          <w:rFonts w:eastAsiaTheme="minorHAnsi" w:cstheme="minorBidi"/>
          <w:szCs w:val="24"/>
          <w:lang w:eastAsia="en-US"/>
        </w:rPr>
      </w:pPr>
    </w:p>
    <w:p w:rsidR="00E37019" w:rsidRPr="00DC28DC" w:rsidRDefault="00E37019" w:rsidP="00E37019">
      <w:pPr>
        <w:rPr>
          <w:rFonts w:eastAsiaTheme="minorHAnsi" w:cstheme="minorBidi"/>
          <w:b/>
          <w:smallCaps/>
          <w:szCs w:val="24"/>
          <w:lang w:eastAsia="en-US"/>
        </w:rPr>
      </w:pPr>
      <w:r w:rsidRPr="00DC28DC">
        <w:rPr>
          <w:rFonts w:eastAsiaTheme="minorHAnsi" w:cstheme="minorBidi"/>
          <w:b/>
          <w:smallCaps/>
          <w:szCs w:val="24"/>
          <w:lang w:eastAsia="en-US"/>
        </w:rPr>
        <w:t xml:space="preserve">Traduction française officielle : </w:t>
      </w:r>
      <w:r w:rsidRPr="00DC28DC">
        <w:rPr>
          <w:rFonts w:eastAsiaTheme="minorHAnsi" w:cstheme="minorBidi"/>
          <w:szCs w:val="24"/>
          <w:lang w:eastAsia="en-US"/>
        </w:rPr>
        <w:t>Motifs du juge Cromwell</w:t>
      </w:r>
    </w:p>
    <w:p w:rsidR="00E37019" w:rsidRPr="00DC28DC" w:rsidRDefault="00E37019" w:rsidP="00E37019">
      <w:pPr>
        <w:rPr>
          <w:rFonts w:eastAsiaTheme="minorHAnsi" w:cstheme="minorBidi"/>
          <w:szCs w:val="24"/>
          <w:lang w:eastAsia="en-US"/>
        </w:rPr>
      </w:pPr>
    </w:p>
    <w:p w:rsidR="00E37019" w:rsidRPr="00DC28DC" w:rsidRDefault="00E37019" w:rsidP="00E37019">
      <w:pPr>
        <w:rPr>
          <w:rFonts w:eastAsiaTheme="minorHAnsi" w:cstheme="minorBidi"/>
          <w:szCs w:val="24"/>
          <w:lang w:eastAsia="en-US"/>
        </w:rPr>
      </w:pPr>
      <w:r w:rsidRPr="00DC28DC">
        <w:rPr>
          <w:rFonts w:eastAsiaTheme="minorHAnsi" w:cstheme="minorBidi"/>
          <w:b/>
          <w:smallCaps/>
          <w:szCs w:val="24"/>
          <w:lang w:eastAsia="en-US"/>
        </w:rPr>
        <w:t>Coram :</w:t>
      </w:r>
      <w:r w:rsidRPr="00DC28DC">
        <w:rPr>
          <w:rFonts w:eastAsiaTheme="minorHAnsi" w:cstheme="minorBidi"/>
          <w:szCs w:val="24"/>
          <w:lang w:eastAsia="en-US"/>
        </w:rPr>
        <w:t xml:space="preserve"> La juge en chef </w:t>
      </w:r>
      <w:proofErr w:type="spellStart"/>
      <w:r w:rsidRPr="00DC28DC">
        <w:rPr>
          <w:rFonts w:eastAsiaTheme="minorHAnsi" w:cstheme="minorBidi"/>
          <w:szCs w:val="24"/>
          <w:lang w:eastAsia="en-US"/>
        </w:rPr>
        <w:t>McLachlin</w:t>
      </w:r>
      <w:proofErr w:type="spellEnd"/>
      <w:r w:rsidRPr="00DC28DC">
        <w:rPr>
          <w:rFonts w:eastAsiaTheme="minorHAnsi" w:cstheme="minorBidi"/>
          <w:szCs w:val="24"/>
          <w:lang w:eastAsia="en-US"/>
        </w:rPr>
        <w:t xml:space="preserve"> et les juges </w:t>
      </w:r>
      <w:proofErr w:type="spellStart"/>
      <w:r w:rsidRPr="00DC28DC">
        <w:rPr>
          <w:rFonts w:eastAsiaTheme="minorHAnsi" w:cstheme="minorBidi"/>
          <w:szCs w:val="24"/>
          <w:lang w:eastAsia="en-US"/>
        </w:rPr>
        <w:t>Binnie</w:t>
      </w:r>
      <w:proofErr w:type="spellEnd"/>
      <w:r w:rsidRPr="00DC28DC">
        <w:rPr>
          <w:rFonts w:eastAsiaTheme="minorHAnsi" w:cstheme="minorBidi"/>
          <w:szCs w:val="24"/>
          <w:lang w:eastAsia="en-US"/>
        </w:rPr>
        <w:t xml:space="preserve">, </w:t>
      </w:r>
      <w:proofErr w:type="spellStart"/>
      <w:r w:rsidRPr="00DC28DC">
        <w:rPr>
          <w:rFonts w:eastAsiaTheme="minorHAnsi" w:cstheme="minorBidi"/>
          <w:szCs w:val="24"/>
          <w:lang w:eastAsia="en-US"/>
        </w:rPr>
        <w:t>LeBel</w:t>
      </w:r>
      <w:proofErr w:type="spellEnd"/>
      <w:r w:rsidRPr="00DC28DC">
        <w:rPr>
          <w:rFonts w:eastAsiaTheme="minorHAnsi" w:cstheme="minorBidi"/>
          <w:szCs w:val="24"/>
          <w:lang w:eastAsia="en-US"/>
        </w:rPr>
        <w:t xml:space="preserve">, Deschamps, Fish, Abella, Charron, </w:t>
      </w:r>
      <w:proofErr w:type="spellStart"/>
      <w:r w:rsidRPr="00DC28DC">
        <w:rPr>
          <w:rFonts w:eastAsiaTheme="minorHAnsi" w:cstheme="minorBidi"/>
          <w:szCs w:val="24"/>
          <w:lang w:eastAsia="en-US"/>
        </w:rPr>
        <w:t>Rothstein</w:t>
      </w:r>
      <w:proofErr w:type="spellEnd"/>
      <w:r w:rsidRPr="00DC28DC">
        <w:rPr>
          <w:rFonts w:eastAsiaTheme="minorHAnsi" w:cstheme="minorBidi"/>
          <w:szCs w:val="24"/>
          <w:lang w:eastAsia="en-US"/>
        </w:rPr>
        <w:t xml:space="preserve"> et Cromwell</w:t>
      </w:r>
    </w:p>
    <w:p w:rsidR="00E37019" w:rsidRPr="00DC28DC" w:rsidRDefault="00E37019" w:rsidP="00E37019">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E37019" w:rsidRPr="00DC28DC" w:rsidTr="00070D1C">
        <w:trPr>
          <w:cantSplit/>
        </w:trPr>
        <w:tc>
          <w:tcPr>
            <w:tcW w:w="3618" w:type="dxa"/>
          </w:tcPr>
          <w:p w:rsidR="00E37019" w:rsidRPr="00DC28DC" w:rsidRDefault="00E37019" w:rsidP="00070D1C">
            <w:pPr>
              <w:rPr>
                <w:b/>
                <w:smallCaps/>
              </w:rPr>
            </w:pPr>
            <w:r w:rsidRPr="00DC28DC">
              <w:rPr>
                <w:b/>
                <w:smallCaps/>
              </w:rPr>
              <w:t>Motifs de jugement :</w:t>
            </w:r>
          </w:p>
          <w:p w:rsidR="00E37019" w:rsidRPr="00DC28DC" w:rsidRDefault="00E37019" w:rsidP="00070D1C">
            <w:r w:rsidRPr="00DC28DC">
              <w:t>(par. 1 à 90)</w:t>
            </w:r>
          </w:p>
          <w:p w:rsidR="00E37019" w:rsidRPr="00DC28DC" w:rsidRDefault="00E37019" w:rsidP="00070D1C"/>
          <w:p w:rsidR="00E37019" w:rsidRPr="00DC28DC" w:rsidRDefault="00E37019" w:rsidP="00070D1C"/>
          <w:p w:rsidR="00E37019" w:rsidRPr="00DC28DC" w:rsidRDefault="00E37019" w:rsidP="00070D1C">
            <w:pPr>
              <w:rPr>
                <w:b/>
                <w:smallCaps/>
              </w:rPr>
            </w:pPr>
            <w:r w:rsidRPr="00DC28DC">
              <w:rPr>
                <w:b/>
                <w:smallCaps/>
              </w:rPr>
              <w:t>Motifs dissidents :</w:t>
            </w:r>
          </w:p>
          <w:p w:rsidR="00E37019" w:rsidRPr="00DC28DC" w:rsidRDefault="00E37019" w:rsidP="00070D1C">
            <w:pPr>
              <w:rPr>
                <w:b/>
                <w:smallCaps/>
              </w:rPr>
            </w:pPr>
            <w:r w:rsidRPr="00DC28DC">
              <w:t>(par. 91 à 119)</w:t>
            </w:r>
          </w:p>
        </w:tc>
        <w:tc>
          <w:tcPr>
            <w:tcW w:w="5958" w:type="dxa"/>
          </w:tcPr>
          <w:p w:rsidR="00E37019" w:rsidRPr="00DC28DC" w:rsidRDefault="00E37019" w:rsidP="00070D1C">
            <w:r w:rsidRPr="00DC28DC">
              <w:t xml:space="preserve">Le juge Cromwell (avec l’accord de la juge en chef </w:t>
            </w:r>
            <w:proofErr w:type="spellStart"/>
            <w:r w:rsidRPr="00DC28DC">
              <w:t>McLachlin</w:t>
            </w:r>
            <w:proofErr w:type="spellEnd"/>
            <w:r w:rsidRPr="00DC28DC">
              <w:t xml:space="preserve"> et des juges </w:t>
            </w:r>
            <w:proofErr w:type="spellStart"/>
            <w:r w:rsidRPr="00DC28DC">
              <w:t>Binnie</w:t>
            </w:r>
            <w:proofErr w:type="spellEnd"/>
            <w:r w:rsidRPr="00DC28DC">
              <w:t xml:space="preserve">, </w:t>
            </w:r>
            <w:proofErr w:type="spellStart"/>
            <w:r w:rsidRPr="00DC28DC">
              <w:t>LeBel</w:t>
            </w:r>
            <w:proofErr w:type="spellEnd"/>
            <w:r w:rsidRPr="00DC28DC">
              <w:t xml:space="preserve">, Fish, Abella, Charron et </w:t>
            </w:r>
            <w:proofErr w:type="spellStart"/>
            <w:r w:rsidRPr="00DC28DC">
              <w:t>Rothstein</w:t>
            </w:r>
            <w:proofErr w:type="spellEnd"/>
            <w:r w:rsidRPr="00DC28DC">
              <w:t>)</w:t>
            </w:r>
          </w:p>
          <w:p w:rsidR="00E37019" w:rsidRPr="00DC28DC" w:rsidRDefault="00E37019" w:rsidP="00070D1C"/>
          <w:p w:rsidR="00E37019" w:rsidRPr="00DC28DC" w:rsidRDefault="00E37019" w:rsidP="00070D1C">
            <w:r w:rsidRPr="00DC28DC">
              <w:t>La juge Deschamps</w:t>
            </w:r>
          </w:p>
        </w:tc>
      </w:tr>
    </w:tbl>
    <w:p w:rsidR="00E37019" w:rsidRPr="00DC28DC" w:rsidRDefault="00E37019" w:rsidP="00E37019">
      <w:pPr>
        <w:rPr>
          <w:rFonts w:eastAsiaTheme="minorHAnsi" w:cstheme="minorBidi"/>
          <w:szCs w:val="24"/>
          <w:lang w:eastAsia="en-US"/>
        </w:rPr>
      </w:pPr>
    </w:p>
    <w:p w:rsidR="00E37019" w:rsidRPr="00DC28DC" w:rsidRDefault="00E37019" w:rsidP="00E37019">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E37019" w:rsidRPr="00DC28DC" w:rsidRDefault="00E37019" w:rsidP="00E37019">
      <w:pPr>
        <w:rPr>
          <w:rStyle w:val="SCCRespondentForRunningHeadChar"/>
        </w:rPr>
      </w:pPr>
      <w:r w:rsidRPr="00DC28DC">
        <w:rPr>
          <w:rStyle w:val="SCCRespondentForRunningHeadChar"/>
        </w:rPr>
        <w:br w:type="page"/>
      </w:r>
    </w:p>
    <w:p w:rsidR="008322BD" w:rsidRPr="007466F0" w:rsidRDefault="007466F0" w:rsidP="00C65C25">
      <w:pPr>
        <w:spacing w:after="720"/>
        <w:jc w:val="both"/>
      </w:pPr>
      <w:r w:rsidRPr="007466F0">
        <w:lastRenderedPageBreak/>
        <w:t xml:space="preserve">R. </w:t>
      </w:r>
      <w:r w:rsidRPr="007466F0">
        <w:rPr>
          <w:i/>
        </w:rPr>
        <w:t>c.</w:t>
      </w:r>
      <w:r w:rsidRPr="007466F0">
        <w:t xml:space="preserve"> </w:t>
      </w:r>
      <w:r w:rsidRPr="007466F0">
        <w:rPr>
          <w:rStyle w:val="SCCAppellantForIndexChar"/>
          <w:b w:val="0"/>
        </w:rPr>
        <w:t>Côté</w:t>
      </w:r>
      <w:r>
        <w:rPr>
          <w:rStyle w:val="SCCAppellantForRunningHeadChar"/>
        </w:rPr>
        <w:t xml:space="preserve">, </w:t>
      </w:r>
      <w:r w:rsidRPr="007466F0">
        <w:rPr>
          <w:rStyle w:val="SCCRespondentForRunningHeadChar"/>
        </w:rPr>
        <w:t>2011 CSC 4</w:t>
      </w:r>
      <w:r>
        <w:rPr>
          <w:rStyle w:val="SCCRespondentForRunningHeadChar"/>
        </w:rPr>
        <w:t>6</w:t>
      </w:r>
      <w:r w:rsidRPr="007466F0">
        <w:rPr>
          <w:rStyle w:val="SCCRespondentForRunningHeadChar"/>
        </w:rPr>
        <w:t xml:space="preserve">, [2011] 3 R.C.S. </w:t>
      </w:r>
      <w:r>
        <w:rPr>
          <w:rStyle w:val="SCCRespondentForRunningHeadChar"/>
        </w:rPr>
        <w:t>215</w:t>
      </w:r>
    </w:p>
    <w:p w:rsidR="00D85644" w:rsidRPr="00F71710" w:rsidRDefault="0093249D" w:rsidP="00C65C25">
      <w:pPr>
        <w:pStyle w:val="SCCLsocParty"/>
        <w:tabs>
          <w:tab w:val="right" w:pos="8280"/>
        </w:tabs>
        <w:spacing w:after="720"/>
      </w:pPr>
      <w:r w:rsidRPr="00F71710">
        <w:t>Armande Côté</w:t>
      </w:r>
      <w:r w:rsidR="00C65C25" w:rsidRPr="00F71710">
        <w:tab/>
      </w:r>
      <w:r w:rsidRPr="00F71710">
        <w:rPr>
          <w:b w:val="0"/>
          <w:i/>
        </w:rPr>
        <w:t>Appelante</w:t>
      </w:r>
    </w:p>
    <w:p w:rsidR="00D85644" w:rsidRPr="00F71710" w:rsidRDefault="0093249D" w:rsidP="00C65C25">
      <w:pPr>
        <w:pStyle w:val="SCCLsocVersus"/>
        <w:spacing w:after="720"/>
      </w:pPr>
      <w:proofErr w:type="gramStart"/>
      <w:r w:rsidRPr="00F71710">
        <w:t>c</w:t>
      </w:r>
      <w:proofErr w:type="gramEnd"/>
      <w:r w:rsidRPr="00F71710">
        <w:t>.</w:t>
      </w:r>
    </w:p>
    <w:p w:rsidR="00D85644" w:rsidRPr="00F71710" w:rsidRDefault="0093249D" w:rsidP="00C65C25">
      <w:pPr>
        <w:pStyle w:val="SCCLsocParty"/>
        <w:tabs>
          <w:tab w:val="right" w:pos="8280"/>
        </w:tabs>
        <w:spacing w:after="720"/>
      </w:pPr>
      <w:r w:rsidRPr="00F71710">
        <w:t>Sa Majesté la Reine</w:t>
      </w:r>
      <w:r w:rsidR="00C65C25" w:rsidRPr="00F71710">
        <w:tab/>
      </w:r>
      <w:r w:rsidRPr="00F71710">
        <w:rPr>
          <w:b w:val="0"/>
          <w:i/>
        </w:rPr>
        <w:t>Intimée</w:t>
      </w:r>
    </w:p>
    <w:p w:rsidR="00D85644" w:rsidRPr="00F71710" w:rsidRDefault="0093249D" w:rsidP="00C65C25">
      <w:pPr>
        <w:pStyle w:val="SCCLsocOtherPartySeparator"/>
        <w:spacing w:after="720"/>
      </w:pPr>
      <w:proofErr w:type="gramStart"/>
      <w:r w:rsidRPr="00F71710">
        <w:t>et</w:t>
      </w:r>
      <w:proofErr w:type="gramEnd"/>
    </w:p>
    <w:p w:rsidR="00D85644" w:rsidRPr="00F71710" w:rsidRDefault="0093249D" w:rsidP="00C65C25">
      <w:pPr>
        <w:pStyle w:val="SCCLsocParty"/>
        <w:tabs>
          <w:tab w:val="right" w:pos="8280"/>
        </w:tabs>
        <w:spacing w:after="720"/>
      </w:pPr>
      <w:proofErr w:type="spellStart"/>
      <w:r w:rsidRPr="00F71710">
        <w:t>Criminal</w:t>
      </w:r>
      <w:proofErr w:type="spellEnd"/>
      <w:r w:rsidRPr="00F71710">
        <w:t xml:space="preserve"> </w:t>
      </w:r>
      <w:proofErr w:type="spellStart"/>
      <w:r w:rsidRPr="00F71710">
        <w:t>Lawyers</w:t>
      </w:r>
      <w:proofErr w:type="spellEnd"/>
      <w:r w:rsidR="002C7CFB">
        <w:t>’</w:t>
      </w:r>
      <w:r w:rsidRPr="00F71710">
        <w:t xml:space="preserve"> Association (Ontario)</w:t>
      </w:r>
      <w:r w:rsidR="00C65C25" w:rsidRPr="00F71710">
        <w:tab/>
      </w:r>
      <w:r w:rsidRPr="00F71710">
        <w:rPr>
          <w:b w:val="0"/>
          <w:i/>
        </w:rPr>
        <w:t>Intervenante</w:t>
      </w:r>
    </w:p>
    <w:p w:rsidR="00426659" w:rsidRPr="00F71710" w:rsidRDefault="0043088E" w:rsidP="00C65C25">
      <w:pPr>
        <w:spacing w:after="720"/>
        <w:jc w:val="both"/>
        <w:rPr>
          <w:b/>
        </w:rPr>
      </w:pPr>
      <w:r w:rsidRPr="00F71710">
        <w:rPr>
          <w:b/>
        </w:rPr>
        <w:t>Répertorié</w:t>
      </w:r>
      <w:r w:rsidR="00C65C25" w:rsidRPr="00F71710">
        <w:rPr>
          <w:b/>
        </w:rPr>
        <w:t> :</w:t>
      </w:r>
      <w:r w:rsidR="00C67CA5" w:rsidRPr="00F71710">
        <w:rPr>
          <w:b/>
        </w:rPr>
        <w:t> </w:t>
      </w:r>
      <w:r w:rsidR="00F25118" w:rsidRPr="00F71710">
        <w:rPr>
          <w:b/>
        </w:rPr>
        <w:t xml:space="preserve">R. </w:t>
      </w:r>
      <w:r w:rsidR="00F25118" w:rsidRPr="00F71710">
        <w:rPr>
          <w:b/>
          <w:i/>
        </w:rPr>
        <w:t>c.</w:t>
      </w:r>
      <w:r w:rsidR="00F25118" w:rsidRPr="00F71710">
        <w:rPr>
          <w:b/>
        </w:rPr>
        <w:t xml:space="preserve"> </w:t>
      </w:r>
      <w:r w:rsidRPr="00F71710">
        <w:rPr>
          <w:rStyle w:val="SCCAppellantForIndexChar"/>
        </w:rPr>
        <w:t>Côté</w:t>
      </w:r>
    </w:p>
    <w:p w:rsidR="00426659" w:rsidRPr="00F71710" w:rsidRDefault="00C0663B" w:rsidP="00C65C25">
      <w:pPr>
        <w:pStyle w:val="SCCSystemYear"/>
        <w:spacing w:after="720"/>
        <w:jc w:val="both"/>
      </w:pPr>
      <w:r w:rsidRPr="00F71710">
        <w:t>2011</w:t>
      </w:r>
      <w:r w:rsidR="00EE0FAF" w:rsidRPr="00F71710">
        <w:t xml:space="preserve"> </w:t>
      </w:r>
      <w:r w:rsidR="00C71F58" w:rsidRPr="00F71710">
        <w:t>C</w:t>
      </w:r>
      <w:r w:rsidR="00426659" w:rsidRPr="00F71710">
        <w:t>SC </w:t>
      </w:r>
      <w:r w:rsidR="003C5AF4" w:rsidRPr="00F71710">
        <w:t>46</w:t>
      </w:r>
    </w:p>
    <w:p w:rsidR="008322BD" w:rsidRPr="00F71710" w:rsidRDefault="009B57B3" w:rsidP="00C65C25">
      <w:pPr>
        <w:spacing w:after="720"/>
        <w:jc w:val="both"/>
      </w:pPr>
      <w:r w:rsidRPr="00F71710">
        <w:t>N</w:t>
      </w:r>
      <w:r w:rsidRPr="00F71710">
        <w:rPr>
          <w:vertAlign w:val="superscript"/>
        </w:rPr>
        <w:t>o</w:t>
      </w:r>
      <w:r w:rsidR="0043088E" w:rsidRPr="00F71710">
        <w:t xml:space="preserve"> du greffe</w:t>
      </w:r>
      <w:r w:rsidR="00C65C25" w:rsidRPr="00F71710">
        <w:t> :</w:t>
      </w:r>
      <w:r w:rsidR="00C67CA5" w:rsidRPr="00F71710">
        <w:t> </w:t>
      </w:r>
      <w:r w:rsidRPr="00F71710">
        <w:t>33645.</w:t>
      </w:r>
    </w:p>
    <w:p w:rsidR="008322BD" w:rsidRPr="00F71710" w:rsidRDefault="00C0663B" w:rsidP="00C65C25">
      <w:pPr>
        <w:spacing w:after="720"/>
        <w:jc w:val="both"/>
      </w:pPr>
      <w:r w:rsidRPr="00F71710">
        <w:t>2011</w:t>
      </w:r>
      <w:r w:rsidR="00C65C25" w:rsidRPr="00F71710">
        <w:t> :</w:t>
      </w:r>
      <w:r w:rsidR="001966C1" w:rsidRPr="00F71710">
        <w:t> </w:t>
      </w:r>
      <w:r w:rsidRPr="00F71710">
        <w:t>15</w:t>
      </w:r>
      <w:r w:rsidR="001966C1" w:rsidRPr="00F71710">
        <w:t> </w:t>
      </w:r>
      <w:r w:rsidRPr="00F71710">
        <w:t>mars</w:t>
      </w:r>
      <w:r w:rsidR="009B57B3" w:rsidRPr="00F71710">
        <w:t xml:space="preserve">; </w:t>
      </w:r>
      <w:r w:rsidR="00056875" w:rsidRPr="00F71710">
        <w:t>2011</w:t>
      </w:r>
      <w:r w:rsidR="00C65C25" w:rsidRPr="00F71710">
        <w:t> :</w:t>
      </w:r>
      <w:r w:rsidR="001966C1" w:rsidRPr="00F71710">
        <w:t> 14 </w:t>
      </w:r>
      <w:r w:rsidR="00056875" w:rsidRPr="00F71710">
        <w:t>octobre</w:t>
      </w:r>
      <w:r w:rsidR="009B57B3" w:rsidRPr="00F71710">
        <w:t>.</w:t>
      </w:r>
    </w:p>
    <w:p w:rsidR="008322BD" w:rsidRPr="00F71710" w:rsidRDefault="009B57B3" w:rsidP="00C65C25">
      <w:pPr>
        <w:spacing w:after="720"/>
        <w:jc w:val="both"/>
      </w:pPr>
      <w:r w:rsidRPr="00F71710">
        <w:t>Pr</w:t>
      </w:r>
      <w:r w:rsidR="0043088E" w:rsidRPr="00F71710">
        <w:t>é</w:t>
      </w:r>
      <w:r w:rsidRPr="00F71710">
        <w:t>sent</w:t>
      </w:r>
      <w:r w:rsidR="008A6558" w:rsidRPr="00F71710">
        <w:t>s</w:t>
      </w:r>
      <w:r w:rsidR="00C65C25" w:rsidRPr="00F71710">
        <w:t> :</w:t>
      </w:r>
      <w:r w:rsidR="00C67CA5" w:rsidRPr="00F71710">
        <w:t> </w:t>
      </w:r>
      <w:r w:rsidRPr="00F71710">
        <w:t xml:space="preserve">La juge en chef </w:t>
      </w:r>
      <w:proofErr w:type="spellStart"/>
      <w:r w:rsidRPr="00F71710">
        <w:t>McLachlin</w:t>
      </w:r>
      <w:proofErr w:type="spellEnd"/>
      <w:r w:rsidRPr="00F71710">
        <w:t xml:space="preserve"> et les juges </w:t>
      </w:r>
      <w:proofErr w:type="spellStart"/>
      <w:r w:rsidRPr="00F71710">
        <w:t>Binnie</w:t>
      </w:r>
      <w:proofErr w:type="spellEnd"/>
      <w:r w:rsidRPr="00F71710">
        <w:t xml:space="preserve">, </w:t>
      </w:r>
      <w:proofErr w:type="spellStart"/>
      <w:r w:rsidRPr="00F71710">
        <w:t>LeBel</w:t>
      </w:r>
      <w:proofErr w:type="spellEnd"/>
      <w:r w:rsidRPr="00F71710">
        <w:t xml:space="preserve">, Deschamps, Fish, Abella, Charron, </w:t>
      </w:r>
      <w:proofErr w:type="spellStart"/>
      <w:r w:rsidRPr="00F71710">
        <w:t>Rothstein</w:t>
      </w:r>
      <w:proofErr w:type="spellEnd"/>
      <w:r w:rsidRPr="00F71710">
        <w:t xml:space="preserve"> et Cromwell.</w:t>
      </w:r>
    </w:p>
    <w:p w:rsidR="008322BD" w:rsidRPr="00F71710" w:rsidRDefault="00AC7437" w:rsidP="00C65C25">
      <w:pPr>
        <w:pStyle w:val="SCCLowerCourtNameLowercase"/>
        <w:spacing w:after="720" w:line="240" w:lineRule="auto"/>
      </w:pPr>
      <w:r w:rsidRPr="00F71710">
        <w:t>e</w:t>
      </w:r>
      <w:r w:rsidR="00855307" w:rsidRPr="00F71710">
        <w:t>n</w:t>
      </w:r>
      <w:r w:rsidR="00224FC0" w:rsidRPr="00F71710">
        <w:t xml:space="preserve"> </w:t>
      </w:r>
      <w:r w:rsidR="00855307" w:rsidRPr="00F71710">
        <w:t>appel</w:t>
      </w:r>
      <w:r w:rsidR="00224FC0" w:rsidRPr="00F71710">
        <w:t xml:space="preserve"> </w:t>
      </w:r>
      <w:r w:rsidR="00855307" w:rsidRPr="00F71710">
        <w:t>de</w:t>
      </w:r>
      <w:r w:rsidR="0043088E" w:rsidRPr="00F71710">
        <w:t xml:space="preserve"> </w:t>
      </w:r>
      <w:r w:rsidR="00855307" w:rsidRPr="00F71710">
        <w:t>la</w:t>
      </w:r>
      <w:r w:rsidR="00224FC0" w:rsidRPr="00F71710">
        <w:t xml:space="preserve"> </w:t>
      </w:r>
      <w:r w:rsidR="009B57B3" w:rsidRPr="00F71710">
        <w:t>cour d</w:t>
      </w:r>
      <w:r w:rsidR="002C7CFB">
        <w:t>’</w:t>
      </w:r>
      <w:r w:rsidR="009B57B3" w:rsidRPr="00F71710">
        <w:t xml:space="preserve">appel du </w:t>
      </w:r>
      <w:proofErr w:type="spellStart"/>
      <w:r w:rsidR="009B57B3" w:rsidRPr="00F71710">
        <w:t>québec</w:t>
      </w:r>
      <w:proofErr w:type="spellEnd"/>
    </w:p>
    <w:p w:rsidR="00B03445" w:rsidRPr="00F71710" w:rsidRDefault="00C65C25" w:rsidP="005E742A">
      <w:pPr>
        <w:pStyle w:val="SCCNormalDoubleSpacing"/>
        <w:spacing w:after="480"/>
      </w:pPr>
      <w:r w:rsidRPr="00F71710">
        <w:lastRenderedPageBreak/>
        <w:tab/>
      </w:r>
      <w:r w:rsidR="00056875" w:rsidRPr="00F71710">
        <w:rPr>
          <w:i/>
        </w:rPr>
        <w:t xml:space="preserve">Droit constitutionnel </w:t>
      </w:r>
      <w:r w:rsidR="00AA37A0" w:rsidRPr="00F71710">
        <w:rPr>
          <w:i/>
        </w:rPr>
        <w:t>—</w:t>
      </w:r>
      <w:r w:rsidR="00056875" w:rsidRPr="00F71710">
        <w:rPr>
          <w:i/>
        </w:rPr>
        <w:t xml:space="preserve"> Charte des droits </w:t>
      </w:r>
      <w:r w:rsidR="00AA37A0" w:rsidRPr="00F71710">
        <w:rPr>
          <w:i/>
        </w:rPr>
        <w:t>—</w:t>
      </w:r>
      <w:r w:rsidR="00056875" w:rsidRPr="00F71710">
        <w:rPr>
          <w:i/>
        </w:rPr>
        <w:t xml:space="preserve"> </w:t>
      </w:r>
      <w:r w:rsidR="00EC0067">
        <w:rPr>
          <w:i/>
        </w:rPr>
        <w:t>Répar</w:t>
      </w:r>
      <w:r w:rsidR="00056875" w:rsidRPr="00F71710">
        <w:rPr>
          <w:i/>
        </w:rPr>
        <w:t xml:space="preserve">ation </w:t>
      </w:r>
      <w:r w:rsidR="00AA37A0" w:rsidRPr="00F71710">
        <w:rPr>
          <w:i/>
        </w:rPr>
        <w:t>—</w:t>
      </w:r>
      <w:r w:rsidR="00AA3182" w:rsidRPr="00F71710">
        <w:rPr>
          <w:i/>
        </w:rPr>
        <w:t xml:space="preserve"> </w:t>
      </w:r>
      <w:r w:rsidR="00056875" w:rsidRPr="00F71710">
        <w:rPr>
          <w:i/>
        </w:rPr>
        <w:t xml:space="preserve">Exclusion de la preuve </w:t>
      </w:r>
      <w:r w:rsidR="00AA37A0" w:rsidRPr="00F71710">
        <w:rPr>
          <w:i/>
        </w:rPr>
        <w:t>—</w:t>
      </w:r>
      <w:r w:rsidR="00056875" w:rsidRPr="00F71710">
        <w:rPr>
          <w:i/>
        </w:rPr>
        <w:t xml:space="preserve"> Accusation de meurtre au </w:t>
      </w:r>
      <w:r w:rsidR="00E30D9E" w:rsidRPr="00F71710">
        <w:rPr>
          <w:i/>
        </w:rPr>
        <w:t>deuxième</w:t>
      </w:r>
      <w:r w:rsidR="00056875" w:rsidRPr="00F71710">
        <w:rPr>
          <w:i/>
        </w:rPr>
        <w:t xml:space="preserve"> degré </w:t>
      </w:r>
      <w:r w:rsidR="00AA37A0" w:rsidRPr="00F71710">
        <w:rPr>
          <w:i/>
        </w:rPr>
        <w:t>—</w:t>
      </w:r>
      <w:r w:rsidR="00056875" w:rsidRPr="00F71710">
        <w:rPr>
          <w:i/>
        </w:rPr>
        <w:t xml:space="preserve"> Résidence de l</w:t>
      </w:r>
      <w:r w:rsidR="002C7CFB">
        <w:rPr>
          <w:i/>
        </w:rPr>
        <w:t>’</w:t>
      </w:r>
      <w:r w:rsidR="00056875" w:rsidRPr="00F71710">
        <w:rPr>
          <w:i/>
        </w:rPr>
        <w:t xml:space="preserve">accusée soumise à une fouille policière sans mandats valides </w:t>
      </w:r>
      <w:r w:rsidR="00AA37A0" w:rsidRPr="00F71710">
        <w:rPr>
          <w:i/>
        </w:rPr>
        <w:t>—</w:t>
      </w:r>
      <w:r w:rsidR="00056875" w:rsidRPr="00F71710">
        <w:rPr>
          <w:i/>
        </w:rPr>
        <w:t xml:space="preserve"> Conclusion du juge du procès selon laquelle, tout au long de l</w:t>
      </w:r>
      <w:r w:rsidR="002C7CFB">
        <w:rPr>
          <w:i/>
        </w:rPr>
        <w:t>’</w:t>
      </w:r>
      <w:r w:rsidR="00056875" w:rsidRPr="00F71710">
        <w:rPr>
          <w:i/>
        </w:rPr>
        <w:t>enquête, les policiers n</w:t>
      </w:r>
      <w:r w:rsidR="002C7CFB">
        <w:rPr>
          <w:i/>
        </w:rPr>
        <w:t>’</w:t>
      </w:r>
      <w:r w:rsidR="00056875" w:rsidRPr="00F71710">
        <w:rPr>
          <w:i/>
        </w:rPr>
        <w:t>ont pas agi de bonne foi et ont fait preuve d</w:t>
      </w:r>
      <w:r w:rsidR="002C7CFB">
        <w:rPr>
          <w:i/>
        </w:rPr>
        <w:t>’</w:t>
      </w:r>
      <w:r w:rsidR="00B03445" w:rsidRPr="00F71710">
        <w:rPr>
          <w:i/>
        </w:rPr>
        <w:t>un</w:t>
      </w:r>
      <w:r w:rsidR="00056875" w:rsidRPr="00F71710">
        <w:rPr>
          <w:i/>
        </w:rPr>
        <w:t xml:space="preserve"> mépris </w:t>
      </w:r>
      <w:r w:rsidR="00B03445" w:rsidRPr="00F71710">
        <w:rPr>
          <w:i/>
        </w:rPr>
        <w:t xml:space="preserve">flagrant </w:t>
      </w:r>
      <w:proofErr w:type="spellStart"/>
      <w:r w:rsidR="00056875" w:rsidRPr="00F71710">
        <w:rPr>
          <w:i/>
        </w:rPr>
        <w:t>vis</w:t>
      </w:r>
      <w:r w:rsidRPr="00F71710">
        <w:rPr>
          <w:i/>
        </w:rPr>
        <w:noBreakHyphen/>
      </w:r>
      <w:r w:rsidR="00056875" w:rsidRPr="00F71710">
        <w:rPr>
          <w:i/>
        </w:rPr>
        <w:t>à</w:t>
      </w:r>
      <w:r w:rsidRPr="00F71710">
        <w:rPr>
          <w:i/>
        </w:rPr>
        <w:noBreakHyphen/>
      </w:r>
      <w:r w:rsidR="00056875" w:rsidRPr="00F71710">
        <w:rPr>
          <w:i/>
        </w:rPr>
        <w:t>vis</w:t>
      </w:r>
      <w:proofErr w:type="spellEnd"/>
      <w:r w:rsidR="00056875" w:rsidRPr="00F71710">
        <w:rPr>
          <w:i/>
        </w:rPr>
        <w:t xml:space="preserve"> des droits constitutionnels de l</w:t>
      </w:r>
      <w:r w:rsidR="002C7CFB">
        <w:rPr>
          <w:i/>
        </w:rPr>
        <w:t>’</w:t>
      </w:r>
      <w:r w:rsidR="00056875" w:rsidRPr="00F71710">
        <w:rPr>
          <w:i/>
        </w:rPr>
        <w:t xml:space="preserve">accusée </w:t>
      </w:r>
      <w:r w:rsidR="00AA37A0" w:rsidRPr="00F71710">
        <w:rPr>
          <w:i/>
        </w:rPr>
        <w:t>—</w:t>
      </w:r>
      <w:r w:rsidR="00B03445" w:rsidRPr="00F71710">
        <w:rPr>
          <w:i/>
        </w:rPr>
        <w:t xml:space="preserve"> Le juge du procès </w:t>
      </w:r>
      <w:r w:rsidR="00E30D9E" w:rsidRPr="00F71710">
        <w:rPr>
          <w:i/>
        </w:rPr>
        <w:t xml:space="preserve">a </w:t>
      </w:r>
      <w:r w:rsidR="00B03445" w:rsidRPr="00F71710">
        <w:rPr>
          <w:i/>
        </w:rPr>
        <w:t>estim</w:t>
      </w:r>
      <w:r w:rsidR="00E30D9E" w:rsidRPr="00F71710">
        <w:rPr>
          <w:i/>
        </w:rPr>
        <w:t>é</w:t>
      </w:r>
      <w:r w:rsidR="00B03445" w:rsidRPr="00F71710">
        <w:rPr>
          <w:i/>
        </w:rPr>
        <w:t xml:space="preserve"> qu</w:t>
      </w:r>
      <w:r w:rsidR="002C7CFB">
        <w:rPr>
          <w:i/>
        </w:rPr>
        <w:t>’</w:t>
      </w:r>
      <w:r w:rsidR="00B03445" w:rsidRPr="00F71710">
        <w:rPr>
          <w:i/>
        </w:rPr>
        <w:t>utilis</w:t>
      </w:r>
      <w:r w:rsidR="00E30D9E" w:rsidRPr="00F71710">
        <w:rPr>
          <w:i/>
        </w:rPr>
        <w:t>er</w:t>
      </w:r>
      <w:r w:rsidR="00B03445" w:rsidRPr="00F71710">
        <w:rPr>
          <w:i/>
        </w:rPr>
        <w:t xml:space="preserve"> la preuve en dépit de cette conduite consternante des policiers </w:t>
      </w:r>
      <w:r w:rsidR="00E30D9E" w:rsidRPr="00F71710">
        <w:rPr>
          <w:i/>
        </w:rPr>
        <w:t>était</w:t>
      </w:r>
      <w:r w:rsidR="00B03445" w:rsidRPr="00F71710">
        <w:rPr>
          <w:i/>
        </w:rPr>
        <w:t xml:space="preserve"> susceptible de déconsidérer l</w:t>
      </w:r>
      <w:r w:rsidR="002C7CFB">
        <w:rPr>
          <w:i/>
        </w:rPr>
        <w:t>’</w:t>
      </w:r>
      <w:r w:rsidR="00B03445" w:rsidRPr="00F71710">
        <w:rPr>
          <w:i/>
        </w:rPr>
        <w:t>administration de la justice</w:t>
      </w:r>
      <w:r w:rsidR="00E30D9E" w:rsidRPr="00F71710">
        <w:rPr>
          <w:i/>
        </w:rPr>
        <w:t>; e</w:t>
      </w:r>
      <w:r w:rsidR="00B03445" w:rsidRPr="00F71710">
        <w:rPr>
          <w:i/>
        </w:rPr>
        <w:t xml:space="preserve">t même si cette conclusion </w:t>
      </w:r>
      <w:r w:rsidR="00E30D9E" w:rsidRPr="00F71710">
        <w:rPr>
          <w:i/>
        </w:rPr>
        <w:t>devait</w:t>
      </w:r>
      <w:r w:rsidR="00B03445" w:rsidRPr="00F71710">
        <w:rPr>
          <w:i/>
        </w:rPr>
        <w:t xml:space="preserve"> mener à l</w:t>
      </w:r>
      <w:r w:rsidR="002C7CFB">
        <w:rPr>
          <w:i/>
        </w:rPr>
        <w:t>’</w:t>
      </w:r>
      <w:r w:rsidR="00B03445" w:rsidRPr="00F71710">
        <w:rPr>
          <w:i/>
        </w:rPr>
        <w:t>acquittement de l</w:t>
      </w:r>
      <w:r w:rsidR="002C7CFB">
        <w:rPr>
          <w:i/>
        </w:rPr>
        <w:t>’</w:t>
      </w:r>
      <w:r w:rsidR="00B03445" w:rsidRPr="00F71710">
        <w:rPr>
          <w:i/>
        </w:rPr>
        <w:t>auteur d</w:t>
      </w:r>
      <w:r w:rsidR="002C7CFB">
        <w:rPr>
          <w:i/>
        </w:rPr>
        <w:t>’</w:t>
      </w:r>
      <w:r w:rsidR="00AA37A0" w:rsidRPr="00F71710">
        <w:rPr>
          <w:i/>
        </w:rPr>
        <w:t>un crime grave, il</w:t>
      </w:r>
      <w:r w:rsidR="00E30D9E" w:rsidRPr="00F71710">
        <w:rPr>
          <w:i/>
        </w:rPr>
        <w:t xml:space="preserve"> a</w:t>
      </w:r>
      <w:r w:rsidR="00B03445" w:rsidRPr="00F71710">
        <w:rPr>
          <w:i/>
        </w:rPr>
        <w:t xml:space="preserve"> </w:t>
      </w:r>
      <w:r w:rsidR="00E30D9E" w:rsidRPr="00F71710">
        <w:rPr>
          <w:i/>
        </w:rPr>
        <w:t xml:space="preserve">néanmoins </w:t>
      </w:r>
      <w:r w:rsidR="00B03445" w:rsidRPr="00F71710">
        <w:rPr>
          <w:i/>
        </w:rPr>
        <w:t>écart</w:t>
      </w:r>
      <w:r w:rsidR="00E30D9E" w:rsidRPr="00F71710">
        <w:rPr>
          <w:i/>
        </w:rPr>
        <w:t>é</w:t>
      </w:r>
      <w:r w:rsidR="00B03445" w:rsidRPr="00F71710">
        <w:rPr>
          <w:i/>
        </w:rPr>
        <w:t xml:space="preserve"> la preuve </w:t>
      </w:r>
      <w:r w:rsidR="00AA37A0" w:rsidRPr="00F71710">
        <w:rPr>
          <w:i/>
        </w:rPr>
        <w:t>—</w:t>
      </w:r>
      <w:r w:rsidR="00B03445" w:rsidRPr="00F71710">
        <w:rPr>
          <w:i/>
        </w:rPr>
        <w:t xml:space="preserve"> La Cour d</w:t>
      </w:r>
      <w:r w:rsidR="002C7CFB">
        <w:rPr>
          <w:i/>
        </w:rPr>
        <w:t>’</w:t>
      </w:r>
      <w:r w:rsidR="00B03445" w:rsidRPr="00F71710">
        <w:rPr>
          <w:i/>
        </w:rPr>
        <w:t xml:space="preserve">appel </w:t>
      </w:r>
      <w:proofErr w:type="spellStart"/>
      <w:r w:rsidR="00B03445" w:rsidRPr="00F71710">
        <w:rPr>
          <w:i/>
        </w:rPr>
        <w:t>a</w:t>
      </w:r>
      <w:r w:rsidRPr="00F71710">
        <w:rPr>
          <w:i/>
        </w:rPr>
        <w:noBreakHyphen/>
      </w:r>
      <w:r w:rsidR="00B03445" w:rsidRPr="00F71710">
        <w:rPr>
          <w:i/>
        </w:rPr>
        <w:t>t</w:t>
      </w:r>
      <w:r w:rsidRPr="00F71710">
        <w:rPr>
          <w:i/>
        </w:rPr>
        <w:noBreakHyphen/>
      </w:r>
      <w:r w:rsidR="00B03445" w:rsidRPr="00F71710">
        <w:rPr>
          <w:i/>
        </w:rPr>
        <w:t>elle</w:t>
      </w:r>
      <w:proofErr w:type="spellEnd"/>
      <w:r w:rsidR="00B03445" w:rsidRPr="00F71710">
        <w:rPr>
          <w:i/>
        </w:rPr>
        <w:t xml:space="preserve"> eu tort d</w:t>
      </w:r>
      <w:r w:rsidR="002C7CFB">
        <w:rPr>
          <w:i/>
        </w:rPr>
        <w:t>’</w:t>
      </w:r>
      <w:r w:rsidR="00B03445" w:rsidRPr="00F71710">
        <w:rPr>
          <w:i/>
        </w:rPr>
        <w:t>intervenir au motif que les policiers n</w:t>
      </w:r>
      <w:r w:rsidR="002C7CFB">
        <w:rPr>
          <w:i/>
        </w:rPr>
        <w:t>’</w:t>
      </w:r>
      <w:r w:rsidR="00B03445" w:rsidRPr="00F71710">
        <w:rPr>
          <w:i/>
        </w:rPr>
        <w:t>avaient pas délibérément agi de manière abusive et que le crime était grave?</w:t>
      </w:r>
      <w:r w:rsidR="00BD39A8" w:rsidRPr="00F71710">
        <w:rPr>
          <w:i/>
        </w:rPr>
        <w:t xml:space="preserve"> </w:t>
      </w:r>
      <w:r w:rsidR="00AA37A0" w:rsidRPr="00F71710">
        <w:rPr>
          <w:i/>
        </w:rPr>
        <w:t>—</w:t>
      </w:r>
      <w:r w:rsidR="00B03445" w:rsidRPr="00F71710">
        <w:rPr>
          <w:i/>
        </w:rPr>
        <w:t xml:space="preserve"> </w:t>
      </w:r>
      <w:proofErr w:type="spellStart"/>
      <w:r w:rsidR="00B03445" w:rsidRPr="00F71710">
        <w:rPr>
          <w:i/>
        </w:rPr>
        <w:t>A</w:t>
      </w:r>
      <w:r w:rsidRPr="00F71710">
        <w:rPr>
          <w:i/>
        </w:rPr>
        <w:noBreakHyphen/>
      </w:r>
      <w:r w:rsidR="00B03445" w:rsidRPr="00F71710">
        <w:rPr>
          <w:i/>
        </w:rPr>
        <w:t>t</w:t>
      </w:r>
      <w:r w:rsidRPr="00F71710">
        <w:rPr>
          <w:i/>
        </w:rPr>
        <w:noBreakHyphen/>
      </w:r>
      <w:r w:rsidR="00B03445" w:rsidRPr="00F71710">
        <w:rPr>
          <w:i/>
        </w:rPr>
        <w:t>elle</w:t>
      </w:r>
      <w:proofErr w:type="spellEnd"/>
      <w:r w:rsidR="00B03445" w:rsidRPr="00F71710">
        <w:rPr>
          <w:i/>
        </w:rPr>
        <w:t xml:space="preserve"> eu tort d</w:t>
      </w:r>
      <w:r w:rsidR="002C7CFB">
        <w:rPr>
          <w:i/>
        </w:rPr>
        <w:t>’</w:t>
      </w:r>
      <w:r w:rsidR="00B03445" w:rsidRPr="00F71710">
        <w:rPr>
          <w:i/>
        </w:rPr>
        <w:t xml:space="preserve">intervenir </w:t>
      </w:r>
      <w:r w:rsidR="007121CA" w:rsidRPr="00F71710">
        <w:rPr>
          <w:i/>
        </w:rPr>
        <w:t xml:space="preserve">au motif </w:t>
      </w:r>
      <w:r w:rsidR="00B03445" w:rsidRPr="00F71710">
        <w:rPr>
          <w:i/>
        </w:rPr>
        <w:t xml:space="preserve">que la preuve </w:t>
      </w:r>
      <w:r w:rsidR="007121CA" w:rsidRPr="00F71710">
        <w:rPr>
          <w:i/>
        </w:rPr>
        <w:t>aur</w:t>
      </w:r>
      <w:r w:rsidR="00B03445" w:rsidRPr="00F71710">
        <w:rPr>
          <w:i/>
        </w:rPr>
        <w:t>ait pu être recueillie légalement avec un mandat, sans la participation de l</w:t>
      </w:r>
      <w:r w:rsidR="002C7CFB">
        <w:rPr>
          <w:i/>
        </w:rPr>
        <w:t>’</w:t>
      </w:r>
      <w:r w:rsidR="00B03445" w:rsidRPr="00F71710">
        <w:rPr>
          <w:i/>
        </w:rPr>
        <w:t>a</w:t>
      </w:r>
      <w:r w:rsidR="00EC0067">
        <w:rPr>
          <w:i/>
        </w:rPr>
        <w:t>ccusé</w:t>
      </w:r>
      <w:r w:rsidR="00B03445" w:rsidRPr="00F71710">
        <w:rPr>
          <w:i/>
        </w:rPr>
        <w:t xml:space="preserve">e? </w:t>
      </w:r>
      <w:r w:rsidR="00AA37A0" w:rsidRPr="00F71710">
        <w:rPr>
          <w:i/>
        </w:rPr>
        <w:t>—</w:t>
      </w:r>
      <w:r w:rsidR="007121CA" w:rsidRPr="00F71710">
        <w:rPr>
          <w:i/>
        </w:rPr>
        <w:t xml:space="preserve"> Charte canadienne des droits et libertés, </w:t>
      </w:r>
      <w:r w:rsidRPr="00F71710">
        <w:rPr>
          <w:i/>
        </w:rPr>
        <w:t>art. </w:t>
      </w:r>
      <w:r w:rsidR="007121CA" w:rsidRPr="00F71710">
        <w:rPr>
          <w:i/>
        </w:rPr>
        <w:t>24(2).</w:t>
      </w:r>
    </w:p>
    <w:p w:rsidR="00210CA7" w:rsidRPr="00F71710" w:rsidRDefault="009B57B3" w:rsidP="005E742A">
      <w:pPr>
        <w:pStyle w:val="SCCNormalDoubleSpacing"/>
        <w:tabs>
          <w:tab w:val="clear" w:pos="1168"/>
          <w:tab w:val="left" w:pos="1170"/>
        </w:tabs>
        <w:spacing w:after="480"/>
      </w:pPr>
      <w:r w:rsidRPr="00F71710">
        <w:tab/>
      </w:r>
      <w:r w:rsidR="00B1337C" w:rsidRPr="00F71710">
        <w:t>L</w:t>
      </w:r>
      <w:r w:rsidR="00C65C25" w:rsidRPr="00F71710">
        <w:t>e 22 </w:t>
      </w:r>
      <w:r w:rsidR="007121CA" w:rsidRPr="00F71710">
        <w:t xml:space="preserve">juillet 2006, </w:t>
      </w:r>
      <w:r w:rsidR="00B1337C" w:rsidRPr="00F71710">
        <w:t xml:space="preserve">vers 21 h, </w:t>
      </w:r>
      <w:r w:rsidR="007121CA" w:rsidRPr="00F71710">
        <w:t>C a composé le 9</w:t>
      </w:r>
      <w:r w:rsidR="00C65C25" w:rsidRPr="00F71710">
        <w:noBreakHyphen/>
      </w:r>
      <w:r w:rsidR="007121CA" w:rsidRPr="00F71710">
        <w:t>1</w:t>
      </w:r>
      <w:r w:rsidR="00C65C25" w:rsidRPr="00F71710">
        <w:noBreakHyphen/>
      </w:r>
      <w:r w:rsidR="007121CA" w:rsidRPr="00F71710">
        <w:t>1 pour signaler que son conjoint, H, avait été blessé</w:t>
      </w:r>
      <w:r w:rsidR="00BA26A0" w:rsidRPr="00F71710">
        <w:t xml:space="preserve">.  </w:t>
      </w:r>
      <w:r w:rsidR="009E0C02" w:rsidRPr="00F71710">
        <w:t>À l</w:t>
      </w:r>
      <w:r w:rsidR="002C7CFB">
        <w:t>’</w:t>
      </w:r>
      <w:r w:rsidR="009E0C02" w:rsidRPr="00F71710">
        <w:t>hôpital, le médecin de garde a établi que H avait subi des lésions à la tête et il a confirmé la présence d</w:t>
      </w:r>
      <w:r w:rsidR="002C7CFB">
        <w:t>’</w:t>
      </w:r>
      <w:r w:rsidR="009E0C02" w:rsidRPr="00F71710">
        <w:t>un objet métallique dans le crâne de H, ce dont il a informé les policiers</w:t>
      </w:r>
      <w:r w:rsidR="00BA26A0" w:rsidRPr="00F71710">
        <w:t xml:space="preserve">.  </w:t>
      </w:r>
      <w:r w:rsidR="009E0C02" w:rsidRPr="00F71710">
        <w:t>Ces derniers se sont présentés chez C vers minuit</w:t>
      </w:r>
      <w:r w:rsidR="00BA26A0" w:rsidRPr="00F71710">
        <w:t xml:space="preserve">.  </w:t>
      </w:r>
      <w:r w:rsidR="009E0C02" w:rsidRPr="00F71710">
        <w:t xml:space="preserve">Les lumières étaient </w:t>
      </w:r>
      <w:proofErr w:type="gramStart"/>
      <w:r w:rsidR="009E0C02" w:rsidRPr="00F71710">
        <w:t>éteintes</w:t>
      </w:r>
      <w:proofErr w:type="gramEnd"/>
      <w:r w:rsidR="009E0C02" w:rsidRPr="00F71710">
        <w:t xml:space="preserve"> et le calme régnait</w:t>
      </w:r>
      <w:r w:rsidR="00BA26A0" w:rsidRPr="00F71710">
        <w:t xml:space="preserve">.  </w:t>
      </w:r>
      <w:r w:rsidR="001555FA" w:rsidRPr="00F71710">
        <w:t>Vêtue d</w:t>
      </w:r>
      <w:r w:rsidR="002C7CFB">
        <w:t>’</w:t>
      </w:r>
      <w:r w:rsidR="001555FA" w:rsidRPr="00F71710">
        <w:t>un pyjama, C leur a ouvert</w:t>
      </w:r>
      <w:r w:rsidR="00BA26A0" w:rsidRPr="00F71710">
        <w:t xml:space="preserve">.  </w:t>
      </w:r>
      <w:r w:rsidR="001555FA" w:rsidRPr="00F71710">
        <w:t>Les agents ont expliqué qu</w:t>
      </w:r>
      <w:r w:rsidR="002C7CFB">
        <w:t>’</w:t>
      </w:r>
      <w:r w:rsidR="001555FA" w:rsidRPr="00F71710">
        <w:t xml:space="preserve">ils voulaient </w:t>
      </w:r>
      <w:r w:rsidR="00B1337C" w:rsidRPr="00F71710">
        <w:t xml:space="preserve">déterminer </w:t>
      </w:r>
      <w:r w:rsidR="001555FA" w:rsidRPr="00F71710">
        <w:t>ce qui s</w:t>
      </w:r>
      <w:r w:rsidR="002C7CFB">
        <w:t>’</w:t>
      </w:r>
      <w:r w:rsidR="001555FA" w:rsidRPr="00F71710">
        <w:t>était produit et vérifier la sûreté des lieux, mais ils ne lui ont pas révélé qu</w:t>
      </w:r>
      <w:r w:rsidR="002C7CFB">
        <w:t>’</w:t>
      </w:r>
      <w:r w:rsidR="001555FA" w:rsidRPr="00F71710">
        <w:t>ils croyaient que H avait subi une blessure par balle</w:t>
      </w:r>
      <w:r w:rsidR="00BA26A0" w:rsidRPr="00F71710">
        <w:t xml:space="preserve">.  </w:t>
      </w:r>
      <w:r w:rsidR="00252271">
        <w:t>Suivis</w:t>
      </w:r>
      <w:r w:rsidR="001555FA" w:rsidRPr="00F71710">
        <w:t xml:space="preserve"> de C, les policiers ont inspecté l</w:t>
      </w:r>
      <w:r w:rsidR="002C7CFB">
        <w:t>’</w:t>
      </w:r>
      <w:r w:rsidR="001555FA" w:rsidRPr="00F71710">
        <w:t>intérieur et l</w:t>
      </w:r>
      <w:r w:rsidR="002C7CFB">
        <w:t>’</w:t>
      </w:r>
      <w:r w:rsidR="001555FA" w:rsidRPr="00F71710">
        <w:t xml:space="preserve">extérieur de la résidence, y compris un </w:t>
      </w:r>
      <w:proofErr w:type="spellStart"/>
      <w:r w:rsidR="001555FA" w:rsidRPr="00F71710">
        <w:t>gazebo</w:t>
      </w:r>
      <w:proofErr w:type="spellEnd"/>
      <w:r w:rsidR="001555FA" w:rsidRPr="00F71710">
        <w:t xml:space="preserve"> (ou gloriette)</w:t>
      </w:r>
      <w:r w:rsidR="00BA26A0" w:rsidRPr="00F71710">
        <w:t xml:space="preserve">.  </w:t>
      </w:r>
      <w:r w:rsidR="001555FA" w:rsidRPr="00F71710">
        <w:t>Ils l</w:t>
      </w:r>
      <w:r w:rsidR="002C7CFB">
        <w:t>’</w:t>
      </w:r>
      <w:r w:rsidR="001555FA" w:rsidRPr="00F71710">
        <w:t xml:space="preserve">ont </w:t>
      </w:r>
      <w:r w:rsidR="001555FA" w:rsidRPr="00F71710">
        <w:lastRenderedPageBreak/>
        <w:t>interrogée sur la présence d</w:t>
      </w:r>
      <w:r w:rsidR="002C7CFB">
        <w:t>’</w:t>
      </w:r>
      <w:r w:rsidR="001555FA" w:rsidRPr="00F71710">
        <w:t>armes à feu dans la maison</w:t>
      </w:r>
      <w:r w:rsidR="00BA26A0" w:rsidRPr="00F71710">
        <w:t xml:space="preserve">.  </w:t>
      </w:r>
      <w:r w:rsidR="00210CA7" w:rsidRPr="00F71710">
        <w:t>Elle a confirmé qu</w:t>
      </w:r>
      <w:r w:rsidR="002C7CFB">
        <w:t>’</w:t>
      </w:r>
      <w:r w:rsidR="00210CA7" w:rsidRPr="00F71710">
        <w:t xml:space="preserve">il y </w:t>
      </w:r>
      <w:r w:rsidR="00B1337C" w:rsidRPr="00F71710">
        <w:t xml:space="preserve">en </w:t>
      </w:r>
      <w:r w:rsidR="00210CA7" w:rsidRPr="00F71710">
        <w:t>avait deux, mais elle a pu en trouver qu</w:t>
      </w:r>
      <w:r w:rsidR="002C7CFB">
        <w:t>’</w:t>
      </w:r>
      <w:r w:rsidR="00210CA7" w:rsidRPr="00F71710">
        <w:t>une seule</w:t>
      </w:r>
      <w:r w:rsidR="00E30D9E" w:rsidRPr="00F71710">
        <w:t>, qu</w:t>
      </w:r>
      <w:r w:rsidR="002C7CFB">
        <w:t>’</w:t>
      </w:r>
      <w:r w:rsidR="00E30D9E" w:rsidRPr="00F71710">
        <w:t>elle leur a montrée</w:t>
      </w:r>
      <w:r w:rsidR="00BA26A0" w:rsidRPr="00F71710">
        <w:t xml:space="preserve">.  </w:t>
      </w:r>
      <w:r w:rsidR="00210CA7" w:rsidRPr="00F71710">
        <w:t>Les policiers ont ultérieurement obtenu des mandats qu</w:t>
      </w:r>
      <w:r w:rsidR="002C7CFB">
        <w:t>’</w:t>
      </w:r>
      <w:r w:rsidR="00210CA7" w:rsidRPr="00F71710">
        <w:t>ils ont exécutés à la résidence de C</w:t>
      </w:r>
      <w:r w:rsidR="00BA26A0" w:rsidRPr="00F71710">
        <w:t xml:space="preserve">.  </w:t>
      </w:r>
      <w:r w:rsidR="00210CA7" w:rsidRPr="00F71710">
        <w:t>Ils ont découvert une</w:t>
      </w:r>
      <w:r w:rsidR="001555FA" w:rsidRPr="00F71710">
        <w:t xml:space="preserve"> </w:t>
      </w:r>
      <w:r w:rsidR="00C65C25" w:rsidRPr="00F71710">
        <w:t>carabine de calibre </w:t>
      </w:r>
      <w:r w:rsidR="006E7471">
        <w:t>.</w:t>
      </w:r>
      <w:r w:rsidR="00210CA7" w:rsidRPr="00F71710">
        <w:t xml:space="preserve">22, soit le calibre du projectile retiré du crâne de </w:t>
      </w:r>
      <w:r w:rsidR="004F1D70" w:rsidRPr="00F71710">
        <w:t>H</w:t>
      </w:r>
      <w:r w:rsidR="00210CA7" w:rsidRPr="00F71710">
        <w:t>.</w:t>
      </w:r>
    </w:p>
    <w:p w:rsidR="002578AC" w:rsidRPr="00F71710" w:rsidRDefault="004F1D70" w:rsidP="00C65C25">
      <w:pPr>
        <w:pStyle w:val="SCCNormalDoubleSpacing"/>
        <w:spacing w:after="480"/>
      </w:pPr>
      <w:r w:rsidRPr="00F71710">
        <w:tab/>
      </w:r>
      <w:r w:rsidR="00F05715" w:rsidRPr="00F71710">
        <w:t>Em</w:t>
      </w:r>
      <w:r w:rsidR="00BD39A8" w:rsidRPr="00F71710">
        <w:t>menée au poste de police vers 3 </w:t>
      </w:r>
      <w:r w:rsidR="00F05715" w:rsidRPr="00F71710">
        <w:t>h, C n</w:t>
      </w:r>
      <w:r w:rsidR="002C7CFB">
        <w:t>’</w:t>
      </w:r>
      <w:r w:rsidR="00F05715" w:rsidRPr="00F71710">
        <w:t>a fait l</w:t>
      </w:r>
      <w:r w:rsidR="002C7CFB">
        <w:t>’</w:t>
      </w:r>
      <w:r w:rsidR="00F05715" w:rsidRPr="00F71710">
        <w:t>objet d</w:t>
      </w:r>
      <w:r w:rsidR="002C7CFB">
        <w:t>’</w:t>
      </w:r>
      <w:r w:rsidR="00F05715" w:rsidRPr="00F71710">
        <w:t>une mise en garde à titre de témoin important relativement à la tentative de meurtre sur la personne de H et n</w:t>
      </w:r>
      <w:r w:rsidR="002C7CFB">
        <w:t>’</w:t>
      </w:r>
      <w:r w:rsidR="00F05715" w:rsidRPr="00F71710">
        <w:t>a été informée de son droit à l</w:t>
      </w:r>
      <w:r w:rsidR="002C7CFB">
        <w:t>’</w:t>
      </w:r>
      <w:r w:rsidR="00F05715" w:rsidRPr="00F71710">
        <w:t>avocat qu</w:t>
      </w:r>
      <w:r w:rsidR="002C7CFB">
        <w:t>’</w:t>
      </w:r>
      <w:r w:rsidR="00F05715" w:rsidRPr="00F71710">
        <w:t>à 5</w:t>
      </w:r>
      <w:r w:rsidR="00BA26A0" w:rsidRPr="00F71710">
        <w:t> </w:t>
      </w:r>
      <w:r w:rsidR="00F05715" w:rsidRPr="00F71710">
        <w:t>h</w:t>
      </w:r>
      <w:r w:rsidR="00BA26A0" w:rsidRPr="00F71710">
        <w:t> </w:t>
      </w:r>
      <w:r w:rsidR="00F05715" w:rsidRPr="00F71710">
        <w:t>23</w:t>
      </w:r>
      <w:r w:rsidR="00BA26A0" w:rsidRPr="00F71710">
        <w:t xml:space="preserve">.  </w:t>
      </w:r>
      <w:r w:rsidR="00F05715" w:rsidRPr="00F71710">
        <w:t>Une fois mise en garde, C a consulté un avocat puis a invoqué son droit de garder le silence</w:t>
      </w:r>
      <w:r w:rsidR="00BA26A0" w:rsidRPr="00F71710">
        <w:t xml:space="preserve">.  </w:t>
      </w:r>
      <w:r w:rsidR="00F05715" w:rsidRPr="00F71710">
        <w:t>Elle a ensuite décrit les événements aux policiers avant d</w:t>
      </w:r>
      <w:r w:rsidR="002C7CFB">
        <w:t>’</w:t>
      </w:r>
      <w:r w:rsidR="00F05715" w:rsidRPr="00F71710">
        <w:t>être mise en état d</w:t>
      </w:r>
      <w:r w:rsidR="002C7CFB">
        <w:t>’</w:t>
      </w:r>
      <w:r w:rsidR="00F05715" w:rsidRPr="00F71710">
        <w:t>arrestation pour tentative de meurtre.  Elle a fait l</w:t>
      </w:r>
      <w:r w:rsidR="002C7CFB">
        <w:t>’</w:t>
      </w:r>
      <w:r w:rsidR="00F05715" w:rsidRPr="00F71710">
        <w:t>objet d</w:t>
      </w:r>
      <w:r w:rsidR="002C7CFB">
        <w:t>’</w:t>
      </w:r>
      <w:r w:rsidR="00F05715" w:rsidRPr="00F71710">
        <w:t xml:space="preserve">une </w:t>
      </w:r>
      <w:r w:rsidRPr="00F71710">
        <w:t>nouvelle</w:t>
      </w:r>
      <w:r w:rsidR="00F05715" w:rsidRPr="00F71710">
        <w:t xml:space="preserve"> mise en garde, elle a été informée de son droit à l</w:t>
      </w:r>
      <w:r w:rsidR="002C7CFB">
        <w:t>’</w:t>
      </w:r>
      <w:r w:rsidR="00F05715" w:rsidRPr="00F71710">
        <w:t>assistance d</w:t>
      </w:r>
      <w:r w:rsidR="002C7CFB">
        <w:t>’</w:t>
      </w:r>
      <w:r w:rsidR="00F05715" w:rsidRPr="00F71710">
        <w:t>un avocat et elle s</w:t>
      </w:r>
      <w:r w:rsidR="002C7CFB">
        <w:t>’</w:t>
      </w:r>
      <w:r w:rsidR="00F05715" w:rsidRPr="00F71710">
        <w:t>est entretenue à nouveau avec un avocat</w:t>
      </w:r>
      <w:r w:rsidR="00BA26A0" w:rsidRPr="00F71710">
        <w:t xml:space="preserve">.  </w:t>
      </w:r>
      <w:r w:rsidR="002578AC" w:rsidRPr="00F71710">
        <w:t>Une fois en état d</w:t>
      </w:r>
      <w:r w:rsidR="002C7CFB">
        <w:t>’</w:t>
      </w:r>
      <w:r w:rsidR="002578AC" w:rsidRPr="00F71710">
        <w:t>arrestation, C a été interrogée toute la journée</w:t>
      </w:r>
      <w:r w:rsidR="00BA26A0" w:rsidRPr="00F71710">
        <w:t xml:space="preserve">.  </w:t>
      </w:r>
      <w:r w:rsidR="002578AC" w:rsidRPr="00F71710">
        <w:t>Elle s</w:t>
      </w:r>
      <w:r w:rsidR="002C7CFB">
        <w:t>’</w:t>
      </w:r>
      <w:r w:rsidR="002578AC" w:rsidRPr="00F71710">
        <w:t xml:space="preserve">est montrée en proie </w:t>
      </w:r>
      <w:r w:rsidR="0083003D" w:rsidRPr="00F71710">
        <w:t xml:space="preserve">à une </w:t>
      </w:r>
      <w:r w:rsidR="002578AC" w:rsidRPr="00F71710">
        <w:t>grande anxiété parce que la porte de la salle d</w:t>
      </w:r>
      <w:r w:rsidR="002C7CFB">
        <w:t>’</w:t>
      </w:r>
      <w:r w:rsidR="002578AC" w:rsidRPr="00F71710">
        <w:t>interrogatoire était fermée, elle a paru épuisée et elle a dit plusieurs fois à l</w:t>
      </w:r>
      <w:r w:rsidR="002C7CFB">
        <w:t>’</w:t>
      </w:r>
      <w:r w:rsidR="002578AC" w:rsidRPr="00F71710">
        <w:t>enquêteur qu</w:t>
      </w:r>
      <w:r w:rsidR="002C7CFB">
        <w:t>’</w:t>
      </w:r>
      <w:r w:rsidR="002578AC" w:rsidRPr="00F71710">
        <w:t>elle en avait assez, qu</w:t>
      </w:r>
      <w:r w:rsidR="002C7CFB">
        <w:t>’</w:t>
      </w:r>
      <w:r w:rsidR="002578AC" w:rsidRPr="00F71710">
        <w:t>elle ne voulait plus parler ou qu</w:t>
      </w:r>
      <w:r w:rsidR="002C7CFB">
        <w:t>’</w:t>
      </w:r>
      <w:r w:rsidR="002578AC" w:rsidRPr="00F71710">
        <w:t xml:space="preserve">elle voulait aller se coucher. </w:t>
      </w:r>
      <w:r w:rsidR="00BA26A0" w:rsidRPr="00F71710">
        <w:t xml:space="preserve"> </w:t>
      </w:r>
      <w:r w:rsidR="002578AC" w:rsidRPr="00F71710">
        <w:t>L</w:t>
      </w:r>
      <w:r w:rsidR="002C7CFB">
        <w:t>’</w:t>
      </w:r>
      <w:r w:rsidR="00BA26A0" w:rsidRPr="00F71710">
        <w:t>interrogatoire a pris fin à 20 </w:t>
      </w:r>
      <w:r w:rsidR="002578AC" w:rsidRPr="00F71710">
        <w:t>h le 23</w:t>
      </w:r>
      <w:r w:rsidR="00BA26A0" w:rsidRPr="00F71710">
        <w:t> </w:t>
      </w:r>
      <w:r w:rsidR="002578AC" w:rsidRPr="00F71710">
        <w:t>juillet, après qu</w:t>
      </w:r>
      <w:r w:rsidR="002C7CFB">
        <w:t>’</w:t>
      </w:r>
      <w:r w:rsidR="002578AC" w:rsidRPr="00F71710">
        <w:t>elle eut été informée du décès de H et accusée de meurtre au deuxième degré.</w:t>
      </w:r>
    </w:p>
    <w:p w:rsidR="001B0C96" w:rsidRPr="00F71710" w:rsidRDefault="0083003D" w:rsidP="005E742A">
      <w:pPr>
        <w:pStyle w:val="SCCNormalDoubleSpacing"/>
        <w:spacing w:after="480"/>
      </w:pPr>
      <w:r w:rsidRPr="00F71710">
        <w:tab/>
      </w:r>
      <w:r w:rsidR="00B35357" w:rsidRPr="00F71710">
        <w:t>C a demandé au juge du procès d</w:t>
      </w:r>
      <w:r w:rsidR="002C7CFB">
        <w:t>’</w:t>
      </w:r>
      <w:r w:rsidR="00B35357" w:rsidRPr="00F71710">
        <w:t>écarter la preuve</w:t>
      </w:r>
      <w:r w:rsidR="002578AC" w:rsidRPr="00F71710">
        <w:t xml:space="preserve"> </w:t>
      </w:r>
      <w:r w:rsidR="00B35357" w:rsidRPr="00F71710">
        <w:t>présentée contre elle</w:t>
      </w:r>
      <w:r w:rsidR="00BA26A0" w:rsidRPr="00F71710">
        <w:t xml:space="preserve">.  </w:t>
      </w:r>
      <w:r w:rsidR="00B35357" w:rsidRPr="00F71710">
        <w:t>Le juge a conclu que les policiers s</w:t>
      </w:r>
      <w:r w:rsidR="002C7CFB">
        <w:t>’</w:t>
      </w:r>
      <w:r w:rsidR="00B35357" w:rsidRPr="00F71710">
        <w:t>étaient livrés à la violation systématique des droits de C</w:t>
      </w:r>
      <w:r w:rsidR="00B1337C" w:rsidRPr="00F71710">
        <w:t>,</w:t>
      </w:r>
      <w:r w:rsidR="00B35357" w:rsidRPr="00F71710">
        <w:t xml:space="preserve"> d</w:t>
      </w:r>
      <w:r w:rsidR="00B1337C" w:rsidRPr="00F71710">
        <w:t>e</w:t>
      </w:r>
      <w:r w:rsidR="00B35357" w:rsidRPr="00F71710">
        <w:t xml:space="preserve"> l</w:t>
      </w:r>
      <w:r w:rsidR="002C7CFB">
        <w:t>’</w:t>
      </w:r>
      <w:r w:rsidR="00B35357" w:rsidRPr="00F71710">
        <w:t xml:space="preserve">arrivée initiale </w:t>
      </w:r>
      <w:r w:rsidR="00B1337C" w:rsidRPr="00F71710">
        <w:t>à la résidence</w:t>
      </w:r>
      <w:r w:rsidR="00B35357" w:rsidRPr="00F71710">
        <w:t xml:space="preserve"> jusqu</w:t>
      </w:r>
      <w:r w:rsidR="002C7CFB">
        <w:t>’</w:t>
      </w:r>
      <w:r w:rsidR="00B35357" w:rsidRPr="00F71710">
        <w:t>à la fin de l</w:t>
      </w:r>
      <w:r w:rsidR="002C7CFB">
        <w:t>’</w:t>
      </w:r>
      <w:r w:rsidR="00B35357" w:rsidRPr="00F71710">
        <w:t>interrogatoire</w:t>
      </w:r>
      <w:r w:rsidR="00BA26A0" w:rsidRPr="00F71710">
        <w:t xml:space="preserve">.  </w:t>
      </w:r>
      <w:proofErr w:type="gramStart"/>
      <w:r w:rsidR="00B35357" w:rsidRPr="00F71710">
        <w:t>Il a</w:t>
      </w:r>
      <w:proofErr w:type="gramEnd"/>
      <w:r w:rsidR="00B35357" w:rsidRPr="00F71710">
        <w:t xml:space="preserve"> </w:t>
      </w:r>
      <w:r w:rsidR="00B35357" w:rsidRPr="00F71710">
        <w:lastRenderedPageBreak/>
        <w:t>estimé que l</w:t>
      </w:r>
      <w:r w:rsidR="002C7CFB">
        <w:t>’</w:t>
      </w:r>
      <w:r w:rsidR="00B35357" w:rsidRPr="00F71710">
        <w:t xml:space="preserve">introduction des policiers sur la propriété de C, ainsi que la fouille de </w:t>
      </w:r>
      <w:r w:rsidRPr="00F71710">
        <w:t xml:space="preserve">la </w:t>
      </w:r>
      <w:r w:rsidR="00B35357" w:rsidRPr="00F71710">
        <w:t xml:space="preserve">maison, du terrain et du </w:t>
      </w:r>
      <w:proofErr w:type="spellStart"/>
      <w:r w:rsidR="00B35357" w:rsidRPr="00F71710">
        <w:t>gazebo</w:t>
      </w:r>
      <w:proofErr w:type="spellEnd"/>
      <w:r w:rsidR="00B35357" w:rsidRPr="00F71710">
        <w:t xml:space="preserve"> constituaient des fouilles, saisies et perquisitions abusives au sens de l</w:t>
      </w:r>
      <w:r w:rsidR="002C7CFB">
        <w:t>’</w:t>
      </w:r>
      <w:r w:rsidR="00C65C25" w:rsidRPr="00F71710">
        <w:t>art. </w:t>
      </w:r>
      <w:r w:rsidR="00B35357" w:rsidRPr="00F71710">
        <w:t xml:space="preserve">8 de la </w:t>
      </w:r>
      <w:r w:rsidR="00B35357" w:rsidRPr="00F71710">
        <w:rPr>
          <w:i/>
          <w:iCs/>
        </w:rPr>
        <w:t>Charte</w:t>
      </w:r>
      <w:r w:rsidR="00BA26A0" w:rsidRPr="00F71710">
        <w:t xml:space="preserve">.  </w:t>
      </w:r>
      <w:r w:rsidR="00B35357" w:rsidRPr="00F71710">
        <w:t>À son avis, les policiers avaient détenu C sans lui préciser le motif de la mesure comme l</w:t>
      </w:r>
      <w:r w:rsidR="002C7CFB">
        <w:t>’</w:t>
      </w:r>
      <w:r w:rsidR="00B35357" w:rsidRPr="00F71710">
        <w:t>exige l</w:t>
      </w:r>
      <w:r w:rsidR="002C7CFB">
        <w:t>’</w:t>
      </w:r>
      <w:r w:rsidR="00C65C25" w:rsidRPr="00F71710">
        <w:t>al. </w:t>
      </w:r>
      <w:r w:rsidR="00B35357" w:rsidRPr="00F71710">
        <w:t>10</w:t>
      </w:r>
      <w:r w:rsidR="00B35357" w:rsidRPr="00F71710">
        <w:rPr>
          <w:i/>
        </w:rPr>
        <w:t>a</w:t>
      </w:r>
      <w:r w:rsidR="00B35357" w:rsidRPr="00F71710">
        <w:t xml:space="preserve">) de la </w:t>
      </w:r>
      <w:r w:rsidR="00B35357" w:rsidRPr="00F71710">
        <w:rPr>
          <w:i/>
        </w:rPr>
        <w:t xml:space="preserve">Charte </w:t>
      </w:r>
      <w:r w:rsidR="00B35357" w:rsidRPr="00F71710">
        <w:t xml:space="preserve">et </w:t>
      </w:r>
      <w:r w:rsidRPr="00F71710">
        <w:t xml:space="preserve">ils </w:t>
      </w:r>
      <w:r w:rsidR="00B35357" w:rsidRPr="00F71710">
        <w:t>avaient porté atteinte à son droit d</w:t>
      </w:r>
      <w:r w:rsidR="002C7CFB">
        <w:t>’</w:t>
      </w:r>
      <w:r w:rsidR="00B35357" w:rsidRPr="00F71710">
        <w:t>avoir recours à l</w:t>
      </w:r>
      <w:r w:rsidR="002C7CFB">
        <w:t>’</w:t>
      </w:r>
      <w:r w:rsidR="00B35357" w:rsidRPr="00F71710">
        <w:t>assistance d</w:t>
      </w:r>
      <w:r w:rsidR="002C7CFB">
        <w:t>’</w:t>
      </w:r>
      <w:r w:rsidR="00B35357" w:rsidRPr="00F71710">
        <w:t>un avocat et d</w:t>
      </w:r>
      <w:r w:rsidR="002C7CFB">
        <w:t>’</w:t>
      </w:r>
      <w:r w:rsidR="00B35357" w:rsidRPr="00F71710">
        <w:t>être informée de ce droit, tous deux garantis à l</w:t>
      </w:r>
      <w:r w:rsidR="002C7CFB">
        <w:t>’</w:t>
      </w:r>
      <w:r w:rsidR="00C65C25" w:rsidRPr="00F71710">
        <w:t>al. </w:t>
      </w:r>
      <w:r w:rsidR="00B35357" w:rsidRPr="00F71710">
        <w:t>10</w:t>
      </w:r>
      <w:r w:rsidR="00B35357" w:rsidRPr="00F71710">
        <w:rPr>
          <w:i/>
        </w:rPr>
        <w:t>b</w:t>
      </w:r>
      <w:r w:rsidR="00B35357" w:rsidRPr="00F71710">
        <w:t xml:space="preserve">) de la </w:t>
      </w:r>
      <w:r w:rsidR="00B35357" w:rsidRPr="00F71710">
        <w:rPr>
          <w:i/>
        </w:rPr>
        <w:t>Charte</w:t>
      </w:r>
      <w:r w:rsidR="00BA26A0" w:rsidRPr="00F71710">
        <w:t xml:space="preserve">.  </w:t>
      </w:r>
      <w:r w:rsidR="00B35357" w:rsidRPr="00F71710">
        <w:t>Il a aussi opiné qu</w:t>
      </w:r>
      <w:r w:rsidR="002C7CFB">
        <w:t>’</w:t>
      </w:r>
      <w:r w:rsidR="00B35357" w:rsidRPr="00F71710">
        <w:t xml:space="preserve">ils avaient foulé au pied le droit de </w:t>
      </w:r>
      <w:r w:rsidRPr="00F71710">
        <w:t>C</w:t>
      </w:r>
      <w:r w:rsidR="00B35357" w:rsidRPr="00F71710">
        <w:t xml:space="preserve"> de garder le silence garanti à l</w:t>
      </w:r>
      <w:r w:rsidR="002C7CFB">
        <w:t>’</w:t>
      </w:r>
      <w:r w:rsidR="00C65C25" w:rsidRPr="00F71710">
        <w:t>art. </w:t>
      </w:r>
      <w:r w:rsidR="00B35357" w:rsidRPr="00F71710">
        <w:t xml:space="preserve">7 de la </w:t>
      </w:r>
      <w:r w:rsidR="00B35357" w:rsidRPr="00F71710">
        <w:rPr>
          <w:i/>
        </w:rPr>
        <w:t>Charte</w:t>
      </w:r>
      <w:r w:rsidR="00B35357" w:rsidRPr="00F71710">
        <w:t xml:space="preserve"> et obtenu une déclaration qui n</w:t>
      </w:r>
      <w:r w:rsidR="002C7CFB">
        <w:t>’</w:t>
      </w:r>
      <w:r w:rsidR="00B35357" w:rsidRPr="00F71710">
        <w:t>était pas volontaire</w:t>
      </w:r>
      <w:r w:rsidR="00BA26A0" w:rsidRPr="00F71710">
        <w:t xml:space="preserve">.  </w:t>
      </w:r>
      <w:r w:rsidR="001B0C96" w:rsidRPr="00F71710">
        <w:t>Il a ajouté que les enquêteurs avaient induit un officier de justice en erreur dans le but d</w:t>
      </w:r>
      <w:r w:rsidR="002C7CFB">
        <w:t>’</w:t>
      </w:r>
      <w:r w:rsidR="001B0C96" w:rsidRPr="00F71710">
        <w:t>obtenir des mandats de perquisition</w:t>
      </w:r>
      <w:r w:rsidR="00BA26A0" w:rsidRPr="00F71710">
        <w:t xml:space="preserve">.  </w:t>
      </w:r>
      <w:r w:rsidR="001B0C96" w:rsidRPr="00F71710">
        <w:t xml:space="preserve">Il a donc écarté la preuve en entier en application du </w:t>
      </w:r>
      <w:r w:rsidR="00C65C25" w:rsidRPr="00F71710">
        <w:t>par. </w:t>
      </w:r>
      <w:r w:rsidR="001B0C96" w:rsidRPr="00F71710">
        <w:t xml:space="preserve">24(2) </w:t>
      </w:r>
      <w:r w:rsidR="00EC0067">
        <w:t xml:space="preserve">de la </w:t>
      </w:r>
      <w:r w:rsidR="00EC0067" w:rsidRPr="00EC0067">
        <w:rPr>
          <w:i/>
        </w:rPr>
        <w:t>Charte</w:t>
      </w:r>
      <w:r w:rsidR="00EC0067">
        <w:t xml:space="preserve"> </w:t>
      </w:r>
      <w:r w:rsidR="001B0C96" w:rsidRPr="00EC0067">
        <w:t>au</w:t>
      </w:r>
      <w:r w:rsidR="001B0C96" w:rsidRPr="00F71710">
        <w:t xml:space="preserve"> motif que son utilisation était susceptible de déconsidérer l</w:t>
      </w:r>
      <w:r w:rsidR="002C7CFB">
        <w:t>’</w:t>
      </w:r>
      <w:r w:rsidR="001B0C96" w:rsidRPr="00F71710">
        <w:t>administration de la justice, acquittant du coup C</w:t>
      </w:r>
      <w:r w:rsidR="00BA26A0" w:rsidRPr="00F71710">
        <w:t xml:space="preserve">.  </w:t>
      </w:r>
      <w:r w:rsidR="004A0841" w:rsidRPr="00F71710">
        <w:t>La Cour d</w:t>
      </w:r>
      <w:r w:rsidR="002C7CFB">
        <w:t>’</w:t>
      </w:r>
      <w:r w:rsidR="004A0841" w:rsidRPr="00F71710">
        <w:t>appel a statué que le juge du procès avait eu raison d</w:t>
      </w:r>
      <w:r w:rsidR="002C7CFB">
        <w:t>’</w:t>
      </w:r>
      <w:r w:rsidR="004A0841" w:rsidRPr="00F71710">
        <w:t>écarter les déclarations de C</w:t>
      </w:r>
      <w:r w:rsidR="00BA26A0" w:rsidRPr="00F71710">
        <w:t xml:space="preserve">.  </w:t>
      </w:r>
      <w:r w:rsidR="004A0841" w:rsidRPr="00F71710">
        <w:t>Elle a cependant estimé qu</w:t>
      </w:r>
      <w:r w:rsidR="002C7CFB">
        <w:t>’</w:t>
      </w:r>
      <w:r w:rsidR="004A0841" w:rsidRPr="00F71710">
        <w:t>il avait écarté à tort les constatations des policiers faites à l</w:t>
      </w:r>
      <w:r w:rsidR="002C7CFB">
        <w:t>’</w:t>
      </w:r>
      <w:r w:rsidR="004A0841" w:rsidRPr="00F71710">
        <w:t>extérieur de la maison de C avant que les mandats ne soient décernés, de même que la preuve matérielle recueillie sur les lieux lors de l</w:t>
      </w:r>
      <w:r w:rsidR="002C7CFB">
        <w:t>’</w:t>
      </w:r>
      <w:r w:rsidR="004A0841" w:rsidRPr="00F71710">
        <w:t>exécution des mandats</w:t>
      </w:r>
      <w:r w:rsidR="00BA26A0" w:rsidRPr="00F71710">
        <w:t xml:space="preserve">.  </w:t>
      </w:r>
      <w:r w:rsidR="004A0841" w:rsidRPr="00F71710">
        <w:t>Elle a ordonné un nouveau procès.</w:t>
      </w:r>
    </w:p>
    <w:p w:rsidR="008322BD" w:rsidRPr="00F71710" w:rsidRDefault="009B57B3" w:rsidP="00C65C25">
      <w:pPr>
        <w:pStyle w:val="SCCNormalDoubleSpacing"/>
        <w:spacing w:after="480"/>
      </w:pPr>
      <w:r w:rsidRPr="00F71710">
        <w:tab/>
      </w:r>
      <w:r w:rsidR="0043088E" w:rsidRPr="00F71710">
        <w:rPr>
          <w:i/>
        </w:rPr>
        <w:t>Arrêt</w:t>
      </w:r>
      <w:r w:rsidR="0043088E" w:rsidRPr="00F71710">
        <w:t xml:space="preserve"> </w:t>
      </w:r>
      <w:r w:rsidR="004A0841" w:rsidRPr="00F71710">
        <w:t>(la juge Deschamps est dissidente)</w:t>
      </w:r>
      <w:r w:rsidR="00C65C25" w:rsidRPr="00F71710">
        <w:t> :</w:t>
      </w:r>
      <w:r w:rsidRPr="00F71710">
        <w:t xml:space="preserve"> </w:t>
      </w:r>
      <w:r w:rsidR="0043088E" w:rsidRPr="00F71710">
        <w:t>Le pourvoi est</w:t>
      </w:r>
      <w:r w:rsidR="004A0841" w:rsidRPr="00F71710">
        <w:t xml:space="preserve"> accueilli</w:t>
      </w:r>
      <w:r w:rsidR="00B1337C" w:rsidRPr="00F71710">
        <w:t>,</w:t>
      </w:r>
      <w:r w:rsidR="004A0841" w:rsidRPr="00F71710">
        <w:t xml:space="preserve"> et l</w:t>
      </w:r>
      <w:r w:rsidR="002C7CFB">
        <w:t>’</w:t>
      </w:r>
      <w:r w:rsidR="004A0841" w:rsidRPr="00F71710">
        <w:t>acquittement est rétabli.</w:t>
      </w:r>
    </w:p>
    <w:p w:rsidR="006C5661" w:rsidRPr="00F71710" w:rsidRDefault="009B57B3" w:rsidP="00C65C25">
      <w:pPr>
        <w:pStyle w:val="SCCNormalDoubleSpacing"/>
        <w:spacing w:after="480"/>
      </w:pPr>
      <w:r w:rsidRPr="00F71710">
        <w:tab/>
      </w:r>
      <w:r w:rsidR="004A0841" w:rsidRPr="00F71710">
        <w:rPr>
          <w:i/>
        </w:rPr>
        <w:t>La</w:t>
      </w:r>
      <w:r w:rsidR="004A0841" w:rsidRPr="00F71710">
        <w:t xml:space="preserve"> juge en chef </w:t>
      </w:r>
      <w:proofErr w:type="spellStart"/>
      <w:r w:rsidR="004A0841" w:rsidRPr="00F71710">
        <w:t>McLachlin</w:t>
      </w:r>
      <w:proofErr w:type="spellEnd"/>
      <w:r w:rsidR="004A0841" w:rsidRPr="00F71710">
        <w:t xml:space="preserve"> et les juges </w:t>
      </w:r>
      <w:proofErr w:type="spellStart"/>
      <w:r w:rsidR="004A0841" w:rsidRPr="00F71710">
        <w:t>Binnie</w:t>
      </w:r>
      <w:proofErr w:type="spellEnd"/>
      <w:r w:rsidR="004A0841" w:rsidRPr="00F71710">
        <w:t xml:space="preserve">, </w:t>
      </w:r>
      <w:proofErr w:type="spellStart"/>
      <w:r w:rsidR="004A0841" w:rsidRPr="00F71710">
        <w:t>LeBel</w:t>
      </w:r>
      <w:proofErr w:type="spellEnd"/>
      <w:r w:rsidR="004A0841" w:rsidRPr="00F71710">
        <w:t xml:space="preserve">, Fish, Abella, Charron, </w:t>
      </w:r>
      <w:proofErr w:type="spellStart"/>
      <w:r w:rsidR="004A0841" w:rsidRPr="00F71710">
        <w:t>Rothstein</w:t>
      </w:r>
      <w:proofErr w:type="spellEnd"/>
      <w:r w:rsidR="004A0841" w:rsidRPr="00F71710">
        <w:t xml:space="preserve"> et </w:t>
      </w:r>
      <w:r w:rsidR="004A0841" w:rsidRPr="006E7471">
        <w:t>Cromwell</w:t>
      </w:r>
      <w:r w:rsidR="00C65C25" w:rsidRPr="00F71710">
        <w:t> :</w:t>
      </w:r>
      <w:r w:rsidR="00AA3182" w:rsidRPr="00F71710">
        <w:t xml:space="preserve"> </w:t>
      </w:r>
      <w:r w:rsidR="004A0841" w:rsidRPr="00F71710">
        <w:t xml:space="preserve">La norme de contrôle applicable à la détermination, </w:t>
      </w:r>
      <w:r w:rsidR="004A0841" w:rsidRPr="00F71710">
        <w:lastRenderedPageBreak/>
        <w:t xml:space="preserve">par le juge du procès, de ce qui, suivant le </w:t>
      </w:r>
      <w:r w:rsidR="00C65C25" w:rsidRPr="00F71710">
        <w:t>par. </w:t>
      </w:r>
      <w:r w:rsidR="004A0841" w:rsidRPr="00F71710">
        <w:t>24(2), est susceptible de déconsidérer l</w:t>
      </w:r>
      <w:r w:rsidR="002C7CFB">
        <w:t>’</w:t>
      </w:r>
      <w:r w:rsidR="004A0841" w:rsidRPr="00F71710">
        <w:t xml:space="preserve">administration de </w:t>
      </w:r>
      <w:r w:rsidR="00985654">
        <w:t xml:space="preserve">la </w:t>
      </w:r>
      <w:r w:rsidR="004A0841" w:rsidRPr="00F71710">
        <w:t>justice eu égard aux circonstances est la suivante</w:t>
      </w:r>
      <w:r w:rsidR="00BA26A0" w:rsidRPr="00F71710">
        <w:t xml:space="preserve">.  </w:t>
      </w:r>
      <w:r w:rsidR="004A0841" w:rsidRPr="00F71710">
        <w:t>Lorsque le juge du procès a pris en compte les considérations applicables et n</w:t>
      </w:r>
      <w:r w:rsidR="002C7CFB">
        <w:t>’</w:t>
      </w:r>
      <w:r w:rsidR="004A0841" w:rsidRPr="00F71710">
        <w:t>a tiré aucune conclusion déraisonnable, sa décision justifie une grande déférence en appel</w:t>
      </w:r>
      <w:r w:rsidR="00BA26A0" w:rsidRPr="00F71710">
        <w:t xml:space="preserve">.  </w:t>
      </w:r>
    </w:p>
    <w:p w:rsidR="00FE724C" w:rsidRPr="00F71710" w:rsidRDefault="00C65C25" w:rsidP="00C65C25">
      <w:pPr>
        <w:pStyle w:val="SCCNormalDoubleSpacing"/>
        <w:spacing w:after="480"/>
      </w:pPr>
      <w:r w:rsidRPr="00F71710">
        <w:tab/>
      </w:r>
      <w:r w:rsidR="00FE724C" w:rsidRPr="00F71710">
        <w:t>Dans l</w:t>
      </w:r>
      <w:r w:rsidR="002C7CFB">
        <w:t>’</w:t>
      </w:r>
      <w:r w:rsidR="00FE724C" w:rsidRPr="00F71710">
        <w:t xml:space="preserve">arrêt </w:t>
      </w:r>
      <w:r w:rsidR="00FE724C" w:rsidRPr="00F71710">
        <w:rPr>
          <w:i/>
        </w:rPr>
        <w:t>R. c.</w:t>
      </w:r>
      <w:r w:rsidR="00FE724C" w:rsidRPr="00F71710">
        <w:t xml:space="preserve"> </w:t>
      </w:r>
      <w:r w:rsidR="00FE724C" w:rsidRPr="00F71710">
        <w:rPr>
          <w:i/>
        </w:rPr>
        <w:t>Grant</w:t>
      </w:r>
      <w:r w:rsidR="00FE724C" w:rsidRPr="00F71710">
        <w:t>,</w:t>
      </w:r>
      <w:r w:rsidR="00FE724C" w:rsidRPr="00F71710">
        <w:rPr>
          <w:i/>
        </w:rPr>
        <w:t xml:space="preserve"> </w:t>
      </w:r>
      <w:r w:rsidR="00F63906">
        <w:t xml:space="preserve">2009 CSC 32, [2009] 2 R.C.S. 353, </w:t>
      </w:r>
      <w:r w:rsidR="00FE724C" w:rsidRPr="00F71710">
        <w:t>la Cour a redéfini la démarche qui s</w:t>
      </w:r>
      <w:r w:rsidR="002C7CFB">
        <w:t>’</w:t>
      </w:r>
      <w:r w:rsidR="00FE724C" w:rsidRPr="00F71710">
        <w:t>impose pour décider d</w:t>
      </w:r>
      <w:r w:rsidR="002C7CFB">
        <w:t>’</w:t>
      </w:r>
      <w:r w:rsidR="00FE724C" w:rsidRPr="00F71710">
        <w:t xml:space="preserve">écarter ou non la preuve en application du </w:t>
      </w:r>
      <w:r w:rsidRPr="00F71710">
        <w:t>par. </w:t>
      </w:r>
      <w:r w:rsidR="00FE724C" w:rsidRPr="00F71710">
        <w:t>24(2)</w:t>
      </w:r>
      <w:r w:rsidR="00BA26A0" w:rsidRPr="00F71710">
        <w:t xml:space="preserve">.  </w:t>
      </w:r>
      <w:r w:rsidR="00FE724C" w:rsidRPr="00F71710">
        <w:t>Elle a retenu trois questions pour déterminer si l</w:t>
      </w:r>
      <w:r w:rsidR="002C7CFB">
        <w:t>’</w:t>
      </w:r>
      <w:r w:rsidR="00FE724C" w:rsidRPr="00F71710">
        <w:t>utilisation d</w:t>
      </w:r>
      <w:r w:rsidR="002C7CFB">
        <w:t>’</w:t>
      </w:r>
      <w:r w:rsidR="00FE724C" w:rsidRPr="00F71710">
        <w:t xml:space="preserve">un élément de preuve obtenu en violation de la </w:t>
      </w:r>
      <w:r w:rsidR="00FE724C" w:rsidRPr="00F71710">
        <w:rPr>
          <w:i/>
          <w:iCs/>
        </w:rPr>
        <w:t>Charte</w:t>
      </w:r>
      <w:r w:rsidR="00FE724C" w:rsidRPr="00F71710">
        <w:t xml:space="preserve"> est susceptible de déconsidérer l</w:t>
      </w:r>
      <w:r w:rsidR="002C7CFB">
        <w:t>’</w:t>
      </w:r>
      <w:r w:rsidR="00FE724C" w:rsidRPr="00F71710">
        <w:t>administration de la justice</w:t>
      </w:r>
      <w:r w:rsidRPr="00F71710">
        <w:t> :</w:t>
      </w:r>
      <w:r w:rsidR="00FE724C" w:rsidRPr="00F71710">
        <w:t xml:space="preserve"> (1) la gravité de la conduite de l</w:t>
      </w:r>
      <w:r w:rsidR="002C7CFB">
        <w:t>’</w:t>
      </w:r>
      <w:r w:rsidR="00FE724C" w:rsidRPr="00F71710">
        <w:t>État, (2) l</w:t>
      </w:r>
      <w:r w:rsidR="002C7CFB">
        <w:t>’</w:t>
      </w:r>
      <w:r w:rsidR="00FE724C" w:rsidRPr="00F71710">
        <w:t>importance de l</w:t>
      </w:r>
      <w:r w:rsidR="002C7CFB">
        <w:t>’</w:t>
      </w:r>
      <w:r w:rsidR="00FE724C" w:rsidRPr="00F71710">
        <w:t xml:space="preserve">incidence de la violation sur les droits constitutionnels </w:t>
      </w:r>
      <w:r w:rsidR="00EC0067">
        <w:t xml:space="preserve">de </w:t>
      </w:r>
      <w:r w:rsidR="00FE724C" w:rsidRPr="00F71710">
        <w:t>l</w:t>
      </w:r>
      <w:r w:rsidR="002C7CFB">
        <w:t>’</w:t>
      </w:r>
      <w:r w:rsidR="00FE724C" w:rsidRPr="00F71710">
        <w:t>accusé et (3) l</w:t>
      </w:r>
      <w:r w:rsidR="002C7CFB">
        <w:t>’</w:t>
      </w:r>
      <w:r w:rsidR="00FE724C" w:rsidRPr="00F71710">
        <w:t>intérêt de la société à ce que l</w:t>
      </w:r>
      <w:r w:rsidR="002C7CFB">
        <w:t>’</w:t>
      </w:r>
      <w:r w:rsidR="00FE724C" w:rsidRPr="00F71710">
        <w:t>affaire soit jugée au fond</w:t>
      </w:r>
      <w:r w:rsidR="00BA26A0" w:rsidRPr="00F71710">
        <w:t xml:space="preserve">.  </w:t>
      </w:r>
      <w:r w:rsidR="001436F2" w:rsidRPr="00F71710">
        <w:t>Après avoir examiné ces questions, le tribunal doit mettre en balance l</w:t>
      </w:r>
      <w:r w:rsidR="002C7CFB">
        <w:t>’</w:t>
      </w:r>
      <w:r w:rsidR="001436F2" w:rsidRPr="00F71710">
        <w:t>appréciation de chacune d</w:t>
      </w:r>
      <w:r w:rsidR="002C7CFB">
        <w:t>’</w:t>
      </w:r>
      <w:r w:rsidR="001436F2" w:rsidRPr="00F71710">
        <w:t xml:space="preserve">elles pour statuer sur la demande fondée sur le </w:t>
      </w:r>
      <w:r w:rsidRPr="00F71710">
        <w:t>par. </w:t>
      </w:r>
      <w:r w:rsidR="001436F2" w:rsidRPr="00F71710">
        <w:t>24(2) et déterminer si l</w:t>
      </w:r>
      <w:r w:rsidR="002C7CFB">
        <w:t>’</w:t>
      </w:r>
      <w:r w:rsidR="001436F2" w:rsidRPr="00F71710">
        <w:t>util</w:t>
      </w:r>
      <w:r w:rsidR="00B1337C" w:rsidRPr="00F71710">
        <w:t>isation des éléments de preuve es</w:t>
      </w:r>
      <w:r w:rsidR="001436F2" w:rsidRPr="00F71710">
        <w:t>t susceptible de déconsidérer l</w:t>
      </w:r>
      <w:r w:rsidR="002C7CFB">
        <w:t>’</w:t>
      </w:r>
      <w:r w:rsidR="001436F2" w:rsidRPr="00F71710">
        <w:t>administration de la justice.</w:t>
      </w:r>
    </w:p>
    <w:p w:rsidR="001436F2" w:rsidRPr="00F71710" w:rsidRDefault="00C65C25" w:rsidP="00C65C25">
      <w:pPr>
        <w:pStyle w:val="SCCNormalDoubleSpacing"/>
        <w:spacing w:after="480"/>
      </w:pPr>
      <w:r w:rsidRPr="00F71710">
        <w:tab/>
      </w:r>
      <w:r w:rsidR="0017692D" w:rsidRPr="00F71710">
        <w:t>La Cour d</w:t>
      </w:r>
      <w:r w:rsidR="002C7CFB">
        <w:t>’</w:t>
      </w:r>
      <w:r w:rsidR="0017692D" w:rsidRPr="00F71710">
        <w:t>appel a eu tort d</w:t>
      </w:r>
      <w:r w:rsidR="002C7CFB">
        <w:t>’</w:t>
      </w:r>
      <w:r w:rsidR="0017692D" w:rsidRPr="00F71710">
        <w:t>intervenir au motif que les policiers n</w:t>
      </w:r>
      <w:r w:rsidR="002C7CFB">
        <w:t>’</w:t>
      </w:r>
      <w:r w:rsidR="0017692D" w:rsidRPr="00F71710">
        <w:t>avaient pas délibérément agi de manière abusive</w:t>
      </w:r>
      <w:r w:rsidR="00BA26A0" w:rsidRPr="00F71710">
        <w:t xml:space="preserve">.  </w:t>
      </w:r>
      <w:r w:rsidR="0017692D" w:rsidRPr="00F71710">
        <w:t>En qualifiant de nouveau la preuve, tournant ainsi le dos aux conclusions expresses du juge du procès qui étaient pourtant exemptes d</w:t>
      </w:r>
      <w:r w:rsidR="002C7CFB">
        <w:t>’</w:t>
      </w:r>
      <w:r w:rsidR="0017692D" w:rsidRPr="00F71710">
        <w:t xml:space="preserve">erreur manifeste et déterminante, elle </w:t>
      </w:r>
      <w:r w:rsidR="0083003D" w:rsidRPr="00F71710">
        <w:t>a outrepassé</w:t>
      </w:r>
      <w:r w:rsidR="0017692D" w:rsidRPr="00F71710">
        <w:t xml:space="preserve"> son rôle</w:t>
      </w:r>
      <w:r w:rsidR="00BA26A0" w:rsidRPr="00F71710">
        <w:t xml:space="preserve">.  </w:t>
      </w:r>
      <w:r w:rsidR="00C155F9" w:rsidRPr="00F71710">
        <w:t xml:space="preserve">Elle </w:t>
      </w:r>
      <w:r w:rsidR="0083003D" w:rsidRPr="00F71710">
        <w:t xml:space="preserve">a également </w:t>
      </w:r>
      <w:r w:rsidR="00C155F9" w:rsidRPr="00F71710">
        <w:t>comm</w:t>
      </w:r>
      <w:r w:rsidR="0083003D" w:rsidRPr="00F71710">
        <w:t>is</w:t>
      </w:r>
      <w:r w:rsidR="00C155F9" w:rsidRPr="00F71710">
        <w:t xml:space="preserve"> une erreur en soupesant à nouveau l</w:t>
      </w:r>
      <w:r w:rsidR="002C7CFB">
        <w:t>’</w:t>
      </w:r>
      <w:r w:rsidR="00C155F9" w:rsidRPr="00F71710">
        <w:t>incidence de la gravité de l</w:t>
      </w:r>
      <w:r w:rsidR="002C7CFB">
        <w:t>’</w:t>
      </w:r>
      <w:r w:rsidR="00C155F9" w:rsidRPr="00F71710">
        <w:t>infraction, une considération dûment examinée par le juge du procès, qui était conscient de la gravité de l</w:t>
      </w:r>
      <w:r w:rsidR="002C7CFB">
        <w:t>’</w:t>
      </w:r>
      <w:r w:rsidR="00C155F9" w:rsidRPr="00F71710">
        <w:t>infraction et des conséquences de l</w:t>
      </w:r>
      <w:r w:rsidR="002C7CFB">
        <w:t>’</w:t>
      </w:r>
      <w:r w:rsidR="00C155F9" w:rsidRPr="00F71710">
        <w:t xml:space="preserve">exclusion de la preuve. </w:t>
      </w:r>
    </w:p>
    <w:p w:rsidR="00C155F9" w:rsidRPr="00F71710" w:rsidRDefault="00C65C25" w:rsidP="00C65C25">
      <w:pPr>
        <w:pStyle w:val="SCCNormalDoubleSpacing"/>
        <w:spacing w:after="480"/>
      </w:pPr>
      <w:r w:rsidRPr="00F71710">
        <w:lastRenderedPageBreak/>
        <w:tab/>
      </w:r>
      <w:r w:rsidR="00F949D9" w:rsidRPr="00F71710">
        <w:t>Q</w:t>
      </w:r>
      <w:r w:rsidR="00C155F9" w:rsidRPr="00F71710">
        <w:t xml:space="preserve">ui plus est, </w:t>
      </w:r>
      <w:r w:rsidR="00F949D9" w:rsidRPr="00F71710">
        <w:t xml:space="preserve">dans son analyse fondée sur le par. 24(2), </w:t>
      </w:r>
      <w:r w:rsidR="00C155F9" w:rsidRPr="00F71710">
        <w:t>la Cour d</w:t>
      </w:r>
      <w:r w:rsidR="002C7CFB">
        <w:t>’</w:t>
      </w:r>
      <w:r w:rsidR="00C155F9" w:rsidRPr="00F71710">
        <w:t>appel a commis l</w:t>
      </w:r>
      <w:r w:rsidR="002C7CFB">
        <w:t>’</w:t>
      </w:r>
      <w:r w:rsidR="00C155F9" w:rsidRPr="00F71710">
        <w:t>erreur d</w:t>
      </w:r>
      <w:r w:rsidR="002C7CFB">
        <w:t>’</w:t>
      </w:r>
      <w:r w:rsidR="00C155F9" w:rsidRPr="00F71710">
        <w:t>accorder trop d</w:t>
      </w:r>
      <w:r w:rsidR="002C7CFB">
        <w:t>’</w:t>
      </w:r>
      <w:r w:rsidR="00C155F9" w:rsidRPr="00F71710">
        <w:t>importance à la « possibilité de découvrir » la preuve</w:t>
      </w:r>
      <w:r w:rsidR="00BA26A0" w:rsidRPr="00F71710">
        <w:t xml:space="preserve">.  </w:t>
      </w:r>
      <w:r w:rsidR="00C155F9" w:rsidRPr="00F71710">
        <w:t>Le principal fondement de son intervention est que la preuve matérielle aurait pu être recueillie légalement avec un mandat, sans la participation de C</w:t>
      </w:r>
      <w:r w:rsidR="00BA26A0" w:rsidRPr="00F71710">
        <w:t xml:space="preserve">.  </w:t>
      </w:r>
      <w:r w:rsidR="00E068F6" w:rsidRPr="00F71710">
        <w:t>La possibilité de découvrir la preuve est pertinente dans l</w:t>
      </w:r>
      <w:r w:rsidR="002C7CFB">
        <w:t>’</w:t>
      </w:r>
      <w:r w:rsidR="00E068F6" w:rsidRPr="00F71710">
        <w:t xml:space="preserve">analyse actuelle que commande le </w:t>
      </w:r>
      <w:r w:rsidRPr="00F71710">
        <w:t>par. </w:t>
      </w:r>
      <w:r w:rsidR="00E068F6" w:rsidRPr="00F71710">
        <w:t>24(2), mais elle n</w:t>
      </w:r>
      <w:r w:rsidR="002C7CFB">
        <w:t>’</w:t>
      </w:r>
      <w:r w:rsidR="00E068F6" w:rsidRPr="00F71710">
        <w:t>est pas déterminante</w:t>
      </w:r>
      <w:r w:rsidR="00BA26A0" w:rsidRPr="00F71710">
        <w:t xml:space="preserve">.  </w:t>
      </w:r>
      <w:r w:rsidR="00E068F6" w:rsidRPr="00F71710">
        <w:t xml:space="preserve">La conclusion selon laquelle </w:t>
      </w:r>
      <w:r w:rsidR="00F63906">
        <w:t xml:space="preserve">elle </w:t>
      </w:r>
      <w:r w:rsidR="00E068F6" w:rsidRPr="00F71710">
        <w:t>aurait pu être découverte n</w:t>
      </w:r>
      <w:r w:rsidR="002C7CFB">
        <w:t>’</w:t>
      </w:r>
      <w:r w:rsidR="00E068F6" w:rsidRPr="00F71710">
        <w:t xml:space="preserve">emporte pas nécessairement </w:t>
      </w:r>
      <w:r w:rsidR="00F63906">
        <w:t>l’</w:t>
      </w:r>
      <w:r w:rsidR="00E068F6" w:rsidRPr="00F71710">
        <w:t xml:space="preserve">utilisation </w:t>
      </w:r>
      <w:r w:rsidR="00F63906">
        <w:t xml:space="preserve">de la preuve </w:t>
      </w:r>
      <w:r w:rsidR="00E068F6" w:rsidRPr="00F71710">
        <w:t>au procès</w:t>
      </w:r>
      <w:r w:rsidR="00BA26A0" w:rsidRPr="00F71710">
        <w:t xml:space="preserve">.  </w:t>
      </w:r>
      <w:r w:rsidR="00E068F6" w:rsidRPr="00F71710">
        <w:t>Dans les cas qui s</w:t>
      </w:r>
      <w:r w:rsidR="002C7CFB">
        <w:t>’</w:t>
      </w:r>
      <w:r w:rsidR="00E068F6" w:rsidRPr="00F71710">
        <w:t>y prêtent, la possibilité de découvrir la preuve peut jouer dans l</w:t>
      </w:r>
      <w:r w:rsidR="002C7CFB">
        <w:t>’</w:t>
      </w:r>
      <w:r w:rsidR="00E068F6" w:rsidRPr="00F71710">
        <w:t>application des deux premiers volets de la grille d</w:t>
      </w:r>
      <w:r w:rsidR="002C7CFB">
        <w:t>’</w:t>
      </w:r>
      <w:r w:rsidR="00E068F6" w:rsidRPr="00F71710">
        <w:t>analyse de l</w:t>
      </w:r>
      <w:r w:rsidR="002C7CFB">
        <w:t>’</w:t>
      </w:r>
      <w:r w:rsidR="00E068F6" w:rsidRPr="00F71710">
        <w:t xml:space="preserve">arrêt </w:t>
      </w:r>
      <w:r w:rsidR="00E068F6" w:rsidRPr="00F71710">
        <w:rPr>
          <w:i/>
        </w:rPr>
        <w:t>Grant</w:t>
      </w:r>
      <w:r w:rsidR="00E068F6" w:rsidRPr="00F71710">
        <w:t>.</w:t>
      </w:r>
    </w:p>
    <w:p w:rsidR="00E068F6" w:rsidRPr="00F71710" w:rsidRDefault="00C65C25" w:rsidP="00C65C25">
      <w:pPr>
        <w:pStyle w:val="SCCNormalDoubleSpacing"/>
        <w:spacing w:after="480"/>
      </w:pPr>
      <w:r w:rsidRPr="00F71710">
        <w:tab/>
      </w:r>
      <w:r w:rsidR="00E068F6" w:rsidRPr="00F71710">
        <w:t>Dans la présente affaire, pour ce qui concerne le premier volet de l</w:t>
      </w:r>
      <w:r w:rsidR="002C7CFB">
        <w:t>’</w:t>
      </w:r>
      <w:r w:rsidR="00E068F6" w:rsidRPr="00F71710">
        <w:t>analyse, il est clair que selon le juge du procès, les actes reprochés aux policiers étaient très graves</w:t>
      </w:r>
      <w:r w:rsidR="00BA26A0" w:rsidRPr="00F71710">
        <w:t xml:space="preserve">.  </w:t>
      </w:r>
      <w:r w:rsidR="00E068F6" w:rsidRPr="00F71710">
        <w:t>La collecte des éléments de preuve était le simple prolongement des fouilles antérieures illégales effectuées sans mandat</w:t>
      </w:r>
      <w:r w:rsidR="00BA26A0" w:rsidRPr="00F71710">
        <w:t xml:space="preserve">.  </w:t>
      </w:r>
      <w:r w:rsidR="001177A6" w:rsidRPr="00F71710">
        <w:t>Le fait que les policiers auraient pu convaincre un officier de justice qu</w:t>
      </w:r>
      <w:r w:rsidR="002C7CFB">
        <w:t>’</w:t>
      </w:r>
      <w:r w:rsidR="001177A6" w:rsidRPr="00F71710">
        <w:t>ils avaient des motifs raisonnables et probables de croire qu</w:t>
      </w:r>
      <w:r w:rsidR="002C7CFB">
        <w:t>’</w:t>
      </w:r>
      <w:r w:rsidR="001177A6" w:rsidRPr="00F71710">
        <w:t xml:space="preserve">une infraction avait été commise et que des éléments de preuve </w:t>
      </w:r>
      <w:r w:rsidR="0061677E" w:rsidRPr="00F71710">
        <w:t>ser</w:t>
      </w:r>
      <w:r w:rsidR="007E45A5" w:rsidRPr="00F71710">
        <w:t>aient découverts</w:t>
      </w:r>
      <w:r w:rsidR="001177A6" w:rsidRPr="00F71710">
        <w:t>, mais qu</w:t>
      </w:r>
      <w:r w:rsidR="002C7CFB">
        <w:t>’</w:t>
      </w:r>
      <w:r w:rsidR="001177A6" w:rsidRPr="00F71710">
        <w:t>ils n</w:t>
      </w:r>
      <w:r w:rsidR="002C7CFB">
        <w:t>’</w:t>
      </w:r>
      <w:r w:rsidR="001177A6" w:rsidRPr="00F71710">
        <w:t xml:space="preserve">ont pas tenté de le faire, </w:t>
      </w:r>
      <w:r w:rsidR="007E45A5" w:rsidRPr="00F71710">
        <w:t>a</w:t>
      </w:r>
      <w:r w:rsidR="001177A6" w:rsidRPr="00F71710">
        <w:t xml:space="preserve"> sensiblement</w:t>
      </w:r>
      <w:r w:rsidR="007E45A5" w:rsidRPr="00F71710">
        <w:t xml:space="preserve"> accru</w:t>
      </w:r>
      <w:r w:rsidR="001177A6" w:rsidRPr="00F71710">
        <w:t xml:space="preserve"> la gravité de leurs actes</w:t>
      </w:r>
      <w:r w:rsidR="00BA26A0" w:rsidRPr="00F71710">
        <w:t xml:space="preserve">.  </w:t>
      </w:r>
      <w:r w:rsidR="001177A6" w:rsidRPr="00F71710">
        <w:t>La conduite répréhensible des policiers dans l</w:t>
      </w:r>
      <w:r w:rsidR="002C7CFB">
        <w:t>’</w:t>
      </w:r>
      <w:r w:rsidR="001177A6" w:rsidRPr="00F71710">
        <w:t>obtention des mandats n</w:t>
      </w:r>
      <w:r w:rsidR="002C7CFB">
        <w:t>’</w:t>
      </w:r>
      <w:r w:rsidR="001177A6" w:rsidRPr="00F71710">
        <w:t>a fait qu</w:t>
      </w:r>
      <w:r w:rsidR="002C7CFB">
        <w:t>’</w:t>
      </w:r>
      <w:r w:rsidR="001177A6" w:rsidRPr="00F71710">
        <w:t>aggraver la conduite attentatoire de l</w:t>
      </w:r>
      <w:r w:rsidR="002C7CFB">
        <w:t>’</w:t>
      </w:r>
      <w:r w:rsidR="001177A6" w:rsidRPr="00F71710">
        <w:t>État</w:t>
      </w:r>
      <w:r w:rsidR="00BA26A0" w:rsidRPr="00F71710">
        <w:t xml:space="preserve">.  </w:t>
      </w:r>
      <w:r w:rsidR="007E45A5" w:rsidRPr="00F71710">
        <w:t>E</w:t>
      </w:r>
      <w:r w:rsidR="001177A6" w:rsidRPr="00F71710">
        <w:t>n ce qui a trait au deuxième volet de l</w:t>
      </w:r>
      <w:r w:rsidR="002C7CFB">
        <w:t>’</w:t>
      </w:r>
      <w:r w:rsidR="001177A6" w:rsidRPr="00F71710">
        <w:t>analyse, l</w:t>
      </w:r>
      <w:r w:rsidR="002C7CFB">
        <w:t>’</w:t>
      </w:r>
      <w:r w:rsidR="001177A6" w:rsidRPr="00F71710">
        <w:t>absence d</w:t>
      </w:r>
      <w:r w:rsidR="002C7CFB">
        <w:t>’</w:t>
      </w:r>
      <w:r w:rsidR="001177A6" w:rsidRPr="00F71710">
        <w:t>une autorisatio</w:t>
      </w:r>
      <w:r w:rsidR="007E45A5" w:rsidRPr="00F71710">
        <w:t xml:space="preserve">n </w:t>
      </w:r>
      <w:r w:rsidR="00990954">
        <w:t>judiciaire préalable constitue</w:t>
      </w:r>
      <w:r w:rsidR="001177A6" w:rsidRPr="00F71710">
        <w:t xml:space="preserve"> une atteinte grave à la vie privée</w:t>
      </w:r>
      <w:r w:rsidR="00BA26A0" w:rsidRPr="00F71710">
        <w:t xml:space="preserve">.  </w:t>
      </w:r>
      <w:r w:rsidR="001177A6" w:rsidRPr="00F71710">
        <w:t>Compte tenu de l</w:t>
      </w:r>
      <w:r w:rsidR="002C7CFB">
        <w:t>’</w:t>
      </w:r>
      <w:r w:rsidR="001177A6" w:rsidRPr="00F71710">
        <w:t>ensemble des circonstances, l</w:t>
      </w:r>
      <w:r w:rsidR="002C7CFB">
        <w:t>’</w:t>
      </w:r>
      <w:r w:rsidR="001177A6" w:rsidRPr="00F71710">
        <w:t xml:space="preserve">incidence de la conduite répréhensible des policiers sur le droit de C à </w:t>
      </w:r>
      <w:r w:rsidR="001177A6" w:rsidRPr="00F71710">
        <w:lastRenderedPageBreak/>
        <w:t xml:space="preserve">la vie privée </w:t>
      </w:r>
      <w:r w:rsidR="007E45A5" w:rsidRPr="00F71710">
        <w:t>était</w:t>
      </w:r>
      <w:r w:rsidR="001177A6" w:rsidRPr="00F71710">
        <w:t xml:space="preserve"> grave</w:t>
      </w:r>
      <w:r w:rsidRPr="00F71710">
        <w:t> :</w:t>
      </w:r>
      <w:r w:rsidR="001177A6" w:rsidRPr="00F71710">
        <w:t xml:space="preserve"> la perquisition non autorisée a eu lieu dans sa maison au milieu de la nuit tandis qu</w:t>
      </w:r>
      <w:r w:rsidR="002C7CFB">
        <w:t>’</w:t>
      </w:r>
      <w:r w:rsidR="001177A6" w:rsidRPr="00F71710">
        <w:t>elle était détenue, et la mesure n</w:t>
      </w:r>
      <w:r w:rsidR="002C7CFB">
        <w:t>’</w:t>
      </w:r>
      <w:r w:rsidR="001177A6" w:rsidRPr="00F71710">
        <w:t>a pas été de courte durée</w:t>
      </w:r>
      <w:r w:rsidR="00BA26A0" w:rsidRPr="00F71710">
        <w:t xml:space="preserve">.  </w:t>
      </w:r>
      <w:r w:rsidR="001177A6" w:rsidRPr="00F71710">
        <w:t>La violation a touché les droits de C à la liberté, à la dignité et à la vie privée.  Partant, l</w:t>
      </w:r>
      <w:r w:rsidR="002C7CFB">
        <w:t>’</w:t>
      </w:r>
      <w:r w:rsidR="001177A6" w:rsidRPr="00F71710">
        <w:t>absence d</w:t>
      </w:r>
      <w:r w:rsidR="002C7CFB">
        <w:t>’</w:t>
      </w:r>
      <w:r w:rsidR="001177A6" w:rsidRPr="00F71710">
        <w:t xml:space="preserve">autorisation préalable de la fouille </w:t>
      </w:r>
      <w:r w:rsidR="007E45A5" w:rsidRPr="00F71710">
        <w:t xml:space="preserve">a gravement </w:t>
      </w:r>
      <w:r w:rsidR="001177A6" w:rsidRPr="00F71710">
        <w:t>bafou</w:t>
      </w:r>
      <w:r w:rsidR="007E45A5" w:rsidRPr="00F71710">
        <w:t>é</w:t>
      </w:r>
      <w:r w:rsidR="001177A6" w:rsidRPr="00F71710">
        <w:t xml:space="preserve"> son attente raisonnable en matière de vie privée. </w:t>
      </w:r>
    </w:p>
    <w:p w:rsidR="001177A6" w:rsidRPr="00F71710" w:rsidRDefault="00C65C25" w:rsidP="00C65C25">
      <w:pPr>
        <w:pStyle w:val="SCCNormalDoubleSpacing"/>
        <w:spacing w:after="480"/>
      </w:pPr>
      <w:r w:rsidRPr="00F71710">
        <w:tab/>
      </w:r>
      <w:r w:rsidR="00DE4898" w:rsidRPr="00F71710">
        <w:t>En l</w:t>
      </w:r>
      <w:r w:rsidR="002C7CFB">
        <w:t>’</w:t>
      </w:r>
      <w:r w:rsidR="00DE4898" w:rsidRPr="00F71710">
        <w:t xml:space="preserve">espèce, </w:t>
      </w:r>
      <w:r w:rsidR="0035741B" w:rsidRPr="00F71710">
        <w:t>le juge du procès a écarté la preuve parce que les policiers avaient sans cesse agi au mépris de la loi et de la Constitution.  Il n</w:t>
      </w:r>
      <w:r w:rsidR="002C7CFB">
        <w:t>’</w:t>
      </w:r>
      <w:r w:rsidR="0035741B" w:rsidRPr="00F71710">
        <w:t>a pas eu tort de conclure que les tribunaux ne doivent pas tolérer ce genre de comportement chez ceux qui ont fait serment de veiller au respect de la loi.  Il a pris la seule mesure possible pour faire en sorte que l</w:t>
      </w:r>
      <w:r w:rsidR="002C7CFB">
        <w:t>’</w:t>
      </w:r>
      <w:r w:rsidR="0035741B" w:rsidRPr="00F71710">
        <w:t>administration de la justice ne soit pas déconsidérée davantage par la tolérance des actes troublants et aberrants des policiers.</w:t>
      </w:r>
    </w:p>
    <w:p w:rsidR="00D42228" w:rsidRPr="00F71710" w:rsidRDefault="00D42228" w:rsidP="00C65C25">
      <w:pPr>
        <w:pStyle w:val="SCCNormalDoubleSpacing"/>
        <w:spacing w:after="480"/>
        <w:rPr>
          <w:lang w:val="fr-FR"/>
        </w:rPr>
      </w:pPr>
      <w:r w:rsidRPr="00F71710">
        <w:tab/>
      </w:r>
      <w:r w:rsidRPr="00F71710">
        <w:rPr>
          <w:i/>
          <w:lang w:val="fr-FR"/>
        </w:rPr>
        <w:t>La</w:t>
      </w:r>
      <w:r w:rsidRPr="00F71710">
        <w:rPr>
          <w:lang w:val="fr-FR"/>
        </w:rPr>
        <w:t xml:space="preserve"> juge </w:t>
      </w:r>
      <w:r w:rsidRPr="006E7471">
        <w:rPr>
          <w:lang w:val="fr-FR"/>
        </w:rPr>
        <w:t>Deschamps</w:t>
      </w:r>
      <w:r w:rsidRPr="00F71710">
        <w:rPr>
          <w:lang w:val="fr-FR"/>
        </w:rPr>
        <w:t xml:space="preserve"> (dissidente)</w:t>
      </w:r>
      <w:r w:rsidR="00C65C25" w:rsidRPr="00F71710">
        <w:rPr>
          <w:lang w:val="fr-FR"/>
        </w:rPr>
        <w:t> :</w:t>
      </w:r>
      <w:r w:rsidRPr="00F71710">
        <w:rPr>
          <w:lang w:val="fr-FR"/>
        </w:rPr>
        <w:t xml:space="preserve"> L</w:t>
      </w:r>
      <w:r w:rsidR="002C7CFB">
        <w:rPr>
          <w:lang w:val="fr-FR"/>
        </w:rPr>
        <w:t>’</w:t>
      </w:r>
      <w:r w:rsidRPr="00F71710">
        <w:rPr>
          <w:lang w:val="fr-FR"/>
        </w:rPr>
        <w:t>application de la grille d</w:t>
      </w:r>
      <w:r w:rsidR="002C7CFB">
        <w:rPr>
          <w:lang w:val="fr-FR"/>
        </w:rPr>
        <w:t>’</w:t>
      </w:r>
      <w:r w:rsidRPr="00F71710">
        <w:rPr>
          <w:lang w:val="fr-FR"/>
        </w:rPr>
        <w:t>analyse en trois étapes proposée dans l</w:t>
      </w:r>
      <w:r w:rsidR="002C7CFB">
        <w:rPr>
          <w:lang w:val="fr-FR"/>
        </w:rPr>
        <w:t>’</w:t>
      </w:r>
      <w:r w:rsidRPr="00F71710">
        <w:rPr>
          <w:lang w:val="fr-FR"/>
        </w:rPr>
        <w:t xml:space="preserve">arrêt </w:t>
      </w:r>
      <w:r w:rsidRPr="00F71710">
        <w:rPr>
          <w:i/>
          <w:lang w:val="fr-FR"/>
        </w:rPr>
        <w:t>R. c. Grant</w:t>
      </w:r>
      <w:r w:rsidRPr="00F71710">
        <w:rPr>
          <w:lang w:val="fr-FR"/>
        </w:rPr>
        <w:t xml:space="preserve"> mène à la conclusion que la preuve matérielle n</w:t>
      </w:r>
      <w:r w:rsidR="002C7CFB">
        <w:rPr>
          <w:lang w:val="fr-FR"/>
        </w:rPr>
        <w:t>’</w:t>
      </w:r>
      <w:r w:rsidRPr="00F71710">
        <w:rPr>
          <w:lang w:val="fr-FR"/>
        </w:rPr>
        <w:t>aurait pas dû être exclue</w:t>
      </w:r>
      <w:r w:rsidR="00BA26A0" w:rsidRPr="00F71710">
        <w:rPr>
          <w:lang w:val="fr-FR"/>
        </w:rPr>
        <w:t xml:space="preserve">.  </w:t>
      </w:r>
      <w:r w:rsidRPr="00F71710">
        <w:rPr>
          <w:lang w:val="fr-FR"/>
        </w:rPr>
        <w:t>À la première étape de l</w:t>
      </w:r>
      <w:r w:rsidR="002C7CFB">
        <w:rPr>
          <w:lang w:val="fr-FR"/>
        </w:rPr>
        <w:t>’</w:t>
      </w:r>
      <w:r w:rsidRPr="00F71710">
        <w:rPr>
          <w:lang w:val="fr-FR"/>
        </w:rPr>
        <w:t>analyse — la gravité de la conduite attentatoire de l</w:t>
      </w:r>
      <w:r w:rsidR="002C7CFB">
        <w:rPr>
          <w:lang w:val="fr-FR"/>
        </w:rPr>
        <w:t>’</w:t>
      </w:r>
      <w:r w:rsidRPr="00F71710">
        <w:rPr>
          <w:lang w:val="fr-FR"/>
        </w:rPr>
        <w:t>État —</w:t>
      </w:r>
      <w:r w:rsidR="00B1337C" w:rsidRPr="00F71710">
        <w:rPr>
          <w:lang w:val="fr-FR"/>
        </w:rPr>
        <w:t>,</w:t>
      </w:r>
      <w:r w:rsidRPr="00F71710">
        <w:rPr>
          <w:lang w:val="fr-FR"/>
        </w:rPr>
        <w:t xml:space="preserve"> la conduite des policiers révèle un irrespect grave des droits constitutionnels de C</w:t>
      </w:r>
      <w:r w:rsidR="00BA26A0" w:rsidRPr="00F71710">
        <w:rPr>
          <w:lang w:val="fr-FR"/>
        </w:rPr>
        <w:t xml:space="preserve">.  </w:t>
      </w:r>
      <w:r w:rsidR="00D26B31" w:rsidRPr="00F71710">
        <w:rPr>
          <w:lang w:val="fr-FR"/>
        </w:rPr>
        <w:t xml:space="preserve">Non seulement </w:t>
      </w:r>
      <w:r w:rsidRPr="00F71710">
        <w:rPr>
          <w:lang w:val="fr-FR"/>
        </w:rPr>
        <w:t>les policiers ne se sont pas souciés d</w:t>
      </w:r>
      <w:r w:rsidR="002C7CFB">
        <w:rPr>
          <w:lang w:val="fr-FR"/>
        </w:rPr>
        <w:t>’</w:t>
      </w:r>
      <w:r w:rsidRPr="00F71710">
        <w:rPr>
          <w:lang w:val="fr-FR"/>
        </w:rPr>
        <w:t>obtenir un mandat ou le consentement éclairé de C avant de procéder à leur perquisition initiale</w:t>
      </w:r>
      <w:r w:rsidR="00D26B31" w:rsidRPr="00F71710">
        <w:rPr>
          <w:lang w:val="fr-FR"/>
        </w:rPr>
        <w:t>,</w:t>
      </w:r>
      <w:r w:rsidRPr="00F71710">
        <w:rPr>
          <w:lang w:val="fr-FR"/>
        </w:rPr>
        <w:t xml:space="preserve"> mais ils ont également tenté de masquer les violations constitutionnelles des droits de C. </w:t>
      </w:r>
    </w:p>
    <w:p w:rsidR="00D42228" w:rsidRPr="00F71710" w:rsidRDefault="00D42228" w:rsidP="00C65C25">
      <w:pPr>
        <w:pStyle w:val="SCCNormalDoubleSpacing"/>
        <w:spacing w:after="480"/>
        <w:rPr>
          <w:lang w:val="fr-FR"/>
        </w:rPr>
      </w:pPr>
      <w:r w:rsidRPr="00F71710">
        <w:rPr>
          <w:lang w:val="fr-FR"/>
        </w:rPr>
        <w:lastRenderedPageBreak/>
        <w:tab/>
        <w:t>Par ailleurs, pour ce qui est de la deuxième étape — l</w:t>
      </w:r>
      <w:r w:rsidR="002C7CFB">
        <w:rPr>
          <w:lang w:val="fr-FR"/>
        </w:rPr>
        <w:t>’</w:t>
      </w:r>
      <w:r w:rsidRPr="00F71710">
        <w:rPr>
          <w:lang w:val="fr-FR"/>
        </w:rPr>
        <w:t>effet qu</w:t>
      </w:r>
      <w:r w:rsidR="002C7CFB">
        <w:rPr>
          <w:lang w:val="fr-FR"/>
        </w:rPr>
        <w:t>’</w:t>
      </w:r>
      <w:r w:rsidRPr="00F71710">
        <w:rPr>
          <w:lang w:val="fr-FR"/>
        </w:rPr>
        <w:t xml:space="preserve">a la violation de la </w:t>
      </w:r>
      <w:r w:rsidRPr="00F71710">
        <w:rPr>
          <w:i/>
          <w:lang w:val="fr-FR"/>
        </w:rPr>
        <w:t>Charte</w:t>
      </w:r>
      <w:r w:rsidRPr="00F71710">
        <w:rPr>
          <w:lang w:val="fr-FR"/>
        </w:rPr>
        <w:t xml:space="preserve"> sur les droits qui y sont garantis à l</w:t>
      </w:r>
      <w:r w:rsidR="002C7CFB">
        <w:rPr>
          <w:lang w:val="fr-FR"/>
        </w:rPr>
        <w:t>’</w:t>
      </w:r>
      <w:r w:rsidRPr="00F71710">
        <w:rPr>
          <w:lang w:val="fr-FR"/>
        </w:rPr>
        <w:t>accusé —</w:t>
      </w:r>
      <w:r w:rsidR="00F423BC" w:rsidRPr="00F71710">
        <w:rPr>
          <w:lang w:val="fr-FR"/>
        </w:rPr>
        <w:t>,</w:t>
      </w:r>
      <w:r w:rsidRPr="00F71710">
        <w:rPr>
          <w:lang w:val="fr-FR"/>
        </w:rPr>
        <w:t xml:space="preserve"> il est clair que le juge de première instance n</w:t>
      </w:r>
      <w:r w:rsidR="002C7CFB">
        <w:rPr>
          <w:lang w:val="fr-FR"/>
        </w:rPr>
        <w:t>’</w:t>
      </w:r>
      <w:r w:rsidRPr="00F71710">
        <w:rPr>
          <w:lang w:val="fr-FR"/>
        </w:rPr>
        <w:t>a pas évalué la portée réelle de la violation</w:t>
      </w:r>
      <w:r w:rsidR="00BA26A0" w:rsidRPr="00F71710">
        <w:rPr>
          <w:lang w:val="fr-FR"/>
        </w:rPr>
        <w:t xml:space="preserve">.  </w:t>
      </w:r>
      <w:r w:rsidRPr="00F71710">
        <w:rPr>
          <w:lang w:val="fr-FR"/>
        </w:rPr>
        <w:t>Le principal intérêt touché par la perquisition policière illégale est l</w:t>
      </w:r>
      <w:r w:rsidR="002C7CFB">
        <w:rPr>
          <w:lang w:val="fr-FR"/>
        </w:rPr>
        <w:t>’</w:t>
      </w:r>
      <w:r w:rsidRPr="00F71710">
        <w:rPr>
          <w:lang w:val="fr-FR"/>
        </w:rPr>
        <w:t>attente de C en matière de respect de sa vie privée</w:t>
      </w:r>
      <w:r w:rsidR="00BA26A0" w:rsidRPr="00F71710">
        <w:rPr>
          <w:lang w:val="fr-FR"/>
        </w:rPr>
        <w:t xml:space="preserve">.  </w:t>
      </w:r>
      <w:r w:rsidRPr="00F71710">
        <w:rPr>
          <w:lang w:val="fr-FR"/>
        </w:rPr>
        <w:t>À cet égard, il ne suffit pas de constater l</w:t>
      </w:r>
      <w:r w:rsidR="002C7CFB">
        <w:rPr>
          <w:lang w:val="fr-FR"/>
        </w:rPr>
        <w:t>’</w:t>
      </w:r>
      <w:r w:rsidRPr="00F71710">
        <w:rPr>
          <w:lang w:val="fr-FR"/>
        </w:rPr>
        <w:t>existence de l</w:t>
      </w:r>
      <w:r w:rsidR="002C7CFB">
        <w:rPr>
          <w:lang w:val="fr-FR"/>
        </w:rPr>
        <w:t>’</w:t>
      </w:r>
      <w:r w:rsidRPr="00F71710">
        <w:rPr>
          <w:lang w:val="fr-FR"/>
        </w:rPr>
        <w:t>atteinte à la vie privée résultant de la perquisition, mais il faut aussi déterminer l</w:t>
      </w:r>
      <w:r w:rsidR="002C7CFB">
        <w:rPr>
          <w:lang w:val="fr-FR"/>
        </w:rPr>
        <w:t>’</w:t>
      </w:r>
      <w:r w:rsidRPr="00F71710">
        <w:rPr>
          <w:lang w:val="fr-FR"/>
        </w:rPr>
        <w:t>incidence de l</w:t>
      </w:r>
      <w:r w:rsidR="002C7CFB">
        <w:rPr>
          <w:lang w:val="fr-FR"/>
        </w:rPr>
        <w:t>’</w:t>
      </w:r>
      <w:r w:rsidRPr="00F71710">
        <w:rPr>
          <w:lang w:val="fr-FR"/>
        </w:rPr>
        <w:t>absence d</w:t>
      </w:r>
      <w:r w:rsidR="002C7CFB">
        <w:rPr>
          <w:lang w:val="fr-FR"/>
        </w:rPr>
        <w:t>’</w:t>
      </w:r>
      <w:r w:rsidRPr="00F71710">
        <w:rPr>
          <w:lang w:val="fr-FR"/>
        </w:rPr>
        <w:t>autorisation préalable sur l</w:t>
      </w:r>
      <w:r w:rsidR="002C7CFB">
        <w:rPr>
          <w:lang w:val="fr-FR"/>
        </w:rPr>
        <w:t>’</w:t>
      </w:r>
      <w:r w:rsidRPr="00F71710">
        <w:rPr>
          <w:lang w:val="fr-FR"/>
        </w:rPr>
        <w:t>attente de C</w:t>
      </w:r>
      <w:r w:rsidR="00BA26A0" w:rsidRPr="00F71710">
        <w:rPr>
          <w:lang w:val="fr-FR"/>
        </w:rPr>
        <w:t xml:space="preserve">.  </w:t>
      </w:r>
      <w:r w:rsidRPr="00F71710">
        <w:rPr>
          <w:lang w:val="fr-FR"/>
        </w:rPr>
        <w:t>Pour ce faire, il faut comparer le cas présent à ce qu</w:t>
      </w:r>
      <w:r w:rsidR="002C7CFB">
        <w:rPr>
          <w:lang w:val="fr-FR"/>
        </w:rPr>
        <w:t>’</w:t>
      </w:r>
      <w:r w:rsidRPr="00F71710">
        <w:rPr>
          <w:lang w:val="fr-FR"/>
        </w:rPr>
        <w:t>aurait été la situation si la perquisition avait été préalablement autorisée.  C</w:t>
      </w:r>
      <w:r w:rsidR="002C7CFB">
        <w:rPr>
          <w:lang w:val="fr-FR"/>
        </w:rPr>
        <w:t>’</w:t>
      </w:r>
      <w:r w:rsidRPr="00F71710">
        <w:rPr>
          <w:lang w:val="fr-FR"/>
        </w:rPr>
        <w:t>est surtout l</w:t>
      </w:r>
      <w:r w:rsidR="002C7CFB">
        <w:rPr>
          <w:lang w:val="fr-FR"/>
        </w:rPr>
        <w:t>’</w:t>
      </w:r>
      <w:r w:rsidRPr="00F71710">
        <w:rPr>
          <w:lang w:val="fr-FR"/>
        </w:rPr>
        <w:t>écart de g</w:t>
      </w:r>
      <w:r w:rsidR="00D26B31" w:rsidRPr="00F71710">
        <w:rPr>
          <w:lang w:val="fr-FR"/>
        </w:rPr>
        <w:t xml:space="preserve">ravité entre les deux situations </w:t>
      </w:r>
      <w:r w:rsidRPr="00F71710">
        <w:rPr>
          <w:lang w:val="fr-FR"/>
        </w:rPr>
        <w:t>qui constitue la portée réelle de l</w:t>
      </w:r>
      <w:r w:rsidR="002C7CFB">
        <w:rPr>
          <w:lang w:val="fr-FR"/>
        </w:rPr>
        <w:t>’</w:t>
      </w:r>
      <w:r w:rsidRPr="00F71710">
        <w:rPr>
          <w:lang w:val="fr-FR"/>
        </w:rPr>
        <w:t>atteinte aux intérêts protégés</w:t>
      </w:r>
      <w:r w:rsidR="00BA26A0" w:rsidRPr="00F71710">
        <w:rPr>
          <w:lang w:val="fr-FR"/>
        </w:rPr>
        <w:t xml:space="preserve">.  </w:t>
      </w:r>
      <w:r w:rsidRPr="00F71710">
        <w:rPr>
          <w:lang w:val="fr-FR"/>
        </w:rPr>
        <w:t>En l</w:t>
      </w:r>
      <w:r w:rsidR="002C7CFB">
        <w:rPr>
          <w:lang w:val="fr-FR"/>
        </w:rPr>
        <w:t>’</w:t>
      </w:r>
      <w:r w:rsidRPr="00F71710">
        <w:rPr>
          <w:lang w:val="fr-FR"/>
        </w:rPr>
        <w:t>espèce, le mandat aurait pu être décerné dès le début de l</w:t>
      </w:r>
      <w:r w:rsidR="002C7CFB">
        <w:rPr>
          <w:lang w:val="fr-FR"/>
        </w:rPr>
        <w:t>’</w:t>
      </w:r>
      <w:r w:rsidRPr="00F71710">
        <w:rPr>
          <w:lang w:val="fr-FR"/>
        </w:rPr>
        <w:t>enquête et C aurait alors subi une atteinte à sa vie privée qui, concrètement, aurait été identique à celle qui découlait de la perquisition sans mandat</w:t>
      </w:r>
      <w:r w:rsidR="00BA26A0" w:rsidRPr="00F71710">
        <w:rPr>
          <w:lang w:val="fr-FR"/>
        </w:rPr>
        <w:t xml:space="preserve">.  </w:t>
      </w:r>
      <w:r w:rsidR="00D26B31" w:rsidRPr="00F71710">
        <w:rPr>
          <w:lang w:val="fr-FR"/>
        </w:rPr>
        <w:t xml:space="preserve">De plus, </w:t>
      </w:r>
      <w:r w:rsidRPr="00F71710">
        <w:rPr>
          <w:lang w:val="fr-FR"/>
        </w:rPr>
        <w:t>l</w:t>
      </w:r>
      <w:r w:rsidR="002C7CFB">
        <w:rPr>
          <w:lang w:val="fr-FR"/>
        </w:rPr>
        <w:t>’</w:t>
      </w:r>
      <w:r w:rsidRPr="00F71710">
        <w:rPr>
          <w:lang w:val="fr-FR"/>
        </w:rPr>
        <w:t>attente en matière de vie privée ne se situait pas au niveau le plus élevé</w:t>
      </w:r>
      <w:r w:rsidR="00BA26A0" w:rsidRPr="00F71710">
        <w:rPr>
          <w:lang w:val="fr-FR"/>
        </w:rPr>
        <w:t xml:space="preserve">.  </w:t>
      </w:r>
      <w:r w:rsidRPr="00F71710">
        <w:rPr>
          <w:lang w:val="fr-FR"/>
        </w:rPr>
        <w:t>C était la première et la seule interlocutrice à laquelle les policiers pouvaient s</w:t>
      </w:r>
      <w:r w:rsidR="002C7CFB">
        <w:rPr>
          <w:lang w:val="fr-FR"/>
        </w:rPr>
        <w:t>’</w:t>
      </w:r>
      <w:r w:rsidRPr="00F71710">
        <w:rPr>
          <w:lang w:val="fr-FR"/>
        </w:rPr>
        <w:t>adresser pour connaître les faits survenus dans les moments précédant le transport de son conjoint en ambulance</w:t>
      </w:r>
      <w:r w:rsidR="00BA26A0" w:rsidRPr="00F71710">
        <w:rPr>
          <w:lang w:val="fr-FR"/>
        </w:rPr>
        <w:t xml:space="preserve">.  </w:t>
      </w:r>
      <w:r w:rsidRPr="00F71710">
        <w:rPr>
          <w:lang w:val="fr-FR"/>
        </w:rPr>
        <w:t>Leur visite pouvait donc difficilement être qualifiée d</w:t>
      </w:r>
      <w:r w:rsidR="002C7CFB">
        <w:rPr>
          <w:lang w:val="fr-FR"/>
        </w:rPr>
        <w:t>’</w:t>
      </w:r>
      <w:r w:rsidRPr="00F71710">
        <w:rPr>
          <w:lang w:val="fr-FR"/>
        </w:rPr>
        <w:t>inattendue.</w:t>
      </w:r>
    </w:p>
    <w:p w:rsidR="00D42228" w:rsidRPr="00F71710" w:rsidRDefault="00D42228" w:rsidP="00C65C25">
      <w:pPr>
        <w:pStyle w:val="SCCNormalDoubleSpacing"/>
        <w:spacing w:after="480"/>
        <w:rPr>
          <w:lang w:val="fr-FR"/>
        </w:rPr>
      </w:pPr>
      <w:r w:rsidRPr="00F71710">
        <w:rPr>
          <w:lang w:val="fr-FR"/>
        </w:rPr>
        <w:tab/>
        <w:t>En ce qui concerne la troisième étape de l</w:t>
      </w:r>
      <w:r w:rsidR="002C7CFB">
        <w:rPr>
          <w:lang w:val="fr-FR"/>
        </w:rPr>
        <w:t>’</w:t>
      </w:r>
      <w:r w:rsidRPr="00F71710">
        <w:rPr>
          <w:lang w:val="fr-FR"/>
        </w:rPr>
        <w:t xml:space="preserve">analyse — la recherche de la vérité </w:t>
      </w:r>
      <w:proofErr w:type="spellStart"/>
      <w:r w:rsidRPr="00F71710">
        <w:rPr>
          <w:lang w:val="fr-FR"/>
        </w:rPr>
        <w:t>sera</w:t>
      </w:r>
      <w:r w:rsidR="00C65C25" w:rsidRPr="00F71710">
        <w:rPr>
          <w:lang w:val="fr-FR"/>
        </w:rPr>
        <w:noBreakHyphen/>
      </w:r>
      <w:r w:rsidRPr="00F71710">
        <w:rPr>
          <w:lang w:val="fr-FR"/>
        </w:rPr>
        <w:t>t</w:t>
      </w:r>
      <w:r w:rsidR="00C65C25" w:rsidRPr="00F71710">
        <w:rPr>
          <w:lang w:val="fr-FR"/>
        </w:rPr>
        <w:noBreakHyphen/>
      </w:r>
      <w:r w:rsidRPr="00F71710">
        <w:rPr>
          <w:lang w:val="fr-FR"/>
        </w:rPr>
        <w:t>elle</w:t>
      </w:r>
      <w:proofErr w:type="spellEnd"/>
      <w:r w:rsidRPr="00F71710">
        <w:rPr>
          <w:lang w:val="fr-FR"/>
        </w:rPr>
        <w:t xml:space="preserve"> mieux servie par l</w:t>
      </w:r>
      <w:r w:rsidR="002C7CFB">
        <w:rPr>
          <w:lang w:val="fr-FR"/>
        </w:rPr>
        <w:t>’</w:t>
      </w:r>
      <w:r w:rsidRPr="00F71710">
        <w:rPr>
          <w:lang w:val="fr-FR"/>
        </w:rPr>
        <w:t>utilisation de la preuve ou par son exclusion —, il s</w:t>
      </w:r>
      <w:r w:rsidR="002C7CFB">
        <w:rPr>
          <w:lang w:val="fr-FR"/>
        </w:rPr>
        <w:t>’</w:t>
      </w:r>
      <w:r w:rsidRPr="00F71710">
        <w:rPr>
          <w:lang w:val="fr-FR"/>
        </w:rPr>
        <w:t>agit en l</w:t>
      </w:r>
      <w:r w:rsidR="002C7CFB">
        <w:rPr>
          <w:lang w:val="fr-FR"/>
        </w:rPr>
        <w:t>’</w:t>
      </w:r>
      <w:r w:rsidRPr="00F71710">
        <w:rPr>
          <w:lang w:val="fr-FR"/>
        </w:rPr>
        <w:t>espèce d</w:t>
      </w:r>
      <w:r w:rsidR="002C7CFB">
        <w:rPr>
          <w:lang w:val="fr-FR"/>
        </w:rPr>
        <w:t>’</w:t>
      </w:r>
      <w:r w:rsidRPr="00F71710">
        <w:rPr>
          <w:lang w:val="fr-FR"/>
        </w:rPr>
        <w:t xml:space="preserve">une preuve matérielle fiable </w:t>
      </w:r>
      <w:r w:rsidR="00D26B31" w:rsidRPr="00F71710">
        <w:rPr>
          <w:lang w:val="fr-FR"/>
        </w:rPr>
        <w:t xml:space="preserve">et </w:t>
      </w:r>
      <w:r w:rsidRPr="00F71710">
        <w:rPr>
          <w:lang w:val="fr-FR"/>
        </w:rPr>
        <w:t xml:space="preserve">son utilisation est susceptible de jouer un rôle capital dans la recherche de la vérité et la poursuite du procès puisque </w:t>
      </w:r>
      <w:r w:rsidRPr="00F71710">
        <w:rPr>
          <w:lang w:val="fr-FR"/>
        </w:rPr>
        <w:lastRenderedPageBreak/>
        <w:t>du fait de l</w:t>
      </w:r>
      <w:r w:rsidR="002C7CFB">
        <w:rPr>
          <w:lang w:val="fr-FR"/>
        </w:rPr>
        <w:t>’</w:t>
      </w:r>
      <w:r w:rsidRPr="00F71710">
        <w:rPr>
          <w:lang w:val="fr-FR"/>
        </w:rPr>
        <w:t>exclusion des déclarations faites par C aux policiers, cette preuve est la seule qui subsiste.</w:t>
      </w:r>
    </w:p>
    <w:p w:rsidR="00D42228" w:rsidRPr="00F71710" w:rsidRDefault="00D42228" w:rsidP="00C65C25">
      <w:pPr>
        <w:pStyle w:val="SCCNormalDoubleSpacing"/>
        <w:spacing w:after="480"/>
      </w:pPr>
      <w:r w:rsidRPr="00F71710">
        <w:rPr>
          <w:lang w:val="fr-FR"/>
        </w:rPr>
        <w:tab/>
        <w:t>Après avoir procédé à chacune des trois étapes, il y a lieu de mettre en balance les facteurs favorables et défavorables à l</w:t>
      </w:r>
      <w:r w:rsidR="002C7CFB">
        <w:rPr>
          <w:lang w:val="fr-FR"/>
        </w:rPr>
        <w:t>’</w:t>
      </w:r>
      <w:r w:rsidRPr="00F71710">
        <w:rPr>
          <w:lang w:val="fr-FR"/>
        </w:rPr>
        <w:t>exclusion de la preuve</w:t>
      </w:r>
      <w:r w:rsidR="00BA26A0" w:rsidRPr="00F71710">
        <w:rPr>
          <w:lang w:val="fr-FR"/>
        </w:rPr>
        <w:t xml:space="preserve">.  </w:t>
      </w:r>
      <w:r w:rsidRPr="00F71710">
        <w:rPr>
          <w:lang w:val="fr-FR"/>
        </w:rPr>
        <w:t>Considérée globalement, l</w:t>
      </w:r>
      <w:r w:rsidR="002C7CFB">
        <w:rPr>
          <w:lang w:val="fr-FR"/>
        </w:rPr>
        <w:t>’</w:t>
      </w:r>
      <w:r w:rsidRPr="00F71710">
        <w:rPr>
          <w:lang w:val="fr-FR"/>
        </w:rPr>
        <w:t xml:space="preserve">inconduite policière constatée </w:t>
      </w:r>
      <w:r w:rsidR="00F423BC" w:rsidRPr="00F71710">
        <w:rPr>
          <w:lang w:val="fr-FR"/>
        </w:rPr>
        <w:t>en l</w:t>
      </w:r>
      <w:r w:rsidR="002C7CFB">
        <w:rPr>
          <w:lang w:val="fr-FR"/>
        </w:rPr>
        <w:t>’</w:t>
      </w:r>
      <w:r w:rsidR="00F423BC" w:rsidRPr="00F71710">
        <w:rPr>
          <w:lang w:val="fr-FR"/>
        </w:rPr>
        <w:t>espèce</w:t>
      </w:r>
      <w:r w:rsidRPr="00F71710">
        <w:rPr>
          <w:lang w:val="fr-FR"/>
        </w:rPr>
        <w:t xml:space="preserve"> est grave et commande que les tribunaux s</w:t>
      </w:r>
      <w:r w:rsidR="002C7CFB">
        <w:rPr>
          <w:lang w:val="fr-FR"/>
        </w:rPr>
        <w:t>’</w:t>
      </w:r>
      <w:r w:rsidRPr="00F71710">
        <w:rPr>
          <w:lang w:val="fr-FR"/>
        </w:rPr>
        <w:t>en dissocient</w:t>
      </w:r>
      <w:r w:rsidR="00BA26A0" w:rsidRPr="00F71710">
        <w:rPr>
          <w:lang w:val="fr-FR"/>
        </w:rPr>
        <w:t xml:space="preserve">.  </w:t>
      </w:r>
      <w:r w:rsidRPr="00F71710">
        <w:rPr>
          <w:lang w:val="fr-FR"/>
        </w:rPr>
        <w:t>Il est cependant possible de se dissocier des violations constitutionnelles qui ont été commises sans pour autant exclure l</w:t>
      </w:r>
      <w:r w:rsidR="002C7CFB">
        <w:rPr>
          <w:lang w:val="fr-FR"/>
        </w:rPr>
        <w:t>’</w:t>
      </w:r>
      <w:r w:rsidRPr="00F71710">
        <w:rPr>
          <w:lang w:val="fr-FR"/>
        </w:rPr>
        <w:t>ensemble de la preuve</w:t>
      </w:r>
      <w:r w:rsidR="00BA26A0" w:rsidRPr="00F71710">
        <w:rPr>
          <w:lang w:val="fr-FR"/>
        </w:rPr>
        <w:t xml:space="preserve">.  </w:t>
      </w:r>
      <w:r w:rsidRPr="00F71710">
        <w:rPr>
          <w:lang w:val="fr-FR"/>
        </w:rPr>
        <w:t>L</w:t>
      </w:r>
      <w:r w:rsidR="002C7CFB">
        <w:rPr>
          <w:lang w:val="fr-FR"/>
        </w:rPr>
        <w:t>’</w:t>
      </w:r>
      <w:r w:rsidRPr="00F71710">
        <w:rPr>
          <w:lang w:val="fr-FR"/>
        </w:rPr>
        <w:t>atteinte aux droits constitutionnels de C n</w:t>
      </w:r>
      <w:r w:rsidR="002C7CFB">
        <w:rPr>
          <w:lang w:val="fr-FR"/>
        </w:rPr>
        <w:t>’</w:t>
      </w:r>
      <w:r w:rsidRPr="00F71710">
        <w:rPr>
          <w:lang w:val="fr-FR"/>
        </w:rPr>
        <w:t>atteint pas le niveau de gravité le plus élevé</w:t>
      </w:r>
      <w:r w:rsidR="00BA26A0" w:rsidRPr="00F71710">
        <w:rPr>
          <w:lang w:val="fr-FR"/>
        </w:rPr>
        <w:t xml:space="preserve">.  </w:t>
      </w:r>
      <w:r w:rsidRPr="00F71710">
        <w:rPr>
          <w:lang w:val="fr-FR"/>
        </w:rPr>
        <w:t>De plus, en présence de preuves fiables et importantes, l</w:t>
      </w:r>
      <w:r w:rsidR="002C7CFB">
        <w:rPr>
          <w:lang w:val="fr-FR"/>
        </w:rPr>
        <w:t>’</w:t>
      </w:r>
      <w:r w:rsidRPr="00F71710">
        <w:rPr>
          <w:lang w:val="fr-FR"/>
        </w:rPr>
        <w:t xml:space="preserve">intérêt de la société dans la recherche de la vérité </w:t>
      </w:r>
      <w:r w:rsidR="00204A55">
        <w:rPr>
          <w:lang w:val="fr-FR"/>
        </w:rPr>
        <w:t>ressort</w:t>
      </w:r>
      <w:r w:rsidR="00BA26A0" w:rsidRPr="00F71710">
        <w:rPr>
          <w:lang w:val="fr-FR"/>
        </w:rPr>
        <w:t xml:space="preserve">.  </w:t>
      </w:r>
      <w:r w:rsidRPr="00F71710">
        <w:rPr>
          <w:lang w:val="fr-FR"/>
        </w:rPr>
        <w:t>Dans l</w:t>
      </w:r>
      <w:r w:rsidR="002C7CFB">
        <w:rPr>
          <w:lang w:val="fr-FR"/>
        </w:rPr>
        <w:t>’</w:t>
      </w:r>
      <w:r w:rsidRPr="00F71710">
        <w:rPr>
          <w:lang w:val="fr-FR"/>
        </w:rPr>
        <w:t>ensemble, c</w:t>
      </w:r>
      <w:r w:rsidR="002C7CFB">
        <w:rPr>
          <w:lang w:val="fr-FR"/>
        </w:rPr>
        <w:t>’</w:t>
      </w:r>
      <w:r w:rsidRPr="00F71710">
        <w:rPr>
          <w:lang w:val="fr-FR"/>
        </w:rPr>
        <w:t>est l</w:t>
      </w:r>
      <w:r w:rsidR="002C7CFB">
        <w:rPr>
          <w:lang w:val="fr-FR"/>
        </w:rPr>
        <w:t>’</w:t>
      </w:r>
      <w:r w:rsidRPr="00F71710">
        <w:rPr>
          <w:lang w:val="fr-FR"/>
        </w:rPr>
        <w:t>exclusion de la preuve matérielle qui déconsidérerait l</w:t>
      </w:r>
      <w:r w:rsidR="002C7CFB">
        <w:rPr>
          <w:lang w:val="fr-FR"/>
        </w:rPr>
        <w:t>’</w:t>
      </w:r>
      <w:r w:rsidRPr="00F71710">
        <w:rPr>
          <w:lang w:val="fr-FR"/>
        </w:rPr>
        <w:t>administration de la justice.</w:t>
      </w:r>
      <w:r w:rsidRPr="00F71710">
        <w:t xml:space="preserve"> </w:t>
      </w:r>
    </w:p>
    <w:p w:rsidR="007E1C47" w:rsidRPr="00F71710" w:rsidRDefault="0043088E" w:rsidP="004E36F3">
      <w:pPr>
        <w:pStyle w:val="SCCNormalDoubleSpacing"/>
        <w:keepNext/>
        <w:spacing w:after="480"/>
        <w:rPr>
          <w:b/>
        </w:rPr>
      </w:pPr>
      <w:r w:rsidRPr="00F71710">
        <w:rPr>
          <w:b/>
        </w:rPr>
        <w:t>Jurisprudence</w:t>
      </w:r>
    </w:p>
    <w:p w:rsidR="007834A8" w:rsidRPr="00F71710" w:rsidRDefault="00A9684F" w:rsidP="004E36F3">
      <w:pPr>
        <w:pStyle w:val="SCCNormalDoubleSpacing"/>
        <w:keepNext/>
        <w:spacing w:after="480"/>
      </w:pPr>
      <w:r w:rsidRPr="00F71710">
        <w:t>Citée par le juge Cromwell</w:t>
      </w:r>
    </w:p>
    <w:p w:rsidR="002E6705" w:rsidRPr="00F71710" w:rsidRDefault="002E6705" w:rsidP="004E36F3">
      <w:pPr>
        <w:pStyle w:val="SCCNormalDoubleSpacing"/>
        <w:widowControl w:val="0"/>
        <w:spacing w:after="480"/>
        <w:rPr>
          <w:b/>
        </w:rPr>
      </w:pPr>
      <w:r w:rsidRPr="00F71710">
        <w:tab/>
      </w:r>
      <w:r w:rsidR="00CF25FA" w:rsidRPr="00F71710">
        <w:rPr>
          <w:b/>
        </w:rPr>
        <w:t xml:space="preserve">Arrêt </w:t>
      </w:r>
      <w:r w:rsidR="00CF25FA" w:rsidRPr="00F71710">
        <w:rPr>
          <w:b/>
          <w:szCs w:val="24"/>
        </w:rPr>
        <w:t>appliqué :</w:t>
      </w:r>
      <w:r w:rsidR="00EC75FF" w:rsidRPr="00F71710">
        <w:rPr>
          <w:b/>
          <w:szCs w:val="24"/>
        </w:rPr>
        <w:t> </w:t>
      </w:r>
      <w:r w:rsidR="00CF25FA" w:rsidRPr="00F71710">
        <w:rPr>
          <w:i/>
          <w:szCs w:val="24"/>
        </w:rPr>
        <w:t>R. c. Grant</w:t>
      </w:r>
      <w:r w:rsidR="00CF25FA" w:rsidRPr="00F71710">
        <w:rPr>
          <w:szCs w:val="24"/>
        </w:rPr>
        <w:t xml:space="preserve">, 2009 CSC 32, [2009] 2 R.C.S. 353; </w:t>
      </w:r>
      <w:r w:rsidR="00CF25FA" w:rsidRPr="00F71710">
        <w:rPr>
          <w:b/>
        </w:rPr>
        <w:t>a</w:t>
      </w:r>
      <w:r w:rsidR="0043088E" w:rsidRPr="00F71710">
        <w:rPr>
          <w:b/>
        </w:rPr>
        <w:t>rrêts mentionnés</w:t>
      </w:r>
      <w:r w:rsidR="00C65C25" w:rsidRPr="00F71710">
        <w:rPr>
          <w:b/>
        </w:rPr>
        <w:t> :</w:t>
      </w:r>
      <w:r w:rsidR="00EC75FF" w:rsidRPr="00F71710">
        <w:rPr>
          <w:b/>
        </w:rPr>
        <w:t> </w:t>
      </w:r>
      <w:r w:rsidR="008F51B5" w:rsidRPr="00F71710">
        <w:rPr>
          <w:i/>
          <w:szCs w:val="24"/>
        </w:rPr>
        <w:t>R. c. Godoy</w:t>
      </w:r>
      <w:r w:rsidR="008F51B5" w:rsidRPr="00F71710">
        <w:rPr>
          <w:szCs w:val="24"/>
        </w:rPr>
        <w:t xml:space="preserve">, [1999] 1 R.C.S. 311; </w:t>
      </w:r>
      <w:r w:rsidR="008F51B5" w:rsidRPr="00F71710">
        <w:rPr>
          <w:i/>
          <w:szCs w:val="24"/>
        </w:rPr>
        <w:t>R. c. Evans</w:t>
      </w:r>
      <w:r w:rsidR="008F51B5" w:rsidRPr="00F71710">
        <w:rPr>
          <w:szCs w:val="24"/>
        </w:rPr>
        <w:t xml:space="preserve">, [1996] 1 R.C.S. 8; </w:t>
      </w:r>
      <w:r w:rsidR="008F51B5" w:rsidRPr="00F71710">
        <w:rPr>
          <w:i/>
          <w:szCs w:val="24"/>
        </w:rPr>
        <w:t xml:space="preserve">R. c. </w:t>
      </w:r>
      <w:proofErr w:type="spellStart"/>
      <w:r w:rsidR="008F51B5" w:rsidRPr="00F71710">
        <w:rPr>
          <w:i/>
          <w:szCs w:val="24"/>
        </w:rPr>
        <w:t>Tricker</w:t>
      </w:r>
      <w:proofErr w:type="spellEnd"/>
      <w:r w:rsidR="008F51B5" w:rsidRPr="00F71710">
        <w:rPr>
          <w:szCs w:val="24"/>
        </w:rPr>
        <w:t xml:space="preserve"> (1995), 21 O.R. (3d) 575; </w:t>
      </w:r>
      <w:r w:rsidR="00CA240F" w:rsidRPr="00F71710">
        <w:rPr>
          <w:i/>
          <w:szCs w:val="24"/>
        </w:rPr>
        <w:t>R. c. Araujo</w:t>
      </w:r>
      <w:r w:rsidR="00CA240F" w:rsidRPr="00F71710">
        <w:rPr>
          <w:szCs w:val="24"/>
        </w:rPr>
        <w:t>, 2000 CSC 65, [2000] 2 R.C.S. 992;</w:t>
      </w:r>
      <w:r w:rsidR="008F51B5" w:rsidRPr="00F71710">
        <w:rPr>
          <w:szCs w:val="24"/>
        </w:rPr>
        <w:t xml:space="preserve"> </w:t>
      </w:r>
      <w:r w:rsidR="00CD2067" w:rsidRPr="00F71710">
        <w:rPr>
          <w:i/>
          <w:szCs w:val="24"/>
        </w:rPr>
        <w:t>R. c. Grant</w:t>
      </w:r>
      <w:r w:rsidR="00CD2067" w:rsidRPr="00F71710">
        <w:rPr>
          <w:szCs w:val="24"/>
        </w:rPr>
        <w:t xml:space="preserve">, [1993] 3 R.C.S. 223; </w:t>
      </w:r>
      <w:r w:rsidR="008F51B5" w:rsidRPr="00F71710">
        <w:rPr>
          <w:i/>
          <w:szCs w:val="24"/>
        </w:rPr>
        <w:t>R. c. Harrison</w:t>
      </w:r>
      <w:r w:rsidR="008F51B5" w:rsidRPr="00F71710">
        <w:rPr>
          <w:szCs w:val="24"/>
        </w:rPr>
        <w:t>, 2009 CSC 34, [2009] 2 R.C.S. 494</w:t>
      </w:r>
      <w:r w:rsidR="00266B76" w:rsidRPr="00F71710">
        <w:rPr>
          <w:szCs w:val="24"/>
        </w:rPr>
        <w:t>, inf. 2008 ONCA 85, 89 O.R. (3d) 161</w:t>
      </w:r>
      <w:r w:rsidR="008F51B5" w:rsidRPr="00F71710">
        <w:rPr>
          <w:szCs w:val="24"/>
        </w:rPr>
        <w:t xml:space="preserve">; </w:t>
      </w:r>
      <w:r w:rsidR="008F51B5" w:rsidRPr="00F71710">
        <w:rPr>
          <w:i/>
          <w:szCs w:val="24"/>
        </w:rPr>
        <w:t>R. c. Beaulieu</w:t>
      </w:r>
      <w:r w:rsidR="008F51B5" w:rsidRPr="00F71710">
        <w:rPr>
          <w:szCs w:val="24"/>
        </w:rPr>
        <w:t>, 2010 CSC 7, [2010] 1 R.C.S. 248</w:t>
      </w:r>
      <w:r w:rsidR="00A31608" w:rsidRPr="00F71710">
        <w:rPr>
          <w:szCs w:val="24"/>
        </w:rPr>
        <w:t>;</w:t>
      </w:r>
      <w:r w:rsidR="00AB5637" w:rsidRPr="00F71710">
        <w:rPr>
          <w:szCs w:val="24"/>
        </w:rPr>
        <w:t xml:space="preserve"> </w:t>
      </w:r>
      <w:r w:rsidR="00AB5637" w:rsidRPr="00F71710">
        <w:rPr>
          <w:i/>
          <w:szCs w:val="24"/>
        </w:rPr>
        <w:t>R. c. Collins</w:t>
      </w:r>
      <w:r w:rsidR="00AB5637" w:rsidRPr="00F71710">
        <w:rPr>
          <w:szCs w:val="24"/>
        </w:rPr>
        <w:t xml:space="preserve">, [1987] 1 R.C.S. 265; </w:t>
      </w:r>
      <w:r w:rsidR="00AB5637" w:rsidRPr="00F71710">
        <w:rPr>
          <w:i/>
          <w:szCs w:val="24"/>
        </w:rPr>
        <w:t xml:space="preserve">R. c. </w:t>
      </w:r>
      <w:proofErr w:type="spellStart"/>
      <w:r w:rsidR="00AB5637" w:rsidRPr="00F71710">
        <w:rPr>
          <w:i/>
          <w:szCs w:val="24"/>
        </w:rPr>
        <w:t>Stillman</w:t>
      </w:r>
      <w:proofErr w:type="spellEnd"/>
      <w:r w:rsidR="00AB5637" w:rsidRPr="00F71710">
        <w:rPr>
          <w:szCs w:val="24"/>
        </w:rPr>
        <w:t>, [1997] 1 R.C.S. 607;</w:t>
      </w:r>
      <w:r w:rsidR="00B93959" w:rsidRPr="00F71710">
        <w:rPr>
          <w:szCs w:val="24"/>
        </w:rPr>
        <w:t xml:space="preserve"> </w:t>
      </w:r>
      <w:r w:rsidR="00B93959" w:rsidRPr="00F71710">
        <w:rPr>
          <w:i/>
          <w:szCs w:val="24"/>
        </w:rPr>
        <w:t xml:space="preserve">R. c. </w:t>
      </w:r>
      <w:proofErr w:type="spellStart"/>
      <w:r w:rsidR="00B93959" w:rsidRPr="00F71710">
        <w:rPr>
          <w:i/>
          <w:szCs w:val="24"/>
        </w:rPr>
        <w:lastRenderedPageBreak/>
        <w:t>Colarusso</w:t>
      </w:r>
      <w:proofErr w:type="spellEnd"/>
      <w:r w:rsidR="00B93959" w:rsidRPr="00F71710">
        <w:rPr>
          <w:szCs w:val="24"/>
        </w:rPr>
        <w:t>, [1994] 1 R.C.S. 20;</w:t>
      </w:r>
      <w:r w:rsidR="00A31608" w:rsidRPr="00F71710">
        <w:rPr>
          <w:szCs w:val="24"/>
        </w:rPr>
        <w:t xml:space="preserve"> </w:t>
      </w:r>
      <w:r w:rsidR="00A31608" w:rsidRPr="00F71710">
        <w:rPr>
          <w:i/>
          <w:szCs w:val="24"/>
        </w:rPr>
        <w:t xml:space="preserve">R. c. </w:t>
      </w:r>
      <w:proofErr w:type="spellStart"/>
      <w:r w:rsidR="00A31608" w:rsidRPr="00F71710">
        <w:rPr>
          <w:i/>
          <w:szCs w:val="24"/>
        </w:rPr>
        <w:t>Buhay</w:t>
      </w:r>
      <w:proofErr w:type="spellEnd"/>
      <w:r w:rsidR="00A31608" w:rsidRPr="00F71710">
        <w:rPr>
          <w:szCs w:val="24"/>
        </w:rPr>
        <w:t xml:space="preserve">, 2003 CSC 30, [2003] 1 R.C.S. 631; </w:t>
      </w:r>
      <w:r w:rsidR="008F51B5" w:rsidRPr="00F71710">
        <w:rPr>
          <w:i/>
          <w:szCs w:val="24"/>
        </w:rPr>
        <w:t xml:space="preserve">R. c. </w:t>
      </w:r>
      <w:proofErr w:type="spellStart"/>
      <w:r w:rsidR="008F51B5" w:rsidRPr="00F71710">
        <w:rPr>
          <w:i/>
          <w:szCs w:val="24"/>
        </w:rPr>
        <w:t>Nolet</w:t>
      </w:r>
      <w:proofErr w:type="spellEnd"/>
      <w:r w:rsidR="008F51B5" w:rsidRPr="00F71710">
        <w:rPr>
          <w:szCs w:val="24"/>
        </w:rPr>
        <w:t>, 2010 CSC 24, [2010] 1 R.C.S. 851</w:t>
      </w:r>
      <w:r w:rsidR="000B50C7" w:rsidRPr="00F71710">
        <w:rPr>
          <w:szCs w:val="24"/>
        </w:rPr>
        <w:t>;</w:t>
      </w:r>
      <w:r w:rsidR="00B93959" w:rsidRPr="00F71710">
        <w:rPr>
          <w:szCs w:val="24"/>
        </w:rPr>
        <w:t xml:space="preserve"> </w:t>
      </w:r>
      <w:r w:rsidR="00B93959" w:rsidRPr="00F71710">
        <w:rPr>
          <w:i/>
          <w:szCs w:val="24"/>
        </w:rPr>
        <w:t xml:space="preserve">R. c. </w:t>
      </w:r>
      <w:proofErr w:type="spellStart"/>
      <w:r w:rsidR="00B93959" w:rsidRPr="00F71710">
        <w:rPr>
          <w:i/>
          <w:szCs w:val="24"/>
        </w:rPr>
        <w:t>Feeney</w:t>
      </w:r>
      <w:proofErr w:type="spellEnd"/>
      <w:r w:rsidR="00B93959" w:rsidRPr="00F71710">
        <w:rPr>
          <w:szCs w:val="24"/>
        </w:rPr>
        <w:t>, [1997] 2 R.C.S. 13;</w:t>
      </w:r>
      <w:r w:rsidR="000B50C7" w:rsidRPr="00F71710">
        <w:rPr>
          <w:szCs w:val="24"/>
        </w:rPr>
        <w:t xml:space="preserve"> </w:t>
      </w:r>
      <w:r w:rsidR="000B50C7" w:rsidRPr="00F71710">
        <w:rPr>
          <w:i/>
        </w:rPr>
        <w:t>R. c. Greffe</w:t>
      </w:r>
      <w:r w:rsidR="000B50C7" w:rsidRPr="00F71710">
        <w:t>, [1990] 1 R.C.S. 755</w:t>
      </w:r>
      <w:r w:rsidR="008F51B5" w:rsidRPr="00F71710">
        <w:rPr>
          <w:szCs w:val="24"/>
        </w:rPr>
        <w:t>.</w:t>
      </w:r>
    </w:p>
    <w:p w:rsidR="00A9684F" w:rsidRPr="00F71710" w:rsidRDefault="00A9684F" w:rsidP="00C65C25">
      <w:pPr>
        <w:pStyle w:val="SCCNormalDoubleSpacing"/>
        <w:keepNext/>
        <w:spacing w:after="480"/>
      </w:pPr>
      <w:r w:rsidRPr="00F71710">
        <w:t>Citée par la juge Deschamps (dissidente)</w:t>
      </w:r>
    </w:p>
    <w:p w:rsidR="00A9684F" w:rsidRPr="00F71710" w:rsidRDefault="00A9684F" w:rsidP="00C65C25">
      <w:pPr>
        <w:pStyle w:val="SCCNormalDoubleSpacing"/>
        <w:spacing w:after="480"/>
      </w:pPr>
      <w:r w:rsidRPr="00F71710">
        <w:tab/>
      </w:r>
      <w:r w:rsidRPr="00F71710">
        <w:rPr>
          <w:i/>
        </w:rPr>
        <w:t xml:space="preserve">R. </w:t>
      </w:r>
      <w:r w:rsidRPr="00F71710">
        <w:rPr>
          <w:i/>
          <w:iCs/>
        </w:rPr>
        <w:t>c.</w:t>
      </w:r>
      <w:r w:rsidRPr="00F71710">
        <w:rPr>
          <w:i/>
        </w:rPr>
        <w:t xml:space="preserve"> Grant</w:t>
      </w:r>
      <w:r w:rsidRPr="00F71710">
        <w:t xml:space="preserve">, 2009 CSC 32, [2009] 2 R.C.S. 353; </w:t>
      </w:r>
      <w:r w:rsidRPr="00F71710">
        <w:rPr>
          <w:i/>
          <w:iCs/>
        </w:rPr>
        <w:t>R. c. Collins</w:t>
      </w:r>
      <w:r w:rsidRPr="00F71710">
        <w:t xml:space="preserve">, [1987] 1 R.C.S. 265; </w:t>
      </w:r>
      <w:r w:rsidRPr="00F71710">
        <w:rPr>
          <w:i/>
          <w:iCs/>
        </w:rPr>
        <w:t xml:space="preserve">R. c. </w:t>
      </w:r>
      <w:proofErr w:type="spellStart"/>
      <w:r w:rsidRPr="00F71710">
        <w:rPr>
          <w:i/>
          <w:iCs/>
        </w:rPr>
        <w:t>Stillman</w:t>
      </w:r>
      <w:proofErr w:type="spellEnd"/>
      <w:r w:rsidRPr="00F71710">
        <w:t xml:space="preserve">, [1997] 1 R.C.S. 607; </w:t>
      </w:r>
      <w:r w:rsidRPr="00F71710">
        <w:rPr>
          <w:i/>
        </w:rPr>
        <w:t xml:space="preserve">Vancouver (Ville) </w:t>
      </w:r>
      <w:r w:rsidRPr="00F71710">
        <w:rPr>
          <w:i/>
          <w:iCs/>
        </w:rPr>
        <w:t>c.</w:t>
      </w:r>
      <w:r w:rsidRPr="00F71710">
        <w:rPr>
          <w:i/>
        </w:rPr>
        <w:t xml:space="preserve"> Ward</w:t>
      </w:r>
      <w:r w:rsidRPr="00F71710">
        <w:t xml:space="preserve">, 2010 CSC 27, [2010] 2 R.C.S. 28; </w:t>
      </w:r>
      <w:r w:rsidRPr="00F71710">
        <w:rPr>
          <w:i/>
        </w:rPr>
        <w:t>R. c. Harrison</w:t>
      </w:r>
      <w:r w:rsidRPr="00F71710">
        <w:t>, 2009 CSC 34, [2009] 2 R.C.S. 494.</w:t>
      </w:r>
    </w:p>
    <w:p w:rsidR="00231F3A" w:rsidRPr="00F71710" w:rsidRDefault="0043088E" w:rsidP="005E742A">
      <w:pPr>
        <w:pStyle w:val="SCCNormalDoubleSpacing"/>
        <w:keepNext/>
        <w:spacing w:after="720" w:line="240" w:lineRule="auto"/>
        <w:rPr>
          <w:b/>
        </w:rPr>
      </w:pPr>
      <w:r w:rsidRPr="00F71710">
        <w:rPr>
          <w:b/>
        </w:rPr>
        <w:t>Lois</w:t>
      </w:r>
      <w:r w:rsidR="002E6705" w:rsidRPr="00F71710">
        <w:rPr>
          <w:b/>
        </w:rPr>
        <w:t xml:space="preserve"> </w:t>
      </w:r>
      <w:r w:rsidR="008A6558" w:rsidRPr="00F71710">
        <w:rPr>
          <w:b/>
        </w:rPr>
        <w:t>et</w:t>
      </w:r>
      <w:r w:rsidR="002E6705" w:rsidRPr="00F71710">
        <w:rPr>
          <w:b/>
        </w:rPr>
        <w:t xml:space="preserve"> </w:t>
      </w:r>
      <w:r w:rsidRPr="00F71710">
        <w:rPr>
          <w:b/>
        </w:rPr>
        <w:t>rè</w:t>
      </w:r>
      <w:r w:rsidR="002E6705" w:rsidRPr="00F71710">
        <w:rPr>
          <w:b/>
        </w:rPr>
        <w:t>gl</w:t>
      </w:r>
      <w:r w:rsidRPr="00F71710">
        <w:rPr>
          <w:b/>
        </w:rPr>
        <w:t>ements</w:t>
      </w:r>
      <w:r w:rsidR="002E6705" w:rsidRPr="00F71710">
        <w:rPr>
          <w:b/>
        </w:rPr>
        <w:t xml:space="preserve"> </w:t>
      </w:r>
      <w:r w:rsidRPr="00F71710">
        <w:rPr>
          <w:b/>
        </w:rPr>
        <w:t>c</w:t>
      </w:r>
      <w:r w:rsidR="002E6705" w:rsidRPr="00F71710">
        <w:rPr>
          <w:b/>
        </w:rPr>
        <w:t>it</w:t>
      </w:r>
      <w:r w:rsidRPr="00F71710">
        <w:rPr>
          <w:b/>
        </w:rPr>
        <w:t>és</w:t>
      </w:r>
    </w:p>
    <w:p w:rsidR="000A5321" w:rsidRPr="00F71710" w:rsidRDefault="008F51B5" w:rsidP="00C65C25">
      <w:pPr>
        <w:pStyle w:val="SCCNormalDoubleSpacing"/>
        <w:spacing w:after="240" w:line="240" w:lineRule="auto"/>
        <w:ind w:left="547" w:hanging="547"/>
      </w:pPr>
      <w:r w:rsidRPr="00F71710">
        <w:rPr>
          <w:i/>
        </w:rPr>
        <w:t>Charte canadienne des droits et libertés</w:t>
      </w:r>
      <w:r w:rsidRPr="00F71710">
        <w:t xml:space="preserve">, </w:t>
      </w:r>
      <w:r w:rsidR="00C65C25" w:rsidRPr="00F71710">
        <w:t>art. </w:t>
      </w:r>
      <w:r w:rsidRPr="00F71710">
        <w:t>7, 8, 10, 24.</w:t>
      </w:r>
    </w:p>
    <w:p w:rsidR="000A5321" w:rsidRPr="00F71710" w:rsidRDefault="00A9684F" w:rsidP="00C65C25">
      <w:pPr>
        <w:pStyle w:val="SCCNormalDoubleSpacing"/>
        <w:spacing w:after="720" w:line="240" w:lineRule="auto"/>
        <w:ind w:left="547" w:hanging="547"/>
      </w:pPr>
      <w:r w:rsidRPr="00F71710">
        <w:rPr>
          <w:i/>
        </w:rPr>
        <w:t>Code criminel</w:t>
      </w:r>
      <w:r w:rsidRPr="00F71710">
        <w:t xml:space="preserve">, L.R.C. 1985, </w:t>
      </w:r>
      <w:r w:rsidR="00C65C25" w:rsidRPr="00F71710">
        <w:t>ch. </w:t>
      </w:r>
      <w:r w:rsidRPr="00F71710">
        <w:t>C</w:t>
      </w:r>
      <w:r w:rsidR="00C65C25" w:rsidRPr="00F71710">
        <w:noBreakHyphen/>
      </w:r>
      <w:r w:rsidRPr="00F71710">
        <w:t xml:space="preserve">46, </w:t>
      </w:r>
      <w:r w:rsidR="00C65C25" w:rsidRPr="00F71710">
        <w:t>art. </w:t>
      </w:r>
      <w:r w:rsidRPr="00F71710">
        <w:t>488.</w:t>
      </w:r>
    </w:p>
    <w:p w:rsidR="00D5435D" w:rsidRPr="00F71710" w:rsidRDefault="00F25118" w:rsidP="00C65C25">
      <w:pPr>
        <w:pStyle w:val="SCCNormalDoubleSpacing"/>
        <w:spacing w:after="480"/>
      </w:pPr>
      <w:r w:rsidRPr="00F71710">
        <w:tab/>
      </w:r>
      <w:r w:rsidR="009B57B3" w:rsidRPr="00F71710">
        <w:t>P</w:t>
      </w:r>
      <w:r w:rsidR="0043088E" w:rsidRPr="00F71710">
        <w:t>OURVOI contre un arrêt de la</w:t>
      </w:r>
      <w:r w:rsidR="009B57B3" w:rsidRPr="00F71710">
        <w:t xml:space="preserve"> Cour d</w:t>
      </w:r>
      <w:r w:rsidR="002C7CFB">
        <w:t>’</w:t>
      </w:r>
      <w:r w:rsidR="009B57B3" w:rsidRPr="00F71710">
        <w:t>appel du Québec</w:t>
      </w:r>
      <w:r w:rsidR="00914B22" w:rsidRPr="00F71710">
        <w:t xml:space="preserve"> (les juges </w:t>
      </w:r>
      <w:proofErr w:type="spellStart"/>
      <w:r w:rsidR="00914B22" w:rsidRPr="00F71710">
        <w:t>Dalphond</w:t>
      </w:r>
      <w:proofErr w:type="spellEnd"/>
      <w:r w:rsidR="00914B22" w:rsidRPr="00F71710">
        <w:t xml:space="preserve">, Duval </w:t>
      </w:r>
      <w:proofErr w:type="spellStart"/>
      <w:r w:rsidR="00914B22" w:rsidRPr="00F71710">
        <w:t>Hesler</w:t>
      </w:r>
      <w:proofErr w:type="spellEnd"/>
      <w:r w:rsidR="00914B22" w:rsidRPr="00F71710">
        <w:t xml:space="preserve"> et Gagnon), 2010 QCCA 303, 74 C.R. (6th) 130, </w:t>
      </w:r>
      <w:r w:rsidR="00D010E4" w:rsidRPr="00D4636A">
        <w:rPr>
          <w:szCs w:val="24"/>
        </w:rPr>
        <w:t>SOQUIJ AZ-50609169,</w:t>
      </w:r>
      <w:r w:rsidR="00D010E4" w:rsidRPr="00F71710">
        <w:t xml:space="preserve"> </w:t>
      </w:r>
      <w:r w:rsidR="00914B22" w:rsidRPr="00F71710">
        <w:t>[2010] J.Q. n</w:t>
      </w:r>
      <w:r w:rsidR="00914B22" w:rsidRPr="00F71710">
        <w:rPr>
          <w:vertAlign w:val="superscript"/>
        </w:rPr>
        <w:t>o</w:t>
      </w:r>
      <w:r w:rsidR="00C65C25" w:rsidRPr="00F71710">
        <w:t> </w:t>
      </w:r>
      <w:r w:rsidR="00914B22" w:rsidRPr="00F71710">
        <w:t xml:space="preserve">1162 (QL), 2010 </w:t>
      </w:r>
      <w:proofErr w:type="spellStart"/>
      <w:r w:rsidR="00914B22" w:rsidRPr="00F71710">
        <w:t>CarswellQue</w:t>
      </w:r>
      <w:proofErr w:type="spellEnd"/>
      <w:r w:rsidR="00914B22" w:rsidRPr="00F71710">
        <w:t xml:space="preserve"> 1175, </w:t>
      </w:r>
      <w:r w:rsidR="00CF25FA" w:rsidRPr="00F71710">
        <w:t>qui a annulé l</w:t>
      </w:r>
      <w:r w:rsidR="002C7CFB">
        <w:t>’</w:t>
      </w:r>
      <w:r w:rsidR="00CF25FA" w:rsidRPr="00F71710">
        <w:t xml:space="preserve">acquittement prononcé par le juge </w:t>
      </w:r>
      <w:proofErr w:type="spellStart"/>
      <w:r w:rsidR="00914B22" w:rsidRPr="00F71710">
        <w:t>Cournoyer</w:t>
      </w:r>
      <w:proofErr w:type="spellEnd"/>
      <w:r w:rsidR="00914B22" w:rsidRPr="00F71710">
        <w:t xml:space="preserve">, 2008 QCCS 3749, </w:t>
      </w:r>
      <w:r w:rsidR="00D010E4" w:rsidRPr="00D4636A">
        <w:rPr>
          <w:szCs w:val="24"/>
        </w:rPr>
        <w:t>SOQUIJ AZ-50509743,</w:t>
      </w:r>
      <w:r w:rsidR="00D010E4" w:rsidRPr="00F71710">
        <w:t xml:space="preserve"> </w:t>
      </w:r>
      <w:r w:rsidR="00914B22" w:rsidRPr="00F71710">
        <w:t>[2008] J.Q. n</w:t>
      </w:r>
      <w:r w:rsidR="00914B22" w:rsidRPr="00F71710">
        <w:rPr>
          <w:vertAlign w:val="superscript"/>
        </w:rPr>
        <w:t>o</w:t>
      </w:r>
      <w:r w:rsidR="00C65C25" w:rsidRPr="00F71710">
        <w:t> </w:t>
      </w:r>
      <w:r w:rsidR="00914B22" w:rsidRPr="00F71710">
        <w:t xml:space="preserve">7951 (QL), 2008 </w:t>
      </w:r>
      <w:proofErr w:type="spellStart"/>
      <w:r w:rsidR="00914B22" w:rsidRPr="00F71710">
        <w:t>CarswellQue</w:t>
      </w:r>
      <w:proofErr w:type="spellEnd"/>
      <w:r w:rsidR="00914B22" w:rsidRPr="00F71710">
        <w:t xml:space="preserve"> 7931</w:t>
      </w:r>
      <w:r w:rsidR="00CF25FA" w:rsidRPr="00F71710">
        <w:t>, et qui a ordonné la tenue d</w:t>
      </w:r>
      <w:r w:rsidR="002C7CFB">
        <w:t>’</w:t>
      </w:r>
      <w:r w:rsidR="00CF25FA" w:rsidRPr="00F71710">
        <w:t>un nouveau procès</w:t>
      </w:r>
      <w:r w:rsidR="00914B22" w:rsidRPr="00F71710">
        <w:t xml:space="preserve">. </w:t>
      </w:r>
      <w:r w:rsidR="00BA26A0" w:rsidRPr="00F71710">
        <w:t xml:space="preserve"> </w:t>
      </w:r>
      <w:r w:rsidR="0093249D" w:rsidRPr="00F71710">
        <w:t>Pourvoi</w:t>
      </w:r>
      <w:r w:rsidR="00914B22" w:rsidRPr="00F71710">
        <w:t xml:space="preserve"> </w:t>
      </w:r>
      <w:r w:rsidR="00264014" w:rsidRPr="00F71710">
        <w:t>accueilli</w:t>
      </w:r>
      <w:r w:rsidR="00A9684F" w:rsidRPr="00F71710">
        <w:t xml:space="preserve">, la juge Deschamps </w:t>
      </w:r>
      <w:r w:rsidR="005E4400" w:rsidRPr="00F71710">
        <w:t xml:space="preserve">est </w:t>
      </w:r>
      <w:r w:rsidR="00A9684F" w:rsidRPr="00F71710">
        <w:t>dissidente</w:t>
      </w:r>
      <w:r w:rsidR="00914B22" w:rsidRPr="00F71710">
        <w:t>.</w:t>
      </w:r>
    </w:p>
    <w:p w:rsidR="00D85644" w:rsidRPr="00F71710" w:rsidRDefault="0093249D" w:rsidP="00C65C25">
      <w:pPr>
        <w:pStyle w:val="SCCNormalDoubleSpacing"/>
        <w:spacing w:after="480"/>
      </w:pPr>
      <w:r w:rsidRPr="00F71710">
        <w:rPr>
          <w:rStyle w:val="SCCCounselNameChar"/>
        </w:rPr>
        <w:tab/>
        <w:t>Carole Gladu</w:t>
      </w:r>
      <w:r w:rsidRPr="00F71710">
        <w:rPr>
          <w:rStyle w:val="SCCCounselSeparatorChar"/>
        </w:rPr>
        <w:t xml:space="preserve">, </w:t>
      </w:r>
      <w:r w:rsidRPr="00F71710">
        <w:rPr>
          <w:rStyle w:val="SCCCounselNameChar"/>
        </w:rPr>
        <w:t>Josée Veilleux</w:t>
      </w:r>
      <w:r w:rsidRPr="00F71710">
        <w:rPr>
          <w:rStyle w:val="SCCCounselSeparatorChar"/>
        </w:rPr>
        <w:t xml:space="preserve"> et </w:t>
      </w:r>
      <w:r w:rsidRPr="00F71710">
        <w:rPr>
          <w:rStyle w:val="SCCCounselNameChar"/>
        </w:rPr>
        <w:t>Karine Guay</w:t>
      </w:r>
      <w:r w:rsidR="00F25118" w:rsidRPr="00F71710">
        <w:rPr>
          <w:rStyle w:val="SCCCounselPartyRoleChar"/>
        </w:rPr>
        <w:t>, pour l</w:t>
      </w:r>
      <w:r w:rsidR="002C7CFB">
        <w:rPr>
          <w:rStyle w:val="SCCCounselPartyRoleChar"/>
        </w:rPr>
        <w:t>’</w:t>
      </w:r>
      <w:r w:rsidRPr="00F71710">
        <w:rPr>
          <w:rStyle w:val="SCCCounselPartyRoleChar"/>
        </w:rPr>
        <w:t>appelante.</w:t>
      </w:r>
    </w:p>
    <w:p w:rsidR="00D85644" w:rsidRPr="00F71710" w:rsidRDefault="0093249D" w:rsidP="00C65C25">
      <w:pPr>
        <w:pStyle w:val="SCCNormalDoubleSpacing"/>
        <w:spacing w:after="480"/>
      </w:pPr>
      <w:r w:rsidRPr="00F71710">
        <w:rPr>
          <w:rStyle w:val="SCCCounselNameChar"/>
        </w:rPr>
        <w:lastRenderedPageBreak/>
        <w:tab/>
        <w:t>Magalie Cimon</w:t>
      </w:r>
      <w:r w:rsidRPr="00F71710">
        <w:rPr>
          <w:rStyle w:val="SCCCounselSeparatorChar"/>
        </w:rPr>
        <w:t xml:space="preserve"> et </w:t>
      </w:r>
      <w:r w:rsidRPr="00F71710">
        <w:rPr>
          <w:rStyle w:val="SCCCounselNameChar"/>
        </w:rPr>
        <w:t>Pierre Goulet</w:t>
      </w:r>
      <w:r w:rsidRPr="00F71710">
        <w:rPr>
          <w:rStyle w:val="SCCCounselPartyRoleChar"/>
        </w:rPr>
        <w:t>, pour l</w:t>
      </w:r>
      <w:r w:rsidR="002C7CFB">
        <w:rPr>
          <w:rStyle w:val="SCCCounselPartyRoleChar"/>
        </w:rPr>
        <w:t>’</w:t>
      </w:r>
      <w:r w:rsidRPr="00F71710">
        <w:rPr>
          <w:rStyle w:val="SCCCounselPartyRoleChar"/>
        </w:rPr>
        <w:t>intimée.</w:t>
      </w:r>
    </w:p>
    <w:p w:rsidR="006E7471" w:rsidRDefault="0093249D" w:rsidP="006E7471">
      <w:pPr>
        <w:pStyle w:val="SCCNormalDoubleSpacing"/>
        <w:spacing w:after="720"/>
        <w:rPr>
          <w:rStyle w:val="SCCCounselPartyRoleChar"/>
        </w:rPr>
      </w:pPr>
      <w:r w:rsidRPr="00F71710">
        <w:rPr>
          <w:rStyle w:val="SCCCounselNameChar"/>
        </w:rPr>
        <w:tab/>
        <w:t xml:space="preserve">Frank </w:t>
      </w:r>
      <w:proofErr w:type="spellStart"/>
      <w:r w:rsidRPr="00F71710">
        <w:rPr>
          <w:rStyle w:val="SCCCounselNameChar"/>
        </w:rPr>
        <w:t>Addario</w:t>
      </w:r>
      <w:proofErr w:type="spellEnd"/>
      <w:r w:rsidR="00042F66" w:rsidRPr="00F71710">
        <w:rPr>
          <w:rStyle w:val="SCCCounselNameChar"/>
          <w:i w:val="0"/>
        </w:rPr>
        <w:t xml:space="preserve"> et </w:t>
      </w:r>
      <w:r w:rsidR="00042F66" w:rsidRPr="00F71710">
        <w:rPr>
          <w:rStyle w:val="SCCCounselNameChar"/>
        </w:rPr>
        <w:t xml:space="preserve">Kelly </w:t>
      </w:r>
      <w:proofErr w:type="spellStart"/>
      <w:r w:rsidR="00042F66" w:rsidRPr="00F71710">
        <w:rPr>
          <w:rStyle w:val="SCCCounselNameChar"/>
        </w:rPr>
        <w:t>Doctor</w:t>
      </w:r>
      <w:proofErr w:type="spellEnd"/>
      <w:r w:rsidRPr="00F71710">
        <w:rPr>
          <w:rStyle w:val="SCCCounselPartyRoleChar"/>
        </w:rPr>
        <w:t>, pour l</w:t>
      </w:r>
      <w:r w:rsidR="002C7CFB">
        <w:rPr>
          <w:rStyle w:val="SCCCounselPartyRoleChar"/>
        </w:rPr>
        <w:t>’</w:t>
      </w:r>
      <w:r w:rsidRPr="00F71710">
        <w:rPr>
          <w:rStyle w:val="SCCCounselPartyRoleChar"/>
        </w:rPr>
        <w:t>intervenante.</w:t>
      </w:r>
    </w:p>
    <w:p w:rsidR="006E7471" w:rsidRDefault="006E7471" w:rsidP="006E7471">
      <w:pPr>
        <w:pStyle w:val="SCCNormalDoubleSpacing"/>
        <w:spacing w:after="720"/>
        <w:rPr>
          <w:rStyle w:val="SCCCounselPartyRoleChar"/>
        </w:rPr>
      </w:pPr>
      <w:r>
        <w:rPr>
          <w:rStyle w:val="SCCCounselPartyRoleChar"/>
        </w:rPr>
        <w:tab/>
        <w:t xml:space="preserve">Version française du jugement de la juge en chef </w:t>
      </w:r>
      <w:proofErr w:type="spellStart"/>
      <w:r>
        <w:rPr>
          <w:rStyle w:val="SCCCounselPartyRoleChar"/>
        </w:rPr>
        <w:t>McLachlin</w:t>
      </w:r>
      <w:proofErr w:type="spellEnd"/>
      <w:r>
        <w:rPr>
          <w:rStyle w:val="SCCCounselPartyRoleChar"/>
        </w:rPr>
        <w:t xml:space="preserve"> et des juges </w:t>
      </w:r>
      <w:proofErr w:type="spellStart"/>
      <w:r>
        <w:rPr>
          <w:rStyle w:val="SCCCounselPartyRoleChar"/>
        </w:rPr>
        <w:t>Binnie</w:t>
      </w:r>
      <w:proofErr w:type="spellEnd"/>
      <w:r>
        <w:rPr>
          <w:rStyle w:val="SCCCounselPartyRoleChar"/>
        </w:rPr>
        <w:t xml:space="preserve">, </w:t>
      </w:r>
      <w:proofErr w:type="spellStart"/>
      <w:r>
        <w:rPr>
          <w:rStyle w:val="SCCCounselPartyRoleChar"/>
        </w:rPr>
        <w:t>LeBel</w:t>
      </w:r>
      <w:proofErr w:type="spellEnd"/>
      <w:r>
        <w:rPr>
          <w:rStyle w:val="SCCCounselPartyRoleChar"/>
        </w:rPr>
        <w:t xml:space="preserve">, Fish, Abella, Charron, </w:t>
      </w:r>
      <w:proofErr w:type="spellStart"/>
      <w:r>
        <w:rPr>
          <w:rStyle w:val="SCCCounselPartyRoleChar"/>
        </w:rPr>
        <w:t>Rothstein</w:t>
      </w:r>
      <w:proofErr w:type="spellEnd"/>
      <w:r>
        <w:rPr>
          <w:rStyle w:val="SCCCounselPartyRoleChar"/>
        </w:rPr>
        <w:t xml:space="preserve"> et Cromwell rendu par</w:t>
      </w:r>
    </w:p>
    <w:p w:rsidR="00DC2386" w:rsidRPr="006E7471" w:rsidRDefault="00DC2386" w:rsidP="006E7471">
      <w:pPr>
        <w:pStyle w:val="SCCNormalDoubleSpacing"/>
        <w:spacing w:after="480"/>
      </w:pPr>
      <w:r w:rsidRPr="00CA43DD">
        <w:rPr>
          <w:szCs w:val="24"/>
        </w:rPr>
        <w:tab/>
      </w:r>
      <w:r w:rsidRPr="00CA43DD">
        <w:rPr>
          <w:smallCaps/>
          <w:szCs w:val="24"/>
        </w:rPr>
        <w:t xml:space="preserve">Le juge Cromwell </w:t>
      </w:r>
      <w:r w:rsidRPr="00CA43DD">
        <w:rPr>
          <w:szCs w:val="24"/>
        </w:rPr>
        <w:t xml:space="preserve">— </w:t>
      </w:r>
    </w:p>
    <w:p w:rsidR="00DC2386" w:rsidRPr="00CA43DD" w:rsidRDefault="00DC2386" w:rsidP="006E7471">
      <w:pPr>
        <w:pStyle w:val="TitleTitre-AltT"/>
        <w:keepNext/>
        <w:tabs>
          <w:tab w:val="clear" w:pos="360"/>
          <w:tab w:val="left" w:pos="720"/>
        </w:tabs>
        <w:spacing w:after="720"/>
        <w:ind w:left="720" w:hanging="720"/>
        <w:rPr>
          <w:rFonts w:cs="Times New Roman"/>
          <w:szCs w:val="24"/>
          <w:lang w:val="fr-CA"/>
        </w:rPr>
      </w:pPr>
      <w:r w:rsidRPr="00CA43DD">
        <w:rPr>
          <w:rFonts w:cs="Times New Roman"/>
          <w:szCs w:val="24"/>
          <w:lang w:val="fr-CA"/>
        </w:rPr>
        <w:t>I.</w:t>
      </w:r>
      <w:r w:rsidRPr="00CA43DD">
        <w:rPr>
          <w:rFonts w:cs="Times New Roman"/>
          <w:szCs w:val="24"/>
          <w:lang w:val="fr-CA"/>
        </w:rPr>
        <w:tab/>
      </w:r>
      <w:r w:rsidRPr="00CA43DD">
        <w:rPr>
          <w:rFonts w:cs="Times New Roman"/>
          <w:szCs w:val="24"/>
          <w:u w:val="single"/>
          <w:lang w:val="fr-CA"/>
        </w:rPr>
        <w:t>Introduction</w:t>
      </w:r>
    </w:p>
    <w:p w:rsidR="00DC2386" w:rsidRPr="00CA43DD" w:rsidRDefault="00DC2386" w:rsidP="00DC2386">
      <w:pPr>
        <w:pStyle w:val="ParaNoNdepar-AltN"/>
        <w:rPr>
          <w:rFonts w:cs="Times New Roman"/>
          <w:szCs w:val="24"/>
          <w:lang w:val="fr-CA"/>
        </w:rPr>
      </w:pPr>
      <w:r w:rsidRPr="00CA43DD">
        <w:rPr>
          <w:rFonts w:cs="Times New Roman"/>
          <w:szCs w:val="24"/>
          <w:lang w:val="fr-CA"/>
        </w:rPr>
        <w:t xml:space="preserve">Le tribunal doit écarter la preuve obtenue en violation des droits garantis par la </w:t>
      </w:r>
      <w:r w:rsidRPr="00CA43DD">
        <w:rPr>
          <w:rFonts w:cs="Times New Roman"/>
          <w:i/>
          <w:iCs/>
          <w:szCs w:val="24"/>
          <w:lang w:val="fr-CA"/>
        </w:rPr>
        <w:t>Charte canadienne des droits et libertés</w:t>
      </w:r>
      <w:r w:rsidRPr="00CA43DD">
        <w:rPr>
          <w:rFonts w:cs="Times New Roman"/>
          <w:szCs w:val="24"/>
          <w:lang w:val="fr-CA"/>
        </w:rPr>
        <w:t xml:space="preserve"> lorsque, eu égard aux circonstances, son utilisation est susceptible de déconsidérer l</w:t>
      </w:r>
      <w:r>
        <w:rPr>
          <w:rFonts w:cs="Times New Roman"/>
          <w:szCs w:val="24"/>
          <w:lang w:val="fr-CA"/>
        </w:rPr>
        <w:t>’</w:t>
      </w:r>
      <w:r w:rsidRPr="00CA43DD">
        <w:rPr>
          <w:rFonts w:cs="Times New Roman"/>
          <w:szCs w:val="24"/>
          <w:lang w:val="fr-CA"/>
        </w:rPr>
        <w:t>administration de la justice</w:t>
      </w:r>
      <w:r w:rsidR="000C07F3">
        <w:rPr>
          <w:rFonts w:cs="Times New Roman"/>
          <w:szCs w:val="24"/>
          <w:lang w:val="fr-CA"/>
        </w:rPr>
        <w:t xml:space="preserve"> : </w:t>
      </w:r>
      <w:r w:rsidR="007F3DE7">
        <w:rPr>
          <w:rFonts w:cs="Times New Roman"/>
          <w:szCs w:val="24"/>
          <w:lang w:val="fr-CA"/>
        </w:rPr>
        <w:t>par. 24(2)</w:t>
      </w:r>
      <w:r w:rsidRPr="00CA43DD">
        <w:rPr>
          <w:rFonts w:cs="Times New Roman"/>
          <w:szCs w:val="24"/>
          <w:lang w:val="fr-CA"/>
        </w:rPr>
        <w:t>.  La présente affaire illustre bien la manière dont cette règle s</w:t>
      </w:r>
      <w:r>
        <w:rPr>
          <w:rFonts w:cs="Times New Roman"/>
          <w:szCs w:val="24"/>
          <w:lang w:val="fr-CA"/>
        </w:rPr>
        <w:t>’</w:t>
      </w:r>
      <w:r w:rsidRPr="00CA43DD">
        <w:rPr>
          <w:rFonts w:cs="Times New Roman"/>
          <w:szCs w:val="24"/>
          <w:lang w:val="fr-CA"/>
        </w:rPr>
        <w:t>applique lorsque des policiers ont fait preuve d</w:t>
      </w:r>
      <w:r>
        <w:rPr>
          <w:rFonts w:cs="Times New Roman"/>
          <w:szCs w:val="24"/>
          <w:lang w:val="fr-CA"/>
        </w:rPr>
        <w:t>’</w:t>
      </w:r>
      <w:r w:rsidRPr="00CA43DD">
        <w:rPr>
          <w:rFonts w:cs="Times New Roman"/>
          <w:szCs w:val="24"/>
          <w:lang w:val="fr-CA"/>
        </w:rPr>
        <w:t>un mépris à la fois grave et systématique envers les droits constitutionnels d</w:t>
      </w:r>
      <w:r>
        <w:rPr>
          <w:rFonts w:cs="Times New Roman"/>
          <w:szCs w:val="24"/>
          <w:lang w:val="fr-CA"/>
        </w:rPr>
        <w:t>’</w:t>
      </w:r>
      <w:r w:rsidRPr="00CA43DD">
        <w:rPr>
          <w:rFonts w:cs="Times New Roman"/>
          <w:szCs w:val="24"/>
          <w:lang w:val="fr-CA"/>
        </w:rPr>
        <w:t>une personne lors d</w:t>
      </w:r>
      <w:r>
        <w:rPr>
          <w:rFonts w:cs="Times New Roman"/>
          <w:szCs w:val="24"/>
          <w:lang w:val="fr-CA"/>
        </w:rPr>
        <w:t>’</w:t>
      </w:r>
      <w:r w:rsidRPr="00CA43DD">
        <w:rPr>
          <w:rFonts w:cs="Times New Roman"/>
          <w:szCs w:val="24"/>
          <w:lang w:val="fr-CA"/>
        </w:rPr>
        <w:t>une enquête sur un crime grave.</w:t>
      </w:r>
    </w:p>
    <w:p w:rsidR="00DC2386" w:rsidRPr="00CA43DD" w:rsidRDefault="00DC2386" w:rsidP="00DC2386">
      <w:pPr>
        <w:pStyle w:val="ParaNoNdepar-AltN"/>
        <w:rPr>
          <w:rFonts w:cs="Times New Roman"/>
          <w:szCs w:val="24"/>
          <w:lang w:val="fr-CA"/>
        </w:rPr>
      </w:pPr>
      <w:r w:rsidRPr="00CA43DD">
        <w:rPr>
          <w:rFonts w:cs="Times New Roman"/>
          <w:szCs w:val="24"/>
          <w:lang w:val="fr-CA"/>
        </w:rPr>
        <w:t>Au procès de l</w:t>
      </w:r>
      <w:r>
        <w:rPr>
          <w:rFonts w:cs="Times New Roman"/>
          <w:szCs w:val="24"/>
          <w:lang w:val="fr-CA"/>
        </w:rPr>
        <w:t>’</w:t>
      </w:r>
      <w:r w:rsidRPr="00CA43DD">
        <w:rPr>
          <w:rFonts w:cs="Times New Roman"/>
          <w:szCs w:val="24"/>
          <w:lang w:val="fr-CA"/>
        </w:rPr>
        <w:t>appelante accusée de meurtre au deuxième degré, le juge du procès a conclu à l</w:t>
      </w:r>
      <w:r>
        <w:rPr>
          <w:rFonts w:cs="Times New Roman"/>
          <w:szCs w:val="24"/>
          <w:lang w:val="fr-CA"/>
        </w:rPr>
        <w:t>’</w:t>
      </w:r>
      <w:r w:rsidRPr="00CA43DD">
        <w:rPr>
          <w:rFonts w:cs="Times New Roman"/>
          <w:szCs w:val="24"/>
          <w:lang w:val="fr-CA"/>
        </w:rPr>
        <w:t>issue d</w:t>
      </w:r>
      <w:r>
        <w:rPr>
          <w:rFonts w:cs="Times New Roman"/>
          <w:szCs w:val="24"/>
          <w:lang w:val="fr-CA"/>
        </w:rPr>
        <w:t>’</w:t>
      </w:r>
      <w:r w:rsidRPr="00CA43DD">
        <w:rPr>
          <w:rFonts w:cs="Times New Roman"/>
          <w:szCs w:val="24"/>
          <w:lang w:val="fr-CA"/>
        </w:rPr>
        <w:t xml:space="preserve">une audience de cinq jours que, pendant plusieurs heures, les policiers avaient violé presque tous les droits que la </w:t>
      </w:r>
      <w:r w:rsidRPr="00CA43DD">
        <w:rPr>
          <w:rFonts w:cs="Times New Roman"/>
          <w:i/>
          <w:iCs/>
          <w:szCs w:val="24"/>
          <w:lang w:val="fr-CA"/>
        </w:rPr>
        <w:t>Charte</w:t>
      </w:r>
      <w:r w:rsidRPr="00CA43DD">
        <w:rPr>
          <w:rFonts w:cs="Times New Roman"/>
          <w:szCs w:val="24"/>
          <w:lang w:val="fr-CA"/>
        </w:rPr>
        <w:t xml:space="preserve"> garantit à un suspect dans le cadre d</w:t>
      </w:r>
      <w:r>
        <w:rPr>
          <w:rFonts w:cs="Times New Roman"/>
          <w:szCs w:val="24"/>
          <w:lang w:val="fr-CA"/>
        </w:rPr>
        <w:t>’</w:t>
      </w:r>
      <w:r w:rsidRPr="00CA43DD">
        <w:rPr>
          <w:rFonts w:cs="Times New Roman"/>
          <w:szCs w:val="24"/>
          <w:lang w:val="fr-CA"/>
        </w:rPr>
        <w:t>une enquête criminelle.  Il a estimé qu</w:t>
      </w:r>
      <w:r>
        <w:rPr>
          <w:rFonts w:cs="Times New Roman"/>
          <w:szCs w:val="24"/>
          <w:lang w:val="fr-CA"/>
        </w:rPr>
        <w:t>’</w:t>
      </w:r>
      <w:r w:rsidRPr="00CA43DD">
        <w:rPr>
          <w:rFonts w:cs="Times New Roman"/>
          <w:szCs w:val="24"/>
          <w:lang w:val="fr-CA"/>
        </w:rPr>
        <w:t>il ne s</w:t>
      </w:r>
      <w:r>
        <w:rPr>
          <w:rFonts w:cs="Times New Roman"/>
          <w:szCs w:val="24"/>
          <w:lang w:val="fr-CA"/>
        </w:rPr>
        <w:t>’</w:t>
      </w:r>
      <w:r w:rsidRPr="00CA43DD">
        <w:rPr>
          <w:rFonts w:cs="Times New Roman"/>
          <w:szCs w:val="24"/>
          <w:lang w:val="fr-CA"/>
        </w:rPr>
        <w:t xml:space="preserve">agissait pas </w:t>
      </w:r>
      <w:r w:rsidRPr="00CA43DD">
        <w:rPr>
          <w:rFonts w:cs="Times New Roman"/>
          <w:szCs w:val="24"/>
          <w:lang w:val="fr-CA"/>
        </w:rPr>
        <w:lastRenderedPageBreak/>
        <w:t>d</w:t>
      </w:r>
      <w:r>
        <w:rPr>
          <w:rFonts w:cs="Times New Roman"/>
          <w:szCs w:val="24"/>
          <w:lang w:val="fr-CA"/>
        </w:rPr>
        <w:t>’</w:t>
      </w:r>
      <w:r w:rsidRPr="00CA43DD">
        <w:rPr>
          <w:rFonts w:cs="Times New Roman"/>
          <w:szCs w:val="24"/>
          <w:lang w:val="fr-CA"/>
        </w:rPr>
        <w:t>erreurs de jugement isolées de la part des policiers, mais plutôt d</w:t>
      </w:r>
      <w:r>
        <w:rPr>
          <w:rFonts w:cs="Times New Roman"/>
          <w:szCs w:val="24"/>
          <w:lang w:val="fr-CA"/>
        </w:rPr>
        <w:t>’</w:t>
      </w:r>
      <w:r w:rsidRPr="00CA43DD">
        <w:rPr>
          <w:rFonts w:cs="Times New Roman"/>
          <w:szCs w:val="24"/>
          <w:lang w:val="fr-CA"/>
        </w:rPr>
        <w:t>un mépris systématique des droits constitutionnels de l</w:t>
      </w:r>
      <w:r>
        <w:rPr>
          <w:rFonts w:cs="Times New Roman"/>
          <w:szCs w:val="24"/>
          <w:lang w:val="fr-CA"/>
        </w:rPr>
        <w:t>’</w:t>
      </w:r>
      <w:r w:rsidRPr="00CA43DD">
        <w:rPr>
          <w:rFonts w:cs="Times New Roman"/>
          <w:szCs w:val="24"/>
          <w:lang w:val="fr-CA"/>
        </w:rPr>
        <w:t>appelante.  Les actes répréhensibles étaient d</w:t>
      </w:r>
      <w:r>
        <w:rPr>
          <w:rFonts w:cs="Times New Roman"/>
          <w:szCs w:val="24"/>
          <w:lang w:val="fr-CA"/>
        </w:rPr>
        <w:t>’</w:t>
      </w:r>
      <w:r w:rsidRPr="00CA43DD">
        <w:rPr>
          <w:rFonts w:cs="Times New Roman"/>
          <w:szCs w:val="24"/>
          <w:lang w:val="fr-CA"/>
        </w:rPr>
        <w:t>autant plus graves que les enquêteurs avaient induit un officier de justice en erreur afin d</w:t>
      </w:r>
      <w:r>
        <w:rPr>
          <w:rFonts w:cs="Times New Roman"/>
          <w:szCs w:val="24"/>
          <w:lang w:val="fr-CA"/>
        </w:rPr>
        <w:t>’</w:t>
      </w:r>
      <w:r w:rsidRPr="00CA43DD">
        <w:rPr>
          <w:rFonts w:cs="Times New Roman"/>
          <w:szCs w:val="24"/>
          <w:lang w:val="fr-CA"/>
        </w:rPr>
        <w:t>obtenir des mandats de perquisition et que, appelés à témoigner au procès, ils ont refusé de reconnaître des faits évidents, formulé des hypothèses invraisemblables et tenté de fonder leurs actes sur des motifs qui ne tenaient pas la route.  Selon le juge du procès, c</w:t>
      </w:r>
      <w:r>
        <w:rPr>
          <w:rFonts w:cs="Times New Roman"/>
          <w:szCs w:val="24"/>
          <w:lang w:val="fr-CA"/>
        </w:rPr>
        <w:t>’</w:t>
      </w:r>
      <w:r w:rsidRPr="00CA43DD">
        <w:rPr>
          <w:rFonts w:cs="Times New Roman"/>
          <w:szCs w:val="24"/>
          <w:lang w:val="fr-CA"/>
        </w:rPr>
        <w:t>est l</w:t>
      </w:r>
      <w:r>
        <w:rPr>
          <w:rFonts w:cs="Times New Roman"/>
          <w:szCs w:val="24"/>
          <w:lang w:val="fr-CA"/>
        </w:rPr>
        <w:t>’</w:t>
      </w:r>
      <w:r w:rsidRPr="00CA43DD">
        <w:rPr>
          <w:rFonts w:cs="Times New Roman"/>
          <w:szCs w:val="24"/>
          <w:lang w:val="fr-CA"/>
        </w:rPr>
        <w:t>utilisation de la preuve en dépit de cette conduite consternante des policiers qui était susceptible de déconsidérer l</w:t>
      </w:r>
      <w:r>
        <w:rPr>
          <w:rFonts w:cs="Times New Roman"/>
          <w:szCs w:val="24"/>
          <w:lang w:val="fr-CA"/>
        </w:rPr>
        <w:t>’</w:t>
      </w:r>
      <w:r w:rsidRPr="00CA43DD">
        <w:rPr>
          <w:rFonts w:cs="Times New Roman"/>
          <w:szCs w:val="24"/>
          <w:lang w:val="fr-CA"/>
        </w:rPr>
        <w:t>administration de la justice.  Et même si cette conclusion devait mener à l</w:t>
      </w:r>
      <w:r>
        <w:rPr>
          <w:rFonts w:cs="Times New Roman"/>
          <w:szCs w:val="24"/>
          <w:lang w:val="fr-CA"/>
        </w:rPr>
        <w:t>’</w:t>
      </w:r>
      <w:r w:rsidRPr="00CA43DD">
        <w:rPr>
          <w:rFonts w:cs="Times New Roman"/>
          <w:szCs w:val="24"/>
          <w:lang w:val="fr-CA"/>
        </w:rPr>
        <w:t>acquittement de l</w:t>
      </w:r>
      <w:r>
        <w:rPr>
          <w:rFonts w:cs="Times New Roman"/>
          <w:szCs w:val="24"/>
          <w:lang w:val="fr-CA"/>
        </w:rPr>
        <w:t>’</w:t>
      </w:r>
      <w:r w:rsidRPr="00CA43DD">
        <w:rPr>
          <w:rFonts w:cs="Times New Roman"/>
          <w:szCs w:val="24"/>
          <w:lang w:val="fr-CA"/>
        </w:rPr>
        <w:t>auteur d</w:t>
      </w:r>
      <w:r>
        <w:rPr>
          <w:rFonts w:cs="Times New Roman"/>
          <w:szCs w:val="24"/>
          <w:lang w:val="fr-CA"/>
        </w:rPr>
        <w:t>’</w:t>
      </w:r>
      <w:r w:rsidRPr="00CA43DD">
        <w:rPr>
          <w:rFonts w:cs="Times New Roman"/>
          <w:szCs w:val="24"/>
          <w:lang w:val="fr-CA"/>
        </w:rPr>
        <w:t>un crime grave, il a néanmoins écarté la preuve.  Dès lors, le ministère public a déclaré ne pas disposer d</w:t>
      </w:r>
      <w:r>
        <w:rPr>
          <w:rFonts w:cs="Times New Roman"/>
          <w:szCs w:val="24"/>
          <w:lang w:val="fr-CA"/>
        </w:rPr>
        <w:t>’</w:t>
      </w:r>
      <w:r w:rsidRPr="00CA43DD">
        <w:rPr>
          <w:rFonts w:cs="Times New Roman"/>
          <w:szCs w:val="24"/>
          <w:lang w:val="fr-CA"/>
        </w:rPr>
        <w:t>autres éléments de preuve, et l</w:t>
      </w:r>
      <w:r>
        <w:rPr>
          <w:rFonts w:cs="Times New Roman"/>
          <w:szCs w:val="24"/>
          <w:lang w:val="fr-CA"/>
        </w:rPr>
        <w:t>’</w:t>
      </w:r>
      <w:r w:rsidRPr="00CA43DD">
        <w:rPr>
          <w:rFonts w:cs="Times New Roman"/>
          <w:szCs w:val="24"/>
          <w:lang w:val="fr-CA"/>
        </w:rPr>
        <w:t>appelante a été acquittée.</w:t>
      </w:r>
    </w:p>
    <w:p w:rsidR="00DC2386" w:rsidRPr="00CA43DD" w:rsidRDefault="00DC2386" w:rsidP="00DC2386">
      <w:pPr>
        <w:pStyle w:val="ParaNoNdepar-AltN"/>
        <w:rPr>
          <w:rFonts w:cs="Times New Roman"/>
          <w:szCs w:val="24"/>
          <w:lang w:val="fr-CA"/>
        </w:rPr>
      </w:pPr>
      <w:r w:rsidRPr="00CA43DD">
        <w:rPr>
          <w:rFonts w:cs="Times New Roman"/>
          <w:szCs w:val="24"/>
          <w:lang w:val="fr-CA"/>
        </w:rPr>
        <w:t>Le ministère public s</w:t>
      </w:r>
      <w:r>
        <w:rPr>
          <w:rFonts w:cs="Times New Roman"/>
          <w:szCs w:val="24"/>
          <w:lang w:val="fr-CA"/>
        </w:rPr>
        <w:t>’</w:t>
      </w:r>
      <w:r w:rsidRPr="00CA43DD">
        <w:rPr>
          <w:rFonts w:cs="Times New Roman"/>
          <w:szCs w:val="24"/>
          <w:lang w:val="fr-CA"/>
        </w:rPr>
        <w:t>est adressé à la Cour d</w:t>
      </w:r>
      <w:r>
        <w:rPr>
          <w:rFonts w:cs="Times New Roman"/>
          <w:szCs w:val="24"/>
          <w:lang w:val="fr-CA"/>
        </w:rPr>
        <w:t>’</w:t>
      </w:r>
      <w:r w:rsidRPr="00CA43DD">
        <w:rPr>
          <w:rFonts w:cs="Times New Roman"/>
          <w:szCs w:val="24"/>
          <w:lang w:val="fr-CA"/>
        </w:rPr>
        <w:t>appel, qui a conclu que certains des éléments de preuve écartés par le juge du procès auraient dû être admis.  La Cour d</w:t>
      </w:r>
      <w:r>
        <w:rPr>
          <w:rFonts w:cs="Times New Roman"/>
          <w:szCs w:val="24"/>
          <w:lang w:val="fr-CA"/>
        </w:rPr>
        <w:t>’</w:t>
      </w:r>
      <w:r w:rsidRPr="00CA43DD">
        <w:rPr>
          <w:rFonts w:cs="Times New Roman"/>
          <w:szCs w:val="24"/>
          <w:lang w:val="fr-CA"/>
        </w:rPr>
        <w:t>appel a donc annulé la décision en partie et ordonné un nouveau procès.  Dans le pourvoi de M</w:t>
      </w:r>
      <w:r w:rsidRPr="00CA43DD">
        <w:rPr>
          <w:rFonts w:cs="Times New Roman"/>
          <w:szCs w:val="24"/>
          <w:vertAlign w:val="superscript"/>
          <w:lang w:val="fr-CA"/>
        </w:rPr>
        <w:t>me</w:t>
      </w:r>
      <w:r w:rsidRPr="00CA43DD">
        <w:rPr>
          <w:rFonts w:cs="Times New Roman"/>
          <w:szCs w:val="24"/>
          <w:lang w:val="fr-CA"/>
        </w:rPr>
        <w:t> Côté devant notre Cour, il faut décider si la Cour d</w:t>
      </w:r>
      <w:r>
        <w:rPr>
          <w:rFonts w:cs="Times New Roman"/>
          <w:szCs w:val="24"/>
          <w:lang w:val="fr-CA"/>
        </w:rPr>
        <w:t>’</w:t>
      </w:r>
      <w:r w:rsidRPr="00CA43DD">
        <w:rPr>
          <w:rFonts w:cs="Times New Roman"/>
          <w:szCs w:val="24"/>
          <w:lang w:val="fr-CA"/>
        </w:rPr>
        <w:t>appel a de ce fait commis une erreur de droit.</w:t>
      </w:r>
    </w:p>
    <w:p w:rsidR="00DC2386" w:rsidRPr="00CA43DD" w:rsidRDefault="00DC2386" w:rsidP="00DC2386">
      <w:pPr>
        <w:pStyle w:val="ParaNoNdepar-AltN"/>
        <w:rPr>
          <w:rFonts w:cs="Times New Roman"/>
          <w:szCs w:val="24"/>
          <w:lang w:val="fr-CA"/>
        </w:rPr>
      </w:pPr>
      <w:r w:rsidRPr="00CA43DD">
        <w:rPr>
          <w:rFonts w:cs="Times New Roman"/>
          <w:szCs w:val="24"/>
          <w:lang w:val="fr-CA"/>
        </w:rPr>
        <w:t>À mon humble avis, le pourvoi doit être accueilli et la décision de première instance, rétablie.  Le juge du procès a écarté la preuve parce que les policiers ont sans cesse agi au mépris de la loi et de la Constitution.  Il n</w:t>
      </w:r>
      <w:r>
        <w:rPr>
          <w:rFonts w:cs="Times New Roman"/>
          <w:szCs w:val="24"/>
          <w:lang w:val="fr-CA"/>
        </w:rPr>
        <w:t>’</w:t>
      </w:r>
      <w:r w:rsidRPr="00CA43DD">
        <w:rPr>
          <w:rFonts w:cs="Times New Roman"/>
          <w:szCs w:val="24"/>
          <w:lang w:val="fr-CA"/>
        </w:rPr>
        <w:t xml:space="preserve">a pas eu tort de conclure que les tribunaux ne doivent pas tolérer ce genre de comportement chez </w:t>
      </w:r>
      <w:r w:rsidRPr="00CA43DD">
        <w:rPr>
          <w:rFonts w:cs="Times New Roman"/>
          <w:szCs w:val="24"/>
          <w:lang w:val="fr-CA"/>
        </w:rPr>
        <w:lastRenderedPageBreak/>
        <w:t>ceux qui ont fait serment de veiller au respect de la loi.  Il a pris la seule mesure possible pour faire en sorte que l</w:t>
      </w:r>
      <w:r>
        <w:rPr>
          <w:rFonts w:cs="Times New Roman"/>
          <w:szCs w:val="24"/>
          <w:lang w:val="fr-CA"/>
        </w:rPr>
        <w:t>’</w:t>
      </w:r>
      <w:r w:rsidRPr="00CA43DD">
        <w:rPr>
          <w:rFonts w:cs="Times New Roman"/>
          <w:szCs w:val="24"/>
          <w:lang w:val="fr-CA"/>
        </w:rPr>
        <w:t xml:space="preserve">administration de la justice ne soit pas déconsidérée davantage par la tolérance des actes troublants et aberrants des policiers. </w:t>
      </w:r>
    </w:p>
    <w:p w:rsidR="00DC2386" w:rsidRPr="00CA43DD" w:rsidRDefault="00DC2386" w:rsidP="006E7471">
      <w:pPr>
        <w:pStyle w:val="TitleTitre-AltT"/>
        <w:keepNext/>
        <w:tabs>
          <w:tab w:val="clear" w:pos="360"/>
          <w:tab w:val="left" w:pos="720"/>
        </w:tabs>
        <w:spacing w:after="720"/>
        <w:ind w:left="720" w:hanging="720"/>
        <w:rPr>
          <w:rFonts w:cs="Times New Roman"/>
          <w:szCs w:val="24"/>
          <w:lang w:val="fr-CA"/>
        </w:rPr>
      </w:pPr>
      <w:r w:rsidRPr="00CA43DD">
        <w:rPr>
          <w:rFonts w:cs="Times New Roman"/>
          <w:szCs w:val="24"/>
          <w:lang w:val="fr-CA"/>
        </w:rPr>
        <w:t>II.</w:t>
      </w:r>
      <w:r w:rsidRPr="00CA43DD">
        <w:rPr>
          <w:rFonts w:cs="Times New Roman"/>
          <w:szCs w:val="24"/>
          <w:lang w:val="fr-CA"/>
        </w:rPr>
        <w:tab/>
      </w:r>
      <w:r w:rsidRPr="00CA43DD">
        <w:rPr>
          <w:rFonts w:cs="Times New Roman"/>
          <w:szCs w:val="24"/>
          <w:u w:val="single"/>
          <w:lang w:val="fr-CA"/>
        </w:rPr>
        <w:t>Faits, historique des procédures et questions en litige</w:t>
      </w:r>
    </w:p>
    <w:p w:rsidR="00DC2386" w:rsidRPr="00CA43DD" w:rsidRDefault="00DC2386" w:rsidP="00DC2386">
      <w:pPr>
        <w:pStyle w:val="TitleTitre-AltT"/>
        <w:keepNext/>
        <w:spacing w:after="720"/>
        <w:rPr>
          <w:rFonts w:cs="Times New Roman"/>
          <w:szCs w:val="24"/>
          <w:lang w:val="fr-CA"/>
        </w:rPr>
      </w:pPr>
      <w:r w:rsidRPr="00CA43DD">
        <w:rPr>
          <w:rFonts w:cs="Times New Roman"/>
          <w:szCs w:val="24"/>
          <w:lang w:val="fr-CA"/>
        </w:rPr>
        <w:t>A.</w:t>
      </w:r>
      <w:r w:rsidRPr="00CA43DD">
        <w:rPr>
          <w:rFonts w:cs="Times New Roman"/>
          <w:szCs w:val="24"/>
          <w:lang w:val="fr-CA"/>
        </w:rPr>
        <w:tab/>
      </w:r>
      <w:r w:rsidRPr="00CA43DD">
        <w:rPr>
          <w:rFonts w:cs="Times New Roman"/>
          <w:i/>
          <w:szCs w:val="24"/>
          <w:lang w:val="fr-CA"/>
        </w:rPr>
        <w:t>Preuve et décision de première instance, 2008 QCCS 3749 (</w:t>
      </w:r>
      <w:proofErr w:type="spellStart"/>
      <w:r w:rsidRPr="00CA43DD">
        <w:rPr>
          <w:rFonts w:cs="Times New Roman"/>
          <w:i/>
          <w:szCs w:val="24"/>
          <w:lang w:val="fr-CA"/>
        </w:rPr>
        <w:t>CanLII</w:t>
      </w:r>
      <w:proofErr w:type="spellEnd"/>
      <w:r w:rsidRPr="00CA43DD">
        <w:rPr>
          <w:rFonts w:cs="Times New Roman"/>
          <w:i/>
          <w:szCs w:val="24"/>
          <w:lang w:val="fr-CA"/>
        </w:rPr>
        <w:t>)</w:t>
      </w:r>
    </w:p>
    <w:p w:rsidR="00DC2386" w:rsidRPr="00CA43DD" w:rsidRDefault="00DC2386" w:rsidP="00DC2386">
      <w:pPr>
        <w:pStyle w:val="TitleTitre-AltT"/>
        <w:keepNext/>
        <w:tabs>
          <w:tab w:val="clear" w:pos="360"/>
          <w:tab w:val="left" w:pos="1170"/>
          <w:tab w:val="left" w:pos="1620"/>
        </w:tabs>
        <w:spacing w:after="720"/>
        <w:ind w:left="1170" w:hanging="1170"/>
        <w:rPr>
          <w:rFonts w:cs="Times New Roman"/>
          <w:szCs w:val="24"/>
          <w:lang w:val="fr-CA"/>
        </w:rPr>
      </w:pPr>
      <w:r w:rsidRPr="00CA43DD">
        <w:rPr>
          <w:rFonts w:cs="Times New Roman"/>
          <w:szCs w:val="24"/>
          <w:lang w:val="fr-CA"/>
        </w:rPr>
        <w:tab/>
        <w:t>(1)</w:t>
      </w:r>
      <w:r w:rsidRPr="00CA43DD">
        <w:rPr>
          <w:rFonts w:cs="Times New Roman"/>
          <w:szCs w:val="24"/>
          <w:lang w:val="fr-CA"/>
        </w:rPr>
        <w:tab/>
      </w:r>
      <w:r w:rsidRPr="00CA43DD">
        <w:rPr>
          <w:rFonts w:cs="Times New Roman"/>
          <w:szCs w:val="24"/>
          <w:u w:val="single"/>
          <w:lang w:val="fr-CA"/>
        </w:rPr>
        <w:t>Aperçu</w:t>
      </w:r>
    </w:p>
    <w:p w:rsidR="00DC2386" w:rsidRPr="00CA43DD" w:rsidRDefault="00DC2386" w:rsidP="00DC2386">
      <w:pPr>
        <w:pStyle w:val="ParaNoNdepar-AltN"/>
        <w:rPr>
          <w:rFonts w:cs="Times New Roman"/>
          <w:szCs w:val="24"/>
          <w:lang w:val="fr-CA"/>
        </w:rPr>
      </w:pPr>
      <w:r w:rsidRPr="00CA43DD">
        <w:rPr>
          <w:rFonts w:cs="Times New Roman"/>
          <w:szCs w:val="24"/>
          <w:lang w:val="fr-CA"/>
        </w:rPr>
        <w:t>L</w:t>
      </w:r>
      <w:r>
        <w:rPr>
          <w:rFonts w:cs="Times New Roman"/>
          <w:szCs w:val="24"/>
          <w:lang w:val="fr-CA"/>
        </w:rPr>
        <w:t>’</w:t>
      </w:r>
      <w:r w:rsidRPr="00CA43DD">
        <w:rPr>
          <w:rFonts w:cs="Times New Roman"/>
          <w:szCs w:val="24"/>
          <w:lang w:val="fr-CA"/>
        </w:rPr>
        <w:t xml:space="preserve">appelante a présenté au juge du procès une requête pour que soit écartée la preuve qui, selon elle, avait été obtenue en violation des droits que lui garantissait la </w:t>
      </w:r>
      <w:r w:rsidRPr="00CA43DD">
        <w:rPr>
          <w:rFonts w:cs="Times New Roman"/>
          <w:i/>
          <w:szCs w:val="24"/>
          <w:lang w:val="fr-CA"/>
        </w:rPr>
        <w:t xml:space="preserve">Charte.  </w:t>
      </w:r>
      <w:r w:rsidRPr="00CA43DD">
        <w:rPr>
          <w:rFonts w:cs="Times New Roman"/>
          <w:szCs w:val="24"/>
          <w:lang w:val="fr-CA"/>
        </w:rPr>
        <w:t>Elle a aussi demandé l</w:t>
      </w:r>
      <w:r>
        <w:rPr>
          <w:rFonts w:cs="Times New Roman"/>
          <w:szCs w:val="24"/>
          <w:lang w:val="fr-CA"/>
        </w:rPr>
        <w:t>’</w:t>
      </w:r>
      <w:r w:rsidRPr="00CA43DD">
        <w:rPr>
          <w:rFonts w:cs="Times New Roman"/>
          <w:szCs w:val="24"/>
          <w:lang w:val="fr-CA"/>
        </w:rPr>
        <w:t>exclusion de ses déclarations aux policiers au motif qu</w:t>
      </w:r>
      <w:r>
        <w:rPr>
          <w:rFonts w:cs="Times New Roman"/>
          <w:szCs w:val="24"/>
          <w:lang w:val="fr-CA"/>
        </w:rPr>
        <w:t>’</w:t>
      </w:r>
      <w:r w:rsidRPr="00CA43DD">
        <w:rPr>
          <w:rFonts w:cs="Times New Roman"/>
          <w:szCs w:val="24"/>
          <w:lang w:val="fr-CA"/>
        </w:rPr>
        <w:t>elles n</w:t>
      </w:r>
      <w:r>
        <w:rPr>
          <w:rFonts w:cs="Times New Roman"/>
          <w:szCs w:val="24"/>
          <w:lang w:val="fr-CA"/>
        </w:rPr>
        <w:t>’</w:t>
      </w:r>
      <w:r w:rsidRPr="00CA43DD">
        <w:rPr>
          <w:rFonts w:cs="Times New Roman"/>
          <w:szCs w:val="24"/>
          <w:lang w:val="fr-CA"/>
        </w:rPr>
        <w:t>avaient pas été volontaires.  Le juge du procès lui a essentiellement donné raison, estimant que les policiers avaient violé ses droits et agi irrégulièrement à plusieurs égards.</w:t>
      </w:r>
    </w:p>
    <w:p w:rsidR="00DC2386" w:rsidRPr="00CA43DD" w:rsidRDefault="00DC2386" w:rsidP="00DC2386">
      <w:pPr>
        <w:pStyle w:val="ParaNoNdepar-AltN"/>
        <w:rPr>
          <w:rFonts w:cs="Times New Roman"/>
          <w:szCs w:val="24"/>
          <w:lang w:val="fr-CA"/>
        </w:rPr>
      </w:pPr>
      <w:r w:rsidRPr="00CA43DD">
        <w:rPr>
          <w:rFonts w:cs="Times New Roman"/>
          <w:szCs w:val="24"/>
          <w:lang w:val="fr-CA"/>
        </w:rPr>
        <w:t>Il conclut que les policiers se sont livrés à la violation systématique des droits de M</w:t>
      </w:r>
      <w:r w:rsidRPr="00CA43DD">
        <w:rPr>
          <w:rFonts w:cs="Times New Roman"/>
          <w:szCs w:val="24"/>
          <w:vertAlign w:val="superscript"/>
          <w:lang w:val="fr-CA"/>
        </w:rPr>
        <w:t>me </w:t>
      </w:r>
      <w:r w:rsidRPr="00CA43DD">
        <w:rPr>
          <w:rFonts w:cs="Times New Roman"/>
          <w:szCs w:val="24"/>
          <w:lang w:val="fr-CA"/>
        </w:rPr>
        <w:t xml:space="preserve">Côté dès leur arrivée chez elle vers </w:t>
      </w:r>
      <w:r w:rsidR="00D010E4">
        <w:rPr>
          <w:rFonts w:cs="Times New Roman"/>
          <w:szCs w:val="24"/>
          <w:lang w:val="fr-CA"/>
        </w:rPr>
        <w:t>0</w:t>
      </w:r>
      <w:r w:rsidRPr="00CA43DD">
        <w:rPr>
          <w:rFonts w:cs="Times New Roman"/>
          <w:szCs w:val="24"/>
          <w:lang w:val="fr-CA"/>
        </w:rPr>
        <w:t> h 1</w:t>
      </w:r>
      <w:r>
        <w:rPr>
          <w:rFonts w:cs="Times New Roman"/>
          <w:szCs w:val="24"/>
          <w:lang w:val="fr-CA"/>
        </w:rPr>
        <w:t>5</w:t>
      </w:r>
      <w:r w:rsidRPr="00CA43DD">
        <w:rPr>
          <w:rFonts w:cs="Times New Roman"/>
          <w:szCs w:val="24"/>
          <w:lang w:val="fr-CA"/>
        </w:rPr>
        <w:t xml:space="preserve"> le 23 juillet 2006, et ce, jusqu</w:t>
      </w:r>
      <w:r>
        <w:rPr>
          <w:rFonts w:cs="Times New Roman"/>
          <w:szCs w:val="24"/>
          <w:lang w:val="fr-CA"/>
        </w:rPr>
        <w:t>’</w:t>
      </w:r>
      <w:r w:rsidRPr="00CA43DD">
        <w:rPr>
          <w:rFonts w:cs="Times New Roman"/>
          <w:szCs w:val="24"/>
          <w:lang w:val="fr-CA"/>
        </w:rPr>
        <w:t>à la fin de l</w:t>
      </w:r>
      <w:r>
        <w:rPr>
          <w:rFonts w:cs="Times New Roman"/>
          <w:szCs w:val="24"/>
          <w:lang w:val="fr-CA"/>
        </w:rPr>
        <w:t>’</w:t>
      </w:r>
      <w:r w:rsidRPr="00CA43DD">
        <w:rPr>
          <w:rFonts w:cs="Times New Roman"/>
          <w:szCs w:val="24"/>
          <w:lang w:val="fr-CA"/>
        </w:rPr>
        <w:t>interrogatoire à 20 h le même jour.  Premièrement, l</w:t>
      </w:r>
      <w:r>
        <w:rPr>
          <w:rFonts w:cs="Times New Roman"/>
          <w:szCs w:val="24"/>
          <w:lang w:val="fr-CA"/>
        </w:rPr>
        <w:t>’</w:t>
      </w:r>
      <w:r w:rsidRPr="00CA43DD">
        <w:rPr>
          <w:rFonts w:cs="Times New Roman"/>
          <w:szCs w:val="24"/>
          <w:lang w:val="fr-CA"/>
        </w:rPr>
        <w:t>introduction des policiers sur la propriété de l</w:t>
      </w:r>
      <w:r>
        <w:rPr>
          <w:rFonts w:cs="Times New Roman"/>
          <w:szCs w:val="24"/>
          <w:lang w:val="fr-CA"/>
        </w:rPr>
        <w:t>’</w:t>
      </w:r>
      <w:r w:rsidRPr="00CA43DD">
        <w:rPr>
          <w:rFonts w:cs="Times New Roman"/>
          <w:szCs w:val="24"/>
          <w:lang w:val="fr-CA"/>
        </w:rPr>
        <w:t>appelante, l</w:t>
      </w:r>
      <w:r>
        <w:rPr>
          <w:rFonts w:cs="Times New Roman"/>
          <w:szCs w:val="24"/>
          <w:lang w:val="fr-CA"/>
        </w:rPr>
        <w:t>’</w:t>
      </w:r>
      <w:r w:rsidRPr="00CA43DD">
        <w:rPr>
          <w:rFonts w:cs="Times New Roman"/>
          <w:szCs w:val="24"/>
          <w:lang w:val="fr-CA"/>
        </w:rPr>
        <w:t>autorisation d</w:t>
      </w:r>
      <w:r>
        <w:rPr>
          <w:rFonts w:cs="Times New Roman"/>
          <w:szCs w:val="24"/>
          <w:lang w:val="fr-CA"/>
        </w:rPr>
        <w:t>’</w:t>
      </w:r>
      <w:r w:rsidRPr="00CA43DD">
        <w:rPr>
          <w:rFonts w:cs="Times New Roman"/>
          <w:szCs w:val="24"/>
          <w:lang w:val="fr-CA"/>
        </w:rPr>
        <w:t xml:space="preserve">entrer dans la maison, la fouille de </w:t>
      </w:r>
      <w:proofErr w:type="spellStart"/>
      <w:r w:rsidRPr="00CA43DD">
        <w:rPr>
          <w:rFonts w:cs="Times New Roman"/>
          <w:szCs w:val="24"/>
          <w:lang w:val="fr-CA"/>
        </w:rPr>
        <w:t>celle</w:t>
      </w:r>
      <w:r w:rsidRPr="00CA43DD">
        <w:rPr>
          <w:rFonts w:cs="Times New Roman"/>
          <w:szCs w:val="24"/>
          <w:lang w:val="fr-CA"/>
        </w:rPr>
        <w:noBreakHyphen/>
        <w:t>ci</w:t>
      </w:r>
      <w:proofErr w:type="spellEnd"/>
      <w:r w:rsidRPr="00CA43DD">
        <w:rPr>
          <w:rFonts w:cs="Times New Roman"/>
          <w:szCs w:val="24"/>
          <w:lang w:val="fr-CA"/>
        </w:rPr>
        <w:t xml:space="preserve">, la fouille périphérique du terrain et la fouille du </w:t>
      </w:r>
      <w:proofErr w:type="spellStart"/>
      <w:r w:rsidRPr="00CA43DD">
        <w:rPr>
          <w:rFonts w:cs="Times New Roman"/>
          <w:szCs w:val="24"/>
          <w:lang w:val="fr-CA"/>
        </w:rPr>
        <w:t>gazebo</w:t>
      </w:r>
      <w:proofErr w:type="spellEnd"/>
      <w:r w:rsidRPr="00CA43DD">
        <w:rPr>
          <w:rFonts w:cs="Times New Roman"/>
          <w:szCs w:val="24"/>
          <w:lang w:val="fr-CA"/>
        </w:rPr>
        <w:t xml:space="preserve"> (ou gloriette) constituaient des fouilles, saisies et perquisitions abusives au sens de l</w:t>
      </w:r>
      <w:r>
        <w:rPr>
          <w:rFonts w:cs="Times New Roman"/>
          <w:szCs w:val="24"/>
          <w:lang w:val="fr-CA"/>
        </w:rPr>
        <w:t>’</w:t>
      </w:r>
      <w:r w:rsidRPr="00CA43DD">
        <w:rPr>
          <w:rFonts w:cs="Times New Roman"/>
          <w:szCs w:val="24"/>
          <w:lang w:val="fr-CA"/>
        </w:rPr>
        <w:t xml:space="preserve">art. 8 </w:t>
      </w:r>
      <w:r w:rsidRPr="00CA43DD">
        <w:rPr>
          <w:rFonts w:cs="Times New Roman"/>
          <w:szCs w:val="24"/>
          <w:lang w:val="fr-CA"/>
        </w:rPr>
        <w:lastRenderedPageBreak/>
        <w:t xml:space="preserve">de la </w:t>
      </w:r>
      <w:r w:rsidRPr="00CA43DD">
        <w:rPr>
          <w:rFonts w:cs="Times New Roman"/>
          <w:i/>
          <w:iCs/>
          <w:szCs w:val="24"/>
          <w:lang w:val="fr-CA"/>
        </w:rPr>
        <w:t>Charte</w:t>
      </w:r>
      <w:r w:rsidRPr="00CA43DD">
        <w:rPr>
          <w:rFonts w:cs="Times New Roman"/>
          <w:szCs w:val="24"/>
          <w:lang w:val="fr-CA"/>
        </w:rPr>
        <w:t>.  Deuxièmement, peu de temps après leur arrivée, les policiers ont détenu l</w:t>
      </w:r>
      <w:r>
        <w:rPr>
          <w:rFonts w:cs="Times New Roman"/>
          <w:szCs w:val="24"/>
          <w:lang w:val="fr-CA"/>
        </w:rPr>
        <w:t>’</w:t>
      </w:r>
      <w:r w:rsidRPr="00CA43DD">
        <w:rPr>
          <w:rFonts w:cs="Times New Roman"/>
          <w:szCs w:val="24"/>
          <w:lang w:val="fr-CA"/>
        </w:rPr>
        <w:t>appelante sans lui préciser le motif de la mesure comme l</w:t>
      </w:r>
      <w:r>
        <w:rPr>
          <w:rFonts w:cs="Times New Roman"/>
          <w:szCs w:val="24"/>
          <w:lang w:val="fr-CA"/>
        </w:rPr>
        <w:t>’</w:t>
      </w:r>
      <w:r w:rsidRPr="00CA43DD">
        <w:rPr>
          <w:rFonts w:cs="Times New Roman"/>
          <w:szCs w:val="24"/>
          <w:lang w:val="fr-CA"/>
        </w:rPr>
        <w:t>exige l</w:t>
      </w:r>
      <w:r>
        <w:rPr>
          <w:rFonts w:cs="Times New Roman"/>
          <w:szCs w:val="24"/>
          <w:lang w:val="fr-CA"/>
        </w:rPr>
        <w:t>’</w:t>
      </w:r>
      <w:r w:rsidRPr="00CA43DD">
        <w:rPr>
          <w:rFonts w:cs="Times New Roman"/>
          <w:szCs w:val="24"/>
          <w:lang w:val="fr-CA"/>
        </w:rPr>
        <w:t>al. 10</w:t>
      </w:r>
      <w:r w:rsidRPr="00CA43DD">
        <w:rPr>
          <w:rFonts w:cs="Times New Roman"/>
          <w:i/>
          <w:szCs w:val="24"/>
          <w:lang w:val="fr-CA"/>
        </w:rPr>
        <w:t>a</w:t>
      </w:r>
      <w:r w:rsidRPr="00CA43DD">
        <w:rPr>
          <w:rFonts w:cs="Times New Roman"/>
          <w:szCs w:val="24"/>
          <w:lang w:val="fr-CA"/>
        </w:rPr>
        <w:t xml:space="preserve">) de la </w:t>
      </w:r>
      <w:r w:rsidRPr="00CA43DD">
        <w:rPr>
          <w:rFonts w:cs="Times New Roman"/>
          <w:i/>
          <w:szCs w:val="24"/>
          <w:lang w:val="fr-CA"/>
        </w:rPr>
        <w:t>Charte.</w:t>
      </w:r>
      <w:r w:rsidRPr="00CA43DD">
        <w:rPr>
          <w:rFonts w:cs="Times New Roman"/>
          <w:szCs w:val="24"/>
          <w:lang w:val="fr-CA"/>
        </w:rPr>
        <w:t xml:space="preserve">  Troisièmement, les policiers ont alors — et plus tard pendant leurs échanges avec l</w:t>
      </w:r>
      <w:r>
        <w:rPr>
          <w:rFonts w:cs="Times New Roman"/>
          <w:szCs w:val="24"/>
          <w:lang w:val="fr-CA"/>
        </w:rPr>
        <w:t>’</w:t>
      </w:r>
      <w:r w:rsidRPr="00CA43DD">
        <w:rPr>
          <w:rFonts w:cs="Times New Roman"/>
          <w:szCs w:val="24"/>
          <w:lang w:val="fr-CA"/>
        </w:rPr>
        <w:t>appelante — porté atteinte à son droit d</w:t>
      </w:r>
      <w:r>
        <w:rPr>
          <w:rFonts w:cs="Times New Roman"/>
          <w:szCs w:val="24"/>
          <w:lang w:val="fr-CA"/>
        </w:rPr>
        <w:t>’</w:t>
      </w:r>
      <w:r w:rsidRPr="00CA43DD">
        <w:rPr>
          <w:rFonts w:cs="Times New Roman"/>
          <w:szCs w:val="24"/>
          <w:lang w:val="fr-CA"/>
        </w:rPr>
        <w:t>avoir recours à l</w:t>
      </w:r>
      <w:r>
        <w:rPr>
          <w:rFonts w:cs="Times New Roman"/>
          <w:szCs w:val="24"/>
          <w:lang w:val="fr-CA"/>
        </w:rPr>
        <w:t>’</w:t>
      </w:r>
      <w:r w:rsidRPr="00CA43DD">
        <w:rPr>
          <w:rFonts w:cs="Times New Roman"/>
          <w:szCs w:val="24"/>
          <w:lang w:val="fr-CA"/>
        </w:rPr>
        <w:t>assistance d</w:t>
      </w:r>
      <w:r>
        <w:rPr>
          <w:rFonts w:cs="Times New Roman"/>
          <w:szCs w:val="24"/>
          <w:lang w:val="fr-CA"/>
        </w:rPr>
        <w:t>’</w:t>
      </w:r>
      <w:r w:rsidRPr="00CA43DD">
        <w:rPr>
          <w:rFonts w:cs="Times New Roman"/>
          <w:szCs w:val="24"/>
          <w:lang w:val="fr-CA"/>
        </w:rPr>
        <w:t>un avocat et d</w:t>
      </w:r>
      <w:r>
        <w:rPr>
          <w:rFonts w:cs="Times New Roman"/>
          <w:szCs w:val="24"/>
          <w:lang w:val="fr-CA"/>
        </w:rPr>
        <w:t>’</w:t>
      </w:r>
      <w:r w:rsidRPr="00CA43DD">
        <w:rPr>
          <w:rFonts w:cs="Times New Roman"/>
          <w:szCs w:val="24"/>
          <w:lang w:val="fr-CA"/>
        </w:rPr>
        <w:t>être informée de ce droit, tous deux garantis à l</w:t>
      </w:r>
      <w:r>
        <w:rPr>
          <w:rFonts w:cs="Times New Roman"/>
          <w:szCs w:val="24"/>
          <w:lang w:val="fr-CA"/>
        </w:rPr>
        <w:t>’</w:t>
      </w:r>
      <w:r w:rsidRPr="00CA43DD">
        <w:rPr>
          <w:rFonts w:cs="Times New Roman"/>
          <w:szCs w:val="24"/>
          <w:lang w:val="fr-CA"/>
        </w:rPr>
        <w:t>al. 10</w:t>
      </w:r>
      <w:r w:rsidRPr="00CA43DD">
        <w:rPr>
          <w:rFonts w:cs="Times New Roman"/>
          <w:i/>
          <w:szCs w:val="24"/>
          <w:lang w:val="fr-CA"/>
        </w:rPr>
        <w:t>b</w:t>
      </w:r>
      <w:r w:rsidRPr="00CA43DD">
        <w:rPr>
          <w:rFonts w:cs="Times New Roman"/>
          <w:szCs w:val="24"/>
          <w:lang w:val="fr-CA"/>
        </w:rPr>
        <w:t xml:space="preserve">) de la </w:t>
      </w:r>
      <w:r w:rsidRPr="00CA43DD">
        <w:rPr>
          <w:rFonts w:cs="Times New Roman"/>
          <w:i/>
          <w:szCs w:val="24"/>
          <w:lang w:val="fr-CA"/>
        </w:rPr>
        <w:t>Charte</w:t>
      </w:r>
      <w:r w:rsidRPr="00CA43DD">
        <w:rPr>
          <w:rFonts w:cs="Times New Roman"/>
          <w:szCs w:val="24"/>
          <w:lang w:val="fr-CA"/>
        </w:rPr>
        <w:t>.  Quatrièmement, ils ont foulé au pied le droit de l</w:t>
      </w:r>
      <w:r>
        <w:rPr>
          <w:rFonts w:cs="Times New Roman"/>
          <w:szCs w:val="24"/>
          <w:lang w:val="fr-CA"/>
        </w:rPr>
        <w:t>’</w:t>
      </w:r>
      <w:r w:rsidRPr="00CA43DD">
        <w:rPr>
          <w:rFonts w:cs="Times New Roman"/>
          <w:szCs w:val="24"/>
          <w:lang w:val="fr-CA"/>
        </w:rPr>
        <w:t>appelante de garder le silence garanti à l</w:t>
      </w:r>
      <w:r>
        <w:rPr>
          <w:rFonts w:cs="Times New Roman"/>
          <w:szCs w:val="24"/>
          <w:lang w:val="fr-CA"/>
        </w:rPr>
        <w:t>’</w:t>
      </w:r>
      <w:r w:rsidRPr="00CA43DD">
        <w:rPr>
          <w:rFonts w:cs="Times New Roman"/>
          <w:szCs w:val="24"/>
          <w:lang w:val="fr-CA"/>
        </w:rPr>
        <w:t xml:space="preserve">art. 7 de la </w:t>
      </w:r>
      <w:r w:rsidRPr="00CA43DD">
        <w:rPr>
          <w:rFonts w:cs="Times New Roman"/>
          <w:i/>
          <w:szCs w:val="24"/>
          <w:lang w:val="fr-CA"/>
        </w:rPr>
        <w:t>Charte</w:t>
      </w:r>
      <w:r w:rsidRPr="00CA43DD">
        <w:rPr>
          <w:rFonts w:cs="Times New Roman"/>
          <w:szCs w:val="24"/>
          <w:lang w:val="fr-CA"/>
        </w:rPr>
        <w:t xml:space="preserve"> et, cinquièmement, en posant des questions inappropriées, ils ont obtenu une déclaration qui n</w:t>
      </w:r>
      <w:r>
        <w:rPr>
          <w:rFonts w:cs="Times New Roman"/>
          <w:szCs w:val="24"/>
          <w:lang w:val="fr-CA"/>
        </w:rPr>
        <w:t>’</w:t>
      </w:r>
      <w:r w:rsidRPr="00CA43DD">
        <w:rPr>
          <w:rFonts w:cs="Times New Roman"/>
          <w:szCs w:val="24"/>
          <w:lang w:val="fr-CA"/>
        </w:rPr>
        <w:t>était pas volontaire.  De plus, le juge du procès conclut que les enquêteurs ont induit un officier de justice en erreur dans le but d</w:t>
      </w:r>
      <w:r>
        <w:rPr>
          <w:rFonts w:cs="Times New Roman"/>
          <w:szCs w:val="24"/>
          <w:lang w:val="fr-CA"/>
        </w:rPr>
        <w:t>’</w:t>
      </w:r>
      <w:r w:rsidRPr="00CA43DD">
        <w:rPr>
          <w:rFonts w:cs="Times New Roman"/>
          <w:szCs w:val="24"/>
          <w:lang w:val="fr-CA"/>
        </w:rPr>
        <w:t>obtenir des mandats de perquisition et qu</w:t>
      </w:r>
      <w:r>
        <w:rPr>
          <w:rFonts w:cs="Times New Roman"/>
          <w:szCs w:val="24"/>
          <w:lang w:val="fr-CA"/>
        </w:rPr>
        <w:t>’</w:t>
      </w:r>
      <w:r w:rsidRPr="00CA43DD">
        <w:rPr>
          <w:rFonts w:cs="Times New Roman"/>
          <w:szCs w:val="24"/>
          <w:lang w:val="fr-CA"/>
        </w:rPr>
        <w:t>ils ont témoigné de façon évasive et indigne de foi lors du procès.  Après avoir mis en balance l</w:t>
      </w:r>
      <w:r>
        <w:rPr>
          <w:rFonts w:cs="Times New Roman"/>
          <w:szCs w:val="24"/>
          <w:lang w:val="fr-CA"/>
        </w:rPr>
        <w:t>’</w:t>
      </w:r>
      <w:r w:rsidRPr="00CA43DD">
        <w:rPr>
          <w:rFonts w:cs="Times New Roman"/>
          <w:szCs w:val="24"/>
          <w:lang w:val="fr-CA"/>
        </w:rPr>
        <w:t>intérêt qu</w:t>
      </w:r>
      <w:r>
        <w:rPr>
          <w:rFonts w:cs="Times New Roman"/>
          <w:szCs w:val="24"/>
          <w:lang w:val="fr-CA"/>
        </w:rPr>
        <w:t>’</w:t>
      </w:r>
      <w:r w:rsidRPr="00CA43DD">
        <w:rPr>
          <w:rFonts w:cs="Times New Roman"/>
          <w:szCs w:val="24"/>
          <w:lang w:val="fr-CA"/>
        </w:rPr>
        <w:t>a la société à découvrir la vérité et son intérêt à préserver l</w:t>
      </w:r>
      <w:r>
        <w:rPr>
          <w:rFonts w:cs="Times New Roman"/>
          <w:szCs w:val="24"/>
          <w:lang w:val="fr-CA"/>
        </w:rPr>
        <w:t>’</w:t>
      </w:r>
      <w:r w:rsidRPr="00CA43DD">
        <w:rPr>
          <w:rFonts w:cs="Times New Roman"/>
          <w:szCs w:val="24"/>
          <w:lang w:val="fr-CA"/>
        </w:rPr>
        <w:t>intégrité de l</w:t>
      </w:r>
      <w:r>
        <w:rPr>
          <w:rFonts w:cs="Times New Roman"/>
          <w:szCs w:val="24"/>
          <w:lang w:val="fr-CA"/>
        </w:rPr>
        <w:t>’</w:t>
      </w:r>
      <w:r w:rsidRPr="00CA43DD">
        <w:rPr>
          <w:rFonts w:cs="Times New Roman"/>
          <w:szCs w:val="24"/>
          <w:lang w:val="fr-CA"/>
        </w:rPr>
        <w:t>administration de la justice, il écarte la preuve en entier et conclut que son utilisation est susceptible de déconsidérer l</w:t>
      </w:r>
      <w:r>
        <w:rPr>
          <w:rFonts w:cs="Times New Roman"/>
          <w:szCs w:val="24"/>
          <w:lang w:val="fr-CA"/>
        </w:rPr>
        <w:t>’</w:t>
      </w:r>
      <w:r w:rsidRPr="00CA43DD">
        <w:rPr>
          <w:rFonts w:cs="Times New Roman"/>
          <w:szCs w:val="24"/>
          <w:lang w:val="fr-CA"/>
        </w:rPr>
        <w:t>administration de la justice.</w:t>
      </w:r>
    </w:p>
    <w:p w:rsidR="00DC2386" w:rsidRPr="00CA43DD" w:rsidRDefault="00DC2386" w:rsidP="00DC2386">
      <w:pPr>
        <w:pStyle w:val="TitleTitre-AltT"/>
        <w:keepNext/>
        <w:tabs>
          <w:tab w:val="clear" w:pos="360"/>
          <w:tab w:val="left" w:pos="1170"/>
          <w:tab w:val="left" w:pos="1620"/>
        </w:tabs>
        <w:spacing w:after="720"/>
        <w:ind w:left="1166" w:hanging="1166"/>
        <w:rPr>
          <w:rFonts w:cs="Times New Roman"/>
          <w:szCs w:val="24"/>
          <w:u w:val="single"/>
          <w:lang w:val="fr-CA"/>
        </w:rPr>
      </w:pPr>
      <w:r w:rsidRPr="00CA43DD">
        <w:rPr>
          <w:rFonts w:cs="Times New Roman"/>
          <w:szCs w:val="24"/>
          <w:lang w:val="fr-CA"/>
        </w:rPr>
        <w:tab/>
        <w:t>(2)</w:t>
      </w:r>
      <w:r w:rsidRPr="00CA43DD">
        <w:rPr>
          <w:rFonts w:cs="Times New Roman"/>
          <w:szCs w:val="24"/>
          <w:lang w:val="fr-CA"/>
        </w:rPr>
        <w:tab/>
      </w:r>
      <w:r w:rsidRPr="00CA43DD">
        <w:rPr>
          <w:rFonts w:cs="Times New Roman"/>
          <w:szCs w:val="24"/>
          <w:u w:val="single"/>
          <w:lang w:val="fr-CA"/>
        </w:rPr>
        <w:t>Preuve et motifs</w:t>
      </w:r>
    </w:p>
    <w:p w:rsidR="00DC2386" w:rsidRPr="00CA43DD" w:rsidRDefault="00DC2386" w:rsidP="00DC2386">
      <w:pPr>
        <w:pStyle w:val="ParaNoNdepar-AltN"/>
        <w:rPr>
          <w:rFonts w:cs="Times New Roman"/>
          <w:szCs w:val="24"/>
          <w:lang w:val="fr-CA"/>
        </w:rPr>
      </w:pPr>
      <w:r w:rsidRPr="00CA43DD">
        <w:rPr>
          <w:rFonts w:cs="Times New Roman"/>
          <w:szCs w:val="24"/>
          <w:lang w:val="fr-CA"/>
        </w:rPr>
        <w:t>Le 22 juillet 2006, peu avant 21 h, M</w:t>
      </w:r>
      <w:r w:rsidRPr="00CA43DD">
        <w:rPr>
          <w:rFonts w:cs="Times New Roman"/>
          <w:szCs w:val="24"/>
          <w:vertAlign w:val="superscript"/>
          <w:lang w:val="fr-CA"/>
        </w:rPr>
        <w:t>me</w:t>
      </w:r>
      <w:r w:rsidRPr="00CA43DD">
        <w:rPr>
          <w:rFonts w:cs="Times New Roman"/>
          <w:szCs w:val="24"/>
          <w:lang w:val="fr-CA"/>
        </w:rPr>
        <w:t> Côté a composé le 9</w:t>
      </w:r>
      <w:r w:rsidRPr="00CA43DD">
        <w:rPr>
          <w:rFonts w:cs="Times New Roman"/>
          <w:szCs w:val="24"/>
          <w:lang w:val="fr-CA"/>
        </w:rPr>
        <w:noBreakHyphen/>
        <w:t>1</w:t>
      </w:r>
      <w:r w:rsidRPr="00CA43DD">
        <w:rPr>
          <w:rFonts w:cs="Times New Roman"/>
          <w:szCs w:val="24"/>
          <w:lang w:val="fr-CA"/>
        </w:rPr>
        <w:noBreakHyphen/>
        <w:t xml:space="preserve">1 pour signaler que son conjoint, André </w:t>
      </w:r>
      <w:proofErr w:type="spellStart"/>
      <w:r w:rsidRPr="00CA43DD">
        <w:rPr>
          <w:rFonts w:cs="Times New Roman"/>
          <w:szCs w:val="24"/>
          <w:lang w:val="fr-CA"/>
        </w:rPr>
        <w:t>Hogue</w:t>
      </w:r>
      <w:proofErr w:type="spellEnd"/>
      <w:r w:rsidRPr="00CA43DD">
        <w:rPr>
          <w:rFonts w:cs="Times New Roman"/>
          <w:szCs w:val="24"/>
          <w:lang w:val="fr-CA"/>
        </w:rPr>
        <w:t>, avait été blessé.  M. </w:t>
      </w:r>
      <w:proofErr w:type="spellStart"/>
      <w:r w:rsidRPr="00CA43DD">
        <w:rPr>
          <w:rFonts w:cs="Times New Roman"/>
          <w:szCs w:val="24"/>
          <w:lang w:val="fr-CA"/>
        </w:rPr>
        <w:t>Hogue</w:t>
      </w:r>
      <w:proofErr w:type="spellEnd"/>
      <w:r w:rsidRPr="00CA43DD">
        <w:rPr>
          <w:rFonts w:cs="Times New Roman"/>
          <w:szCs w:val="24"/>
          <w:lang w:val="fr-CA"/>
        </w:rPr>
        <w:t xml:space="preserve"> a été transporté à l</w:t>
      </w:r>
      <w:r>
        <w:rPr>
          <w:rFonts w:cs="Times New Roman"/>
          <w:szCs w:val="24"/>
          <w:lang w:val="fr-CA"/>
        </w:rPr>
        <w:t>’</w:t>
      </w:r>
      <w:r w:rsidRPr="00CA43DD">
        <w:rPr>
          <w:rFonts w:cs="Times New Roman"/>
          <w:szCs w:val="24"/>
          <w:lang w:val="fr-CA"/>
        </w:rPr>
        <w:t xml:space="preserve">hôpital </w:t>
      </w:r>
      <w:proofErr w:type="spellStart"/>
      <w:r w:rsidRPr="00CA43DD">
        <w:rPr>
          <w:rFonts w:cs="Times New Roman"/>
          <w:szCs w:val="24"/>
          <w:lang w:val="fr-CA"/>
        </w:rPr>
        <w:t>Hôtel</w:t>
      </w:r>
      <w:r w:rsidRPr="00CA43DD">
        <w:rPr>
          <w:rFonts w:cs="Times New Roman"/>
          <w:szCs w:val="24"/>
          <w:lang w:val="fr-CA"/>
        </w:rPr>
        <w:noBreakHyphen/>
        <w:t>Dieu</w:t>
      </w:r>
      <w:proofErr w:type="spellEnd"/>
      <w:r w:rsidRPr="00CA43DD">
        <w:rPr>
          <w:rFonts w:cs="Times New Roman"/>
          <w:szCs w:val="24"/>
          <w:lang w:val="fr-CA"/>
        </w:rPr>
        <w:t xml:space="preserve"> de Sorel et confié aux soins du D</w:t>
      </w:r>
      <w:r w:rsidRPr="00CA43DD">
        <w:rPr>
          <w:rFonts w:cs="Times New Roman"/>
          <w:szCs w:val="24"/>
          <w:vertAlign w:val="superscript"/>
          <w:lang w:val="fr-CA"/>
        </w:rPr>
        <w:t>r</w:t>
      </w:r>
      <w:r w:rsidRPr="00CA43DD">
        <w:rPr>
          <w:rFonts w:cs="Times New Roman"/>
          <w:szCs w:val="24"/>
          <w:lang w:val="fr-CA"/>
        </w:rPr>
        <w:t xml:space="preserve"> Nicolas </w:t>
      </w:r>
      <w:proofErr w:type="spellStart"/>
      <w:r w:rsidRPr="00CA43DD">
        <w:rPr>
          <w:rFonts w:cs="Times New Roman"/>
          <w:szCs w:val="24"/>
          <w:lang w:val="fr-CA"/>
        </w:rPr>
        <w:t>Elazhary</w:t>
      </w:r>
      <w:proofErr w:type="spellEnd"/>
      <w:r w:rsidRPr="00CA43DD">
        <w:rPr>
          <w:rFonts w:cs="Times New Roman"/>
          <w:szCs w:val="24"/>
          <w:lang w:val="fr-CA"/>
        </w:rPr>
        <w:t>.  Le médecin a constaté une plaie occipitale et conclu à un traumatisme neurologique et à de possibles dommages à la gorge.  Une radiographie a révélé un hématome intracérébral et la présence d</w:t>
      </w:r>
      <w:r>
        <w:rPr>
          <w:rFonts w:cs="Times New Roman"/>
          <w:szCs w:val="24"/>
          <w:lang w:val="fr-CA"/>
        </w:rPr>
        <w:t>’</w:t>
      </w:r>
      <w:r w:rsidRPr="00CA43DD">
        <w:rPr>
          <w:rFonts w:cs="Times New Roman"/>
          <w:szCs w:val="24"/>
          <w:lang w:val="fr-CA"/>
        </w:rPr>
        <w:t>éclats de métal compatible avec la pénétration d</w:t>
      </w:r>
      <w:r>
        <w:rPr>
          <w:rFonts w:cs="Times New Roman"/>
          <w:szCs w:val="24"/>
          <w:lang w:val="fr-CA"/>
        </w:rPr>
        <w:t>’</w:t>
      </w:r>
      <w:r w:rsidRPr="00CA43DD">
        <w:rPr>
          <w:rFonts w:cs="Times New Roman"/>
          <w:szCs w:val="24"/>
          <w:lang w:val="fr-CA"/>
        </w:rPr>
        <w:t xml:space="preserve">un </w:t>
      </w:r>
      <w:r w:rsidRPr="00CA43DD">
        <w:rPr>
          <w:rFonts w:cs="Times New Roman"/>
          <w:szCs w:val="24"/>
          <w:lang w:val="fr-CA"/>
        </w:rPr>
        <w:lastRenderedPageBreak/>
        <w:t>projectile.  Le D</w:t>
      </w:r>
      <w:r w:rsidRPr="00CA43DD">
        <w:rPr>
          <w:rFonts w:cs="Times New Roman"/>
          <w:szCs w:val="24"/>
          <w:vertAlign w:val="superscript"/>
          <w:lang w:val="fr-CA"/>
        </w:rPr>
        <w:t>r </w:t>
      </w:r>
      <w:proofErr w:type="spellStart"/>
      <w:r w:rsidRPr="00CA43DD">
        <w:rPr>
          <w:rFonts w:cs="Times New Roman"/>
          <w:szCs w:val="24"/>
          <w:lang w:val="fr-CA"/>
        </w:rPr>
        <w:t>Elazhary</w:t>
      </w:r>
      <w:proofErr w:type="spellEnd"/>
      <w:r w:rsidRPr="00CA43DD">
        <w:rPr>
          <w:rFonts w:cs="Times New Roman"/>
          <w:szCs w:val="24"/>
          <w:lang w:val="fr-CA"/>
        </w:rPr>
        <w:t xml:space="preserve"> a communiqué ces renseignements au sergent François </w:t>
      </w:r>
      <w:proofErr w:type="spellStart"/>
      <w:r w:rsidRPr="00CA43DD">
        <w:rPr>
          <w:rFonts w:cs="Times New Roman"/>
          <w:szCs w:val="24"/>
          <w:lang w:val="fr-CA"/>
        </w:rPr>
        <w:t>Monetta</w:t>
      </w:r>
      <w:proofErr w:type="spellEnd"/>
      <w:r w:rsidRPr="00CA43DD">
        <w:rPr>
          <w:rFonts w:cs="Times New Roman"/>
          <w:szCs w:val="24"/>
          <w:lang w:val="fr-CA"/>
        </w:rPr>
        <w:t xml:space="preserve"> de la Sûreté du Québec (détachement de Tracy) à 23 h 8.  Peu après, le sergent </w:t>
      </w:r>
      <w:proofErr w:type="spellStart"/>
      <w:r w:rsidRPr="00CA43DD">
        <w:rPr>
          <w:rFonts w:cs="Times New Roman"/>
          <w:szCs w:val="24"/>
          <w:lang w:val="fr-CA"/>
        </w:rPr>
        <w:t>Monetta</w:t>
      </w:r>
      <w:proofErr w:type="spellEnd"/>
      <w:r w:rsidRPr="00CA43DD">
        <w:rPr>
          <w:rFonts w:cs="Times New Roman"/>
          <w:szCs w:val="24"/>
          <w:lang w:val="fr-CA"/>
        </w:rPr>
        <w:t xml:space="preserve"> a envoyé l</w:t>
      </w:r>
      <w:r>
        <w:rPr>
          <w:rFonts w:cs="Times New Roman"/>
          <w:szCs w:val="24"/>
          <w:lang w:val="fr-CA"/>
        </w:rPr>
        <w:t>’</w:t>
      </w:r>
      <w:r w:rsidRPr="00CA43DD">
        <w:rPr>
          <w:rFonts w:cs="Times New Roman"/>
          <w:szCs w:val="24"/>
          <w:lang w:val="fr-CA"/>
        </w:rPr>
        <w:t xml:space="preserve">agent Alain </w:t>
      </w:r>
      <w:proofErr w:type="spellStart"/>
      <w:r w:rsidRPr="00CA43DD">
        <w:rPr>
          <w:rFonts w:cs="Times New Roman"/>
          <w:szCs w:val="24"/>
          <w:lang w:val="fr-CA"/>
        </w:rPr>
        <w:t>Hogue</w:t>
      </w:r>
      <w:proofErr w:type="spellEnd"/>
      <w:r w:rsidRPr="00CA43DD">
        <w:rPr>
          <w:rFonts w:cs="Times New Roman"/>
          <w:szCs w:val="24"/>
          <w:lang w:val="fr-CA"/>
        </w:rPr>
        <w:t xml:space="preserve"> </w:t>
      </w:r>
      <w:proofErr w:type="gramStart"/>
      <w:r w:rsidRPr="00CA43DD">
        <w:rPr>
          <w:rFonts w:cs="Times New Roman"/>
          <w:szCs w:val="24"/>
          <w:lang w:val="fr-CA"/>
        </w:rPr>
        <w:t>rencontrer</w:t>
      </w:r>
      <w:proofErr w:type="gramEnd"/>
      <w:r w:rsidRPr="00CA43DD">
        <w:rPr>
          <w:rFonts w:cs="Times New Roman"/>
          <w:szCs w:val="24"/>
          <w:lang w:val="fr-CA"/>
        </w:rPr>
        <w:t xml:space="preserve"> le D</w:t>
      </w:r>
      <w:r w:rsidRPr="00CA43DD">
        <w:rPr>
          <w:rFonts w:cs="Times New Roman"/>
          <w:szCs w:val="24"/>
          <w:vertAlign w:val="superscript"/>
          <w:lang w:val="fr-CA"/>
        </w:rPr>
        <w:t>r </w:t>
      </w:r>
      <w:proofErr w:type="spellStart"/>
      <w:r w:rsidRPr="00CA43DD">
        <w:rPr>
          <w:rFonts w:cs="Times New Roman"/>
          <w:szCs w:val="24"/>
          <w:lang w:val="fr-CA"/>
        </w:rPr>
        <w:t>Elazhary</w:t>
      </w:r>
      <w:proofErr w:type="spellEnd"/>
      <w:r w:rsidRPr="00CA43DD">
        <w:rPr>
          <w:rFonts w:cs="Times New Roman"/>
          <w:szCs w:val="24"/>
          <w:lang w:val="fr-CA"/>
        </w:rPr>
        <w:t xml:space="preserve"> à l</w:t>
      </w:r>
      <w:r>
        <w:rPr>
          <w:rFonts w:cs="Times New Roman"/>
          <w:szCs w:val="24"/>
          <w:lang w:val="fr-CA"/>
        </w:rPr>
        <w:t>’</w:t>
      </w:r>
      <w:r w:rsidRPr="00CA43DD">
        <w:rPr>
          <w:rFonts w:cs="Times New Roman"/>
          <w:szCs w:val="24"/>
          <w:lang w:val="fr-CA"/>
        </w:rPr>
        <w:t>hôpital.  À 23 h 28, le D</w:t>
      </w:r>
      <w:r w:rsidRPr="00CA43DD">
        <w:rPr>
          <w:rFonts w:cs="Times New Roman"/>
          <w:szCs w:val="24"/>
          <w:vertAlign w:val="superscript"/>
          <w:lang w:val="fr-CA"/>
        </w:rPr>
        <w:t>r</w:t>
      </w:r>
      <w:r w:rsidRPr="00CA43DD">
        <w:rPr>
          <w:rFonts w:cs="Times New Roman"/>
          <w:szCs w:val="24"/>
          <w:lang w:val="fr-CA"/>
        </w:rPr>
        <w:t> </w:t>
      </w:r>
      <w:proofErr w:type="spellStart"/>
      <w:r w:rsidRPr="00CA43DD">
        <w:rPr>
          <w:rFonts w:cs="Times New Roman"/>
          <w:szCs w:val="24"/>
          <w:lang w:val="fr-CA"/>
        </w:rPr>
        <w:t>Elazhary</w:t>
      </w:r>
      <w:proofErr w:type="spellEnd"/>
      <w:r w:rsidRPr="00CA43DD">
        <w:rPr>
          <w:rFonts w:cs="Times New Roman"/>
          <w:szCs w:val="24"/>
          <w:lang w:val="fr-CA"/>
        </w:rPr>
        <w:t xml:space="preserve"> a confirmé la présence d</w:t>
      </w:r>
      <w:r>
        <w:rPr>
          <w:rFonts w:cs="Times New Roman"/>
          <w:szCs w:val="24"/>
          <w:lang w:val="fr-CA"/>
        </w:rPr>
        <w:t>’</w:t>
      </w:r>
      <w:r w:rsidRPr="00CA43DD">
        <w:rPr>
          <w:rFonts w:cs="Times New Roman"/>
          <w:szCs w:val="24"/>
          <w:lang w:val="fr-CA"/>
        </w:rPr>
        <w:t>un objet métallique dans le crâne de la victime, et l</w:t>
      </w:r>
      <w:r>
        <w:rPr>
          <w:rFonts w:cs="Times New Roman"/>
          <w:szCs w:val="24"/>
          <w:lang w:val="fr-CA"/>
        </w:rPr>
        <w:t>’</w:t>
      </w:r>
      <w:r w:rsidRPr="00CA43DD">
        <w:rPr>
          <w:rFonts w:cs="Times New Roman"/>
          <w:szCs w:val="24"/>
          <w:lang w:val="fr-CA"/>
        </w:rPr>
        <w:t xml:space="preserve">agent </w:t>
      </w:r>
      <w:proofErr w:type="spellStart"/>
      <w:r w:rsidRPr="00CA43DD">
        <w:rPr>
          <w:rFonts w:cs="Times New Roman"/>
          <w:szCs w:val="24"/>
          <w:lang w:val="fr-CA"/>
        </w:rPr>
        <w:t>Hogue</w:t>
      </w:r>
      <w:proofErr w:type="spellEnd"/>
      <w:r w:rsidRPr="00CA43DD">
        <w:rPr>
          <w:rFonts w:cs="Times New Roman"/>
          <w:szCs w:val="24"/>
          <w:lang w:val="fr-CA"/>
        </w:rPr>
        <w:t xml:space="preserve"> en a informé le sergent </w:t>
      </w:r>
      <w:proofErr w:type="spellStart"/>
      <w:r w:rsidRPr="00CA43DD">
        <w:rPr>
          <w:rFonts w:cs="Times New Roman"/>
          <w:szCs w:val="24"/>
          <w:lang w:val="fr-CA"/>
        </w:rPr>
        <w:t>Monetta</w:t>
      </w:r>
      <w:proofErr w:type="spellEnd"/>
      <w:r w:rsidRPr="00CA43DD">
        <w:rPr>
          <w:rFonts w:cs="Times New Roman"/>
          <w:szCs w:val="24"/>
          <w:lang w:val="fr-CA"/>
        </w:rPr>
        <w:t xml:space="preserve">.  Dix minutes plus tard, le sergent </w:t>
      </w:r>
      <w:proofErr w:type="spellStart"/>
      <w:r w:rsidRPr="00CA43DD">
        <w:rPr>
          <w:rFonts w:cs="Times New Roman"/>
          <w:szCs w:val="24"/>
          <w:lang w:val="fr-CA"/>
        </w:rPr>
        <w:t>Monetta</w:t>
      </w:r>
      <w:proofErr w:type="spellEnd"/>
      <w:r w:rsidRPr="00CA43DD">
        <w:rPr>
          <w:rFonts w:cs="Times New Roman"/>
          <w:szCs w:val="24"/>
          <w:lang w:val="fr-CA"/>
        </w:rPr>
        <w:t xml:space="preserve"> a joint l</w:t>
      </w:r>
      <w:r>
        <w:rPr>
          <w:rFonts w:cs="Times New Roman"/>
          <w:szCs w:val="24"/>
          <w:lang w:val="fr-CA"/>
        </w:rPr>
        <w:t>’</w:t>
      </w:r>
      <w:r w:rsidRPr="00CA43DD">
        <w:rPr>
          <w:rFonts w:cs="Times New Roman"/>
          <w:szCs w:val="24"/>
          <w:lang w:val="fr-CA"/>
        </w:rPr>
        <w:t xml:space="preserve">agent </w:t>
      </w:r>
      <w:proofErr w:type="spellStart"/>
      <w:r w:rsidRPr="00CA43DD">
        <w:rPr>
          <w:rFonts w:cs="Times New Roman"/>
          <w:szCs w:val="24"/>
          <w:lang w:val="fr-CA"/>
        </w:rPr>
        <w:t>Jean</w:t>
      </w:r>
      <w:r w:rsidRPr="00CA43DD">
        <w:rPr>
          <w:rFonts w:cs="Times New Roman"/>
          <w:szCs w:val="24"/>
          <w:lang w:val="fr-CA"/>
        </w:rPr>
        <w:noBreakHyphen/>
        <w:t>François</w:t>
      </w:r>
      <w:proofErr w:type="spellEnd"/>
      <w:r w:rsidRPr="00CA43DD">
        <w:rPr>
          <w:rFonts w:cs="Times New Roman"/>
          <w:szCs w:val="24"/>
          <w:lang w:val="fr-CA"/>
        </w:rPr>
        <w:t xml:space="preserve"> Fortier du détachement de la Sûreté du Québec de </w:t>
      </w:r>
      <w:proofErr w:type="spellStart"/>
      <w:r w:rsidRPr="00CA43DD">
        <w:rPr>
          <w:rFonts w:cs="Times New Roman"/>
          <w:szCs w:val="24"/>
          <w:lang w:val="fr-CA"/>
        </w:rPr>
        <w:t>Nicolet</w:t>
      </w:r>
      <w:proofErr w:type="spellEnd"/>
      <w:r w:rsidRPr="00CA43DD">
        <w:rPr>
          <w:rFonts w:cs="Times New Roman"/>
          <w:szCs w:val="24"/>
          <w:lang w:val="fr-CA"/>
        </w:rPr>
        <w:t xml:space="preserve"> et il lui a transmis les renseignements qu</w:t>
      </w:r>
      <w:r>
        <w:rPr>
          <w:rFonts w:cs="Times New Roman"/>
          <w:szCs w:val="24"/>
          <w:lang w:val="fr-CA"/>
        </w:rPr>
        <w:t>’</w:t>
      </w:r>
      <w:r w:rsidRPr="00CA43DD">
        <w:rPr>
          <w:rFonts w:cs="Times New Roman"/>
          <w:szCs w:val="24"/>
          <w:lang w:val="fr-CA"/>
        </w:rPr>
        <w:t>il détenait sur la victime et sur l</w:t>
      </w:r>
      <w:r>
        <w:rPr>
          <w:rFonts w:cs="Times New Roman"/>
          <w:szCs w:val="24"/>
          <w:lang w:val="fr-CA"/>
        </w:rPr>
        <w:t>’</w:t>
      </w:r>
      <w:r w:rsidRPr="00CA43DD">
        <w:rPr>
          <w:rFonts w:cs="Times New Roman"/>
          <w:szCs w:val="24"/>
          <w:lang w:val="fr-CA"/>
        </w:rPr>
        <w:t>événement, y compris les observations du D</w:t>
      </w:r>
      <w:r w:rsidRPr="00CA43DD">
        <w:rPr>
          <w:rFonts w:cs="Times New Roman"/>
          <w:szCs w:val="24"/>
          <w:vertAlign w:val="superscript"/>
          <w:lang w:val="fr-CA"/>
        </w:rPr>
        <w:t>r</w:t>
      </w:r>
      <w:r w:rsidRPr="00CA43DD">
        <w:rPr>
          <w:rFonts w:cs="Times New Roman"/>
          <w:szCs w:val="24"/>
          <w:lang w:val="fr-CA"/>
        </w:rPr>
        <w:t> </w:t>
      </w:r>
      <w:proofErr w:type="spellStart"/>
      <w:r w:rsidRPr="00CA43DD">
        <w:rPr>
          <w:rFonts w:cs="Times New Roman"/>
          <w:szCs w:val="24"/>
          <w:lang w:val="fr-CA"/>
        </w:rPr>
        <w:t>Elazhary</w:t>
      </w:r>
      <w:proofErr w:type="spellEnd"/>
      <w:r w:rsidRPr="00CA43DD">
        <w:rPr>
          <w:rFonts w:cs="Times New Roman"/>
          <w:szCs w:val="24"/>
          <w:lang w:val="fr-CA"/>
        </w:rPr>
        <w:t>.  Par conséquent, dès 23 h 38 à tout le moins, avant que les agents n</w:t>
      </w:r>
      <w:r>
        <w:rPr>
          <w:rFonts w:cs="Times New Roman"/>
          <w:szCs w:val="24"/>
          <w:lang w:val="fr-CA"/>
        </w:rPr>
        <w:t>’</w:t>
      </w:r>
      <w:r w:rsidRPr="00CA43DD">
        <w:rPr>
          <w:rFonts w:cs="Times New Roman"/>
          <w:szCs w:val="24"/>
          <w:lang w:val="fr-CA"/>
        </w:rPr>
        <w:t>arrivent chez M</w:t>
      </w:r>
      <w:r w:rsidRPr="00CA43DD">
        <w:rPr>
          <w:rFonts w:cs="Times New Roman"/>
          <w:szCs w:val="24"/>
          <w:vertAlign w:val="superscript"/>
          <w:lang w:val="fr-CA"/>
        </w:rPr>
        <w:t>me</w:t>
      </w:r>
      <w:r w:rsidRPr="00CA43DD">
        <w:rPr>
          <w:rFonts w:cs="Times New Roman"/>
          <w:szCs w:val="24"/>
          <w:lang w:val="fr-CA"/>
        </w:rPr>
        <w:t> Côté, les policiers savaient que, selon toute vraisemblance, la victime avait été blessée par balle à l</w:t>
      </w:r>
      <w:r>
        <w:rPr>
          <w:rFonts w:cs="Times New Roman"/>
          <w:szCs w:val="24"/>
          <w:lang w:val="fr-CA"/>
        </w:rPr>
        <w:t>’</w:t>
      </w:r>
      <w:r w:rsidRPr="00CA43DD">
        <w:rPr>
          <w:rFonts w:cs="Times New Roman"/>
          <w:szCs w:val="24"/>
          <w:lang w:val="fr-CA"/>
        </w:rPr>
        <w:t>arrière de la tête.  Ils savaient aussi que la victime avait été transportée plus tôt en soirée du domicile de l</w:t>
      </w:r>
      <w:r>
        <w:rPr>
          <w:rFonts w:cs="Times New Roman"/>
          <w:szCs w:val="24"/>
          <w:lang w:val="fr-CA"/>
        </w:rPr>
        <w:t>’</w:t>
      </w:r>
      <w:r w:rsidRPr="00CA43DD">
        <w:rPr>
          <w:rFonts w:cs="Times New Roman"/>
          <w:szCs w:val="24"/>
          <w:lang w:val="fr-CA"/>
        </w:rPr>
        <w:t>appelante à l</w:t>
      </w:r>
      <w:r>
        <w:rPr>
          <w:rFonts w:cs="Times New Roman"/>
          <w:szCs w:val="24"/>
          <w:lang w:val="fr-CA"/>
        </w:rPr>
        <w:t>’</w:t>
      </w:r>
      <w:r w:rsidRPr="00CA43DD">
        <w:rPr>
          <w:rFonts w:cs="Times New Roman"/>
          <w:szCs w:val="24"/>
          <w:lang w:val="fr-CA"/>
        </w:rPr>
        <w:t>hôpital.</w:t>
      </w:r>
    </w:p>
    <w:p w:rsidR="00DC2386" w:rsidRPr="00CA43DD" w:rsidRDefault="00DC2386" w:rsidP="00DC2386">
      <w:pPr>
        <w:pStyle w:val="ParaNoNdepar-AltN"/>
        <w:rPr>
          <w:rFonts w:cs="Times New Roman"/>
          <w:szCs w:val="24"/>
          <w:lang w:val="fr-CA"/>
        </w:rPr>
      </w:pPr>
      <w:r w:rsidRPr="00CA43DD">
        <w:rPr>
          <w:rFonts w:cs="Times New Roman"/>
          <w:szCs w:val="24"/>
          <w:lang w:val="fr-CA"/>
        </w:rPr>
        <w:t>L</w:t>
      </w:r>
      <w:r>
        <w:rPr>
          <w:rFonts w:cs="Times New Roman"/>
          <w:szCs w:val="24"/>
          <w:lang w:val="fr-CA"/>
        </w:rPr>
        <w:t>’</w:t>
      </w:r>
      <w:r w:rsidRPr="00CA43DD">
        <w:rPr>
          <w:rFonts w:cs="Times New Roman"/>
          <w:szCs w:val="24"/>
          <w:lang w:val="fr-CA"/>
        </w:rPr>
        <w:t>appelante a joint le D</w:t>
      </w:r>
      <w:r w:rsidRPr="00CA43DD">
        <w:rPr>
          <w:rFonts w:cs="Times New Roman"/>
          <w:szCs w:val="24"/>
          <w:vertAlign w:val="superscript"/>
          <w:lang w:val="fr-CA"/>
        </w:rPr>
        <w:t>r</w:t>
      </w:r>
      <w:r w:rsidRPr="00CA43DD">
        <w:rPr>
          <w:rFonts w:cs="Times New Roman"/>
          <w:szCs w:val="24"/>
          <w:lang w:val="fr-CA"/>
        </w:rPr>
        <w:t> </w:t>
      </w:r>
      <w:proofErr w:type="spellStart"/>
      <w:r w:rsidRPr="00CA43DD">
        <w:rPr>
          <w:rFonts w:cs="Times New Roman"/>
          <w:szCs w:val="24"/>
          <w:lang w:val="fr-CA"/>
        </w:rPr>
        <w:t>Elazhary</w:t>
      </w:r>
      <w:proofErr w:type="spellEnd"/>
      <w:r w:rsidRPr="00CA43DD">
        <w:rPr>
          <w:rFonts w:cs="Times New Roman"/>
          <w:szCs w:val="24"/>
          <w:lang w:val="fr-CA"/>
        </w:rPr>
        <w:t xml:space="preserve"> vers 23 h</w:t>
      </w:r>
      <w:r>
        <w:rPr>
          <w:rFonts w:cs="Times New Roman"/>
          <w:szCs w:val="24"/>
          <w:lang w:val="fr-CA"/>
        </w:rPr>
        <w:t> </w:t>
      </w:r>
      <w:r w:rsidRPr="00CA43DD">
        <w:rPr>
          <w:rFonts w:cs="Times New Roman"/>
          <w:szCs w:val="24"/>
          <w:lang w:val="fr-CA"/>
        </w:rPr>
        <w:t>30.  Elle lui a dit qu</w:t>
      </w:r>
      <w:r>
        <w:rPr>
          <w:rFonts w:cs="Times New Roman"/>
          <w:szCs w:val="24"/>
          <w:lang w:val="fr-CA"/>
        </w:rPr>
        <w:t>’</w:t>
      </w:r>
      <w:r w:rsidRPr="00CA43DD">
        <w:rPr>
          <w:rFonts w:cs="Times New Roman"/>
          <w:szCs w:val="24"/>
          <w:lang w:val="fr-CA"/>
        </w:rPr>
        <w:t>elle avait laissé M. </w:t>
      </w:r>
      <w:proofErr w:type="spellStart"/>
      <w:r w:rsidRPr="00CA43DD">
        <w:rPr>
          <w:rFonts w:cs="Times New Roman"/>
          <w:szCs w:val="24"/>
          <w:lang w:val="fr-CA"/>
        </w:rPr>
        <w:t>Hogue</w:t>
      </w:r>
      <w:proofErr w:type="spellEnd"/>
      <w:r w:rsidRPr="00CA43DD">
        <w:rPr>
          <w:rFonts w:cs="Times New Roman"/>
          <w:szCs w:val="24"/>
          <w:lang w:val="fr-CA"/>
        </w:rPr>
        <w:t xml:space="preserve"> près du </w:t>
      </w:r>
      <w:proofErr w:type="spellStart"/>
      <w:r w:rsidRPr="00CA43DD">
        <w:rPr>
          <w:rFonts w:cs="Times New Roman"/>
          <w:szCs w:val="24"/>
          <w:lang w:val="fr-CA"/>
        </w:rPr>
        <w:t>gazebo</w:t>
      </w:r>
      <w:proofErr w:type="spellEnd"/>
      <w:r w:rsidRPr="00CA43DD">
        <w:rPr>
          <w:rFonts w:cs="Times New Roman"/>
          <w:szCs w:val="24"/>
          <w:lang w:val="fr-CA"/>
        </w:rPr>
        <w:t>, puis qu</w:t>
      </w:r>
      <w:r>
        <w:rPr>
          <w:rFonts w:cs="Times New Roman"/>
          <w:szCs w:val="24"/>
          <w:lang w:val="fr-CA"/>
        </w:rPr>
        <w:t>’</w:t>
      </w:r>
      <w:r w:rsidRPr="00CA43DD">
        <w:rPr>
          <w:rFonts w:cs="Times New Roman"/>
          <w:szCs w:val="24"/>
          <w:lang w:val="fr-CA"/>
        </w:rPr>
        <w:t>elle l</w:t>
      </w:r>
      <w:r>
        <w:rPr>
          <w:rFonts w:cs="Times New Roman"/>
          <w:szCs w:val="24"/>
          <w:lang w:val="fr-CA"/>
        </w:rPr>
        <w:t>’</w:t>
      </w:r>
      <w:r w:rsidRPr="00CA43DD">
        <w:rPr>
          <w:rFonts w:cs="Times New Roman"/>
          <w:szCs w:val="24"/>
          <w:lang w:val="fr-CA"/>
        </w:rPr>
        <w:t xml:space="preserve">avait retrouvé </w:t>
      </w:r>
      <w:proofErr w:type="gramStart"/>
      <w:r w:rsidRPr="00CA43DD">
        <w:rPr>
          <w:rFonts w:cs="Times New Roman"/>
          <w:szCs w:val="24"/>
          <w:lang w:val="fr-CA"/>
        </w:rPr>
        <w:t>étendu</w:t>
      </w:r>
      <w:proofErr w:type="gramEnd"/>
      <w:r w:rsidRPr="00CA43DD">
        <w:rPr>
          <w:rFonts w:cs="Times New Roman"/>
          <w:szCs w:val="24"/>
          <w:lang w:val="fr-CA"/>
        </w:rPr>
        <w:t xml:space="preserve"> par terre.  Le D</w:t>
      </w:r>
      <w:r w:rsidRPr="00CA43DD">
        <w:rPr>
          <w:rFonts w:cs="Times New Roman"/>
          <w:szCs w:val="24"/>
          <w:vertAlign w:val="superscript"/>
          <w:lang w:val="fr-CA"/>
        </w:rPr>
        <w:t>r</w:t>
      </w:r>
      <w:r w:rsidRPr="00CA43DD">
        <w:rPr>
          <w:rFonts w:cs="Times New Roman"/>
          <w:szCs w:val="24"/>
          <w:lang w:val="fr-CA"/>
        </w:rPr>
        <w:t> </w:t>
      </w:r>
      <w:proofErr w:type="spellStart"/>
      <w:r w:rsidRPr="00CA43DD">
        <w:rPr>
          <w:rFonts w:cs="Times New Roman"/>
          <w:szCs w:val="24"/>
          <w:lang w:val="fr-CA"/>
        </w:rPr>
        <w:t>Elazhary</w:t>
      </w:r>
      <w:proofErr w:type="spellEnd"/>
      <w:r w:rsidRPr="00CA43DD">
        <w:rPr>
          <w:rFonts w:cs="Times New Roman"/>
          <w:szCs w:val="24"/>
          <w:lang w:val="fr-CA"/>
        </w:rPr>
        <w:t xml:space="preserve"> l</w:t>
      </w:r>
      <w:r>
        <w:rPr>
          <w:rFonts w:cs="Times New Roman"/>
          <w:szCs w:val="24"/>
          <w:lang w:val="fr-CA"/>
        </w:rPr>
        <w:t>’</w:t>
      </w:r>
      <w:r w:rsidRPr="00CA43DD">
        <w:rPr>
          <w:rFonts w:cs="Times New Roman"/>
          <w:szCs w:val="24"/>
          <w:lang w:val="fr-CA"/>
        </w:rPr>
        <w:t>a informée que M. </w:t>
      </w:r>
      <w:proofErr w:type="spellStart"/>
      <w:r w:rsidRPr="00CA43DD">
        <w:rPr>
          <w:rFonts w:cs="Times New Roman"/>
          <w:szCs w:val="24"/>
          <w:lang w:val="fr-CA"/>
        </w:rPr>
        <w:t>Hogue</w:t>
      </w:r>
      <w:proofErr w:type="spellEnd"/>
      <w:r w:rsidRPr="00CA43DD">
        <w:rPr>
          <w:rFonts w:cs="Times New Roman"/>
          <w:szCs w:val="24"/>
          <w:lang w:val="fr-CA"/>
        </w:rPr>
        <w:t xml:space="preserve"> souffrait d</w:t>
      </w:r>
      <w:r>
        <w:rPr>
          <w:rFonts w:cs="Times New Roman"/>
          <w:szCs w:val="24"/>
          <w:lang w:val="fr-CA"/>
        </w:rPr>
        <w:t>’</w:t>
      </w:r>
      <w:r w:rsidRPr="00CA43DD">
        <w:rPr>
          <w:rFonts w:cs="Times New Roman"/>
          <w:szCs w:val="24"/>
          <w:lang w:val="fr-CA"/>
        </w:rPr>
        <w:t>un trauma à la tête, mais sans mentionner la découverte d</w:t>
      </w:r>
      <w:r>
        <w:rPr>
          <w:rFonts w:cs="Times New Roman"/>
          <w:szCs w:val="24"/>
          <w:lang w:val="fr-CA"/>
        </w:rPr>
        <w:t>’</w:t>
      </w:r>
      <w:r w:rsidRPr="00CA43DD">
        <w:rPr>
          <w:rFonts w:cs="Times New Roman"/>
          <w:szCs w:val="24"/>
          <w:lang w:val="fr-CA"/>
        </w:rPr>
        <w:t xml:space="preserve">une blessure par balle. </w:t>
      </w:r>
    </w:p>
    <w:p w:rsidR="00DC2386" w:rsidRPr="00CA43DD" w:rsidRDefault="00CF6E18" w:rsidP="00CF6E18">
      <w:pPr>
        <w:pStyle w:val="TitleTitre-AltT"/>
        <w:keepNext/>
        <w:tabs>
          <w:tab w:val="clear" w:pos="360"/>
          <w:tab w:val="left" w:pos="1170"/>
        </w:tabs>
        <w:spacing w:after="720"/>
        <w:ind w:left="1800" w:hanging="1800"/>
        <w:rPr>
          <w:rFonts w:cs="Times New Roman"/>
          <w:i/>
          <w:szCs w:val="24"/>
          <w:u w:val="single"/>
          <w:lang w:val="fr-CA"/>
        </w:rPr>
      </w:pPr>
      <w:r>
        <w:rPr>
          <w:rFonts w:cs="Times New Roman"/>
          <w:szCs w:val="24"/>
          <w:lang w:val="fr-CA"/>
        </w:rPr>
        <w:tab/>
      </w:r>
      <w:r w:rsidR="00DC2386" w:rsidRPr="00CA43DD">
        <w:rPr>
          <w:rFonts w:cs="Times New Roman"/>
          <w:szCs w:val="24"/>
          <w:lang w:val="fr-CA"/>
        </w:rPr>
        <w:t>a)</w:t>
      </w:r>
      <w:r w:rsidR="00DC2386" w:rsidRPr="00CA43DD">
        <w:rPr>
          <w:rFonts w:cs="Times New Roman"/>
          <w:szCs w:val="24"/>
          <w:lang w:val="fr-CA"/>
        </w:rPr>
        <w:tab/>
      </w:r>
      <w:r w:rsidR="00DC2386" w:rsidRPr="00CA43DD">
        <w:rPr>
          <w:rFonts w:cs="Times New Roman"/>
          <w:i/>
          <w:szCs w:val="24"/>
          <w:lang w:val="fr-CA"/>
        </w:rPr>
        <w:t>L</w:t>
      </w:r>
      <w:r w:rsidR="00DC2386">
        <w:rPr>
          <w:rFonts w:cs="Times New Roman"/>
          <w:i/>
          <w:szCs w:val="24"/>
          <w:lang w:val="fr-CA"/>
        </w:rPr>
        <w:t>’</w:t>
      </w:r>
      <w:r w:rsidR="00DC2386" w:rsidRPr="00CA43DD">
        <w:rPr>
          <w:rFonts w:cs="Times New Roman"/>
          <w:i/>
          <w:szCs w:val="24"/>
          <w:lang w:val="fr-CA"/>
        </w:rPr>
        <w:t>enquête sur l</w:t>
      </w:r>
      <w:r w:rsidR="00DC2386">
        <w:rPr>
          <w:rFonts w:cs="Times New Roman"/>
          <w:i/>
          <w:szCs w:val="24"/>
          <w:lang w:val="fr-CA"/>
        </w:rPr>
        <w:t>’</w:t>
      </w:r>
      <w:r w:rsidR="00DC2386" w:rsidRPr="00CA43DD">
        <w:rPr>
          <w:rFonts w:cs="Times New Roman"/>
          <w:i/>
          <w:szCs w:val="24"/>
          <w:lang w:val="fr-CA"/>
        </w:rPr>
        <w:t>appel au 9</w:t>
      </w:r>
      <w:r w:rsidR="00DC2386" w:rsidRPr="00CA43DD">
        <w:rPr>
          <w:rFonts w:cs="Times New Roman"/>
          <w:i/>
          <w:szCs w:val="24"/>
          <w:lang w:val="fr-CA"/>
        </w:rPr>
        <w:noBreakHyphen/>
        <w:t>1</w:t>
      </w:r>
      <w:r w:rsidR="00DC2386" w:rsidRPr="00CA43DD">
        <w:rPr>
          <w:rFonts w:cs="Times New Roman"/>
          <w:i/>
          <w:szCs w:val="24"/>
          <w:lang w:val="fr-CA"/>
        </w:rPr>
        <w:noBreakHyphen/>
        <w:t>1</w:t>
      </w:r>
    </w:p>
    <w:p w:rsidR="00DC2386" w:rsidRPr="00CA43DD" w:rsidRDefault="00DC2386" w:rsidP="00DC2386">
      <w:pPr>
        <w:pStyle w:val="ParaNoNdepar-AltN"/>
        <w:rPr>
          <w:rFonts w:cs="Times New Roman"/>
          <w:szCs w:val="24"/>
          <w:lang w:val="fr-CA"/>
        </w:rPr>
      </w:pPr>
      <w:r w:rsidRPr="00CA43DD">
        <w:rPr>
          <w:rFonts w:cs="Times New Roman"/>
          <w:szCs w:val="24"/>
          <w:lang w:val="fr-CA"/>
        </w:rPr>
        <w:t>Vers 0 h 15, les patrouilleurs Tremblay et Mathieu se sont présentés chez l</w:t>
      </w:r>
      <w:r>
        <w:rPr>
          <w:rFonts w:cs="Times New Roman"/>
          <w:szCs w:val="24"/>
          <w:lang w:val="fr-CA"/>
        </w:rPr>
        <w:t>’</w:t>
      </w:r>
      <w:r w:rsidRPr="00CA43DD">
        <w:rPr>
          <w:rFonts w:cs="Times New Roman"/>
          <w:szCs w:val="24"/>
          <w:lang w:val="fr-CA"/>
        </w:rPr>
        <w:t>appelante.  Aucune lumière n</w:t>
      </w:r>
      <w:r>
        <w:rPr>
          <w:rFonts w:cs="Times New Roman"/>
          <w:szCs w:val="24"/>
          <w:lang w:val="fr-CA"/>
        </w:rPr>
        <w:t>’</w:t>
      </w:r>
      <w:r w:rsidRPr="00CA43DD">
        <w:rPr>
          <w:rFonts w:cs="Times New Roman"/>
          <w:szCs w:val="24"/>
          <w:lang w:val="fr-CA"/>
        </w:rPr>
        <w:t>était allumée et le calme régnait.  Comme ils croyaient que l</w:t>
      </w:r>
      <w:r>
        <w:rPr>
          <w:rFonts w:cs="Times New Roman"/>
          <w:szCs w:val="24"/>
          <w:lang w:val="fr-CA"/>
        </w:rPr>
        <w:t>’</w:t>
      </w:r>
      <w:r w:rsidRPr="00CA43DD">
        <w:rPr>
          <w:rFonts w:cs="Times New Roman"/>
          <w:szCs w:val="24"/>
          <w:lang w:val="fr-CA"/>
        </w:rPr>
        <w:t>entrée principale se trouvait à l</w:t>
      </w:r>
      <w:r>
        <w:rPr>
          <w:rFonts w:cs="Times New Roman"/>
          <w:szCs w:val="24"/>
          <w:lang w:val="fr-CA"/>
        </w:rPr>
        <w:t>’</w:t>
      </w:r>
      <w:r w:rsidRPr="00CA43DD">
        <w:rPr>
          <w:rFonts w:cs="Times New Roman"/>
          <w:szCs w:val="24"/>
          <w:lang w:val="fr-CA"/>
        </w:rPr>
        <w:t xml:space="preserve">arrière, les agents ont fait le tour de la </w:t>
      </w:r>
      <w:r w:rsidRPr="00CA43DD">
        <w:rPr>
          <w:rFonts w:cs="Times New Roman"/>
          <w:szCs w:val="24"/>
          <w:lang w:val="fr-CA"/>
        </w:rPr>
        <w:lastRenderedPageBreak/>
        <w:t>maison, sont entrés dans le solarium (ou la véranda) et ont sonné à la porte.  L</w:t>
      </w:r>
      <w:r>
        <w:rPr>
          <w:rFonts w:cs="Times New Roman"/>
          <w:szCs w:val="24"/>
          <w:lang w:val="fr-CA"/>
        </w:rPr>
        <w:t>’</w:t>
      </w:r>
      <w:r w:rsidRPr="00CA43DD">
        <w:rPr>
          <w:rFonts w:cs="Times New Roman"/>
          <w:szCs w:val="24"/>
          <w:lang w:val="fr-CA"/>
        </w:rPr>
        <w:t>appelante leur a ouvert.  Elle portait un vêtement de nuit.  Les agents ont expliqué qu</w:t>
      </w:r>
      <w:r>
        <w:rPr>
          <w:rFonts w:cs="Times New Roman"/>
          <w:szCs w:val="24"/>
          <w:lang w:val="fr-CA"/>
        </w:rPr>
        <w:t>’</w:t>
      </w:r>
      <w:r w:rsidRPr="00CA43DD">
        <w:rPr>
          <w:rFonts w:cs="Times New Roman"/>
          <w:szCs w:val="24"/>
          <w:lang w:val="fr-CA"/>
        </w:rPr>
        <w:t>ils voulaient savoir ce qui s</w:t>
      </w:r>
      <w:r>
        <w:rPr>
          <w:rFonts w:cs="Times New Roman"/>
          <w:szCs w:val="24"/>
          <w:lang w:val="fr-CA"/>
        </w:rPr>
        <w:t>’</w:t>
      </w:r>
      <w:r w:rsidRPr="00CA43DD">
        <w:rPr>
          <w:rFonts w:cs="Times New Roman"/>
          <w:szCs w:val="24"/>
          <w:lang w:val="fr-CA"/>
        </w:rPr>
        <w:t>était produit plus tôt dans la soirée et vérifier la sûreté des lieux.  Le juge du procès estime cependant que leurs explications ne reflétaient pas leurs intentions véritables.  Il conclut :</w:t>
      </w:r>
    </w:p>
    <w:p w:rsidR="00DC2386" w:rsidRPr="00CA43DD" w:rsidRDefault="00DC2386" w:rsidP="00080395">
      <w:pPr>
        <w:pStyle w:val="Citation-AltC"/>
        <w:tabs>
          <w:tab w:val="left" w:pos="1620"/>
        </w:tabs>
        <w:ind w:hanging="1166"/>
        <w:rPr>
          <w:szCs w:val="24"/>
          <w:lang w:val="fr-CA"/>
        </w:rPr>
      </w:pPr>
      <w:r w:rsidRPr="00CA43DD">
        <w:rPr>
          <w:szCs w:val="24"/>
          <w:lang w:val="fr-CA"/>
        </w:rPr>
        <w:tab/>
      </w:r>
      <w:r w:rsidR="00080395">
        <w:rPr>
          <w:szCs w:val="24"/>
          <w:lang w:val="fr-CA"/>
        </w:rPr>
        <w:tab/>
      </w:r>
      <w:r w:rsidRPr="00CA43DD">
        <w:rPr>
          <w:szCs w:val="24"/>
          <w:lang w:val="fr-CA"/>
        </w:rPr>
        <w:t>Aussi désagréable que soit cette perspective pour un juge, le Tribunal n</w:t>
      </w:r>
      <w:r>
        <w:rPr>
          <w:szCs w:val="24"/>
          <w:lang w:val="fr-CA"/>
        </w:rPr>
        <w:t>’</w:t>
      </w:r>
      <w:r w:rsidRPr="00CA43DD">
        <w:rPr>
          <w:szCs w:val="24"/>
          <w:lang w:val="fr-CA"/>
        </w:rPr>
        <w:t>a pas cru les agents Tremblay, Mathieu et Fortier.  La franchise et la sincérité qu</w:t>
      </w:r>
      <w:r>
        <w:rPr>
          <w:szCs w:val="24"/>
          <w:lang w:val="fr-CA"/>
        </w:rPr>
        <w:t>’</w:t>
      </w:r>
      <w:r w:rsidRPr="00CA43DD">
        <w:rPr>
          <w:szCs w:val="24"/>
          <w:lang w:val="fr-CA"/>
        </w:rPr>
        <w:t>on doit attendre de policiers chargés d</w:t>
      </w:r>
      <w:r>
        <w:rPr>
          <w:szCs w:val="24"/>
          <w:lang w:val="fr-CA"/>
        </w:rPr>
        <w:t>’</w:t>
      </w:r>
      <w:r w:rsidRPr="00CA43DD">
        <w:rPr>
          <w:szCs w:val="24"/>
          <w:lang w:val="fr-CA"/>
        </w:rPr>
        <w:t>assurer l</w:t>
      </w:r>
      <w:r>
        <w:rPr>
          <w:szCs w:val="24"/>
          <w:lang w:val="fr-CA"/>
        </w:rPr>
        <w:t>’</w:t>
      </w:r>
      <w:r w:rsidRPr="00CA43DD">
        <w:rPr>
          <w:szCs w:val="24"/>
          <w:lang w:val="fr-CA"/>
        </w:rPr>
        <w:t>application de la loi n</w:t>
      </w:r>
      <w:r>
        <w:rPr>
          <w:szCs w:val="24"/>
          <w:lang w:val="fr-CA"/>
        </w:rPr>
        <w:t>’</w:t>
      </w:r>
      <w:r w:rsidRPr="00CA43DD">
        <w:rPr>
          <w:szCs w:val="24"/>
          <w:lang w:val="fr-CA"/>
        </w:rPr>
        <w:t xml:space="preserve">étaient malheureusement pas au </w:t>
      </w:r>
      <w:proofErr w:type="spellStart"/>
      <w:r w:rsidRPr="00CA43DD">
        <w:rPr>
          <w:szCs w:val="24"/>
          <w:lang w:val="fr-CA"/>
        </w:rPr>
        <w:t>rendez</w:t>
      </w:r>
      <w:r w:rsidRPr="00CA43DD">
        <w:rPr>
          <w:szCs w:val="24"/>
          <w:lang w:val="fr-CA"/>
        </w:rPr>
        <w:noBreakHyphen/>
        <w:t>vous</w:t>
      </w:r>
      <w:proofErr w:type="spellEnd"/>
      <w:r w:rsidRPr="00CA43DD">
        <w:rPr>
          <w:szCs w:val="24"/>
          <w:lang w:val="fr-CA"/>
        </w:rPr>
        <w:t>.  [</w:t>
      </w:r>
      <w:proofErr w:type="gramStart"/>
      <w:r w:rsidRPr="00CA43DD">
        <w:rPr>
          <w:szCs w:val="24"/>
          <w:lang w:val="fr-CA"/>
        </w:rPr>
        <w:t>par</w:t>
      </w:r>
      <w:proofErr w:type="gramEnd"/>
      <w:r w:rsidRPr="00CA43DD">
        <w:rPr>
          <w:szCs w:val="24"/>
          <w:lang w:val="fr-CA"/>
        </w:rPr>
        <w:t>. 126]</w:t>
      </w:r>
    </w:p>
    <w:p w:rsidR="00DC2386" w:rsidRPr="00CA43DD" w:rsidRDefault="00DC2386" w:rsidP="00DC2386">
      <w:pPr>
        <w:pStyle w:val="ContinueParaSuitedupar-AltP"/>
        <w:rPr>
          <w:rFonts w:cs="Times New Roman"/>
          <w:szCs w:val="24"/>
          <w:lang w:val="fr-CA"/>
        </w:rPr>
      </w:pPr>
      <w:r w:rsidRPr="00CA43DD">
        <w:rPr>
          <w:rFonts w:cs="Times New Roman"/>
          <w:szCs w:val="24"/>
          <w:lang w:val="fr-CA"/>
        </w:rPr>
        <w:t>Les policiers ont alors demandé s</w:t>
      </w:r>
      <w:r>
        <w:rPr>
          <w:rFonts w:cs="Times New Roman"/>
          <w:szCs w:val="24"/>
          <w:lang w:val="fr-CA"/>
        </w:rPr>
        <w:t>’</w:t>
      </w:r>
      <w:r w:rsidRPr="00CA43DD">
        <w:rPr>
          <w:rFonts w:cs="Times New Roman"/>
          <w:szCs w:val="24"/>
          <w:lang w:val="fr-CA"/>
        </w:rPr>
        <w:t>ils pouvaient entrer.  Sans un mot, l</w:t>
      </w:r>
      <w:r>
        <w:rPr>
          <w:rFonts w:cs="Times New Roman"/>
          <w:szCs w:val="24"/>
          <w:lang w:val="fr-CA"/>
        </w:rPr>
        <w:t>’</w:t>
      </w:r>
      <w:r w:rsidRPr="00CA43DD">
        <w:rPr>
          <w:rFonts w:cs="Times New Roman"/>
          <w:szCs w:val="24"/>
          <w:lang w:val="fr-CA"/>
        </w:rPr>
        <w:t>appelante a reculé pour les laisser passer.  Elle les a suivis pendant leur inspection de l</w:t>
      </w:r>
      <w:r>
        <w:rPr>
          <w:rFonts w:cs="Times New Roman"/>
          <w:szCs w:val="24"/>
          <w:lang w:val="fr-CA"/>
        </w:rPr>
        <w:t>’</w:t>
      </w:r>
      <w:r w:rsidRPr="00CA43DD">
        <w:rPr>
          <w:rFonts w:cs="Times New Roman"/>
          <w:szCs w:val="24"/>
          <w:lang w:val="fr-CA"/>
        </w:rPr>
        <w:t>intérieur et de l</w:t>
      </w:r>
      <w:r>
        <w:rPr>
          <w:rFonts w:cs="Times New Roman"/>
          <w:szCs w:val="24"/>
          <w:lang w:val="fr-CA"/>
        </w:rPr>
        <w:t>’</w:t>
      </w:r>
      <w:r w:rsidRPr="00CA43DD">
        <w:rPr>
          <w:rFonts w:cs="Times New Roman"/>
          <w:szCs w:val="24"/>
          <w:lang w:val="fr-CA"/>
        </w:rPr>
        <w:t>extérieur de la maison.  Ils n</w:t>
      </w:r>
      <w:r>
        <w:rPr>
          <w:rFonts w:cs="Times New Roman"/>
          <w:szCs w:val="24"/>
          <w:lang w:val="fr-CA"/>
        </w:rPr>
        <w:t>’</w:t>
      </w:r>
      <w:r w:rsidRPr="00CA43DD">
        <w:rPr>
          <w:rFonts w:cs="Times New Roman"/>
          <w:szCs w:val="24"/>
          <w:lang w:val="fr-CA"/>
        </w:rPr>
        <w:t>ont pas révélé à l</w:t>
      </w:r>
      <w:r>
        <w:rPr>
          <w:rFonts w:cs="Times New Roman"/>
          <w:szCs w:val="24"/>
          <w:lang w:val="fr-CA"/>
        </w:rPr>
        <w:t>’</w:t>
      </w:r>
      <w:r w:rsidRPr="00CA43DD">
        <w:rPr>
          <w:rFonts w:cs="Times New Roman"/>
          <w:szCs w:val="24"/>
          <w:lang w:val="fr-CA"/>
        </w:rPr>
        <w:t>appelante qu</w:t>
      </w:r>
      <w:r>
        <w:rPr>
          <w:rFonts w:cs="Times New Roman"/>
          <w:szCs w:val="24"/>
          <w:lang w:val="fr-CA"/>
        </w:rPr>
        <w:t>’</w:t>
      </w:r>
      <w:r w:rsidRPr="00CA43DD">
        <w:rPr>
          <w:rFonts w:cs="Times New Roman"/>
          <w:szCs w:val="24"/>
          <w:lang w:val="fr-CA"/>
        </w:rPr>
        <w:t xml:space="preserve">ils croyaient que son conjoint avait subi une blessure par balle.  </w:t>
      </w:r>
    </w:p>
    <w:p w:rsidR="00DC2386" w:rsidRPr="00CA43DD" w:rsidRDefault="00DC2386" w:rsidP="00DC2386">
      <w:pPr>
        <w:pStyle w:val="ParaNoNdepar-AltN"/>
        <w:rPr>
          <w:rFonts w:cs="Times New Roman"/>
          <w:szCs w:val="24"/>
          <w:lang w:val="fr-CA"/>
        </w:rPr>
      </w:pPr>
      <w:r w:rsidRPr="00CA43DD">
        <w:rPr>
          <w:rFonts w:cs="Times New Roman"/>
          <w:szCs w:val="24"/>
          <w:lang w:val="fr-CA"/>
        </w:rPr>
        <w:t>Le juge du procès conclut que la violation des droits de l</w:t>
      </w:r>
      <w:r>
        <w:rPr>
          <w:rFonts w:cs="Times New Roman"/>
          <w:szCs w:val="24"/>
          <w:lang w:val="fr-CA"/>
        </w:rPr>
        <w:t>’</w:t>
      </w:r>
      <w:r w:rsidRPr="00CA43DD">
        <w:rPr>
          <w:rFonts w:cs="Times New Roman"/>
          <w:szCs w:val="24"/>
          <w:lang w:val="fr-CA"/>
        </w:rPr>
        <w:t>appelante par les policiers a débuté peu après leur arrivée à la résidence, lorsqu</w:t>
      </w:r>
      <w:r>
        <w:rPr>
          <w:rFonts w:cs="Times New Roman"/>
          <w:szCs w:val="24"/>
          <w:lang w:val="fr-CA"/>
        </w:rPr>
        <w:t>’</w:t>
      </w:r>
      <w:r w:rsidRPr="00CA43DD">
        <w:rPr>
          <w:rFonts w:cs="Times New Roman"/>
          <w:szCs w:val="24"/>
          <w:lang w:val="fr-CA"/>
        </w:rPr>
        <w:t>ils se sont introduits dans la propriété.  Les policiers ont invoqué leur pouvoir d</w:t>
      </w:r>
      <w:r>
        <w:rPr>
          <w:rFonts w:cs="Times New Roman"/>
          <w:szCs w:val="24"/>
          <w:lang w:val="fr-CA"/>
        </w:rPr>
        <w:t>’</w:t>
      </w:r>
      <w:r w:rsidRPr="00CA43DD">
        <w:rPr>
          <w:rFonts w:cs="Times New Roman"/>
          <w:szCs w:val="24"/>
          <w:lang w:val="fr-CA"/>
        </w:rPr>
        <w:t>enquêter sur l</w:t>
      </w:r>
      <w:r>
        <w:rPr>
          <w:rFonts w:cs="Times New Roman"/>
          <w:szCs w:val="24"/>
          <w:lang w:val="fr-CA"/>
        </w:rPr>
        <w:t>’</w:t>
      </w:r>
      <w:r w:rsidRPr="00CA43DD">
        <w:rPr>
          <w:rFonts w:cs="Times New Roman"/>
          <w:szCs w:val="24"/>
          <w:lang w:val="fr-CA"/>
        </w:rPr>
        <w:t>appel au 9</w:t>
      </w:r>
      <w:r w:rsidRPr="00CA43DD">
        <w:rPr>
          <w:rFonts w:cs="Times New Roman"/>
          <w:szCs w:val="24"/>
          <w:lang w:val="fr-CA"/>
        </w:rPr>
        <w:noBreakHyphen/>
        <w:t>1</w:t>
      </w:r>
      <w:r w:rsidRPr="00CA43DD">
        <w:rPr>
          <w:rFonts w:cs="Times New Roman"/>
          <w:szCs w:val="24"/>
          <w:lang w:val="fr-CA"/>
        </w:rPr>
        <w:noBreakHyphen/>
        <w:t>1 et notamment d</w:t>
      </w:r>
      <w:r>
        <w:rPr>
          <w:rFonts w:cs="Times New Roman"/>
          <w:szCs w:val="24"/>
          <w:lang w:val="fr-CA"/>
        </w:rPr>
        <w:t>’</w:t>
      </w:r>
      <w:r w:rsidRPr="00CA43DD">
        <w:rPr>
          <w:rFonts w:cs="Times New Roman"/>
          <w:szCs w:val="24"/>
          <w:lang w:val="fr-CA"/>
        </w:rPr>
        <w:t>en trouver l</w:t>
      </w:r>
      <w:r>
        <w:rPr>
          <w:rFonts w:cs="Times New Roman"/>
          <w:szCs w:val="24"/>
          <w:lang w:val="fr-CA"/>
        </w:rPr>
        <w:t>’</w:t>
      </w:r>
      <w:r w:rsidRPr="00CA43DD">
        <w:rPr>
          <w:rFonts w:cs="Times New Roman"/>
          <w:szCs w:val="24"/>
          <w:lang w:val="fr-CA"/>
        </w:rPr>
        <w:t>auteur, d</w:t>
      </w:r>
      <w:r>
        <w:rPr>
          <w:rFonts w:cs="Times New Roman"/>
          <w:szCs w:val="24"/>
          <w:lang w:val="fr-CA"/>
        </w:rPr>
        <w:t>’</w:t>
      </w:r>
      <w:r w:rsidRPr="00CA43DD">
        <w:rPr>
          <w:rFonts w:cs="Times New Roman"/>
          <w:szCs w:val="24"/>
          <w:lang w:val="fr-CA"/>
        </w:rPr>
        <w:t>en déterminer l</w:t>
      </w:r>
      <w:r>
        <w:rPr>
          <w:rFonts w:cs="Times New Roman"/>
          <w:szCs w:val="24"/>
          <w:lang w:val="fr-CA"/>
        </w:rPr>
        <w:t>’</w:t>
      </w:r>
      <w:r w:rsidRPr="00CA43DD">
        <w:rPr>
          <w:rFonts w:cs="Times New Roman"/>
          <w:szCs w:val="24"/>
          <w:lang w:val="fr-CA"/>
        </w:rPr>
        <w:t>objet et d</w:t>
      </w:r>
      <w:r>
        <w:rPr>
          <w:rFonts w:cs="Times New Roman"/>
          <w:szCs w:val="24"/>
          <w:lang w:val="fr-CA"/>
        </w:rPr>
        <w:t>’</w:t>
      </w:r>
      <w:r w:rsidRPr="00CA43DD">
        <w:rPr>
          <w:rFonts w:cs="Times New Roman"/>
          <w:szCs w:val="24"/>
          <w:lang w:val="fr-CA"/>
        </w:rPr>
        <w:t>apporter l</w:t>
      </w:r>
      <w:r>
        <w:rPr>
          <w:rFonts w:cs="Times New Roman"/>
          <w:szCs w:val="24"/>
          <w:lang w:val="fr-CA"/>
        </w:rPr>
        <w:t>’</w:t>
      </w:r>
      <w:r w:rsidRPr="00CA43DD">
        <w:rPr>
          <w:rFonts w:cs="Times New Roman"/>
          <w:szCs w:val="24"/>
          <w:lang w:val="fr-CA"/>
        </w:rPr>
        <w:t xml:space="preserve">aide nécessaire.  Or, pour le juge du procès, ce pouvoir </w:t>
      </w:r>
      <w:r>
        <w:rPr>
          <w:rFonts w:cs="Times New Roman"/>
          <w:szCs w:val="24"/>
          <w:lang w:val="fr-CA"/>
        </w:rPr>
        <w:t>av</w:t>
      </w:r>
      <w:r w:rsidRPr="00CA43DD">
        <w:rPr>
          <w:rFonts w:cs="Times New Roman"/>
          <w:szCs w:val="24"/>
          <w:lang w:val="fr-CA"/>
        </w:rPr>
        <w:t xml:space="preserve">ait </w:t>
      </w:r>
      <w:r>
        <w:rPr>
          <w:rFonts w:cs="Times New Roman"/>
          <w:szCs w:val="24"/>
          <w:lang w:val="fr-CA"/>
        </w:rPr>
        <w:t>cessé d’exister plus tôt dans la soirée</w:t>
      </w:r>
      <w:r w:rsidRPr="00CA43DD">
        <w:rPr>
          <w:rFonts w:cs="Times New Roman"/>
          <w:szCs w:val="24"/>
          <w:lang w:val="fr-CA"/>
        </w:rPr>
        <w:t xml:space="preserve"> et ne pouvait pas justifier l</w:t>
      </w:r>
      <w:r>
        <w:rPr>
          <w:rFonts w:cs="Times New Roman"/>
          <w:szCs w:val="24"/>
          <w:lang w:val="fr-CA"/>
        </w:rPr>
        <w:t>’</w:t>
      </w:r>
      <w:r w:rsidRPr="00CA43DD">
        <w:rPr>
          <w:rFonts w:cs="Times New Roman"/>
          <w:szCs w:val="24"/>
          <w:lang w:val="fr-CA"/>
        </w:rPr>
        <w:t>enquête effectuée chez l</w:t>
      </w:r>
      <w:r>
        <w:rPr>
          <w:rFonts w:cs="Times New Roman"/>
          <w:szCs w:val="24"/>
          <w:lang w:val="fr-CA"/>
        </w:rPr>
        <w:t>’</w:t>
      </w:r>
      <w:r w:rsidRPr="00CA43DD">
        <w:rPr>
          <w:rFonts w:cs="Times New Roman"/>
          <w:szCs w:val="24"/>
          <w:lang w:val="fr-CA"/>
        </w:rPr>
        <w:t xml:space="preserve">appelante : voir </w:t>
      </w:r>
      <w:r w:rsidRPr="00CA43DD">
        <w:rPr>
          <w:rFonts w:cs="Times New Roman"/>
          <w:i/>
          <w:szCs w:val="24"/>
          <w:lang w:val="fr-CA"/>
        </w:rPr>
        <w:t>R. c. Godoy</w:t>
      </w:r>
      <w:r w:rsidRPr="00CA43DD">
        <w:rPr>
          <w:rFonts w:cs="Times New Roman"/>
          <w:szCs w:val="24"/>
          <w:lang w:val="fr-CA"/>
        </w:rPr>
        <w:t>,</w:t>
      </w:r>
      <w:r w:rsidRPr="00CA43DD">
        <w:rPr>
          <w:rFonts w:cs="Times New Roman"/>
          <w:i/>
          <w:szCs w:val="24"/>
          <w:lang w:val="fr-CA"/>
        </w:rPr>
        <w:t xml:space="preserve"> </w:t>
      </w:r>
      <w:r w:rsidRPr="00CA43DD">
        <w:rPr>
          <w:rFonts w:cs="Times New Roman"/>
          <w:szCs w:val="24"/>
          <w:lang w:val="fr-CA"/>
        </w:rPr>
        <w:t>[1999] 1 R.C.S. 311, par. 22.  Selon lui, les policiers se sont rendus chez l</w:t>
      </w:r>
      <w:r>
        <w:rPr>
          <w:rFonts w:cs="Times New Roman"/>
          <w:szCs w:val="24"/>
          <w:lang w:val="fr-CA"/>
        </w:rPr>
        <w:t>’</w:t>
      </w:r>
      <w:r w:rsidRPr="00CA43DD">
        <w:rPr>
          <w:rFonts w:cs="Times New Roman"/>
          <w:szCs w:val="24"/>
          <w:lang w:val="fr-CA"/>
        </w:rPr>
        <w:t>appelante dans l</w:t>
      </w:r>
      <w:r>
        <w:rPr>
          <w:rFonts w:cs="Times New Roman"/>
          <w:szCs w:val="24"/>
          <w:lang w:val="fr-CA"/>
        </w:rPr>
        <w:t>’</w:t>
      </w:r>
      <w:r w:rsidRPr="00CA43DD">
        <w:rPr>
          <w:rFonts w:cs="Times New Roman"/>
          <w:szCs w:val="24"/>
          <w:lang w:val="fr-CA"/>
        </w:rPr>
        <w:t>intention d</w:t>
      </w:r>
      <w:r>
        <w:rPr>
          <w:rFonts w:cs="Times New Roman"/>
          <w:szCs w:val="24"/>
          <w:lang w:val="fr-CA"/>
        </w:rPr>
        <w:t>’</w:t>
      </w:r>
      <w:r w:rsidRPr="00CA43DD">
        <w:rPr>
          <w:rFonts w:cs="Times New Roman"/>
          <w:szCs w:val="24"/>
          <w:lang w:val="fr-CA"/>
        </w:rPr>
        <w:t>y entreprendre une enquête criminelle, de sorte qu</w:t>
      </w:r>
      <w:r>
        <w:rPr>
          <w:rFonts w:cs="Times New Roman"/>
          <w:szCs w:val="24"/>
          <w:lang w:val="fr-CA"/>
        </w:rPr>
        <w:t>’</w:t>
      </w:r>
      <w:r w:rsidRPr="00CA43DD">
        <w:rPr>
          <w:rFonts w:cs="Times New Roman"/>
          <w:szCs w:val="24"/>
          <w:lang w:val="fr-CA"/>
        </w:rPr>
        <w:t xml:space="preserve">ils </w:t>
      </w:r>
      <w:r w:rsidRPr="00CA43DD">
        <w:rPr>
          <w:rFonts w:cs="Times New Roman"/>
          <w:szCs w:val="24"/>
          <w:lang w:val="fr-CA"/>
        </w:rPr>
        <w:lastRenderedPageBreak/>
        <w:t>ne pouvaient prétendre répondre à 0 h 1</w:t>
      </w:r>
      <w:r>
        <w:rPr>
          <w:rFonts w:cs="Times New Roman"/>
          <w:szCs w:val="24"/>
          <w:lang w:val="fr-CA"/>
        </w:rPr>
        <w:t>5</w:t>
      </w:r>
      <w:r w:rsidRPr="00CA43DD">
        <w:rPr>
          <w:rFonts w:cs="Times New Roman"/>
          <w:szCs w:val="24"/>
          <w:lang w:val="fr-CA"/>
        </w:rPr>
        <w:t xml:space="preserve"> à un appel reçu à 20 h 51.  Il lui paraît révélateur que même s</w:t>
      </w:r>
      <w:r>
        <w:rPr>
          <w:rFonts w:cs="Times New Roman"/>
          <w:szCs w:val="24"/>
          <w:lang w:val="fr-CA"/>
        </w:rPr>
        <w:t>’</w:t>
      </w:r>
      <w:r w:rsidRPr="00CA43DD">
        <w:rPr>
          <w:rFonts w:cs="Times New Roman"/>
          <w:szCs w:val="24"/>
          <w:lang w:val="fr-CA"/>
        </w:rPr>
        <w:t>ils ont demandé le consentement de l</w:t>
      </w:r>
      <w:r>
        <w:rPr>
          <w:rFonts w:cs="Times New Roman"/>
          <w:szCs w:val="24"/>
          <w:lang w:val="fr-CA"/>
        </w:rPr>
        <w:t>’</w:t>
      </w:r>
      <w:r w:rsidRPr="00CA43DD">
        <w:rPr>
          <w:rFonts w:cs="Times New Roman"/>
          <w:szCs w:val="24"/>
          <w:lang w:val="fr-CA"/>
        </w:rPr>
        <w:t>appelante pour inspecter sa maison, les policiers ont délibérément choisi de ne pas lui dire que son conjoint avait été atteint d</w:t>
      </w:r>
      <w:r>
        <w:rPr>
          <w:rFonts w:cs="Times New Roman"/>
          <w:szCs w:val="24"/>
          <w:lang w:val="fr-CA"/>
        </w:rPr>
        <w:t>’</w:t>
      </w:r>
      <w:r w:rsidRPr="00CA43DD">
        <w:rPr>
          <w:rFonts w:cs="Times New Roman"/>
          <w:szCs w:val="24"/>
          <w:lang w:val="fr-CA"/>
        </w:rPr>
        <w:t>une balle à la tête.  L</w:t>
      </w:r>
      <w:r>
        <w:rPr>
          <w:rFonts w:cs="Times New Roman"/>
          <w:szCs w:val="24"/>
          <w:lang w:val="fr-CA"/>
        </w:rPr>
        <w:t>’</w:t>
      </w:r>
      <w:r w:rsidRPr="00CA43DD">
        <w:rPr>
          <w:rFonts w:cs="Times New Roman"/>
          <w:szCs w:val="24"/>
          <w:lang w:val="fr-CA"/>
        </w:rPr>
        <w:t>appelante était soupçonnée de tentative de meurtre, et les policiers ne répondaient pas à un appel à l</w:t>
      </w:r>
      <w:r>
        <w:rPr>
          <w:rFonts w:cs="Times New Roman"/>
          <w:szCs w:val="24"/>
          <w:lang w:val="fr-CA"/>
        </w:rPr>
        <w:t>’</w:t>
      </w:r>
      <w:r w:rsidRPr="00CA43DD">
        <w:rPr>
          <w:rFonts w:cs="Times New Roman"/>
          <w:szCs w:val="24"/>
          <w:lang w:val="fr-CA"/>
        </w:rPr>
        <w:t>aide.  Le juge du procès estime par ailleurs que l</w:t>
      </w:r>
      <w:r>
        <w:rPr>
          <w:rFonts w:cs="Times New Roman"/>
          <w:szCs w:val="24"/>
          <w:lang w:val="fr-CA"/>
        </w:rPr>
        <w:t>’</w:t>
      </w:r>
      <w:r w:rsidRPr="00CA43DD">
        <w:rPr>
          <w:rFonts w:cs="Times New Roman"/>
          <w:szCs w:val="24"/>
          <w:lang w:val="fr-CA"/>
        </w:rPr>
        <w:t>allégation des policiers selon laquelle ils voulaient s</w:t>
      </w:r>
      <w:r>
        <w:rPr>
          <w:rFonts w:cs="Times New Roman"/>
          <w:szCs w:val="24"/>
          <w:lang w:val="fr-CA"/>
        </w:rPr>
        <w:t>’</w:t>
      </w:r>
      <w:r w:rsidRPr="00CA43DD">
        <w:rPr>
          <w:rFonts w:cs="Times New Roman"/>
          <w:szCs w:val="24"/>
          <w:lang w:val="fr-CA"/>
        </w:rPr>
        <w:t>assurer que M</w:t>
      </w:r>
      <w:r w:rsidRPr="00CA43DD">
        <w:rPr>
          <w:rFonts w:cs="Times New Roman"/>
          <w:szCs w:val="24"/>
          <w:vertAlign w:val="superscript"/>
          <w:lang w:val="fr-CA"/>
        </w:rPr>
        <w:t>me </w:t>
      </w:r>
      <w:r w:rsidRPr="00CA43DD">
        <w:rPr>
          <w:rFonts w:cs="Times New Roman"/>
          <w:szCs w:val="24"/>
          <w:lang w:val="fr-CA"/>
        </w:rPr>
        <w:t>Côté était en sûreté n</w:t>
      </w:r>
      <w:r>
        <w:rPr>
          <w:rFonts w:cs="Times New Roman"/>
          <w:szCs w:val="24"/>
          <w:lang w:val="fr-CA"/>
        </w:rPr>
        <w:t>’</w:t>
      </w:r>
      <w:r w:rsidRPr="00CA43DD">
        <w:rPr>
          <w:rFonts w:cs="Times New Roman"/>
          <w:szCs w:val="24"/>
          <w:lang w:val="fr-CA"/>
        </w:rPr>
        <w:t>est pas digne de foi.  Si les policiers s</w:t>
      </w:r>
      <w:r>
        <w:rPr>
          <w:rFonts w:cs="Times New Roman"/>
          <w:szCs w:val="24"/>
          <w:lang w:val="fr-CA"/>
        </w:rPr>
        <w:t>’</w:t>
      </w:r>
      <w:r w:rsidRPr="00CA43DD">
        <w:rPr>
          <w:rFonts w:cs="Times New Roman"/>
          <w:szCs w:val="24"/>
          <w:lang w:val="fr-CA"/>
        </w:rPr>
        <w:t>étaient véritablement souciés de la sûreté de l</w:t>
      </w:r>
      <w:r>
        <w:rPr>
          <w:rFonts w:cs="Times New Roman"/>
          <w:szCs w:val="24"/>
          <w:lang w:val="fr-CA"/>
        </w:rPr>
        <w:t>’</w:t>
      </w:r>
      <w:r w:rsidRPr="00CA43DD">
        <w:rPr>
          <w:rFonts w:cs="Times New Roman"/>
          <w:szCs w:val="24"/>
          <w:lang w:val="fr-CA"/>
        </w:rPr>
        <w:t>appelante, ils ne l</w:t>
      </w:r>
      <w:r>
        <w:rPr>
          <w:rFonts w:cs="Times New Roman"/>
          <w:szCs w:val="24"/>
          <w:lang w:val="fr-CA"/>
        </w:rPr>
        <w:t>’</w:t>
      </w:r>
      <w:r w:rsidRPr="00CA43DD">
        <w:rPr>
          <w:rFonts w:cs="Times New Roman"/>
          <w:szCs w:val="24"/>
          <w:lang w:val="fr-CA"/>
        </w:rPr>
        <w:t xml:space="preserve">auraient pas emmenée avec eux </w:t>
      </w:r>
      <w:proofErr w:type="gramStart"/>
      <w:r w:rsidRPr="00CA43DD">
        <w:rPr>
          <w:rFonts w:cs="Times New Roman"/>
          <w:szCs w:val="24"/>
          <w:lang w:val="fr-CA"/>
        </w:rPr>
        <w:t>fouiller</w:t>
      </w:r>
      <w:proofErr w:type="gramEnd"/>
      <w:r w:rsidRPr="00CA43DD">
        <w:rPr>
          <w:rFonts w:cs="Times New Roman"/>
          <w:szCs w:val="24"/>
          <w:lang w:val="fr-CA"/>
        </w:rPr>
        <w:t xml:space="preserve"> la maison.</w:t>
      </w:r>
    </w:p>
    <w:p w:rsidR="00DC2386" w:rsidRPr="00CA43DD" w:rsidRDefault="00DC2386" w:rsidP="00DC2386">
      <w:pPr>
        <w:pStyle w:val="ParaNoNdepar-AltN"/>
        <w:rPr>
          <w:rFonts w:cs="Times New Roman"/>
          <w:szCs w:val="24"/>
          <w:lang w:val="fr-CA"/>
        </w:rPr>
      </w:pPr>
      <w:r w:rsidRPr="00CA43DD">
        <w:rPr>
          <w:rFonts w:cs="Times New Roman"/>
          <w:szCs w:val="24"/>
          <w:lang w:val="fr-CA"/>
        </w:rPr>
        <w:t>Le juge du procès explique que même si les paramètres énoncés dans l</w:t>
      </w:r>
      <w:r>
        <w:rPr>
          <w:rFonts w:cs="Times New Roman"/>
          <w:szCs w:val="24"/>
          <w:lang w:val="fr-CA"/>
        </w:rPr>
        <w:t>’</w:t>
      </w:r>
      <w:r w:rsidRPr="00CA43DD">
        <w:rPr>
          <w:rFonts w:cs="Times New Roman"/>
          <w:szCs w:val="24"/>
          <w:lang w:val="fr-CA"/>
        </w:rPr>
        <w:t xml:space="preserve">arrêt </w:t>
      </w:r>
      <w:r w:rsidRPr="00CA43DD">
        <w:rPr>
          <w:rFonts w:cs="Times New Roman"/>
          <w:i/>
          <w:szCs w:val="24"/>
          <w:lang w:val="fr-CA"/>
        </w:rPr>
        <w:t xml:space="preserve">Godoy </w:t>
      </w:r>
      <w:r w:rsidRPr="00CA43DD">
        <w:rPr>
          <w:rFonts w:cs="Times New Roman"/>
          <w:szCs w:val="24"/>
          <w:lang w:val="fr-CA"/>
        </w:rPr>
        <w:t>avaient été respectés lors de l</w:t>
      </w:r>
      <w:r>
        <w:rPr>
          <w:rFonts w:cs="Times New Roman"/>
          <w:szCs w:val="24"/>
          <w:lang w:val="fr-CA"/>
        </w:rPr>
        <w:t>’</w:t>
      </w:r>
      <w:r w:rsidRPr="00CA43DD">
        <w:rPr>
          <w:rFonts w:cs="Times New Roman"/>
          <w:szCs w:val="24"/>
          <w:lang w:val="fr-CA"/>
        </w:rPr>
        <w:t>intervention initiale, le pouvoir qui y est reconnu n</w:t>
      </w:r>
      <w:r>
        <w:rPr>
          <w:rFonts w:cs="Times New Roman"/>
          <w:szCs w:val="24"/>
          <w:lang w:val="fr-CA"/>
        </w:rPr>
        <w:t>’</w:t>
      </w:r>
      <w:r w:rsidRPr="00CA43DD">
        <w:rPr>
          <w:rFonts w:cs="Times New Roman"/>
          <w:szCs w:val="24"/>
          <w:lang w:val="fr-CA"/>
        </w:rPr>
        <w:t>autorisait pas les policiers à fouiller les lieux ou à s</w:t>
      </w:r>
      <w:r>
        <w:rPr>
          <w:rFonts w:cs="Times New Roman"/>
          <w:szCs w:val="24"/>
          <w:lang w:val="fr-CA"/>
        </w:rPr>
        <w:t>’</w:t>
      </w:r>
      <w:r w:rsidRPr="00CA43DD">
        <w:rPr>
          <w:rFonts w:cs="Times New Roman"/>
          <w:szCs w:val="24"/>
          <w:lang w:val="fr-CA"/>
        </w:rPr>
        <w:t>immiscer par ailleurs dans la vie privée ou la propriété de l</w:t>
      </w:r>
      <w:r>
        <w:rPr>
          <w:rFonts w:cs="Times New Roman"/>
          <w:szCs w:val="24"/>
          <w:lang w:val="fr-CA"/>
        </w:rPr>
        <w:t>’</w:t>
      </w:r>
      <w:r w:rsidRPr="00CA43DD">
        <w:rPr>
          <w:rFonts w:cs="Times New Roman"/>
          <w:szCs w:val="24"/>
          <w:lang w:val="fr-CA"/>
        </w:rPr>
        <w:t>occupant.  Il conclut que le pouvoir reconnu dans cet arrêt</w:t>
      </w:r>
      <w:r w:rsidRPr="00CA43DD">
        <w:rPr>
          <w:rFonts w:cs="Times New Roman"/>
          <w:i/>
          <w:szCs w:val="24"/>
          <w:lang w:val="fr-CA"/>
        </w:rPr>
        <w:t xml:space="preserve"> </w:t>
      </w:r>
      <w:r w:rsidRPr="00CA43DD">
        <w:rPr>
          <w:rFonts w:cs="Times New Roman"/>
          <w:szCs w:val="24"/>
          <w:lang w:val="fr-CA"/>
        </w:rPr>
        <w:t>n</w:t>
      </w:r>
      <w:r>
        <w:rPr>
          <w:rFonts w:cs="Times New Roman"/>
          <w:szCs w:val="24"/>
          <w:lang w:val="fr-CA"/>
        </w:rPr>
        <w:t>’</w:t>
      </w:r>
      <w:r w:rsidRPr="00CA43DD">
        <w:rPr>
          <w:rFonts w:cs="Times New Roman"/>
          <w:szCs w:val="24"/>
          <w:lang w:val="fr-CA"/>
        </w:rPr>
        <w:t>autorisait ni la fouille du terrain ni celle de la maison, de sorte qu</w:t>
      </w:r>
      <w:r>
        <w:rPr>
          <w:rFonts w:cs="Times New Roman"/>
          <w:szCs w:val="24"/>
          <w:lang w:val="fr-CA"/>
        </w:rPr>
        <w:t>’</w:t>
      </w:r>
      <w:r w:rsidRPr="00CA43DD">
        <w:rPr>
          <w:rFonts w:cs="Times New Roman"/>
          <w:szCs w:val="24"/>
          <w:lang w:val="fr-CA"/>
        </w:rPr>
        <w:t xml:space="preserve">elles étaient illégales.  </w:t>
      </w:r>
    </w:p>
    <w:p w:rsidR="00DC2386" w:rsidRPr="00CA43DD" w:rsidRDefault="00CF6E18" w:rsidP="00CF6E18">
      <w:pPr>
        <w:pStyle w:val="TitleTitre-AltT"/>
        <w:keepNext/>
        <w:tabs>
          <w:tab w:val="clear" w:pos="360"/>
          <w:tab w:val="left" w:pos="1170"/>
        </w:tabs>
        <w:spacing w:after="720"/>
        <w:ind w:left="1800" w:hanging="1800"/>
        <w:rPr>
          <w:rFonts w:cs="Times New Roman"/>
          <w:i/>
          <w:szCs w:val="24"/>
          <w:lang w:val="fr-CA"/>
        </w:rPr>
      </w:pPr>
      <w:r>
        <w:rPr>
          <w:rFonts w:cs="Times New Roman"/>
          <w:szCs w:val="24"/>
          <w:lang w:val="fr-CA"/>
        </w:rPr>
        <w:tab/>
      </w:r>
      <w:r w:rsidR="00DC2386" w:rsidRPr="00CA43DD">
        <w:rPr>
          <w:rFonts w:cs="Times New Roman"/>
          <w:szCs w:val="24"/>
          <w:lang w:val="fr-CA"/>
        </w:rPr>
        <w:t>b)</w:t>
      </w:r>
      <w:r w:rsidR="00DC2386" w:rsidRPr="00CA43DD">
        <w:rPr>
          <w:rFonts w:cs="Times New Roman"/>
          <w:i/>
          <w:szCs w:val="24"/>
          <w:lang w:val="fr-CA"/>
        </w:rPr>
        <w:tab/>
        <w:t>L</w:t>
      </w:r>
      <w:r w:rsidR="00DC2386">
        <w:rPr>
          <w:rFonts w:cs="Times New Roman"/>
          <w:i/>
          <w:szCs w:val="24"/>
          <w:lang w:val="fr-CA"/>
        </w:rPr>
        <w:t>’</w:t>
      </w:r>
      <w:r w:rsidR="00DC2386" w:rsidRPr="00CA43DD">
        <w:rPr>
          <w:rFonts w:cs="Times New Roman"/>
          <w:i/>
          <w:szCs w:val="24"/>
          <w:lang w:val="fr-CA"/>
        </w:rPr>
        <w:t>invitation à s</w:t>
      </w:r>
      <w:r w:rsidR="00DC2386">
        <w:rPr>
          <w:rFonts w:cs="Times New Roman"/>
          <w:i/>
          <w:szCs w:val="24"/>
          <w:lang w:val="fr-CA"/>
        </w:rPr>
        <w:t>’</w:t>
      </w:r>
      <w:r w:rsidR="00DC2386" w:rsidRPr="00CA43DD">
        <w:rPr>
          <w:rFonts w:cs="Times New Roman"/>
          <w:i/>
          <w:szCs w:val="24"/>
          <w:lang w:val="fr-CA"/>
        </w:rPr>
        <w:t xml:space="preserve">approcher de la porte et à y frapper </w:t>
      </w:r>
    </w:p>
    <w:p w:rsidR="00DC2386" w:rsidRPr="00CA43DD" w:rsidRDefault="00DC2386" w:rsidP="00DC2386">
      <w:pPr>
        <w:pStyle w:val="ParaNoNdepar-AltN"/>
        <w:rPr>
          <w:rFonts w:cs="Times New Roman"/>
          <w:szCs w:val="24"/>
          <w:lang w:val="fr-CA"/>
        </w:rPr>
      </w:pPr>
      <w:r w:rsidRPr="00CA43DD">
        <w:rPr>
          <w:rFonts w:cs="Times New Roman"/>
          <w:szCs w:val="24"/>
          <w:lang w:val="fr-CA"/>
        </w:rPr>
        <w:t>Le ministère public a également cherché à justifier l</w:t>
      </w:r>
      <w:r>
        <w:rPr>
          <w:rFonts w:cs="Times New Roman"/>
          <w:szCs w:val="24"/>
          <w:lang w:val="fr-CA"/>
        </w:rPr>
        <w:t>’</w:t>
      </w:r>
      <w:r w:rsidRPr="00CA43DD">
        <w:rPr>
          <w:rFonts w:cs="Times New Roman"/>
          <w:szCs w:val="24"/>
          <w:lang w:val="fr-CA"/>
        </w:rPr>
        <w:t>intervention policière en faisant valoir qu</w:t>
      </w:r>
      <w:r>
        <w:rPr>
          <w:rFonts w:cs="Times New Roman"/>
          <w:szCs w:val="24"/>
          <w:lang w:val="fr-CA"/>
        </w:rPr>
        <w:t>’</w:t>
      </w:r>
      <w:r w:rsidRPr="00CA43DD">
        <w:rPr>
          <w:rFonts w:cs="Times New Roman"/>
          <w:szCs w:val="24"/>
          <w:lang w:val="fr-CA"/>
        </w:rPr>
        <w:t>il existait une invitation implicite à s</w:t>
      </w:r>
      <w:r>
        <w:rPr>
          <w:rFonts w:cs="Times New Roman"/>
          <w:szCs w:val="24"/>
          <w:lang w:val="fr-CA"/>
        </w:rPr>
        <w:t>’</w:t>
      </w:r>
      <w:r w:rsidRPr="00CA43DD">
        <w:rPr>
          <w:rFonts w:cs="Times New Roman"/>
          <w:szCs w:val="24"/>
          <w:lang w:val="fr-CA"/>
        </w:rPr>
        <w:t>approcher de la porte dans un but légitime et à y frapper du fait que « l</w:t>
      </w:r>
      <w:r>
        <w:rPr>
          <w:rFonts w:cs="Times New Roman"/>
          <w:szCs w:val="24"/>
          <w:lang w:val="fr-CA"/>
        </w:rPr>
        <w:t>’</w:t>
      </w:r>
      <w:r w:rsidRPr="00CA43DD">
        <w:rPr>
          <w:rFonts w:cs="Times New Roman"/>
          <w:szCs w:val="24"/>
          <w:lang w:val="fr-CA"/>
        </w:rPr>
        <w:t>occupant d</w:t>
      </w:r>
      <w:r>
        <w:rPr>
          <w:rFonts w:cs="Times New Roman"/>
          <w:szCs w:val="24"/>
          <w:lang w:val="fr-CA"/>
        </w:rPr>
        <w:t>’</w:t>
      </w:r>
      <w:r w:rsidRPr="00CA43DD">
        <w:rPr>
          <w:rFonts w:cs="Times New Roman"/>
          <w:szCs w:val="24"/>
          <w:lang w:val="fr-CA"/>
        </w:rPr>
        <w:t>une maison d</w:t>
      </w:r>
      <w:r>
        <w:rPr>
          <w:rFonts w:cs="Times New Roman"/>
          <w:szCs w:val="24"/>
          <w:lang w:val="fr-CA"/>
        </w:rPr>
        <w:t>’</w:t>
      </w:r>
      <w:r w:rsidRPr="00CA43DD">
        <w:rPr>
          <w:rFonts w:cs="Times New Roman"/>
          <w:szCs w:val="24"/>
          <w:lang w:val="fr-CA"/>
        </w:rPr>
        <w:t xml:space="preserve">habitation autorise implicitement tout membre du public, y compris un policier, à pénétrer sur sa </w:t>
      </w:r>
      <w:r w:rsidRPr="00CA43DD">
        <w:rPr>
          <w:rFonts w:cs="Times New Roman"/>
          <w:szCs w:val="24"/>
          <w:lang w:val="fr-CA"/>
        </w:rPr>
        <w:lastRenderedPageBreak/>
        <w:t>propriété à des fins légitimes » (</w:t>
      </w:r>
      <w:r w:rsidRPr="00CA43DD">
        <w:rPr>
          <w:rFonts w:cs="Times New Roman"/>
          <w:i/>
          <w:szCs w:val="24"/>
          <w:lang w:val="fr-CA"/>
        </w:rPr>
        <w:t>R. c. Evans</w:t>
      </w:r>
      <w:r w:rsidRPr="00CA43DD">
        <w:rPr>
          <w:rFonts w:cs="Times New Roman"/>
          <w:szCs w:val="24"/>
          <w:lang w:val="fr-CA"/>
        </w:rPr>
        <w:t>, [1996] 1 R.C.S. 8</w:t>
      </w:r>
      <w:r w:rsidRPr="00CA43DD">
        <w:rPr>
          <w:rFonts w:cs="Times New Roman"/>
          <w:iCs/>
          <w:szCs w:val="24"/>
          <w:lang w:val="fr-CA"/>
        </w:rPr>
        <w:t>, par. 13, le juge</w:t>
      </w:r>
      <w:r w:rsidRPr="00CA43DD">
        <w:rPr>
          <w:rFonts w:cs="Times New Roman"/>
          <w:szCs w:val="24"/>
          <w:lang w:val="fr-CA"/>
        </w:rPr>
        <w:t xml:space="preserve"> </w:t>
      </w:r>
      <w:proofErr w:type="spellStart"/>
      <w:r w:rsidRPr="00CA43DD">
        <w:rPr>
          <w:rFonts w:cs="Times New Roman"/>
          <w:szCs w:val="24"/>
          <w:lang w:val="fr-CA"/>
        </w:rPr>
        <w:t>Sopinka</w:t>
      </w:r>
      <w:proofErr w:type="spellEnd"/>
      <w:r w:rsidRPr="00CA43DD">
        <w:rPr>
          <w:rFonts w:cs="Times New Roman"/>
          <w:szCs w:val="24"/>
          <w:lang w:val="fr-CA"/>
        </w:rPr>
        <w:t xml:space="preserve">, citant </w:t>
      </w:r>
      <w:r w:rsidRPr="00CA43DD">
        <w:rPr>
          <w:rFonts w:cs="Times New Roman"/>
          <w:i/>
          <w:szCs w:val="24"/>
          <w:lang w:val="fr-CA"/>
        </w:rPr>
        <w:t xml:space="preserve">R. c. </w:t>
      </w:r>
      <w:proofErr w:type="spellStart"/>
      <w:r w:rsidRPr="00CA43DD">
        <w:rPr>
          <w:rFonts w:cs="Times New Roman"/>
          <w:i/>
          <w:szCs w:val="24"/>
          <w:lang w:val="fr-CA"/>
        </w:rPr>
        <w:t>Tricker</w:t>
      </w:r>
      <w:proofErr w:type="spellEnd"/>
      <w:r w:rsidRPr="00CA43DD">
        <w:rPr>
          <w:rFonts w:cs="Times New Roman"/>
          <w:szCs w:val="24"/>
          <w:lang w:val="fr-CA"/>
        </w:rPr>
        <w:t xml:space="preserve"> (1995), 21 O.R. (3d) 575</w:t>
      </w:r>
      <w:r w:rsidR="009455EF">
        <w:rPr>
          <w:rFonts w:cs="Times New Roman"/>
          <w:szCs w:val="24"/>
          <w:lang w:val="fr-CA"/>
        </w:rPr>
        <w:t xml:space="preserve"> (C.A.)</w:t>
      </w:r>
      <w:r w:rsidRPr="00CA43DD">
        <w:rPr>
          <w:rFonts w:cs="Times New Roman"/>
          <w:szCs w:val="24"/>
          <w:lang w:val="fr-CA"/>
        </w:rPr>
        <w:t>, p. 579).  Le juge du procès conclut qu</w:t>
      </w:r>
      <w:r>
        <w:rPr>
          <w:rFonts w:cs="Times New Roman"/>
          <w:szCs w:val="24"/>
          <w:lang w:val="fr-CA"/>
        </w:rPr>
        <w:t>’</w:t>
      </w:r>
      <w:r w:rsidRPr="00CA43DD">
        <w:rPr>
          <w:rFonts w:cs="Times New Roman"/>
          <w:szCs w:val="24"/>
          <w:lang w:val="fr-CA"/>
        </w:rPr>
        <w:t>en éteignant les lumières de sa maison, l</w:t>
      </w:r>
      <w:r>
        <w:rPr>
          <w:rFonts w:cs="Times New Roman"/>
          <w:szCs w:val="24"/>
          <w:lang w:val="fr-CA"/>
        </w:rPr>
        <w:t>’</w:t>
      </w:r>
      <w:r w:rsidRPr="00CA43DD">
        <w:rPr>
          <w:rFonts w:cs="Times New Roman"/>
          <w:szCs w:val="24"/>
          <w:lang w:val="fr-CA"/>
        </w:rPr>
        <w:t>appelante a retiré cette invitation faite au public, y compris aux policiers, à s</w:t>
      </w:r>
      <w:r>
        <w:rPr>
          <w:rFonts w:cs="Times New Roman"/>
          <w:szCs w:val="24"/>
          <w:lang w:val="fr-CA"/>
        </w:rPr>
        <w:t>’</w:t>
      </w:r>
      <w:r w:rsidRPr="00CA43DD">
        <w:rPr>
          <w:rFonts w:cs="Times New Roman"/>
          <w:szCs w:val="24"/>
          <w:lang w:val="fr-CA"/>
        </w:rPr>
        <w:t>approcher de sa porte et à y frapper.  À supposer même que la fermeture de l</w:t>
      </w:r>
      <w:r>
        <w:rPr>
          <w:rFonts w:cs="Times New Roman"/>
          <w:szCs w:val="24"/>
          <w:lang w:val="fr-CA"/>
        </w:rPr>
        <w:t>’</w:t>
      </w:r>
      <w:r w:rsidRPr="00CA43DD">
        <w:rPr>
          <w:rFonts w:cs="Times New Roman"/>
          <w:szCs w:val="24"/>
          <w:lang w:val="fr-CA"/>
        </w:rPr>
        <w:t>éclairage n</w:t>
      </w:r>
      <w:r>
        <w:rPr>
          <w:rFonts w:cs="Times New Roman"/>
          <w:szCs w:val="24"/>
          <w:lang w:val="fr-CA"/>
        </w:rPr>
        <w:t>’</w:t>
      </w:r>
      <w:r w:rsidRPr="00CA43DD">
        <w:rPr>
          <w:rFonts w:cs="Times New Roman"/>
          <w:szCs w:val="24"/>
          <w:lang w:val="fr-CA"/>
        </w:rPr>
        <w:t>ait pas retiré cette invitation, il estime qu</w:t>
      </w:r>
      <w:r>
        <w:rPr>
          <w:rFonts w:cs="Times New Roman"/>
          <w:szCs w:val="24"/>
          <w:lang w:val="fr-CA"/>
        </w:rPr>
        <w:t>’</w:t>
      </w:r>
      <w:r w:rsidRPr="00CA43DD">
        <w:rPr>
          <w:rFonts w:cs="Times New Roman"/>
          <w:szCs w:val="24"/>
          <w:lang w:val="fr-CA"/>
        </w:rPr>
        <w:t>en se présentant chez l</w:t>
      </w:r>
      <w:r>
        <w:rPr>
          <w:rFonts w:cs="Times New Roman"/>
          <w:szCs w:val="24"/>
          <w:lang w:val="fr-CA"/>
        </w:rPr>
        <w:t>’</w:t>
      </w:r>
      <w:r w:rsidRPr="00CA43DD">
        <w:rPr>
          <w:rFonts w:cs="Times New Roman"/>
          <w:szCs w:val="24"/>
          <w:lang w:val="fr-CA"/>
        </w:rPr>
        <w:t>appelante, les policiers ont outrepassé l</w:t>
      </w:r>
      <w:r>
        <w:rPr>
          <w:rFonts w:cs="Times New Roman"/>
          <w:szCs w:val="24"/>
          <w:lang w:val="fr-CA"/>
        </w:rPr>
        <w:t>’</w:t>
      </w:r>
      <w:r w:rsidRPr="00CA43DD">
        <w:rPr>
          <w:rFonts w:cs="Times New Roman"/>
          <w:szCs w:val="24"/>
          <w:lang w:val="fr-CA"/>
        </w:rPr>
        <w:t>autorisation tacite de frapper à la porte à des fins légitimes, car ils envisageaient alors expressément la possibilité de recueillir des éléments de preuve contre elle, ce qu</w:t>
      </w:r>
      <w:r>
        <w:rPr>
          <w:rFonts w:cs="Times New Roman"/>
          <w:szCs w:val="24"/>
          <w:lang w:val="fr-CA"/>
        </w:rPr>
        <w:t>’</w:t>
      </w:r>
      <w:r w:rsidRPr="00CA43DD">
        <w:rPr>
          <w:rFonts w:cs="Times New Roman"/>
          <w:szCs w:val="24"/>
          <w:lang w:val="fr-CA"/>
        </w:rPr>
        <w:t>atteste leur omission délibérée de lui dire que M. </w:t>
      </w:r>
      <w:proofErr w:type="spellStart"/>
      <w:r w:rsidRPr="00CA43DD">
        <w:rPr>
          <w:rFonts w:cs="Times New Roman"/>
          <w:szCs w:val="24"/>
          <w:lang w:val="fr-CA"/>
        </w:rPr>
        <w:t>Hogue</w:t>
      </w:r>
      <w:proofErr w:type="spellEnd"/>
      <w:r w:rsidRPr="00CA43DD">
        <w:rPr>
          <w:rFonts w:cs="Times New Roman"/>
          <w:szCs w:val="24"/>
          <w:lang w:val="fr-CA"/>
        </w:rPr>
        <w:t xml:space="preserve"> avait été blessé par balle.  Vu leur intention, les policiers ont outrepassé l</w:t>
      </w:r>
      <w:r>
        <w:rPr>
          <w:rFonts w:cs="Times New Roman"/>
          <w:szCs w:val="24"/>
          <w:lang w:val="fr-CA"/>
        </w:rPr>
        <w:t>’</w:t>
      </w:r>
      <w:r w:rsidRPr="00CA43DD">
        <w:rPr>
          <w:rFonts w:cs="Times New Roman"/>
          <w:szCs w:val="24"/>
          <w:lang w:val="fr-CA"/>
        </w:rPr>
        <w:t>autorisation tacite de s</w:t>
      </w:r>
      <w:r>
        <w:rPr>
          <w:rFonts w:cs="Times New Roman"/>
          <w:szCs w:val="24"/>
          <w:lang w:val="fr-CA"/>
        </w:rPr>
        <w:t>’</w:t>
      </w:r>
      <w:r w:rsidRPr="00CA43DD">
        <w:rPr>
          <w:rFonts w:cs="Times New Roman"/>
          <w:szCs w:val="24"/>
          <w:lang w:val="fr-CA"/>
        </w:rPr>
        <w:t>approcher de la porte et d</w:t>
      </w:r>
      <w:r>
        <w:rPr>
          <w:rFonts w:cs="Times New Roman"/>
          <w:szCs w:val="24"/>
          <w:lang w:val="fr-CA"/>
        </w:rPr>
        <w:t>’</w:t>
      </w:r>
      <w:r w:rsidRPr="00CA43DD">
        <w:rPr>
          <w:rFonts w:cs="Times New Roman"/>
          <w:szCs w:val="24"/>
          <w:lang w:val="fr-CA"/>
        </w:rPr>
        <w:t>y frapper.  La fouille n</w:t>
      </w:r>
      <w:r>
        <w:rPr>
          <w:rFonts w:cs="Times New Roman"/>
          <w:szCs w:val="24"/>
          <w:lang w:val="fr-CA"/>
        </w:rPr>
        <w:t>’</w:t>
      </w:r>
      <w:r w:rsidRPr="00CA43DD">
        <w:rPr>
          <w:rFonts w:cs="Times New Roman"/>
          <w:szCs w:val="24"/>
          <w:lang w:val="fr-CA"/>
        </w:rPr>
        <w:t>était donc pas légalement justifiée sur ce fondement</w:t>
      </w:r>
      <w:r w:rsidRPr="00CA43DD">
        <w:rPr>
          <w:rFonts w:cs="Times New Roman"/>
          <w:i/>
          <w:szCs w:val="24"/>
          <w:lang w:val="fr-CA"/>
        </w:rPr>
        <w:t>.</w:t>
      </w:r>
    </w:p>
    <w:p w:rsidR="00DC2386" w:rsidRPr="00CA43DD" w:rsidRDefault="00CF6E18" w:rsidP="00CF6E18">
      <w:pPr>
        <w:pStyle w:val="TitleTitre-AltT"/>
        <w:keepNext/>
        <w:tabs>
          <w:tab w:val="clear" w:pos="360"/>
          <w:tab w:val="left" w:pos="1170"/>
        </w:tabs>
        <w:spacing w:after="720"/>
        <w:ind w:left="1800" w:hanging="1800"/>
        <w:rPr>
          <w:rFonts w:cs="Times New Roman"/>
          <w:i/>
          <w:szCs w:val="24"/>
          <w:lang w:val="fr-CA"/>
        </w:rPr>
      </w:pPr>
      <w:r>
        <w:rPr>
          <w:rFonts w:cs="Times New Roman"/>
          <w:szCs w:val="24"/>
          <w:lang w:val="fr-CA"/>
        </w:rPr>
        <w:tab/>
      </w:r>
      <w:r w:rsidR="00DC2386" w:rsidRPr="00CA43DD">
        <w:rPr>
          <w:rFonts w:cs="Times New Roman"/>
          <w:szCs w:val="24"/>
          <w:lang w:val="fr-CA"/>
        </w:rPr>
        <w:t>c)</w:t>
      </w:r>
      <w:r w:rsidR="00DC2386" w:rsidRPr="00CA43DD">
        <w:rPr>
          <w:rFonts w:cs="Times New Roman"/>
          <w:i/>
          <w:szCs w:val="24"/>
          <w:lang w:val="fr-CA"/>
        </w:rPr>
        <w:tab/>
        <w:t>Le consentement de l</w:t>
      </w:r>
      <w:r w:rsidR="00DC2386">
        <w:rPr>
          <w:rFonts w:cs="Times New Roman"/>
          <w:i/>
          <w:szCs w:val="24"/>
          <w:lang w:val="fr-CA"/>
        </w:rPr>
        <w:t>’</w:t>
      </w:r>
      <w:r w:rsidR="00DC2386" w:rsidRPr="00CA43DD">
        <w:rPr>
          <w:rFonts w:cs="Times New Roman"/>
          <w:i/>
          <w:szCs w:val="24"/>
          <w:lang w:val="fr-CA"/>
        </w:rPr>
        <w:t>appelante à l</w:t>
      </w:r>
      <w:r w:rsidR="00DC2386">
        <w:rPr>
          <w:rFonts w:cs="Times New Roman"/>
          <w:i/>
          <w:szCs w:val="24"/>
          <w:lang w:val="fr-CA"/>
        </w:rPr>
        <w:t>’</w:t>
      </w:r>
      <w:r w:rsidR="00DC2386" w:rsidRPr="00CA43DD">
        <w:rPr>
          <w:rFonts w:cs="Times New Roman"/>
          <w:i/>
          <w:szCs w:val="24"/>
          <w:lang w:val="fr-CA"/>
        </w:rPr>
        <w:t>entrée dans son domicile</w:t>
      </w:r>
    </w:p>
    <w:p w:rsidR="00DC2386" w:rsidRPr="00CA43DD" w:rsidRDefault="00DC2386" w:rsidP="00DC2386">
      <w:pPr>
        <w:pStyle w:val="ParaNoNdepar-AltN"/>
        <w:rPr>
          <w:rFonts w:cs="Times New Roman"/>
          <w:szCs w:val="24"/>
          <w:lang w:val="fr-CA"/>
        </w:rPr>
      </w:pPr>
      <w:r w:rsidRPr="00CA43DD">
        <w:rPr>
          <w:rFonts w:cs="Times New Roman"/>
          <w:szCs w:val="24"/>
          <w:lang w:val="fr-CA"/>
        </w:rPr>
        <w:t>Le juge du procès conclut également que l</w:t>
      </w:r>
      <w:r>
        <w:rPr>
          <w:rFonts w:cs="Times New Roman"/>
          <w:szCs w:val="24"/>
          <w:lang w:val="fr-CA"/>
        </w:rPr>
        <w:t>’</w:t>
      </w:r>
      <w:r w:rsidRPr="00CA43DD">
        <w:rPr>
          <w:rFonts w:cs="Times New Roman"/>
          <w:szCs w:val="24"/>
          <w:lang w:val="fr-CA"/>
        </w:rPr>
        <w:t>omission des policiers de communiquer à l</w:t>
      </w:r>
      <w:r>
        <w:rPr>
          <w:rFonts w:cs="Times New Roman"/>
          <w:szCs w:val="24"/>
          <w:lang w:val="fr-CA"/>
        </w:rPr>
        <w:t>’</w:t>
      </w:r>
      <w:r w:rsidRPr="00CA43DD">
        <w:rPr>
          <w:rFonts w:cs="Times New Roman"/>
          <w:szCs w:val="24"/>
          <w:lang w:val="fr-CA"/>
        </w:rPr>
        <w:t>appelante les renseignements dont ils disposaient sur la nature des blessures infligées à son conjoint a vicié le consentement à l</w:t>
      </w:r>
      <w:r>
        <w:rPr>
          <w:rFonts w:cs="Times New Roman"/>
          <w:szCs w:val="24"/>
          <w:lang w:val="fr-CA"/>
        </w:rPr>
        <w:t>’</w:t>
      </w:r>
      <w:r w:rsidRPr="00CA43DD">
        <w:rPr>
          <w:rFonts w:cs="Times New Roman"/>
          <w:szCs w:val="24"/>
          <w:lang w:val="fr-CA"/>
        </w:rPr>
        <w:t>entrée dans le domicile.  Le consentement ne satisfaisait pas non plus aux exigences établies par la jurisprudence pour l</w:t>
      </w:r>
      <w:r>
        <w:rPr>
          <w:rFonts w:cs="Times New Roman"/>
          <w:szCs w:val="24"/>
          <w:lang w:val="fr-CA"/>
        </w:rPr>
        <w:t>’</w:t>
      </w:r>
      <w:r w:rsidRPr="00CA43DD">
        <w:rPr>
          <w:rFonts w:cs="Times New Roman"/>
          <w:szCs w:val="24"/>
          <w:lang w:val="fr-CA"/>
        </w:rPr>
        <w:t>obtention du consentement à une fouille sans mandat.  Le consentement de l</w:t>
      </w:r>
      <w:r>
        <w:rPr>
          <w:rFonts w:cs="Times New Roman"/>
          <w:szCs w:val="24"/>
          <w:lang w:val="fr-CA"/>
        </w:rPr>
        <w:t>’</w:t>
      </w:r>
      <w:r w:rsidRPr="00CA43DD">
        <w:rPr>
          <w:rFonts w:cs="Times New Roman"/>
          <w:szCs w:val="24"/>
          <w:lang w:val="fr-CA"/>
        </w:rPr>
        <w:t>appelante ne pouvait donc pas justifier les fouilles effectuées sans mandat.</w:t>
      </w:r>
    </w:p>
    <w:p w:rsidR="00DC2386" w:rsidRPr="00CA43DD" w:rsidRDefault="00CF6E18" w:rsidP="00CF6E18">
      <w:pPr>
        <w:pStyle w:val="TitleTitre-AltT"/>
        <w:keepNext/>
        <w:tabs>
          <w:tab w:val="clear" w:pos="360"/>
          <w:tab w:val="left" w:pos="1170"/>
        </w:tabs>
        <w:spacing w:after="720"/>
        <w:ind w:left="1800" w:hanging="1800"/>
        <w:rPr>
          <w:rFonts w:cs="Times New Roman"/>
          <w:i/>
          <w:szCs w:val="24"/>
          <w:lang w:val="fr-CA"/>
        </w:rPr>
      </w:pPr>
      <w:r>
        <w:rPr>
          <w:rFonts w:cs="Times New Roman"/>
          <w:szCs w:val="24"/>
          <w:lang w:val="fr-CA"/>
        </w:rPr>
        <w:lastRenderedPageBreak/>
        <w:tab/>
      </w:r>
      <w:r w:rsidR="00DC2386" w:rsidRPr="00CA43DD">
        <w:rPr>
          <w:rFonts w:cs="Times New Roman"/>
          <w:szCs w:val="24"/>
          <w:lang w:val="fr-CA"/>
        </w:rPr>
        <w:t>d)</w:t>
      </w:r>
      <w:r w:rsidR="00DC2386" w:rsidRPr="00CA43DD">
        <w:rPr>
          <w:rFonts w:cs="Times New Roman"/>
          <w:i/>
          <w:szCs w:val="24"/>
          <w:lang w:val="fr-CA"/>
        </w:rPr>
        <w:tab/>
        <w:t>L</w:t>
      </w:r>
      <w:r w:rsidR="00DC2386">
        <w:rPr>
          <w:rFonts w:cs="Times New Roman"/>
          <w:i/>
          <w:szCs w:val="24"/>
          <w:lang w:val="fr-CA"/>
        </w:rPr>
        <w:t>’</w:t>
      </w:r>
      <w:r w:rsidR="00DC2386" w:rsidRPr="00CA43DD">
        <w:rPr>
          <w:rFonts w:cs="Times New Roman"/>
          <w:i/>
          <w:szCs w:val="24"/>
          <w:lang w:val="fr-CA"/>
        </w:rPr>
        <w:t>urgence</w:t>
      </w:r>
    </w:p>
    <w:p w:rsidR="00DC2386" w:rsidRPr="00CA43DD" w:rsidRDefault="00DC2386" w:rsidP="00DC2386">
      <w:pPr>
        <w:pStyle w:val="ParaNoNdepar-AltN"/>
        <w:rPr>
          <w:rFonts w:cs="Times New Roman"/>
          <w:szCs w:val="24"/>
          <w:lang w:val="fr-CA"/>
        </w:rPr>
      </w:pPr>
      <w:r w:rsidRPr="00CA43DD">
        <w:rPr>
          <w:rFonts w:cs="Times New Roman"/>
          <w:szCs w:val="24"/>
          <w:lang w:val="fr-CA"/>
        </w:rPr>
        <w:t>Enfin, le juge du procès opine que la preuve ne permettait pas d</w:t>
      </w:r>
      <w:r>
        <w:rPr>
          <w:rFonts w:cs="Times New Roman"/>
          <w:szCs w:val="24"/>
          <w:lang w:val="fr-CA"/>
        </w:rPr>
        <w:t>’</w:t>
      </w:r>
      <w:r w:rsidRPr="00CA43DD">
        <w:rPr>
          <w:rFonts w:cs="Times New Roman"/>
          <w:szCs w:val="24"/>
          <w:lang w:val="fr-CA"/>
        </w:rPr>
        <w:t>établir l</w:t>
      </w:r>
      <w:r>
        <w:rPr>
          <w:rFonts w:cs="Times New Roman"/>
          <w:szCs w:val="24"/>
          <w:lang w:val="fr-CA"/>
        </w:rPr>
        <w:t>’</w:t>
      </w:r>
      <w:r w:rsidRPr="00CA43DD">
        <w:rPr>
          <w:rFonts w:cs="Times New Roman"/>
          <w:szCs w:val="24"/>
          <w:lang w:val="fr-CA"/>
        </w:rPr>
        <w:t>urgence.  Il n</w:t>
      </w:r>
      <w:r>
        <w:rPr>
          <w:rFonts w:cs="Times New Roman"/>
          <w:szCs w:val="24"/>
          <w:lang w:val="fr-CA"/>
        </w:rPr>
        <w:t>’</w:t>
      </w:r>
      <w:r w:rsidRPr="00CA43DD">
        <w:rPr>
          <w:rFonts w:cs="Times New Roman"/>
          <w:szCs w:val="24"/>
          <w:lang w:val="fr-CA"/>
        </w:rPr>
        <w:t>y avait pas d</w:t>
      </w:r>
      <w:r>
        <w:rPr>
          <w:rFonts w:cs="Times New Roman"/>
          <w:szCs w:val="24"/>
          <w:lang w:val="fr-CA"/>
        </w:rPr>
        <w:t>’</w:t>
      </w:r>
      <w:r w:rsidRPr="00CA43DD">
        <w:rPr>
          <w:rFonts w:cs="Times New Roman"/>
          <w:szCs w:val="24"/>
          <w:lang w:val="fr-CA"/>
        </w:rPr>
        <w:t>inquiétude quant à la sûreté des policiers ou du public, ni de crainte de destruction de quelque élément de preuve.  Par conséquent, l</w:t>
      </w:r>
      <w:r>
        <w:rPr>
          <w:rFonts w:cs="Times New Roman"/>
          <w:szCs w:val="24"/>
          <w:lang w:val="fr-CA"/>
        </w:rPr>
        <w:t>’</w:t>
      </w:r>
      <w:r w:rsidRPr="00CA43DD">
        <w:rPr>
          <w:rFonts w:cs="Times New Roman"/>
          <w:szCs w:val="24"/>
          <w:lang w:val="fr-CA"/>
        </w:rPr>
        <w:t>entrée des policiers dans la propriété de l</w:t>
      </w:r>
      <w:r>
        <w:rPr>
          <w:rFonts w:cs="Times New Roman"/>
          <w:szCs w:val="24"/>
          <w:lang w:val="fr-CA"/>
        </w:rPr>
        <w:t>’</w:t>
      </w:r>
      <w:r w:rsidRPr="00CA43DD">
        <w:rPr>
          <w:rFonts w:cs="Times New Roman"/>
          <w:szCs w:val="24"/>
          <w:lang w:val="fr-CA"/>
        </w:rPr>
        <w:t>appelante et la fouille sans mandat de sa maison ne pouvaient se justifier par l</w:t>
      </w:r>
      <w:r>
        <w:rPr>
          <w:rFonts w:cs="Times New Roman"/>
          <w:szCs w:val="24"/>
          <w:lang w:val="fr-CA"/>
        </w:rPr>
        <w:t>’</w:t>
      </w:r>
      <w:r w:rsidRPr="00CA43DD">
        <w:rPr>
          <w:rFonts w:cs="Times New Roman"/>
          <w:szCs w:val="24"/>
          <w:lang w:val="fr-CA"/>
        </w:rPr>
        <w:t xml:space="preserve">urgence.  </w:t>
      </w:r>
    </w:p>
    <w:p w:rsidR="00DC2386" w:rsidRPr="00CA43DD" w:rsidRDefault="00CF6E18" w:rsidP="00CF6E18">
      <w:pPr>
        <w:pStyle w:val="TitleTitre-AltT"/>
        <w:keepNext/>
        <w:tabs>
          <w:tab w:val="clear" w:pos="360"/>
          <w:tab w:val="left" w:pos="1170"/>
        </w:tabs>
        <w:spacing w:after="720"/>
        <w:ind w:left="1800" w:hanging="1800"/>
        <w:rPr>
          <w:rFonts w:cs="Times New Roman"/>
          <w:i/>
          <w:szCs w:val="24"/>
          <w:lang w:val="fr-CA"/>
        </w:rPr>
      </w:pPr>
      <w:r>
        <w:rPr>
          <w:rFonts w:cs="Times New Roman"/>
          <w:szCs w:val="24"/>
          <w:lang w:val="fr-CA"/>
        </w:rPr>
        <w:tab/>
      </w:r>
      <w:r w:rsidR="00DC2386" w:rsidRPr="00CA43DD">
        <w:rPr>
          <w:rFonts w:cs="Times New Roman"/>
          <w:szCs w:val="24"/>
          <w:lang w:val="fr-CA"/>
        </w:rPr>
        <w:t>e)</w:t>
      </w:r>
      <w:r w:rsidR="00DC2386" w:rsidRPr="00CA43DD">
        <w:rPr>
          <w:rFonts w:cs="Times New Roman"/>
          <w:i/>
          <w:szCs w:val="24"/>
          <w:lang w:val="fr-CA"/>
        </w:rPr>
        <w:tab/>
        <w:t xml:space="preserve">La première fouille de la résidence et du terrain </w:t>
      </w:r>
    </w:p>
    <w:p w:rsidR="00DC2386" w:rsidRPr="00CA43DD" w:rsidRDefault="00DC2386" w:rsidP="00DC2386">
      <w:pPr>
        <w:pStyle w:val="ParaNoNdepar-AltN"/>
        <w:rPr>
          <w:rFonts w:cs="Times New Roman"/>
          <w:szCs w:val="24"/>
          <w:lang w:val="fr-CA"/>
        </w:rPr>
      </w:pPr>
      <w:r w:rsidRPr="00CA43DD">
        <w:rPr>
          <w:rFonts w:cs="Times New Roman"/>
          <w:szCs w:val="24"/>
          <w:lang w:val="fr-CA"/>
        </w:rPr>
        <w:t>Après avoir laissé les agents Tremblay et Mathieu entrer dans sa maison, l</w:t>
      </w:r>
      <w:r>
        <w:rPr>
          <w:rFonts w:cs="Times New Roman"/>
          <w:szCs w:val="24"/>
          <w:lang w:val="fr-CA"/>
        </w:rPr>
        <w:t>’</w:t>
      </w:r>
      <w:r w:rsidRPr="00CA43DD">
        <w:rPr>
          <w:rFonts w:cs="Times New Roman"/>
          <w:szCs w:val="24"/>
          <w:lang w:val="fr-CA"/>
        </w:rPr>
        <w:t>appelante les a accompagnés pendant qu</w:t>
      </w:r>
      <w:r>
        <w:rPr>
          <w:rFonts w:cs="Times New Roman"/>
          <w:szCs w:val="24"/>
          <w:lang w:val="fr-CA"/>
        </w:rPr>
        <w:t>’</w:t>
      </w:r>
      <w:r w:rsidRPr="00CA43DD">
        <w:rPr>
          <w:rFonts w:cs="Times New Roman"/>
          <w:szCs w:val="24"/>
          <w:lang w:val="fr-CA"/>
        </w:rPr>
        <w:t>ils inspectaient l</w:t>
      </w:r>
      <w:r>
        <w:rPr>
          <w:rFonts w:cs="Times New Roman"/>
          <w:szCs w:val="24"/>
          <w:lang w:val="fr-CA"/>
        </w:rPr>
        <w:t>’</w:t>
      </w:r>
      <w:r w:rsidRPr="00CA43DD">
        <w:rPr>
          <w:rFonts w:cs="Times New Roman"/>
          <w:szCs w:val="24"/>
          <w:lang w:val="fr-CA"/>
        </w:rPr>
        <w:t>intérieur de la résidence.  L</w:t>
      </w:r>
      <w:r>
        <w:rPr>
          <w:rFonts w:cs="Times New Roman"/>
          <w:szCs w:val="24"/>
          <w:lang w:val="fr-CA"/>
        </w:rPr>
        <w:t>’</w:t>
      </w:r>
      <w:r w:rsidRPr="00CA43DD">
        <w:rPr>
          <w:rFonts w:cs="Times New Roman"/>
          <w:szCs w:val="24"/>
          <w:lang w:val="fr-CA"/>
        </w:rPr>
        <w:t>agent Tremblay a ensuite inspecté l</w:t>
      </w:r>
      <w:r>
        <w:rPr>
          <w:rFonts w:cs="Times New Roman"/>
          <w:szCs w:val="24"/>
          <w:lang w:val="fr-CA"/>
        </w:rPr>
        <w:t>’</w:t>
      </w:r>
      <w:r w:rsidRPr="00CA43DD">
        <w:rPr>
          <w:rFonts w:cs="Times New Roman"/>
          <w:szCs w:val="24"/>
          <w:lang w:val="fr-CA"/>
        </w:rPr>
        <w:t xml:space="preserve">extérieur de la maison.  Il a alors constaté que la porte du </w:t>
      </w:r>
      <w:proofErr w:type="spellStart"/>
      <w:r w:rsidRPr="00CA43DD">
        <w:rPr>
          <w:rFonts w:cs="Times New Roman"/>
          <w:szCs w:val="24"/>
          <w:lang w:val="fr-CA"/>
        </w:rPr>
        <w:t>gazebo</w:t>
      </w:r>
      <w:proofErr w:type="spellEnd"/>
      <w:r w:rsidRPr="00CA43DD">
        <w:rPr>
          <w:rFonts w:cs="Times New Roman"/>
          <w:szCs w:val="24"/>
          <w:lang w:val="fr-CA"/>
        </w:rPr>
        <w:t xml:space="preserve"> était endommagée et qu</w:t>
      </w:r>
      <w:r>
        <w:rPr>
          <w:rFonts w:cs="Times New Roman"/>
          <w:szCs w:val="24"/>
          <w:lang w:val="fr-CA"/>
        </w:rPr>
        <w:t>’</w:t>
      </w:r>
      <w:r w:rsidRPr="00CA43DD">
        <w:rPr>
          <w:rFonts w:cs="Times New Roman"/>
          <w:szCs w:val="24"/>
          <w:lang w:val="fr-CA"/>
        </w:rPr>
        <w:t>il semblait y avoir du sang à l</w:t>
      </w:r>
      <w:r>
        <w:rPr>
          <w:rFonts w:cs="Times New Roman"/>
          <w:szCs w:val="24"/>
          <w:lang w:val="fr-CA"/>
        </w:rPr>
        <w:t>’</w:t>
      </w:r>
      <w:r w:rsidRPr="00CA43DD">
        <w:rPr>
          <w:rFonts w:cs="Times New Roman"/>
          <w:szCs w:val="24"/>
          <w:lang w:val="fr-CA"/>
        </w:rPr>
        <w:t>intérieur.  Accompagné par l</w:t>
      </w:r>
      <w:r>
        <w:rPr>
          <w:rFonts w:cs="Times New Roman"/>
          <w:szCs w:val="24"/>
          <w:lang w:val="fr-CA"/>
        </w:rPr>
        <w:t>’</w:t>
      </w:r>
      <w:r w:rsidRPr="00CA43DD">
        <w:rPr>
          <w:rFonts w:cs="Times New Roman"/>
          <w:szCs w:val="24"/>
          <w:lang w:val="fr-CA"/>
        </w:rPr>
        <w:t>appelante, l</w:t>
      </w:r>
      <w:r>
        <w:rPr>
          <w:rFonts w:cs="Times New Roman"/>
          <w:szCs w:val="24"/>
          <w:lang w:val="fr-CA"/>
        </w:rPr>
        <w:t>’</w:t>
      </w:r>
      <w:r w:rsidRPr="00CA43DD">
        <w:rPr>
          <w:rFonts w:cs="Times New Roman"/>
          <w:szCs w:val="24"/>
          <w:lang w:val="fr-CA"/>
        </w:rPr>
        <w:t>agent Mathieu a rejoint l</w:t>
      </w:r>
      <w:r>
        <w:rPr>
          <w:rFonts w:cs="Times New Roman"/>
          <w:szCs w:val="24"/>
          <w:lang w:val="fr-CA"/>
        </w:rPr>
        <w:t>’</w:t>
      </w:r>
      <w:r w:rsidRPr="00CA43DD">
        <w:rPr>
          <w:rFonts w:cs="Times New Roman"/>
          <w:szCs w:val="24"/>
          <w:lang w:val="fr-CA"/>
        </w:rPr>
        <w:t>agent Tremblay à l</w:t>
      </w:r>
      <w:r>
        <w:rPr>
          <w:rFonts w:cs="Times New Roman"/>
          <w:szCs w:val="24"/>
          <w:lang w:val="fr-CA"/>
        </w:rPr>
        <w:t>’</w:t>
      </w:r>
      <w:r w:rsidRPr="00CA43DD">
        <w:rPr>
          <w:rFonts w:cs="Times New Roman"/>
          <w:szCs w:val="24"/>
          <w:lang w:val="fr-CA"/>
        </w:rPr>
        <w:t>extérieur pour s</w:t>
      </w:r>
      <w:r>
        <w:rPr>
          <w:rFonts w:cs="Times New Roman"/>
          <w:szCs w:val="24"/>
          <w:lang w:val="fr-CA"/>
        </w:rPr>
        <w:t>’</w:t>
      </w:r>
      <w:r w:rsidRPr="00CA43DD">
        <w:rPr>
          <w:rFonts w:cs="Times New Roman"/>
          <w:szCs w:val="24"/>
          <w:lang w:val="fr-CA"/>
        </w:rPr>
        <w:t>assurer que tout était normal.  L</w:t>
      </w:r>
      <w:r>
        <w:rPr>
          <w:rFonts w:cs="Times New Roman"/>
          <w:szCs w:val="24"/>
          <w:lang w:val="fr-CA"/>
        </w:rPr>
        <w:t>’</w:t>
      </w:r>
      <w:r w:rsidRPr="00CA43DD">
        <w:rPr>
          <w:rFonts w:cs="Times New Roman"/>
          <w:szCs w:val="24"/>
          <w:lang w:val="fr-CA"/>
        </w:rPr>
        <w:t xml:space="preserve">agent Mathieu a remarqué des trous dans la moustiquaire du </w:t>
      </w:r>
      <w:proofErr w:type="spellStart"/>
      <w:r w:rsidRPr="00CA43DD">
        <w:rPr>
          <w:rFonts w:cs="Times New Roman"/>
          <w:szCs w:val="24"/>
          <w:lang w:val="fr-CA"/>
        </w:rPr>
        <w:t>gazebo</w:t>
      </w:r>
      <w:proofErr w:type="spellEnd"/>
      <w:r w:rsidRPr="00CA43DD">
        <w:rPr>
          <w:rFonts w:cs="Times New Roman"/>
          <w:szCs w:val="24"/>
          <w:lang w:val="fr-CA"/>
        </w:rPr>
        <w:t xml:space="preserve"> et dans la fenêtre du solarium.  Le juge du procès conclut que les deux fouilles étaient illégales.</w:t>
      </w:r>
    </w:p>
    <w:p w:rsidR="00DC2386" w:rsidRPr="00CA43DD" w:rsidRDefault="00DC2386" w:rsidP="00DC2386">
      <w:pPr>
        <w:pStyle w:val="ParaNoNdepar-AltN"/>
        <w:rPr>
          <w:rFonts w:cs="Times New Roman"/>
          <w:szCs w:val="24"/>
          <w:lang w:val="fr-CA"/>
        </w:rPr>
      </w:pPr>
      <w:r w:rsidRPr="00CA43DD">
        <w:rPr>
          <w:rFonts w:cs="Times New Roman"/>
          <w:szCs w:val="24"/>
          <w:lang w:val="fr-CA"/>
        </w:rPr>
        <w:t>À 0 h 27, l</w:t>
      </w:r>
      <w:r>
        <w:rPr>
          <w:rFonts w:cs="Times New Roman"/>
          <w:szCs w:val="24"/>
          <w:lang w:val="fr-CA"/>
        </w:rPr>
        <w:t>’</w:t>
      </w:r>
      <w:r w:rsidRPr="00CA43DD">
        <w:rPr>
          <w:rFonts w:cs="Times New Roman"/>
          <w:szCs w:val="24"/>
          <w:lang w:val="fr-CA"/>
        </w:rPr>
        <w:t>agent Tremblay est retourné à l</w:t>
      </w:r>
      <w:r>
        <w:rPr>
          <w:rFonts w:cs="Times New Roman"/>
          <w:szCs w:val="24"/>
          <w:lang w:val="fr-CA"/>
        </w:rPr>
        <w:t>’</w:t>
      </w:r>
      <w:proofErr w:type="spellStart"/>
      <w:r w:rsidRPr="00CA43DD">
        <w:rPr>
          <w:rFonts w:cs="Times New Roman"/>
          <w:szCs w:val="24"/>
          <w:lang w:val="fr-CA"/>
        </w:rPr>
        <w:t>auto</w:t>
      </w:r>
      <w:r w:rsidRPr="00CA43DD">
        <w:rPr>
          <w:rFonts w:cs="Times New Roman"/>
          <w:szCs w:val="24"/>
          <w:lang w:val="fr-CA"/>
        </w:rPr>
        <w:noBreakHyphen/>
        <w:t>patrouille</w:t>
      </w:r>
      <w:proofErr w:type="spellEnd"/>
      <w:r w:rsidRPr="00CA43DD">
        <w:rPr>
          <w:rFonts w:cs="Times New Roman"/>
          <w:szCs w:val="24"/>
          <w:lang w:val="fr-CA"/>
        </w:rPr>
        <w:t xml:space="preserve"> et a fait part de ses constatations à l</w:t>
      </w:r>
      <w:r>
        <w:rPr>
          <w:rFonts w:cs="Times New Roman"/>
          <w:szCs w:val="24"/>
          <w:lang w:val="fr-CA"/>
        </w:rPr>
        <w:t>’</w:t>
      </w:r>
      <w:r w:rsidRPr="00CA43DD">
        <w:rPr>
          <w:rFonts w:cs="Times New Roman"/>
          <w:szCs w:val="24"/>
          <w:lang w:val="fr-CA"/>
        </w:rPr>
        <w:t>agent Fortier.  L</w:t>
      </w:r>
      <w:r>
        <w:rPr>
          <w:rFonts w:cs="Times New Roman"/>
          <w:szCs w:val="24"/>
          <w:lang w:val="fr-CA"/>
        </w:rPr>
        <w:t>’</w:t>
      </w:r>
      <w:r w:rsidRPr="00CA43DD">
        <w:rPr>
          <w:rFonts w:cs="Times New Roman"/>
          <w:szCs w:val="24"/>
          <w:lang w:val="fr-CA"/>
        </w:rPr>
        <w:t>agent Mathieu est rentré dans la maison avec l</w:t>
      </w:r>
      <w:r>
        <w:rPr>
          <w:rFonts w:cs="Times New Roman"/>
          <w:szCs w:val="24"/>
          <w:lang w:val="fr-CA"/>
        </w:rPr>
        <w:t>’</w:t>
      </w:r>
      <w:r w:rsidRPr="00CA43DD">
        <w:rPr>
          <w:rFonts w:cs="Times New Roman"/>
          <w:szCs w:val="24"/>
          <w:lang w:val="fr-CA"/>
        </w:rPr>
        <w:t>appelante.  À 0 h 55, l</w:t>
      </w:r>
      <w:r>
        <w:rPr>
          <w:rFonts w:cs="Times New Roman"/>
          <w:szCs w:val="24"/>
          <w:lang w:val="fr-CA"/>
        </w:rPr>
        <w:t>’</w:t>
      </w:r>
      <w:r w:rsidRPr="00CA43DD">
        <w:rPr>
          <w:rFonts w:cs="Times New Roman"/>
          <w:szCs w:val="24"/>
          <w:lang w:val="fr-CA"/>
        </w:rPr>
        <w:t>agent Tremblay les a rejoints et a interrogé l</w:t>
      </w:r>
      <w:r>
        <w:rPr>
          <w:rFonts w:cs="Times New Roman"/>
          <w:szCs w:val="24"/>
          <w:lang w:val="fr-CA"/>
        </w:rPr>
        <w:t>’</w:t>
      </w:r>
      <w:r w:rsidRPr="00CA43DD">
        <w:rPr>
          <w:rFonts w:cs="Times New Roman"/>
          <w:szCs w:val="24"/>
          <w:lang w:val="fr-CA"/>
        </w:rPr>
        <w:t>appelante sur la présence d</w:t>
      </w:r>
      <w:r>
        <w:rPr>
          <w:rFonts w:cs="Times New Roman"/>
          <w:szCs w:val="24"/>
          <w:lang w:val="fr-CA"/>
        </w:rPr>
        <w:t>’</w:t>
      </w:r>
      <w:r w:rsidRPr="00CA43DD">
        <w:rPr>
          <w:rFonts w:cs="Times New Roman"/>
          <w:szCs w:val="24"/>
          <w:lang w:val="fr-CA"/>
        </w:rPr>
        <w:t>armes à feu dans les lieux. M</w:t>
      </w:r>
      <w:r w:rsidRPr="00CA43DD">
        <w:rPr>
          <w:rFonts w:cs="Times New Roman"/>
          <w:szCs w:val="24"/>
          <w:vertAlign w:val="superscript"/>
          <w:lang w:val="fr-CA"/>
        </w:rPr>
        <w:t>me</w:t>
      </w:r>
      <w:r w:rsidRPr="00CA43DD">
        <w:rPr>
          <w:rFonts w:cs="Times New Roman"/>
          <w:szCs w:val="24"/>
          <w:lang w:val="fr-CA"/>
        </w:rPr>
        <w:t xml:space="preserve"> Côté a alors communiqué certains </w:t>
      </w:r>
      <w:r w:rsidRPr="00CA43DD">
        <w:rPr>
          <w:rFonts w:cs="Times New Roman"/>
          <w:szCs w:val="24"/>
          <w:lang w:val="fr-CA"/>
        </w:rPr>
        <w:lastRenderedPageBreak/>
        <w:t>éléments d</w:t>
      </w:r>
      <w:r>
        <w:rPr>
          <w:rFonts w:cs="Times New Roman"/>
          <w:szCs w:val="24"/>
          <w:lang w:val="fr-CA"/>
        </w:rPr>
        <w:t>’</w:t>
      </w:r>
      <w:r w:rsidRPr="00CA43DD">
        <w:rPr>
          <w:rFonts w:cs="Times New Roman"/>
          <w:szCs w:val="24"/>
          <w:lang w:val="fr-CA"/>
        </w:rPr>
        <w:t>information sur ce qui s</w:t>
      </w:r>
      <w:r>
        <w:rPr>
          <w:rFonts w:cs="Times New Roman"/>
          <w:szCs w:val="24"/>
          <w:lang w:val="fr-CA"/>
        </w:rPr>
        <w:t>’</w:t>
      </w:r>
      <w:r w:rsidRPr="00CA43DD">
        <w:rPr>
          <w:rFonts w:cs="Times New Roman"/>
          <w:szCs w:val="24"/>
          <w:lang w:val="fr-CA"/>
        </w:rPr>
        <w:t>était passé en soirée. Elle a confirmé qu</w:t>
      </w:r>
      <w:r>
        <w:rPr>
          <w:rFonts w:cs="Times New Roman"/>
          <w:szCs w:val="24"/>
          <w:lang w:val="fr-CA"/>
        </w:rPr>
        <w:t>’</w:t>
      </w:r>
      <w:r w:rsidRPr="00CA43DD">
        <w:rPr>
          <w:rFonts w:cs="Times New Roman"/>
          <w:szCs w:val="24"/>
          <w:lang w:val="fr-CA"/>
        </w:rPr>
        <w:t>il y avait deux armes à feu, mais elle a pu en trouver qu</w:t>
      </w:r>
      <w:r>
        <w:rPr>
          <w:rFonts w:cs="Times New Roman"/>
          <w:szCs w:val="24"/>
          <w:lang w:val="fr-CA"/>
        </w:rPr>
        <w:t>’</w:t>
      </w:r>
      <w:r w:rsidRPr="00CA43DD">
        <w:rPr>
          <w:rFonts w:cs="Times New Roman"/>
          <w:szCs w:val="24"/>
          <w:lang w:val="fr-CA"/>
        </w:rPr>
        <w:t>une seule.  Dans la penderie de sa chambre à coucher, elle leur a montré un étui censé contenir une arme.  L</w:t>
      </w:r>
      <w:r>
        <w:rPr>
          <w:rFonts w:cs="Times New Roman"/>
          <w:szCs w:val="24"/>
          <w:lang w:val="fr-CA"/>
        </w:rPr>
        <w:t>’</w:t>
      </w:r>
      <w:r w:rsidRPr="00CA43DD">
        <w:rPr>
          <w:rFonts w:cs="Times New Roman"/>
          <w:szCs w:val="24"/>
          <w:lang w:val="fr-CA"/>
        </w:rPr>
        <w:t>agent Tremblay n</w:t>
      </w:r>
      <w:r>
        <w:rPr>
          <w:rFonts w:cs="Times New Roman"/>
          <w:szCs w:val="24"/>
          <w:lang w:val="fr-CA"/>
        </w:rPr>
        <w:t>’</w:t>
      </w:r>
      <w:r w:rsidRPr="00CA43DD">
        <w:rPr>
          <w:rFonts w:cs="Times New Roman"/>
          <w:szCs w:val="24"/>
          <w:lang w:val="fr-CA"/>
        </w:rPr>
        <w:t>y a pas touché, mais il a présumé qu</w:t>
      </w:r>
      <w:r>
        <w:rPr>
          <w:rFonts w:cs="Times New Roman"/>
          <w:szCs w:val="24"/>
          <w:lang w:val="fr-CA"/>
        </w:rPr>
        <w:t>’</w:t>
      </w:r>
      <w:r w:rsidRPr="00CA43DD">
        <w:rPr>
          <w:rFonts w:cs="Times New Roman"/>
          <w:szCs w:val="24"/>
          <w:lang w:val="fr-CA"/>
        </w:rPr>
        <w:t>il renfermait une arme.</w:t>
      </w:r>
    </w:p>
    <w:p w:rsidR="00DC2386" w:rsidRPr="00CA43DD" w:rsidRDefault="00CF6E18" w:rsidP="00CF6E18">
      <w:pPr>
        <w:pStyle w:val="TitleTitre-AltT"/>
        <w:keepNext/>
        <w:tabs>
          <w:tab w:val="clear" w:pos="360"/>
          <w:tab w:val="left" w:pos="1170"/>
        </w:tabs>
        <w:spacing w:after="720"/>
        <w:ind w:left="1800" w:hanging="1800"/>
        <w:rPr>
          <w:rFonts w:cs="Times New Roman"/>
          <w:i/>
          <w:szCs w:val="24"/>
          <w:lang w:val="fr-CA"/>
        </w:rPr>
      </w:pPr>
      <w:r>
        <w:rPr>
          <w:rFonts w:cs="Times New Roman"/>
          <w:szCs w:val="24"/>
          <w:lang w:val="fr-CA"/>
        </w:rPr>
        <w:tab/>
      </w:r>
      <w:r w:rsidR="00DC2386" w:rsidRPr="00CA43DD">
        <w:rPr>
          <w:rFonts w:cs="Times New Roman"/>
          <w:szCs w:val="24"/>
          <w:lang w:val="fr-CA"/>
        </w:rPr>
        <w:t>f)</w:t>
      </w:r>
      <w:r w:rsidR="00DC2386" w:rsidRPr="00CA43DD">
        <w:rPr>
          <w:rFonts w:cs="Times New Roman"/>
          <w:szCs w:val="24"/>
          <w:lang w:val="fr-CA"/>
        </w:rPr>
        <w:tab/>
      </w:r>
      <w:r w:rsidR="00DC2386" w:rsidRPr="00CA43DD">
        <w:rPr>
          <w:rFonts w:cs="Times New Roman"/>
          <w:i/>
          <w:szCs w:val="24"/>
          <w:lang w:val="fr-CA"/>
        </w:rPr>
        <w:t>La détention</w:t>
      </w:r>
    </w:p>
    <w:p w:rsidR="00DC2386" w:rsidRPr="00CA43DD" w:rsidRDefault="00DC2386" w:rsidP="00DC2386">
      <w:pPr>
        <w:pStyle w:val="ParaNoNdepar-AltN"/>
        <w:rPr>
          <w:rFonts w:cs="Times New Roman"/>
          <w:szCs w:val="24"/>
          <w:lang w:val="fr-CA"/>
        </w:rPr>
      </w:pPr>
      <w:r w:rsidRPr="00CA43DD">
        <w:rPr>
          <w:rFonts w:cs="Times New Roman"/>
          <w:szCs w:val="24"/>
          <w:lang w:val="fr-CA"/>
        </w:rPr>
        <w:t>Le juge du procès arrive à la conclusion que la détention de l</w:t>
      </w:r>
      <w:r>
        <w:rPr>
          <w:rFonts w:cs="Times New Roman"/>
          <w:szCs w:val="24"/>
          <w:lang w:val="fr-CA"/>
        </w:rPr>
        <w:t>’</w:t>
      </w:r>
      <w:r w:rsidRPr="00CA43DD">
        <w:rPr>
          <w:rFonts w:cs="Times New Roman"/>
          <w:szCs w:val="24"/>
          <w:lang w:val="fr-CA"/>
        </w:rPr>
        <w:t>appelante a débuté peu après l</w:t>
      </w:r>
      <w:r>
        <w:rPr>
          <w:rFonts w:cs="Times New Roman"/>
          <w:szCs w:val="24"/>
          <w:lang w:val="fr-CA"/>
        </w:rPr>
        <w:t>’</w:t>
      </w:r>
      <w:r w:rsidRPr="00CA43DD">
        <w:rPr>
          <w:rFonts w:cs="Times New Roman"/>
          <w:szCs w:val="24"/>
          <w:lang w:val="fr-CA"/>
        </w:rPr>
        <w:t xml:space="preserve">arrivée des agents Tremblay et Mathieu à sa résidence.  Selon lui, il y a eu détention à partir de 0 h 27, lorsque les agents ont remarqué la perforation de la fenêtre du solarium et de la moustiquaire du </w:t>
      </w:r>
      <w:proofErr w:type="spellStart"/>
      <w:r w:rsidRPr="00CA43DD">
        <w:rPr>
          <w:rFonts w:cs="Times New Roman"/>
          <w:szCs w:val="24"/>
          <w:lang w:val="fr-CA"/>
        </w:rPr>
        <w:t>gazebo</w:t>
      </w:r>
      <w:proofErr w:type="spellEnd"/>
      <w:r w:rsidRPr="00CA43DD">
        <w:rPr>
          <w:rFonts w:cs="Times New Roman"/>
          <w:szCs w:val="24"/>
          <w:lang w:val="fr-CA"/>
        </w:rPr>
        <w:t xml:space="preserve"> et ont omis d</w:t>
      </w:r>
      <w:r>
        <w:rPr>
          <w:rFonts w:cs="Times New Roman"/>
          <w:szCs w:val="24"/>
          <w:lang w:val="fr-CA"/>
        </w:rPr>
        <w:t>’</w:t>
      </w:r>
      <w:r w:rsidRPr="00CA43DD">
        <w:rPr>
          <w:rFonts w:cs="Times New Roman"/>
          <w:szCs w:val="24"/>
          <w:lang w:val="fr-CA"/>
        </w:rPr>
        <w:t>informer M</w:t>
      </w:r>
      <w:r w:rsidRPr="00CA43DD">
        <w:rPr>
          <w:rFonts w:cs="Times New Roman"/>
          <w:szCs w:val="24"/>
          <w:vertAlign w:val="superscript"/>
          <w:lang w:val="fr-CA"/>
        </w:rPr>
        <w:t>me</w:t>
      </w:r>
      <w:r w:rsidRPr="00CA43DD">
        <w:rPr>
          <w:rFonts w:cs="Times New Roman"/>
          <w:szCs w:val="24"/>
          <w:lang w:val="fr-CA"/>
        </w:rPr>
        <w:t> Côté de la découverte d</w:t>
      </w:r>
      <w:r>
        <w:rPr>
          <w:rFonts w:cs="Times New Roman"/>
          <w:szCs w:val="24"/>
          <w:lang w:val="fr-CA"/>
        </w:rPr>
        <w:t>’</w:t>
      </w:r>
      <w:r w:rsidRPr="00CA43DD">
        <w:rPr>
          <w:rFonts w:cs="Times New Roman"/>
          <w:szCs w:val="24"/>
          <w:lang w:val="fr-CA"/>
        </w:rPr>
        <w:t>un projectile dans la tête de M. </w:t>
      </w:r>
      <w:proofErr w:type="spellStart"/>
      <w:r w:rsidRPr="00CA43DD">
        <w:rPr>
          <w:rFonts w:cs="Times New Roman"/>
          <w:szCs w:val="24"/>
          <w:lang w:val="fr-CA"/>
        </w:rPr>
        <w:t>Hogue</w:t>
      </w:r>
      <w:proofErr w:type="spellEnd"/>
      <w:r w:rsidRPr="00CA43DD">
        <w:rPr>
          <w:rFonts w:cs="Times New Roman"/>
          <w:szCs w:val="24"/>
          <w:lang w:val="fr-CA"/>
        </w:rPr>
        <w:t>, et que l</w:t>
      </w:r>
      <w:r>
        <w:rPr>
          <w:rFonts w:cs="Times New Roman"/>
          <w:szCs w:val="24"/>
          <w:lang w:val="fr-CA"/>
        </w:rPr>
        <w:t>’</w:t>
      </w:r>
      <w:r w:rsidRPr="00CA43DD">
        <w:rPr>
          <w:rFonts w:cs="Times New Roman"/>
          <w:szCs w:val="24"/>
          <w:lang w:val="fr-CA"/>
        </w:rPr>
        <w:t>agent Mathieu a commencé à prendre des notes sur les faits et gestes de l</w:t>
      </w:r>
      <w:r>
        <w:rPr>
          <w:rFonts w:cs="Times New Roman"/>
          <w:szCs w:val="24"/>
          <w:lang w:val="fr-CA"/>
        </w:rPr>
        <w:t>’</w:t>
      </w:r>
      <w:r w:rsidRPr="00CA43DD">
        <w:rPr>
          <w:rFonts w:cs="Times New Roman"/>
          <w:szCs w:val="24"/>
          <w:lang w:val="fr-CA"/>
        </w:rPr>
        <w:t xml:space="preserve">appelante. </w:t>
      </w:r>
    </w:p>
    <w:p w:rsidR="00DC2386" w:rsidRPr="00CA43DD" w:rsidRDefault="00DC2386" w:rsidP="00DC2386">
      <w:pPr>
        <w:pStyle w:val="ParaNoNdepar-AltN"/>
        <w:rPr>
          <w:rFonts w:cs="Times New Roman"/>
          <w:szCs w:val="24"/>
          <w:lang w:val="fr-CA"/>
        </w:rPr>
      </w:pPr>
      <w:r w:rsidRPr="00CA43DD">
        <w:rPr>
          <w:rFonts w:cs="Times New Roman"/>
          <w:szCs w:val="24"/>
          <w:lang w:val="fr-CA"/>
        </w:rPr>
        <w:t>Le juge du procès estime que les policiers ont rapidement compris que M</w:t>
      </w:r>
      <w:r w:rsidRPr="00CA43DD">
        <w:rPr>
          <w:rFonts w:cs="Times New Roman"/>
          <w:szCs w:val="24"/>
          <w:vertAlign w:val="superscript"/>
          <w:lang w:val="fr-CA"/>
        </w:rPr>
        <w:t>me</w:t>
      </w:r>
      <w:r w:rsidRPr="00CA43DD">
        <w:rPr>
          <w:rFonts w:cs="Times New Roman"/>
          <w:szCs w:val="24"/>
          <w:lang w:val="fr-CA"/>
        </w:rPr>
        <w:t> Côté était le seul suspect dans cette affaire de tentative de meurtre sur la personne de M. </w:t>
      </w:r>
      <w:proofErr w:type="spellStart"/>
      <w:r w:rsidRPr="00CA43DD">
        <w:rPr>
          <w:rFonts w:cs="Times New Roman"/>
          <w:szCs w:val="24"/>
          <w:lang w:val="fr-CA"/>
        </w:rPr>
        <w:t>Hogue</w:t>
      </w:r>
      <w:proofErr w:type="spellEnd"/>
      <w:r w:rsidRPr="00CA43DD">
        <w:rPr>
          <w:rFonts w:cs="Times New Roman"/>
          <w:szCs w:val="24"/>
          <w:lang w:val="fr-CA"/>
        </w:rPr>
        <w:t>, ce qui expliquait leur silence sur la blessure par balle.  À son avis, taire cette information constituait une décision stratégique afin de ne pas mettre M</w:t>
      </w:r>
      <w:r w:rsidRPr="00CA43DD">
        <w:rPr>
          <w:rFonts w:cs="Times New Roman"/>
          <w:szCs w:val="24"/>
          <w:vertAlign w:val="superscript"/>
          <w:lang w:val="fr-CA"/>
        </w:rPr>
        <w:t>me</w:t>
      </w:r>
      <w:r w:rsidRPr="00CA43DD">
        <w:rPr>
          <w:rFonts w:cs="Times New Roman"/>
          <w:szCs w:val="24"/>
          <w:lang w:val="fr-CA"/>
        </w:rPr>
        <w:t> Côté sur ses gardes.  En outre, les questions et les vérifications des policiers montrent clairement que l</w:t>
      </w:r>
      <w:r>
        <w:rPr>
          <w:rFonts w:cs="Times New Roman"/>
          <w:szCs w:val="24"/>
          <w:lang w:val="fr-CA"/>
        </w:rPr>
        <w:t>’</w:t>
      </w:r>
      <w:r w:rsidRPr="00CA43DD">
        <w:rPr>
          <w:rFonts w:cs="Times New Roman"/>
          <w:szCs w:val="24"/>
          <w:lang w:val="fr-CA"/>
        </w:rPr>
        <w:t>enquête ne visait pas à recueillir de l</w:t>
      </w:r>
      <w:r>
        <w:rPr>
          <w:rFonts w:cs="Times New Roman"/>
          <w:szCs w:val="24"/>
          <w:lang w:val="fr-CA"/>
        </w:rPr>
        <w:t>’</w:t>
      </w:r>
      <w:r w:rsidRPr="00CA43DD">
        <w:rPr>
          <w:rFonts w:cs="Times New Roman"/>
          <w:szCs w:val="24"/>
          <w:lang w:val="fr-CA"/>
        </w:rPr>
        <w:t>information, mais bien à clarifier le rôle de l</w:t>
      </w:r>
      <w:r>
        <w:rPr>
          <w:rFonts w:cs="Times New Roman"/>
          <w:szCs w:val="24"/>
          <w:lang w:val="fr-CA"/>
        </w:rPr>
        <w:t>’</w:t>
      </w:r>
      <w:r w:rsidRPr="00CA43DD">
        <w:rPr>
          <w:rFonts w:cs="Times New Roman"/>
          <w:szCs w:val="24"/>
          <w:lang w:val="fr-CA"/>
        </w:rPr>
        <w:t>appelante dans la perpétration du crime.  Au procès, les policiers ont paru refuser de reconnaître certains faits de crainte que leurs aveux n</w:t>
      </w:r>
      <w:r>
        <w:rPr>
          <w:rFonts w:cs="Times New Roman"/>
          <w:szCs w:val="24"/>
          <w:lang w:val="fr-CA"/>
        </w:rPr>
        <w:t>’</w:t>
      </w:r>
      <w:r w:rsidRPr="00CA43DD">
        <w:rPr>
          <w:rFonts w:cs="Times New Roman"/>
          <w:szCs w:val="24"/>
          <w:lang w:val="fr-CA"/>
        </w:rPr>
        <w:t>amènent le tribunal à conclure que M</w:t>
      </w:r>
      <w:r w:rsidRPr="00CA43DD">
        <w:rPr>
          <w:rFonts w:cs="Times New Roman"/>
          <w:szCs w:val="24"/>
          <w:vertAlign w:val="superscript"/>
          <w:lang w:val="fr-CA"/>
        </w:rPr>
        <w:t>me</w:t>
      </w:r>
      <w:r w:rsidRPr="00CA43DD">
        <w:rPr>
          <w:rFonts w:cs="Times New Roman"/>
          <w:szCs w:val="24"/>
          <w:lang w:val="fr-CA"/>
        </w:rPr>
        <w:t> Côté avait été détenue au sens de l</w:t>
      </w:r>
      <w:r>
        <w:rPr>
          <w:rFonts w:cs="Times New Roman"/>
          <w:szCs w:val="24"/>
          <w:lang w:val="fr-CA"/>
        </w:rPr>
        <w:t>’</w:t>
      </w:r>
      <w:r w:rsidRPr="00CA43DD">
        <w:rPr>
          <w:rFonts w:cs="Times New Roman"/>
          <w:szCs w:val="24"/>
          <w:lang w:val="fr-CA"/>
        </w:rPr>
        <w:t xml:space="preserve">art. 10 </w:t>
      </w:r>
      <w:r w:rsidRPr="00CA43DD">
        <w:rPr>
          <w:rFonts w:cs="Times New Roman"/>
          <w:szCs w:val="24"/>
          <w:lang w:val="fr-CA"/>
        </w:rPr>
        <w:lastRenderedPageBreak/>
        <w:t xml:space="preserve">de la </w:t>
      </w:r>
      <w:r w:rsidRPr="00CA43DD">
        <w:rPr>
          <w:rFonts w:cs="Times New Roman"/>
          <w:i/>
          <w:szCs w:val="24"/>
          <w:lang w:val="fr-CA"/>
        </w:rPr>
        <w:t xml:space="preserve">Charte </w:t>
      </w:r>
      <w:r w:rsidRPr="00CA43DD">
        <w:rPr>
          <w:rFonts w:cs="Times New Roman"/>
          <w:szCs w:val="24"/>
          <w:lang w:val="fr-CA"/>
        </w:rPr>
        <w:t>et qu</w:t>
      </w:r>
      <w:r>
        <w:rPr>
          <w:rFonts w:cs="Times New Roman"/>
          <w:szCs w:val="24"/>
          <w:lang w:val="fr-CA"/>
        </w:rPr>
        <w:t>’</w:t>
      </w:r>
      <w:r w:rsidRPr="00CA43DD">
        <w:rPr>
          <w:rFonts w:cs="Times New Roman"/>
          <w:szCs w:val="24"/>
          <w:lang w:val="fr-CA"/>
        </w:rPr>
        <w:t>elle aurait donc dû faire l</w:t>
      </w:r>
      <w:r>
        <w:rPr>
          <w:rFonts w:cs="Times New Roman"/>
          <w:szCs w:val="24"/>
          <w:lang w:val="fr-CA"/>
        </w:rPr>
        <w:t>’</w:t>
      </w:r>
      <w:r w:rsidRPr="00CA43DD">
        <w:rPr>
          <w:rFonts w:cs="Times New Roman"/>
          <w:szCs w:val="24"/>
          <w:lang w:val="fr-CA"/>
        </w:rPr>
        <w:t>objet de la mise en garde requise.  Plus précisément, le juge n</w:t>
      </w:r>
      <w:r>
        <w:rPr>
          <w:rFonts w:cs="Times New Roman"/>
          <w:szCs w:val="24"/>
          <w:lang w:val="fr-CA"/>
        </w:rPr>
        <w:t>’</w:t>
      </w:r>
      <w:r w:rsidRPr="00CA43DD">
        <w:rPr>
          <w:rFonts w:cs="Times New Roman"/>
          <w:szCs w:val="24"/>
          <w:lang w:val="fr-CA"/>
        </w:rPr>
        <w:t>ajoute pas foi à l</w:t>
      </w:r>
      <w:r>
        <w:rPr>
          <w:rFonts w:cs="Times New Roman"/>
          <w:szCs w:val="24"/>
          <w:lang w:val="fr-CA"/>
        </w:rPr>
        <w:t>’</w:t>
      </w:r>
      <w:r w:rsidRPr="00CA43DD">
        <w:rPr>
          <w:rFonts w:cs="Times New Roman"/>
          <w:szCs w:val="24"/>
          <w:lang w:val="fr-CA"/>
        </w:rPr>
        <w:t>affirmation de l</w:t>
      </w:r>
      <w:r>
        <w:rPr>
          <w:rFonts w:cs="Times New Roman"/>
          <w:szCs w:val="24"/>
          <w:lang w:val="fr-CA"/>
        </w:rPr>
        <w:t>’</w:t>
      </w:r>
      <w:r w:rsidRPr="00CA43DD">
        <w:rPr>
          <w:rFonts w:cs="Times New Roman"/>
          <w:szCs w:val="24"/>
          <w:lang w:val="fr-CA"/>
        </w:rPr>
        <w:t>agent Mathieu selon laquelle M</w:t>
      </w:r>
      <w:r w:rsidRPr="00CA43DD">
        <w:rPr>
          <w:rFonts w:cs="Times New Roman"/>
          <w:szCs w:val="24"/>
          <w:vertAlign w:val="superscript"/>
          <w:lang w:val="fr-CA"/>
        </w:rPr>
        <w:t>me</w:t>
      </w:r>
      <w:r w:rsidRPr="00CA43DD">
        <w:rPr>
          <w:rFonts w:cs="Times New Roman"/>
          <w:szCs w:val="24"/>
          <w:lang w:val="fr-CA"/>
        </w:rPr>
        <w:t> Côté était libre de partir à son gré.  Il statue donc que le droit de M</w:t>
      </w:r>
      <w:r w:rsidRPr="00CA43DD">
        <w:rPr>
          <w:rFonts w:cs="Times New Roman"/>
          <w:szCs w:val="24"/>
          <w:vertAlign w:val="superscript"/>
          <w:lang w:val="fr-CA"/>
        </w:rPr>
        <w:t>me</w:t>
      </w:r>
      <w:r w:rsidRPr="00CA43DD">
        <w:rPr>
          <w:rFonts w:cs="Times New Roman"/>
          <w:szCs w:val="24"/>
          <w:lang w:val="fr-CA"/>
        </w:rPr>
        <w:t> Côté, prévu à l</w:t>
      </w:r>
      <w:r>
        <w:rPr>
          <w:rFonts w:cs="Times New Roman"/>
          <w:szCs w:val="24"/>
          <w:lang w:val="fr-CA"/>
        </w:rPr>
        <w:t>’</w:t>
      </w:r>
      <w:r w:rsidRPr="00CA43DD">
        <w:rPr>
          <w:rFonts w:cs="Times New Roman"/>
          <w:szCs w:val="24"/>
          <w:lang w:val="fr-CA"/>
        </w:rPr>
        <w:t>al. 10</w:t>
      </w:r>
      <w:r>
        <w:rPr>
          <w:rFonts w:cs="Times New Roman"/>
          <w:i/>
          <w:szCs w:val="24"/>
          <w:lang w:val="fr-CA"/>
        </w:rPr>
        <w:t>a</w:t>
      </w:r>
      <w:r w:rsidRPr="00CA43DD">
        <w:rPr>
          <w:rFonts w:cs="Times New Roman"/>
          <w:szCs w:val="24"/>
          <w:lang w:val="fr-CA"/>
        </w:rPr>
        <w:t xml:space="preserve">) de la </w:t>
      </w:r>
      <w:r w:rsidRPr="00CA43DD">
        <w:rPr>
          <w:rFonts w:cs="Times New Roman"/>
          <w:i/>
          <w:szCs w:val="24"/>
          <w:lang w:val="fr-CA"/>
        </w:rPr>
        <w:t>Charte</w:t>
      </w:r>
      <w:r w:rsidRPr="00CA43DD">
        <w:rPr>
          <w:rFonts w:cs="Times New Roman"/>
          <w:szCs w:val="24"/>
          <w:lang w:val="fr-CA"/>
        </w:rPr>
        <w:t>, d</w:t>
      </w:r>
      <w:r>
        <w:rPr>
          <w:rFonts w:cs="Times New Roman"/>
          <w:szCs w:val="24"/>
          <w:lang w:val="fr-CA"/>
        </w:rPr>
        <w:t>’</w:t>
      </w:r>
      <w:r w:rsidRPr="00CA43DD">
        <w:rPr>
          <w:rFonts w:cs="Times New Roman"/>
          <w:szCs w:val="24"/>
          <w:lang w:val="fr-CA"/>
        </w:rPr>
        <w:t>être informée dans les plus brefs délais des motifs de sa détention a été violé jusqu</w:t>
      </w:r>
      <w:r>
        <w:rPr>
          <w:rFonts w:cs="Times New Roman"/>
          <w:szCs w:val="24"/>
          <w:lang w:val="fr-CA"/>
        </w:rPr>
        <w:t>’</w:t>
      </w:r>
      <w:r w:rsidRPr="00CA43DD">
        <w:rPr>
          <w:rFonts w:cs="Times New Roman"/>
          <w:szCs w:val="24"/>
          <w:lang w:val="fr-CA"/>
        </w:rPr>
        <w:t>à ce qu</w:t>
      </w:r>
      <w:r>
        <w:rPr>
          <w:rFonts w:cs="Times New Roman"/>
          <w:szCs w:val="24"/>
          <w:lang w:val="fr-CA"/>
        </w:rPr>
        <w:t>’</w:t>
      </w:r>
      <w:r w:rsidRPr="00CA43DD">
        <w:rPr>
          <w:rFonts w:cs="Times New Roman"/>
          <w:szCs w:val="24"/>
          <w:lang w:val="fr-CA"/>
        </w:rPr>
        <w:t>elle soit mise en garde en qualité de « témoin important », soit à 5 h 23</w:t>
      </w:r>
      <w:r>
        <w:rPr>
          <w:rFonts w:cs="Times New Roman"/>
          <w:szCs w:val="24"/>
          <w:lang w:val="fr-CA"/>
        </w:rPr>
        <w:t xml:space="preserve"> (par. 229)</w:t>
      </w:r>
      <w:r w:rsidRPr="00CA43DD">
        <w:rPr>
          <w:rFonts w:cs="Times New Roman"/>
          <w:szCs w:val="24"/>
          <w:lang w:val="fr-CA"/>
        </w:rPr>
        <w:t>.</w:t>
      </w:r>
      <w:r>
        <w:rPr>
          <w:rFonts w:cs="Times New Roman"/>
          <w:szCs w:val="24"/>
          <w:lang w:val="fr-CA"/>
        </w:rPr>
        <w:t xml:space="preserve"> </w:t>
      </w:r>
      <w:r w:rsidRPr="00CA43DD">
        <w:rPr>
          <w:rFonts w:cs="Times New Roman"/>
          <w:szCs w:val="24"/>
          <w:lang w:val="fr-CA"/>
        </w:rPr>
        <w:t xml:space="preserve"> </w:t>
      </w:r>
      <w:proofErr w:type="gramStart"/>
      <w:r w:rsidRPr="00CA43DD">
        <w:rPr>
          <w:rFonts w:cs="Times New Roman"/>
          <w:szCs w:val="24"/>
          <w:lang w:val="fr-CA"/>
        </w:rPr>
        <w:t>Il conclut</w:t>
      </w:r>
      <w:proofErr w:type="gramEnd"/>
      <w:r w:rsidRPr="00CA43DD">
        <w:rPr>
          <w:rFonts w:cs="Times New Roman"/>
          <w:szCs w:val="24"/>
          <w:lang w:val="fr-CA"/>
        </w:rPr>
        <w:t xml:space="preserve"> également que ses droits garantis à l</w:t>
      </w:r>
      <w:r>
        <w:rPr>
          <w:rFonts w:cs="Times New Roman"/>
          <w:szCs w:val="24"/>
          <w:lang w:val="fr-CA"/>
        </w:rPr>
        <w:t>’</w:t>
      </w:r>
      <w:r w:rsidRPr="00CA43DD">
        <w:rPr>
          <w:rFonts w:cs="Times New Roman"/>
          <w:szCs w:val="24"/>
          <w:lang w:val="fr-CA"/>
        </w:rPr>
        <w:t>al. 10</w:t>
      </w:r>
      <w:r w:rsidRPr="00CA43DD">
        <w:rPr>
          <w:rFonts w:cs="Times New Roman"/>
          <w:i/>
          <w:szCs w:val="24"/>
          <w:lang w:val="fr-CA"/>
        </w:rPr>
        <w:t>b</w:t>
      </w:r>
      <w:r w:rsidRPr="00CA43DD">
        <w:rPr>
          <w:rFonts w:cs="Times New Roman"/>
          <w:szCs w:val="24"/>
          <w:lang w:val="fr-CA"/>
        </w:rPr>
        <w:t>) d</w:t>
      </w:r>
      <w:r>
        <w:rPr>
          <w:rFonts w:cs="Times New Roman"/>
          <w:szCs w:val="24"/>
          <w:lang w:val="fr-CA"/>
        </w:rPr>
        <w:t>’</w:t>
      </w:r>
      <w:r w:rsidRPr="00CA43DD">
        <w:rPr>
          <w:rFonts w:cs="Times New Roman"/>
          <w:szCs w:val="24"/>
          <w:lang w:val="fr-CA"/>
        </w:rPr>
        <w:t>avoir recours à l</w:t>
      </w:r>
      <w:r>
        <w:rPr>
          <w:rFonts w:cs="Times New Roman"/>
          <w:szCs w:val="24"/>
          <w:lang w:val="fr-CA"/>
        </w:rPr>
        <w:t>’</w:t>
      </w:r>
      <w:r w:rsidRPr="00CA43DD">
        <w:rPr>
          <w:rFonts w:cs="Times New Roman"/>
          <w:szCs w:val="24"/>
          <w:lang w:val="fr-CA"/>
        </w:rPr>
        <w:t>assistance d</w:t>
      </w:r>
      <w:r>
        <w:rPr>
          <w:rFonts w:cs="Times New Roman"/>
          <w:szCs w:val="24"/>
          <w:lang w:val="fr-CA"/>
        </w:rPr>
        <w:t>’</w:t>
      </w:r>
      <w:r w:rsidRPr="00CA43DD">
        <w:rPr>
          <w:rFonts w:cs="Times New Roman"/>
          <w:szCs w:val="24"/>
          <w:lang w:val="fr-CA"/>
        </w:rPr>
        <w:t>un avocat en cas de détention et d</w:t>
      </w:r>
      <w:r>
        <w:rPr>
          <w:rFonts w:cs="Times New Roman"/>
          <w:szCs w:val="24"/>
          <w:lang w:val="fr-CA"/>
        </w:rPr>
        <w:t>’</w:t>
      </w:r>
      <w:r w:rsidRPr="00CA43DD">
        <w:rPr>
          <w:rFonts w:cs="Times New Roman"/>
          <w:szCs w:val="24"/>
          <w:lang w:val="fr-CA"/>
        </w:rPr>
        <w:t>être informée de ce droit ont été violés.</w:t>
      </w:r>
    </w:p>
    <w:p w:rsidR="00DC2386" w:rsidRPr="00CA43DD" w:rsidRDefault="00DC2386" w:rsidP="00DC2386">
      <w:pPr>
        <w:pStyle w:val="ParaNoNdepar-AltN"/>
        <w:rPr>
          <w:rFonts w:cs="Times New Roman"/>
          <w:szCs w:val="24"/>
          <w:lang w:val="fr-CA"/>
        </w:rPr>
      </w:pPr>
      <w:r w:rsidRPr="00CA43DD">
        <w:rPr>
          <w:rFonts w:cs="Times New Roman"/>
          <w:szCs w:val="24"/>
          <w:lang w:val="fr-CA"/>
        </w:rPr>
        <w:t>À 2 h 20, l</w:t>
      </w:r>
      <w:r>
        <w:rPr>
          <w:rFonts w:cs="Times New Roman"/>
          <w:szCs w:val="24"/>
          <w:lang w:val="fr-CA"/>
        </w:rPr>
        <w:t>’</w:t>
      </w:r>
      <w:r w:rsidRPr="00CA43DD">
        <w:rPr>
          <w:rFonts w:cs="Times New Roman"/>
          <w:szCs w:val="24"/>
          <w:lang w:val="fr-CA"/>
        </w:rPr>
        <w:t>agent Tremblay a parlé à l</w:t>
      </w:r>
      <w:r>
        <w:rPr>
          <w:rFonts w:cs="Times New Roman"/>
          <w:szCs w:val="24"/>
          <w:lang w:val="fr-CA"/>
        </w:rPr>
        <w:t>’</w:t>
      </w:r>
      <w:r w:rsidRPr="00CA43DD">
        <w:rPr>
          <w:rFonts w:cs="Times New Roman"/>
          <w:szCs w:val="24"/>
          <w:lang w:val="fr-CA"/>
        </w:rPr>
        <w:t>enquêteur Christian Houle, qui lui a dit qu</w:t>
      </w:r>
      <w:r>
        <w:rPr>
          <w:rFonts w:cs="Times New Roman"/>
          <w:szCs w:val="24"/>
          <w:lang w:val="fr-CA"/>
        </w:rPr>
        <w:t>’</w:t>
      </w:r>
      <w:r w:rsidRPr="00CA43DD">
        <w:rPr>
          <w:rFonts w:cs="Times New Roman"/>
          <w:szCs w:val="24"/>
          <w:lang w:val="fr-CA"/>
        </w:rPr>
        <w:t>il était préférable d</w:t>
      </w:r>
      <w:r>
        <w:rPr>
          <w:rFonts w:cs="Times New Roman"/>
          <w:szCs w:val="24"/>
          <w:lang w:val="fr-CA"/>
        </w:rPr>
        <w:t>’</w:t>
      </w:r>
      <w:r w:rsidRPr="00CA43DD">
        <w:rPr>
          <w:rFonts w:cs="Times New Roman"/>
          <w:szCs w:val="24"/>
          <w:lang w:val="fr-CA"/>
        </w:rPr>
        <w:t>emmener M</w:t>
      </w:r>
      <w:r w:rsidRPr="00CA43DD">
        <w:rPr>
          <w:rFonts w:cs="Times New Roman"/>
          <w:szCs w:val="24"/>
          <w:vertAlign w:val="superscript"/>
          <w:lang w:val="fr-CA"/>
        </w:rPr>
        <w:t>me</w:t>
      </w:r>
      <w:r w:rsidRPr="00CA43DD">
        <w:rPr>
          <w:rFonts w:cs="Times New Roman"/>
          <w:szCs w:val="24"/>
          <w:lang w:val="fr-CA"/>
        </w:rPr>
        <w:t> Côté au poste de police afin qu</w:t>
      </w:r>
      <w:r>
        <w:rPr>
          <w:rFonts w:cs="Times New Roman"/>
          <w:szCs w:val="24"/>
          <w:lang w:val="fr-CA"/>
        </w:rPr>
        <w:t>’</w:t>
      </w:r>
      <w:r w:rsidRPr="00CA43DD">
        <w:rPr>
          <w:rFonts w:cs="Times New Roman"/>
          <w:szCs w:val="24"/>
          <w:lang w:val="fr-CA"/>
        </w:rPr>
        <w:t>elle puisse y faire une déclaration étant donné qu</w:t>
      </w:r>
      <w:r>
        <w:rPr>
          <w:rFonts w:cs="Times New Roman"/>
          <w:szCs w:val="24"/>
          <w:lang w:val="fr-CA"/>
        </w:rPr>
        <w:t>’</w:t>
      </w:r>
      <w:r w:rsidRPr="00CA43DD">
        <w:rPr>
          <w:rFonts w:cs="Times New Roman"/>
          <w:szCs w:val="24"/>
          <w:lang w:val="fr-CA"/>
        </w:rPr>
        <w:t>elle était un témoin important.  À 2 h 34, les agents Tremblay et Mathieu ont conduit l</w:t>
      </w:r>
      <w:r>
        <w:rPr>
          <w:rFonts w:cs="Times New Roman"/>
          <w:szCs w:val="24"/>
          <w:lang w:val="fr-CA"/>
        </w:rPr>
        <w:t>’</w:t>
      </w:r>
      <w:r w:rsidRPr="00CA43DD">
        <w:rPr>
          <w:rFonts w:cs="Times New Roman"/>
          <w:szCs w:val="24"/>
          <w:lang w:val="fr-CA"/>
        </w:rPr>
        <w:t xml:space="preserve">appelante au poste de </w:t>
      </w:r>
      <w:proofErr w:type="spellStart"/>
      <w:r w:rsidRPr="00CA43DD">
        <w:rPr>
          <w:rFonts w:cs="Times New Roman"/>
          <w:szCs w:val="24"/>
          <w:lang w:val="fr-CA"/>
        </w:rPr>
        <w:t>Nicolet</w:t>
      </w:r>
      <w:proofErr w:type="spellEnd"/>
      <w:r w:rsidRPr="00CA43DD">
        <w:rPr>
          <w:rFonts w:cs="Times New Roman"/>
          <w:szCs w:val="24"/>
          <w:lang w:val="fr-CA"/>
        </w:rPr>
        <w:t>, lui donnant l</w:t>
      </w:r>
      <w:r>
        <w:rPr>
          <w:rFonts w:cs="Times New Roman"/>
          <w:szCs w:val="24"/>
          <w:lang w:val="fr-CA"/>
        </w:rPr>
        <w:t>’</w:t>
      </w:r>
      <w:r w:rsidRPr="00CA43DD">
        <w:rPr>
          <w:rFonts w:cs="Times New Roman"/>
          <w:szCs w:val="24"/>
          <w:lang w:val="fr-CA"/>
        </w:rPr>
        <w:t>explication fournie par l</w:t>
      </w:r>
      <w:r>
        <w:rPr>
          <w:rFonts w:cs="Times New Roman"/>
          <w:szCs w:val="24"/>
          <w:lang w:val="fr-CA"/>
        </w:rPr>
        <w:t>’</w:t>
      </w:r>
      <w:r w:rsidRPr="00CA43DD">
        <w:rPr>
          <w:rFonts w:cs="Times New Roman"/>
          <w:szCs w:val="24"/>
          <w:lang w:val="fr-CA"/>
        </w:rPr>
        <w:t>enquêteur Houle.  Elle est demeurée en compagnie de l</w:t>
      </w:r>
      <w:r>
        <w:rPr>
          <w:rFonts w:cs="Times New Roman"/>
          <w:szCs w:val="24"/>
          <w:lang w:val="fr-CA"/>
        </w:rPr>
        <w:t>’</w:t>
      </w:r>
      <w:r w:rsidRPr="00CA43DD">
        <w:rPr>
          <w:rFonts w:cs="Times New Roman"/>
          <w:szCs w:val="24"/>
          <w:lang w:val="fr-CA"/>
        </w:rPr>
        <w:t>agent Mathieu depuis son arrivée au poste à 2 h 54 jusque vers 4 h.  À plusieurs reprises, elle a demandé pourquoi elle se trouvait là, pourquoi toutes ces mesures étaient prises et pourquoi on ne l</w:t>
      </w:r>
      <w:r>
        <w:rPr>
          <w:rFonts w:cs="Times New Roman"/>
          <w:szCs w:val="24"/>
          <w:lang w:val="fr-CA"/>
        </w:rPr>
        <w:t>’</w:t>
      </w:r>
      <w:r w:rsidRPr="00CA43DD">
        <w:rPr>
          <w:rFonts w:cs="Times New Roman"/>
          <w:szCs w:val="24"/>
          <w:lang w:val="fr-CA"/>
        </w:rPr>
        <w:t>avait pas laissée chez elle.  Les policiers lui ont dit qu</w:t>
      </w:r>
      <w:r>
        <w:rPr>
          <w:rFonts w:cs="Times New Roman"/>
          <w:szCs w:val="24"/>
          <w:lang w:val="fr-CA"/>
        </w:rPr>
        <w:t>’</w:t>
      </w:r>
      <w:r w:rsidRPr="00CA43DD">
        <w:rPr>
          <w:rFonts w:cs="Times New Roman"/>
          <w:szCs w:val="24"/>
          <w:lang w:val="fr-CA"/>
        </w:rPr>
        <w:t>elle était un témoin important, qu</w:t>
      </w:r>
      <w:r>
        <w:rPr>
          <w:rFonts w:cs="Times New Roman"/>
          <w:szCs w:val="24"/>
          <w:lang w:val="fr-CA"/>
        </w:rPr>
        <w:t>’</w:t>
      </w:r>
      <w:r w:rsidRPr="00CA43DD">
        <w:rPr>
          <w:rFonts w:cs="Times New Roman"/>
          <w:szCs w:val="24"/>
          <w:lang w:val="fr-CA"/>
        </w:rPr>
        <w:t>elle connaissait son conjoint mieux qu</w:t>
      </w:r>
      <w:r>
        <w:rPr>
          <w:rFonts w:cs="Times New Roman"/>
          <w:szCs w:val="24"/>
          <w:lang w:val="fr-CA"/>
        </w:rPr>
        <w:t>’</w:t>
      </w:r>
      <w:r w:rsidRPr="00CA43DD">
        <w:rPr>
          <w:rFonts w:cs="Times New Roman"/>
          <w:szCs w:val="24"/>
          <w:lang w:val="fr-CA"/>
        </w:rPr>
        <w:t>eux et qu</w:t>
      </w:r>
      <w:r>
        <w:rPr>
          <w:rFonts w:cs="Times New Roman"/>
          <w:szCs w:val="24"/>
          <w:lang w:val="fr-CA"/>
        </w:rPr>
        <w:t>’</w:t>
      </w:r>
      <w:r w:rsidRPr="00CA43DD">
        <w:rPr>
          <w:rFonts w:cs="Times New Roman"/>
          <w:szCs w:val="24"/>
          <w:lang w:val="fr-CA"/>
        </w:rPr>
        <w:t>il était important qu</w:t>
      </w:r>
      <w:r>
        <w:rPr>
          <w:rFonts w:cs="Times New Roman"/>
          <w:szCs w:val="24"/>
          <w:lang w:val="fr-CA"/>
        </w:rPr>
        <w:t>’</w:t>
      </w:r>
      <w:r w:rsidRPr="00CA43DD">
        <w:rPr>
          <w:rFonts w:cs="Times New Roman"/>
          <w:szCs w:val="24"/>
          <w:lang w:val="fr-CA"/>
        </w:rPr>
        <w:t>ils comprennent ce qui était arrivé à M. </w:t>
      </w:r>
      <w:proofErr w:type="spellStart"/>
      <w:r w:rsidRPr="00CA43DD">
        <w:rPr>
          <w:rFonts w:cs="Times New Roman"/>
          <w:szCs w:val="24"/>
          <w:lang w:val="fr-CA"/>
        </w:rPr>
        <w:t>Hogue</w:t>
      </w:r>
      <w:proofErr w:type="spellEnd"/>
      <w:r w:rsidRPr="00CA43DD">
        <w:rPr>
          <w:rFonts w:cs="Times New Roman"/>
          <w:szCs w:val="24"/>
          <w:lang w:val="fr-CA"/>
        </w:rPr>
        <w:t>.  À 4 h 10, ils lui ont demandé de donner sa version des faits par écrit.  À 5 h 23, l</w:t>
      </w:r>
      <w:r>
        <w:rPr>
          <w:rFonts w:cs="Times New Roman"/>
          <w:szCs w:val="24"/>
          <w:lang w:val="fr-CA"/>
        </w:rPr>
        <w:t>’</w:t>
      </w:r>
      <w:r w:rsidRPr="00CA43DD">
        <w:rPr>
          <w:rFonts w:cs="Times New Roman"/>
          <w:szCs w:val="24"/>
          <w:lang w:val="fr-CA"/>
        </w:rPr>
        <w:t>enquêteur Sylvain Bellemare a pour la première fois mis l</w:t>
      </w:r>
      <w:r>
        <w:rPr>
          <w:rFonts w:cs="Times New Roman"/>
          <w:szCs w:val="24"/>
          <w:lang w:val="fr-CA"/>
        </w:rPr>
        <w:t>’</w:t>
      </w:r>
      <w:r w:rsidRPr="00CA43DD">
        <w:rPr>
          <w:rFonts w:cs="Times New Roman"/>
          <w:szCs w:val="24"/>
          <w:lang w:val="fr-CA"/>
        </w:rPr>
        <w:t>appelante en garde à titre de témoin important relativement à la tentative de meurtre sur la personne d</w:t>
      </w:r>
      <w:r>
        <w:rPr>
          <w:rFonts w:cs="Times New Roman"/>
          <w:szCs w:val="24"/>
          <w:lang w:val="fr-CA"/>
        </w:rPr>
        <w:t>’</w:t>
      </w:r>
      <w:r w:rsidRPr="00CA43DD">
        <w:rPr>
          <w:rFonts w:cs="Times New Roman"/>
          <w:szCs w:val="24"/>
          <w:lang w:val="fr-CA"/>
        </w:rPr>
        <w:t xml:space="preserve">André </w:t>
      </w:r>
      <w:proofErr w:type="spellStart"/>
      <w:r w:rsidRPr="00CA43DD">
        <w:rPr>
          <w:rFonts w:cs="Times New Roman"/>
          <w:szCs w:val="24"/>
          <w:lang w:val="fr-CA"/>
        </w:rPr>
        <w:t>Hogue</w:t>
      </w:r>
      <w:proofErr w:type="spellEnd"/>
      <w:r w:rsidRPr="00CA43DD">
        <w:rPr>
          <w:rFonts w:cs="Times New Roman"/>
          <w:szCs w:val="24"/>
          <w:lang w:val="fr-CA"/>
        </w:rPr>
        <w:t xml:space="preserve">.  </w:t>
      </w:r>
    </w:p>
    <w:p w:rsidR="00DC2386" w:rsidRPr="00CA43DD" w:rsidRDefault="00DC2386" w:rsidP="00DC2386">
      <w:pPr>
        <w:pStyle w:val="ParaNoNdepar-AltN"/>
        <w:rPr>
          <w:rFonts w:cs="Times New Roman"/>
          <w:szCs w:val="24"/>
          <w:lang w:val="fr-CA"/>
        </w:rPr>
      </w:pPr>
      <w:r w:rsidRPr="00CA43DD">
        <w:rPr>
          <w:rFonts w:cs="Times New Roman"/>
          <w:szCs w:val="24"/>
          <w:lang w:val="fr-CA"/>
        </w:rPr>
        <w:lastRenderedPageBreak/>
        <w:t>Pour résumer, la détention de l</w:t>
      </w:r>
      <w:r>
        <w:rPr>
          <w:rFonts w:cs="Times New Roman"/>
          <w:szCs w:val="24"/>
          <w:lang w:val="fr-CA"/>
        </w:rPr>
        <w:t>’</w:t>
      </w:r>
      <w:r w:rsidRPr="00CA43DD">
        <w:rPr>
          <w:rFonts w:cs="Times New Roman"/>
          <w:szCs w:val="24"/>
          <w:lang w:val="fr-CA"/>
        </w:rPr>
        <w:t>appelante a débuté à 0 h 27.  Les policiers ne lui ont fait une mise en garde qu</w:t>
      </w:r>
      <w:r>
        <w:rPr>
          <w:rFonts w:cs="Times New Roman"/>
          <w:szCs w:val="24"/>
          <w:lang w:val="fr-CA"/>
        </w:rPr>
        <w:t>’</w:t>
      </w:r>
      <w:r w:rsidRPr="00CA43DD">
        <w:rPr>
          <w:rFonts w:cs="Times New Roman"/>
          <w:szCs w:val="24"/>
          <w:lang w:val="fr-CA"/>
        </w:rPr>
        <w:t>à 5 h 23, et ce, seulement à titre de témoin important et non de suspect, violant ainsi ses droits garantis aux al. 10</w:t>
      </w:r>
      <w:r w:rsidRPr="00CA43DD">
        <w:rPr>
          <w:rFonts w:cs="Times New Roman"/>
          <w:i/>
          <w:szCs w:val="24"/>
          <w:lang w:val="fr-CA"/>
        </w:rPr>
        <w:t>a</w:t>
      </w:r>
      <w:r w:rsidRPr="00CA43DD">
        <w:rPr>
          <w:rFonts w:cs="Times New Roman"/>
          <w:szCs w:val="24"/>
          <w:lang w:val="fr-CA"/>
        </w:rPr>
        <w:t xml:space="preserve">) et </w:t>
      </w:r>
      <w:r w:rsidRPr="00CA43DD">
        <w:rPr>
          <w:rFonts w:cs="Times New Roman"/>
          <w:i/>
          <w:szCs w:val="24"/>
          <w:lang w:val="fr-CA"/>
        </w:rPr>
        <w:t>b</w:t>
      </w:r>
      <w:r w:rsidRPr="00CA43DD">
        <w:rPr>
          <w:rFonts w:cs="Times New Roman"/>
          <w:szCs w:val="24"/>
          <w:lang w:val="fr-CA"/>
        </w:rPr>
        <w:t>).  Le juge du procès se dit consterné par le fait que tout au long de leurs échanges avec l</w:t>
      </w:r>
      <w:r>
        <w:rPr>
          <w:rFonts w:cs="Times New Roman"/>
          <w:szCs w:val="24"/>
          <w:lang w:val="fr-CA"/>
        </w:rPr>
        <w:t>’</w:t>
      </w:r>
      <w:r w:rsidRPr="00CA43DD">
        <w:rPr>
          <w:rFonts w:cs="Times New Roman"/>
          <w:szCs w:val="24"/>
          <w:lang w:val="fr-CA"/>
        </w:rPr>
        <w:t>appelante, les policiers ont constamment minimisé sa situation juridique et ont omis de lui communiquer les renseignements essentiels à l</w:t>
      </w:r>
      <w:r>
        <w:rPr>
          <w:rFonts w:cs="Times New Roman"/>
          <w:szCs w:val="24"/>
          <w:lang w:val="fr-CA"/>
        </w:rPr>
        <w:t>’</w:t>
      </w:r>
      <w:r w:rsidRPr="00CA43DD">
        <w:rPr>
          <w:rFonts w:cs="Times New Roman"/>
          <w:szCs w:val="24"/>
          <w:lang w:val="fr-CA"/>
        </w:rPr>
        <w:t>exercice de ses droits constitutionnels.  Selon lui, les policiers ont délibérément omis de la mettre en garde convenablement, ce qui s</w:t>
      </w:r>
      <w:r>
        <w:rPr>
          <w:rFonts w:cs="Times New Roman"/>
          <w:szCs w:val="24"/>
          <w:lang w:val="fr-CA"/>
        </w:rPr>
        <w:t>’</w:t>
      </w:r>
      <w:r w:rsidRPr="00CA43DD">
        <w:rPr>
          <w:rFonts w:cs="Times New Roman"/>
          <w:szCs w:val="24"/>
          <w:lang w:val="fr-CA"/>
        </w:rPr>
        <w:t>inscrivait dans l</w:t>
      </w:r>
      <w:r>
        <w:rPr>
          <w:rFonts w:cs="Times New Roman"/>
          <w:szCs w:val="24"/>
          <w:lang w:val="fr-CA"/>
        </w:rPr>
        <w:t>’</w:t>
      </w:r>
      <w:r w:rsidRPr="00CA43DD">
        <w:rPr>
          <w:rFonts w:cs="Times New Roman"/>
          <w:szCs w:val="24"/>
          <w:lang w:val="fr-CA"/>
        </w:rPr>
        <w:t xml:space="preserve">attitude constante et systématique adoptée par les policiers tout au long de leurs échanges avec elle.  </w:t>
      </w:r>
    </w:p>
    <w:p w:rsidR="00DC2386" w:rsidRPr="00CA43DD" w:rsidRDefault="00CF6E18" w:rsidP="00CF6E18">
      <w:pPr>
        <w:pStyle w:val="TitleTitre-AltT"/>
        <w:keepNext/>
        <w:tabs>
          <w:tab w:val="clear" w:pos="360"/>
          <w:tab w:val="left" w:pos="1170"/>
        </w:tabs>
        <w:spacing w:after="720"/>
        <w:ind w:left="1800" w:hanging="1800"/>
        <w:rPr>
          <w:rFonts w:cs="Times New Roman"/>
          <w:i/>
          <w:szCs w:val="24"/>
          <w:lang w:val="fr-CA"/>
        </w:rPr>
      </w:pPr>
      <w:r>
        <w:rPr>
          <w:rFonts w:cs="Times New Roman"/>
          <w:szCs w:val="24"/>
          <w:lang w:val="fr-CA"/>
        </w:rPr>
        <w:tab/>
      </w:r>
      <w:r w:rsidR="00DC2386" w:rsidRPr="00CA43DD">
        <w:rPr>
          <w:rFonts w:cs="Times New Roman"/>
          <w:szCs w:val="24"/>
          <w:lang w:val="fr-CA"/>
        </w:rPr>
        <w:t>g)</w:t>
      </w:r>
      <w:r w:rsidR="00DC2386" w:rsidRPr="00CA43DD">
        <w:rPr>
          <w:rFonts w:cs="Times New Roman"/>
          <w:szCs w:val="24"/>
          <w:lang w:val="fr-CA"/>
        </w:rPr>
        <w:tab/>
      </w:r>
      <w:r w:rsidR="00DC2386" w:rsidRPr="00CA43DD">
        <w:rPr>
          <w:rFonts w:cs="Times New Roman"/>
          <w:i/>
          <w:szCs w:val="24"/>
          <w:lang w:val="fr-CA"/>
        </w:rPr>
        <w:t>L</w:t>
      </w:r>
      <w:r w:rsidR="00DC2386">
        <w:rPr>
          <w:rFonts w:cs="Times New Roman"/>
          <w:i/>
          <w:szCs w:val="24"/>
          <w:lang w:val="fr-CA"/>
        </w:rPr>
        <w:t>’</w:t>
      </w:r>
      <w:r w:rsidR="00DC2386" w:rsidRPr="00CA43DD">
        <w:rPr>
          <w:rFonts w:cs="Times New Roman"/>
          <w:i/>
          <w:szCs w:val="24"/>
          <w:lang w:val="fr-CA"/>
        </w:rPr>
        <w:t>établissement d</w:t>
      </w:r>
      <w:r w:rsidR="00DC2386">
        <w:rPr>
          <w:rFonts w:cs="Times New Roman"/>
          <w:i/>
          <w:szCs w:val="24"/>
          <w:lang w:val="fr-CA"/>
        </w:rPr>
        <w:t>’</w:t>
      </w:r>
      <w:r w:rsidR="00DC2386" w:rsidRPr="00CA43DD">
        <w:rPr>
          <w:rFonts w:cs="Times New Roman"/>
          <w:i/>
          <w:szCs w:val="24"/>
          <w:lang w:val="fr-CA"/>
        </w:rPr>
        <w:t>un périmètre de sécurité et la fouille sans mandat de la propriété</w:t>
      </w:r>
    </w:p>
    <w:p w:rsidR="00DC2386" w:rsidRPr="00CA43DD" w:rsidRDefault="00DC2386" w:rsidP="00DC2386">
      <w:pPr>
        <w:pStyle w:val="ParaNoNdepar-AltN"/>
        <w:rPr>
          <w:rFonts w:cs="Times New Roman"/>
          <w:szCs w:val="24"/>
          <w:lang w:val="fr-CA"/>
        </w:rPr>
      </w:pPr>
      <w:r w:rsidRPr="00CA43DD">
        <w:rPr>
          <w:rFonts w:cs="Times New Roman"/>
          <w:szCs w:val="24"/>
          <w:lang w:val="fr-CA"/>
        </w:rPr>
        <w:t>À 1 h 15, après l</w:t>
      </w:r>
      <w:r>
        <w:rPr>
          <w:rFonts w:cs="Times New Roman"/>
          <w:szCs w:val="24"/>
          <w:lang w:val="fr-CA"/>
        </w:rPr>
        <w:t>’</w:t>
      </w:r>
      <w:r w:rsidRPr="00CA43DD">
        <w:rPr>
          <w:rFonts w:cs="Times New Roman"/>
          <w:szCs w:val="24"/>
          <w:lang w:val="fr-CA"/>
        </w:rPr>
        <w:t>avoir interrogée, l</w:t>
      </w:r>
      <w:r>
        <w:rPr>
          <w:rFonts w:cs="Times New Roman"/>
          <w:szCs w:val="24"/>
          <w:lang w:val="fr-CA"/>
        </w:rPr>
        <w:t>’</w:t>
      </w:r>
      <w:r w:rsidRPr="00CA43DD">
        <w:rPr>
          <w:rFonts w:cs="Times New Roman"/>
          <w:szCs w:val="24"/>
          <w:lang w:val="fr-CA"/>
        </w:rPr>
        <w:t>agent Mathieu est demeuré à l</w:t>
      </w:r>
      <w:r>
        <w:rPr>
          <w:rFonts w:cs="Times New Roman"/>
          <w:szCs w:val="24"/>
          <w:lang w:val="fr-CA"/>
        </w:rPr>
        <w:t>’</w:t>
      </w:r>
      <w:r w:rsidRPr="00CA43DD">
        <w:rPr>
          <w:rFonts w:cs="Times New Roman"/>
          <w:szCs w:val="24"/>
          <w:lang w:val="fr-CA"/>
        </w:rPr>
        <w:t>intérieur avec l</w:t>
      </w:r>
      <w:r>
        <w:rPr>
          <w:rFonts w:cs="Times New Roman"/>
          <w:szCs w:val="24"/>
          <w:lang w:val="fr-CA"/>
        </w:rPr>
        <w:t>’</w:t>
      </w:r>
      <w:r w:rsidRPr="00CA43DD">
        <w:rPr>
          <w:rFonts w:cs="Times New Roman"/>
          <w:szCs w:val="24"/>
          <w:lang w:val="fr-CA"/>
        </w:rPr>
        <w:t>appelante, tandis que l</w:t>
      </w:r>
      <w:r>
        <w:rPr>
          <w:rFonts w:cs="Times New Roman"/>
          <w:szCs w:val="24"/>
          <w:lang w:val="fr-CA"/>
        </w:rPr>
        <w:t>’</w:t>
      </w:r>
      <w:r w:rsidRPr="00CA43DD">
        <w:rPr>
          <w:rFonts w:cs="Times New Roman"/>
          <w:szCs w:val="24"/>
          <w:lang w:val="fr-CA"/>
        </w:rPr>
        <w:t xml:space="preserve">agent Tremblay établissait un périmètre de sécurité autour de la résidence.  À 2 h 5, les agents Fortier et Kelly </w:t>
      </w:r>
      <w:proofErr w:type="spellStart"/>
      <w:r w:rsidRPr="00CA43DD">
        <w:rPr>
          <w:rFonts w:cs="Times New Roman"/>
          <w:szCs w:val="24"/>
          <w:lang w:val="fr-CA"/>
        </w:rPr>
        <w:t>Bellerive</w:t>
      </w:r>
      <w:proofErr w:type="spellEnd"/>
      <w:r w:rsidRPr="00CA43DD">
        <w:rPr>
          <w:rFonts w:cs="Times New Roman"/>
          <w:szCs w:val="24"/>
          <w:lang w:val="fr-CA"/>
        </w:rPr>
        <w:t xml:space="preserve"> sont arrivés sur les lieux et ont fait le tour de la propriété avec l</w:t>
      </w:r>
      <w:r>
        <w:rPr>
          <w:rFonts w:cs="Times New Roman"/>
          <w:szCs w:val="24"/>
          <w:lang w:val="fr-CA"/>
        </w:rPr>
        <w:t>’</w:t>
      </w:r>
      <w:r w:rsidRPr="00CA43DD">
        <w:rPr>
          <w:rFonts w:cs="Times New Roman"/>
          <w:szCs w:val="24"/>
          <w:lang w:val="fr-CA"/>
        </w:rPr>
        <w:t>agent Tremblay.  Le juge du procès estime qu</w:t>
      </w:r>
      <w:r>
        <w:rPr>
          <w:rFonts w:cs="Times New Roman"/>
          <w:szCs w:val="24"/>
          <w:lang w:val="fr-CA"/>
        </w:rPr>
        <w:t>’</w:t>
      </w:r>
      <w:r w:rsidRPr="00CA43DD">
        <w:rPr>
          <w:rFonts w:cs="Times New Roman"/>
          <w:szCs w:val="24"/>
          <w:lang w:val="fr-CA"/>
        </w:rPr>
        <w:t>il s</w:t>
      </w:r>
      <w:r>
        <w:rPr>
          <w:rFonts w:cs="Times New Roman"/>
          <w:szCs w:val="24"/>
          <w:lang w:val="fr-CA"/>
        </w:rPr>
        <w:t>’</w:t>
      </w:r>
      <w:r w:rsidRPr="00CA43DD">
        <w:rPr>
          <w:rFonts w:cs="Times New Roman"/>
          <w:szCs w:val="24"/>
          <w:lang w:val="fr-CA"/>
        </w:rPr>
        <w:t>agissait d</w:t>
      </w:r>
      <w:r>
        <w:rPr>
          <w:rFonts w:cs="Times New Roman"/>
          <w:szCs w:val="24"/>
          <w:lang w:val="fr-CA"/>
        </w:rPr>
        <w:t>’</w:t>
      </w:r>
      <w:r w:rsidRPr="00CA43DD">
        <w:rPr>
          <w:rFonts w:cs="Times New Roman"/>
          <w:szCs w:val="24"/>
          <w:lang w:val="fr-CA"/>
        </w:rPr>
        <w:t>une fouille sans mandat attentatoire aux droits de l</w:t>
      </w:r>
      <w:r>
        <w:rPr>
          <w:rFonts w:cs="Times New Roman"/>
          <w:szCs w:val="24"/>
          <w:lang w:val="fr-CA"/>
        </w:rPr>
        <w:t>’</w:t>
      </w:r>
      <w:r w:rsidRPr="00CA43DD">
        <w:rPr>
          <w:rFonts w:cs="Times New Roman"/>
          <w:szCs w:val="24"/>
          <w:lang w:val="fr-CA"/>
        </w:rPr>
        <w:t>appelante garantis à l</w:t>
      </w:r>
      <w:r>
        <w:rPr>
          <w:rFonts w:cs="Times New Roman"/>
          <w:szCs w:val="24"/>
          <w:lang w:val="fr-CA"/>
        </w:rPr>
        <w:t>’</w:t>
      </w:r>
      <w:r w:rsidRPr="00CA43DD">
        <w:rPr>
          <w:rFonts w:cs="Times New Roman"/>
          <w:szCs w:val="24"/>
          <w:lang w:val="fr-CA"/>
        </w:rPr>
        <w:t xml:space="preserve">art. 8.  </w:t>
      </w:r>
    </w:p>
    <w:p w:rsidR="00DC2386" w:rsidRPr="00CA43DD" w:rsidRDefault="00CF6E18" w:rsidP="00CF6E18">
      <w:pPr>
        <w:pStyle w:val="TitleTitre-AltT"/>
        <w:keepNext/>
        <w:tabs>
          <w:tab w:val="clear" w:pos="360"/>
          <w:tab w:val="left" w:pos="1170"/>
        </w:tabs>
        <w:spacing w:after="720"/>
        <w:ind w:left="1800" w:hanging="1800"/>
        <w:rPr>
          <w:rFonts w:cs="Times New Roman"/>
          <w:i/>
          <w:szCs w:val="24"/>
          <w:lang w:val="fr-CA"/>
        </w:rPr>
      </w:pPr>
      <w:r>
        <w:rPr>
          <w:rFonts w:cs="Times New Roman"/>
          <w:szCs w:val="24"/>
          <w:lang w:val="fr-CA"/>
        </w:rPr>
        <w:tab/>
      </w:r>
      <w:r w:rsidR="00DC2386" w:rsidRPr="00CA43DD">
        <w:rPr>
          <w:rFonts w:cs="Times New Roman"/>
          <w:szCs w:val="24"/>
          <w:lang w:val="fr-CA"/>
        </w:rPr>
        <w:t>h)</w:t>
      </w:r>
      <w:r w:rsidR="00DC2386" w:rsidRPr="00CA43DD">
        <w:rPr>
          <w:rFonts w:cs="Times New Roman"/>
          <w:szCs w:val="24"/>
          <w:lang w:val="fr-CA"/>
        </w:rPr>
        <w:tab/>
      </w:r>
      <w:r w:rsidR="00DC2386" w:rsidRPr="00CA43DD">
        <w:rPr>
          <w:rFonts w:cs="Times New Roman"/>
          <w:i/>
          <w:szCs w:val="24"/>
          <w:lang w:val="fr-CA"/>
        </w:rPr>
        <w:t>L</w:t>
      </w:r>
      <w:r w:rsidR="00DC2386">
        <w:rPr>
          <w:rFonts w:cs="Times New Roman"/>
          <w:i/>
          <w:szCs w:val="24"/>
          <w:lang w:val="fr-CA"/>
        </w:rPr>
        <w:t>’</w:t>
      </w:r>
      <w:r w:rsidR="00DC2386" w:rsidRPr="00CA43DD">
        <w:rPr>
          <w:rFonts w:cs="Times New Roman"/>
          <w:i/>
          <w:szCs w:val="24"/>
          <w:lang w:val="fr-CA"/>
        </w:rPr>
        <w:t xml:space="preserve">élargissement du périmètre de sécurité </w:t>
      </w:r>
    </w:p>
    <w:p w:rsidR="00DC2386" w:rsidRPr="00CA43DD" w:rsidRDefault="00DC2386" w:rsidP="00DC2386">
      <w:pPr>
        <w:pStyle w:val="ParaNoNdepar-AltN"/>
        <w:rPr>
          <w:rFonts w:cs="Times New Roman"/>
          <w:szCs w:val="24"/>
          <w:lang w:val="fr-CA"/>
        </w:rPr>
      </w:pPr>
      <w:r w:rsidRPr="00CA43DD">
        <w:rPr>
          <w:rFonts w:cs="Times New Roman"/>
          <w:szCs w:val="24"/>
          <w:lang w:val="fr-CA"/>
        </w:rPr>
        <w:t>À 3 h 10, le sergent-enquêteur Luc Briand a demandé à l</w:t>
      </w:r>
      <w:r>
        <w:rPr>
          <w:rFonts w:cs="Times New Roman"/>
          <w:szCs w:val="24"/>
          <w:lang w:val="fr-CA"/>
        </w:rPr>
        <w:t>’</w:t>
      </w:r>
      <w:r w:rsidRPr="00CA43DD">
        <w:rPr>
          <w:rFonts w:cs="Times New Roman"/>
          <w:szCs w:val="24"/>
          <w:lang w:val="fr-CA"/>
        </w:rPr>
        <w:t>agent Fortier d</w:t>
      </w:r>
      <w:r>
        <w:rPr>
          <w:rFonts w:cs="Times New Roman"/>
          <w:szCs w:val="24"/>
          <w:lang w:val="fr-CA"/>
        </w:rPr>
        <w:t>’</w:t>
      </w:r>
      <w:r w:rsidRPr="00CA43DD">
        <w:rPr>
          <w:rFonts w:cs="Times New Roman"/>
          <w:szCs w:val="24"/>
          <w:lang w:val="fr-CA"/>
        </w:rPr>
        <w:t>agrandir le périmètre de sécurité établi plus tôt par l</w:t>
      </w:r>
      <w:r>
        <w:rPr>
          <w:rFonts w:cs="Times New Roman"/>
          <w:szCs w:val="24"/>
          <w:lang w:val="fr-CA"/>
        </w:rPr>
        <w:t>’</w:t>
      </w:r>
      <w:r w:rsidRPr="00CA43DD">
        <w:rPr>
          <w:rFonts w:cs="Times New Roman"/>
          <w:szCs w:val="24"/>
          <w:lang w:val="fr-CA"/>
        </w:rPr>
        <w:t xml:space="preserve">agent Tremblay.  Entre 3 h 30 </w:t>
      </w:r>
      <w:r w:rsidRPr="00CA43DD">
        <w:rPr>
          <w:rFonts w:cs="Times New Roman"/>
          <w:szCs w:val="24"/>
          <w:lang w:val="fr-CA"/>
        </w:rPr>
        <w:lastRenderedPageBreak/>
        <w:t>et 3 h 45, l</w:t>
      </w:r>
      <w:r>
        <w:rPr>
          <w:rFonts w:cs="Times New Roman"/>
          <w:szCs w:val="24"/>
          <w:lang w:val="fr-CA"/>
        </w:rPr>
        <w:t>’</w:t>
      </w:r>
      <w:r w:rsidRPr="00CA43DD">
        <w:rPr>
          <w:rFonts w:cs="Times New Roman"/>
          <w:szCs w:val="24"/>
          <w:lang w:val="fr-CA"/>
        </w:rPr>
        <w:t>agent Fortier s</w:t>
      </w:r>
      <w:r>
        <w:rPr>
          <w:rFonts w:cs="Times New Roman"/>
          <w:szCs w:val="24"/>
          <w:lang w:val="fr-CA"/>
        </w:rPr>
        <w:t>’</w:t>
      </w:r>
      <w:r w:rsidRPr="00CA43DD">
        <w:rPr>
          <w:rFonts w:cs="Times New Roman"/>
          <w:szCs w:val="24"/>
          <w:lang w:val="fr-CA"/>
        </w:rPr>
        <w:t>est acquitté de cette tâche et en a profité pour fouiller une autre fois le terrain.  Il a alors remarqué au moins une perforation repliée vers l</w:t>
      </w:r>
      <w:r>
        <w:rPr>
          <w:rFonts w:cs="Times New Roman"/>
          <w:szCs w:val="24"/>
          <w:lang w:val="fr-CA"/>
        </w:rPr>
        <w:t>’</w:t>
      </w:r>
      <w:r w:rsidRPr="00CA43DD">
        <w:rPr>
          <w:rFonts w:cs="Times New Roman"/>
          <w:szCs w:val="24"/>
          <w:lang w:val="fr-CA"/>
        </w:rPr>
        <w:t xml:space="preserve">intérieur dans la moustiquaire du </w:t>
      </w:r>
      <w:proofErr w:type="spellStart"/>
      <w:r w:rsidRPr="00CA43DD">
        <w:rPr>
          <w:rFonts w:cs="Times New Roman"/>
          <w:szCs w:val="24"/>
          <w:lang w:val="fr-CA"/>
        </w:rPr>
        <w:t>gazebo</w:t>
      </w:r>
      <w:proofErr w:type="spellEnd"/>
      <w:r w:rsidRPr="00CA43DD">
        <w:rPr>
          <w:rFonts w:cs="Times New Roman"/>
          <w:szCs w:val="24"/>
          <w:lang w:val="fr-CA"/>
        </w:rPr>
        <w:t>, un petit trou dans la vitre intérieure de la fenêtre du solarium, un grand trou dans la vitre extérieure de la fenêtre du solarium, des résidus de tir sur la partie intérieure de la fenêtre du solarium, deux petits trous dans la moustiquaire de la fenêtre du solarium et des éclats de verre au sol sous la fenêtre du solarium.  Le juge du procès conclut qu</w:t>
      </w:r>
      <w:r>
        <w:rPr>
          <w:rFonts w:cs="Times New Roman"/>
          <w:szCs w:val="24"/>
          <w:lang w:val="fr-CA"/>
        </w:rPr>
        <w:t>’</w:t>
      </w:r>
      <w:r w:rsidRPr="00CA43DD">
        <w:rPr>
          <w:rFonts w:cs="Times New Roman"/>
          <w:szCs w:val="24"/>
          <w:lang w:val="fr-CA"/>
        </w:rPr>
        <w:t>il s</w:t>
      </w:r>
      <w:r>
        <w:rPr>
          <w:rFonts w:cs="Times New Roman"/>
          <w:szCs w:val="24"/>
          <w:lang w:val="fr-CA"/>
        </w:rPr>
        <w:t>’</w:t>
      </w:r>
      <w:r w:rsidRPr="00CA43DD">
        <w:rPr>
          <w:rFonts w:cs="Times New Roman"/>
          <w:szCs w:val="24"/>
          <w:lang w:val="fr-CA"/>
        </w:rPr>
        <w:t>agit d</w:t>
      </w:r>
      <w:r>
        <w:rPr>
          <w:rFonts w:cs="Times New Roman"/>
          <w:szCs w:val="24"/>
          <w:lang w:val="fr-CA"/>
        </w:rPr>
        <w:t>’</w:t>
      </w:r>
      <w:r w:rsidRPr="00CA43DD">
        <w:rPr>
          <w:rFonts w:cs="Times New Roman"/>
          <w:szCs w:val="24"/>
          <w:lang w:val="fr-CA"/>
        </w:rPr>
        <w:t>une fouille périphérique non autorisée.</w:t>
      </w:r>
    </w:p>
    <w:p w:rsidR="00DC2386" w:rsidRPr="00CA43DD" w:rsidRDefault="00CF6E18" w:rsidP="00CF6E18">
      <w:pPr>
        <w:pStyle w:val="TitleTitre-AltT"/>
        <w:keepNext/>
        <w:tabs>
          <w:tab w:val="clear" w:pos="360"/>
          <w:tab w:val="left" w:pos="1170"/>
        </w:tabs>
        <w:spacing w:after="720"/>
        <w:ind w:left="1800" w:hanging="1800"/>
        <w:rPr>
          <w:rFonts w:cs="Times New Roman"/>
          <w:i/>
          <w:szCs w:val="24"/>
          <w:lang w:val="fr-CA"/>
        </w:rPr>
      </w:pPr>
      <w:r>
        <w:rPr>
          <w:rFonts w:cs="Times New Roman"/>
          <w:szCs w:val="24"/>
          <w:lang w:val="fr-CA"/>
        </w:rPr>
        <w:tab/>
      </w:r>
      <w:r w:rsidR="00DC2386" w:rsidRPr="00CA43DD">
        <w:rPr>
          <w:rFonts w:cs="Times New Roman"/>
          <w:szCs w:val="24"/>
          <w:lang w:val="fr-CA"/>
        </w:rPr>
        <w:t>i)</w:t>
      </w:r>
      <w:r w:rsidR="00DC2386" w:rsidRPr="00CA43DD">
        <w:rPr>
          <w:rFonts w:cs="Times New Roman"/>
          <w:szCs w:val="24"/>
          <w:lang w:val="fr-CA"/>
        </w:rPr>
        <w:tab/>
      </w:r>
      <w:r w:rsidR="00DC2386" w:rsidRPr="00CA43DD">
        <w:rPr>
          <w:rFonts w:cs="Times New Roman"/>
          <w:i/>
          <w:szCs w:val="24"/>
          <w:lang w:val="fr-CA"/>
        </w:rPr>
        <w:t xml:space="preserve">La délivrance de </w:t>
      </w:r>
      <w:proofErr w:type="spellStart"/>
      <w:r w:rsidR="00DC2386" w:rsidRPr="00CA43DD">
        <w:rPr>
          <w:rFonts w:cs="Times New Roman"/>
          <w:i/>
          <w:szCs w:val="24"/>
          <w:lang w:val="fr-CA"/>
        </w:rPr>
        <w:t>télémandats</w:t>
      </w:r>
      <w:proofErr w:type="spellEnd"/>
    </w:p>
    <w:p w:rsidR="00DC2386" w:rsidRPr="00CA43DD" w:rsidRDefault="00DC2386" w:rsidP="00DC2386">
      <w:pPr>
        <w:pStyle w:val="ParaNoNdepar-AltN"/>
        <w:rPr>
          <w:rFonts w:cs="Times New Roman"/>
          <w:szCs w:val="24"/>
          <w:lang w:val="fr-CA"/>
        </w:rPr>
      </w:pPr>
      <w:r w:rsidRPr="00CA43DD">
        <w:rPr>
          <w:rFonts w:cs="Times New Roman"/>
          <w:szCs w:val="24"/>
          <w:lang w:val="fr-CA"/>
        </w:rPr>
        <w:t xml:space="preserve">À 5 h 15, le sergent-enquêteur Briand a rédigé des demandes de </w:t>
      </w:r>
      <w:proofErr w:type="spellStart"/>
      <w:r w:rsidRPr="00CA43DD">
        <w:rPr>
          <w:rFonts w:cs="Times New Roman"/>
          <w:szCs w:val="24"/>
          <w:lang w:val="fr-CA"/>
        </w:rPr>
        <w:t>télémandats</w:t>
      </w:r>
      <w:proofErr w:type="spellEnd"/>
      <w:r w:rsidRPr="00CA43DD">
        <w:rPr>
          <w:rFonts w:cs="Times New Roman"/>
          <w:szCs w:val="24"/>
          <w:lang w:val="fr-CA"/>
        </w:rPr>
        <w:t xml:space="preserve"> (un visant l</w:t>
      </w:r>
      <w:r>
        <w:rPr>
          <w:rFonts w:cs="Times New Roman"/>
          <w:szCs w:val="24"/>
          <w:lang w:val="fr-CA"/>
        </w:rPr>
        <w:t>’</w:t>
      </w:r>
      <w:r w:rsidRPr="00CA43DD">
        <w:rPr>
          <w:rFonts w:cs="Times New Roman"/>
          <w:szCs w:val="24"/>
          <w:lang w:val="fr-CA"/>
        </w:rPr>
        <w:t>enregistrement de l</w:t>
      </w:r>
      <w:r>
        <w:rPr>
          <w:rFonts w:cs="Times New Roman"/>
          <w:szCs w:val="24"/>
          <w:lang w:val="fr-CA"/>
        </w:rPr>
        <w:t>’</w:t>
      </w:r>
      <w:r w:rsidRPr="00CA43DD">
        <w:rPr>
          <w:rFonts w:cs="Times New Roman"/>
          <w:szCs w:val="24"/>
          <w:lang w:val="fr-CA"/>
        </w:rPr>
        <w:t>appel au 9-1-1, un général et un de perquisition et saisie) dans lesquelles il alléguait avoir des motifs raisonnables et probables de croire qu</w:t>
      </w:r>
      <w:r>
        <w:rPr>
          <w:rFonts w:cs="Times New Roman"/>
          <w:szCs w:val="24"/>
          <w:lang w:val="fr-CA"/>
        </w:rPr>
        <w:t>’</w:t>
      </w:r>
      <w:r w:rsidRPr="00CA43DD">
        <w:rPr>
          <w:rFonts w:cs="Times New Roman"/>
          <w:szCs w:val="24"/>
          <w:lang w:val="fr-CA"/>
        </w:rPr>
        <w:t>un acte criminel, plus précisément une tentative de meurtre à l</w:t>
      </w:r>
      <w:r>
        <w:rPr>
          <w:rFonts w:cs="Times New Roman"/>
          <w:szCs w:val="24"/>
          <w:lang w:val="fr-CA"/>
        </w:rPr>
        <w:t>’</w:t>
      </w:r>
      <w:r w:rsidRPr="00CA43DD">
        <w:rPr>
          <w:rFonts w:cs="Times New Roman"/>
          <w:szCs w:val="24"/>
          <w:lang w:val="fr-CA"/>
        </w:rPr>
        <w:t>aide d</w:t>
      </w:r>
      <w:r>
        <w:rPr>
          <w:rFonts w:cs="Times New Roman"/>
          <w:szCs w:val="24"/>
          <w:lang w:val="fr-CA"/>
        </w:rPr>
        <w:t>’</w:t>
      </w:r>
      <w:r w:rsidRPr="00CA43DD">
        <w:rPr>
          <w:rFonts w:cs="Times New Roman"/>
          <w:szCs w:val="24"/>
          <w:lang w:val="fr-CA"/>
        </w:rPr>
        <w:t>une arme à feu, avait été commis chez l</w:t>
      </w:r>
      <w:r>
        <w:rPr>
          <w:rFonts w:cs="Times New Roman"/>
          <w:szCs w:val="24"/>
          <w:lang w:val="fr-CA"/>
        </w:rPr>
        <w:t>’</w:t>
      </w:r>
      <w:r w:rsidRPr="00CA43DD">
        <w:rPr>
          <w:rFonts w:cs="Times New Roman"/>
          <w:szCs w:val="24"/>
          <w:lang w:val="fr-CA"/>
        </w:rPr>
        <w:t>appelante le 22 juillet en soirée.  Il précisait avoir des motifs raisonnables et probables de croire que le coup de feu avait été tiré de l</w:t>
      </w:r>
      <w:r>
        <w:rPr>
          <w:rFonts w:cs="Times New Roman"/>
          <w:szCs w:val="24"/>
          <w:lang w:val="fr-CA"/>
        </w:rPr>
        <w:t>’</w:t>
      </w:r>
      <w:r w:rsidRPr="00CA43DD">
        <w:rPr>
          <w:rFonts w:cs="Times New Roman"/>
          <w:szCs w:val="24"/>
          <w:lang w:val="fr-CA"/>
        </w:rPr>
        <w:t>intérieur de la résidence.</w:t>
      </w:r>
    </w:p>
    <w:p w:rsidR="00DC2386" w:rsidRPr="00CA43DD" w:rsidRDefault="00DC2386" w:rsidP="00DC2386">
      <w:pPr>
        <w:pStyle w:val="ParaNoNdepar-AltN"/>
        <w:rPr>
          <w:rFonts w:cs="Times New Roman"/>
          <w:szCs w:val="24"/>
          <w:lang w:val="fr-CA"/>
        </w:rPr>
      </w:pPr>
      <w:r w:rsidRPr="00CA43DD">
        <w:rPr>
          <w:rFonts w:cs="Times New Roman"/>
          <w:szCs w:val="24"/>
          <w:lang w:val="fr-CA"/>
        </w:rPr>
        <w:t>Le juge du procès relève que le sergent-enquêteur Briand a omis d</w:t>
      </w:r>
      <w:r>
        <w:rPr>
          <w:rFonts w:cs="Times New Roman"/>
          <w:szCs w:val="24"/>
          <w:lang w:val="fr-CA"/>
        </w:rPr>
        <w:t>’</w:t>
      </w:r>
      <w:r w:rsidRPr="00CA43DD">
        <w:rPr>
          <w:rFonts w:cs="Times New Roman"/>
          <w:szCs w:val="24"/>
          <w:lang w:val="fr-CA"/>
        </w:rPr>
        <w:t>exposer tous les faits pertinents de manière complète et sincère dans la dénonciation visant l</w:t>
      </w:r>
      <w:r>
        <w:rPr>
          <w:rFonts w:cs="Times New Roman"/>
          <w:szCs w:val="24"/>
          <w:lang w:val="fr-CA"/>
        </w:rPr>
        <w:t>’</w:t>
      </w:r>
      <w:r w:rsidRPr="00CA43DD">
        <w:rPr>
          <w:rFonts w:cs="Times New Roman"/>
          <w:szCs w:val="24"/>
          <w:lang w:val="fr-CA"/>
        </w:rPr>
        <w:t xml:space="preserve">obtention des mandats.  Par exemple, le par. 5 de la dénonciation est trompeur, car on y laisse entendre que certaines des constatations relatives au </w:t>
      </w:r>
      <w:r w:rsidRPr="00CA43DD">
        <w:rPr>
          <w:rFonts w:cs="Times New Roman"/>
          <w:szCs w:val="24"/>
          <w:lang w:val="fr-CA"/>
        </w:rPr>
        <w:lastRenderedPageBreak/>
        <w:t xml:space="preserve">solarium et au </w:t>
      </w:r>
      <w:proofErr w:type="spellStart"/>
      <w:r w:rsidRPr="00CA43DD">
        <w:rPr>
          <w:rFonts w:cs="Times New Roman"/>
          <w:szCs w:val="24"/>
          <w:lang w:val="fr-CA"/>
        </w:rPr>
        <w:t>gazebo</w:t>
      </w:r>
      <w:proofErr w:type="spellEnd"/>
      <w:r w:rsidRPr="00CA43DD">
        <w:rPr>
          <w:rFonts w:cs="Times New Roman"/>
          <w:szCs w:val="24"/>
          <w:lang w:val="fr-CA"/>
        </w:rPr>
        <w:t xml:space="preserve"> ont été faites par inadvertance, passant ainsi sous silence que l</w:t>
      </w:r>
      <w:r>
        <w:rPr>
          <w:rFonts w:cs="Times New Roman"/>
          <w:szCs w:val="24"/>
          <w:lang w:val="fr-CA"/>
        </w:rPr>
        <w:t>’</w:t>
      </w:r>
      <w:r w:rsidRPr="00CA43DD">
        <w:rPr>
          <w:rFonts w:cs="Times New Roman"/>
          <w:szCs w:val="24"/>
          <w:lang w:val="fr-CA"/>
        </w:rPr>
        <w:t>agent Fortier en avait déjà fait un certain nombre lors d</w:t>
      </w:r>
      <w:r>
        <w:rPr>
          <w:rFonts w:cs="Times New Roman"/>
          <w:szCs w:val="24"/>
          <w:lang w:val="fr-CA"/>
        </w:rPr>
        <w:t>’</w:t>
      </w:r>
      <w:r w:rsidRPr="00CA43DD">
        <w:rPr>
          <w:rFonts w:cs="Times New Roman"/>
          <w:szCs w:val="24"/>
          <w:lang w:val="fr-CA"/>
        </w:rPr>
        <w:t>une fouille inconstitutionnelle effectuée un peu plus tôt avec l</w:t>
      </w:r>
      <w:r>
        <w:rPr>
          <w:rFonts w:cs="Times New Roman"/>
          <w:szCs w:val="24"/>
          <w:lang w:val="fr-CA"/>
        </w:rPr>
        <w:t>’</w:t>
      </w:r>
      <w:r w:rsidRPr="00CA43DD">
        <w:rPr>
          <w:rFonts w:cs="Times New Roman"/>
          <w:szCs w:val="24"/>
          <w:lang w:val="fr-CA"/>
        </w:rPr>
        <w:t>agent Tremblay.  Le juge du procès est aussi perturbé par l</w:t>
      </w:r>
      <w:r>
        <w:rPr>
          <w:rFonts w:cs="Times New Roman"/>
          <w:szCs w:val="24"/>
          <w:lang w:val="fr-CA"/>
        </w:rPr>
        <w:t>’</w:t>
      </w:r>
      <w:r w:rsidRPr="00CA43DD">
        <w:rPr>
          <w:rFonts w:cs="Times New Roman"/>
          <w:szCs w:val="24"/>
          <w:lang w:val="fr-CA"/>
        </w:rPr>
        <w:t>omission du sergent-enquêteur Briand de mentionner la fouille illégale effectuée par les agents Tremblay et Mathieu plus tôt dans la soirée et leur décision de taire à M</w:t>
      </w:r>
      <w:r w:rsidRPr="00CA43DD">
        <w:rPr>
          <w:rFonts w:cs="Times New Roman"/>
          <w:szCs w:val="24"/>
          <w:vertAlign w:val="superscript"/>
          <w:lang w:val="fr-CA"/>
        </w:rPr>
        <w:t>me </w:t>
      </w:r>
      <w:r w:rsidRPr="00CA43DD">
        <w:rPr>
          <w:rFonts w:cs="Times New Roman"/>
          <w:szCs w:val="24"/>
          <w:lang w:val="fr-CA"/>
        </w:rPr>
        <w:t>Côté la blessure par balle infligée à la victime.</w:t>
      </w:r>
    </w:p>
    <w:p w:rsidR="00DC2386" w:rsidRPr="00CA43DD" w:rsidRDefault="00DC2386" w:rsidP="00DC2386">
      <w:pPr>
        <w:pStyle w:val="ParaNoNdepar-AltN"/>
        <w:rPr>
          <w:rFonts w:cs="Times New Roman"/>
          <w:szCs w:val="24"/>
          <w:lang w:val="fr-CA"/>
        </w:rPr>
      </w:pPr>
      <w:r w:rsidRPr="00CA43DD">
        <w:rPr>
          <w:rFonts w:cs="Times New Roman"/>
          <w:szCs w:val="24"/>
          <w:lang w:val="fr-CA"/>
        </w:rPr>
        <w:t xml:space="preserve">Le </w:t>
      </w:r>
      <w:proofErr w:type="spellStart"/>
      <w:r w:rsidRPr="00CA43DD">
        <w:rPr>
          <w:rFonts w:cs="Times New Roman"/>
          <w:szCs w:val="24"/>
          <w:lang w:val="fr-CA"/>
        </w:rPr>
        <w:t>télémandat</w:t>
      </w:r>
      <w:proofErr w:type="spellEnd"/>
      <w:r w:rsidRPr="00CA43DD">
        <w:rPr>
          <w:rFonts w:cs="Times New Roman"/>
          <w:szCs w:val="24"/>
          <w:lang w:val="fr-CA"/>
        </w:rPr>
        <w:t xml:space="preserve"> général et celui de perquisition et saisie ont été exécutés à la résidence de l</w:t>
      </w:r>
      <w:r>
        <w:rPr>
          <w:rFonts w:cs="Times New Roman"/>
          <w:szCs w:val="24"/>
          <w:lang w:val="fr-CA"/>
        </w:rPr>
        <w:t>’</w:t>
      </w:r>
      <w:r w:rsidRPr="00CA43DD">
        <w:rPr>
          <w:rFonts w:cs="Times New Roman"/>
          <w:szCs w:val="24"/>
          <w:lang w:val="fr-CA"/>
        </w:rPr>
        <w:t>appelante le 23 juillet 2006, à 10 h 35, par le sergent-enquêteur Briand et l</w:t>
      </w:r>
      <w:r>
        <w:rPr>
          <w:rFonts w:cs="Times New Roman"/>
          <w:szCs w:val="24"/>
          <w:lang w:val="fr-CA"/>
        </w:rPr>
        <w:t>’</w:t>
      </w:r>
      <w:r w:rsidRPr="00CA43DD">
        <w:rPr>
          <w:rFonts w:cs="Times New Roman"/>
          <w:szCs w:val="24"/>
          <w:lang w:val="fr-CA"/>
        </w:rPr>
        <w:t xml:space="preserve">agent Alain Gaucher.  En fouillant la maison, ils ont trouvé un fusil de calibre </w:t>
      </w:r>
      <w:r w:rsidR="007F3DE7">
        <w:rPr>
          <w:rFonts w:cs="Times New Roman"/>
          <w:szCs w:val="24"/>
          <w:lang w:val="fr-CA"/>
        </w:rPr>
        <w:t>.</w:t>
      </w:r>
      <w:r w:rsidRPr="00CA43DD">
        <w:rPr>
          <w:rFonts w:cs="Times New Roman"/>
          <w:szCs w:val="24"/>
          <w:lang w:val="fr-CA"/>
        </w:rPr>
        <w:t>10 sous étui dans la penderie de la chambre à coucher et une carabine de calibre </w:t>
      </w:r>
      <w:r w:rsidR="007F3DE7">
        <w:rPr>
          <w:rFonts w:cs="Times New Roman"/>
          <w:szCs w:val="24"/>
          <w:lang w:val="fr-CA"/>
        </w:rPr>
        <w:t>.</w:t>
      </w:r>
      <w:r w:rsidRPr="00CA43DD">
        <w:rPr>
          <w:rFonts w:cs="Times New Roman"/>
          <w:szCs w:val="24"/>
          <w:lang w:val="fr-CA"/>
        </w:rPr>
        <w:t xml:space="preserve">22 sans étui dans un placard du </w:t>
      </w:r>
      <w:proofErr w:type="spellStart"/>
      <w:r w:rsidRPr="00CA43DD">
        <w:rPr>
          <w:rFonts w:cs="Times New Roman"/>
          <w:szCs w:val="24"/>
          <w:lang w:val="fr-CA"/>
        </w:rPr>
        <w:t>sous</w:t>
      </w:r>
      <w:r w:rsidRPr="00CA43DD">
        <w:rPr>
          <w:rFonts w:cs="Times New Roman"/>
          <w:szCs w:val="24"/>
          <w:lang w:val="fr-CA"/>
        </w:rPr>
        <w:noBreakHyphen/>
        <w:t>sol</w:t>
      </w:r>
      <w:proofErr w:type="spellEnd"/>
      <w:r w:rsidRPr="00CA43DD">
        <w:rPr>
          <w:rFonts w:cs="Times New Roman"/>
          <w:szCs w:val="24"/>
          <w:lang w:val="fr-CA"/>
        </w:rPr>
        <w:t>.  Le juge du procès signale que l</w:t>
      </w:r>
      <w:r>
        <w:rPr>
          <w:rFonts w:cs="Times New Roman"/>
          <w:szCs w:val="24"/>
          <w:lang w:val="fr-CA"/>
        </w:rPr>
        <w:t>’</w:t>
      </w:r>
      <w:r w:rsidRPr="00CA43DD">
        <w:rPr>
          <w:rFonts w:cs="Times New Roman"/>
          <w:szCs w:val="24"/>
          <w:lang w:val="fr-CA"/>
        </w:rPr>
        <w:t xml:space="preserve">arme trouvée au </w:t>
      </w:r>
      <w:proofErr w:type="spellStart"/>
      <w:r w:rsidRPr="00CA43DD">
        <w:rPr>
          <w:rFonts w:cs="Times New Roman"/>
          <w:szCs w:val="24"/>
          <w:lang w:val="fr-CA"/>
        </w:rPr>
        <w:t>sous</w:t>
      </w:r>
      <w:r w:rsidRPr="00CA43DD">
        <w:rPr>
          <w:rFonts w:cs="Times New Roman"/>
          <w:szCs w:val="24"/>
          <w:lang w:val="fr-CA"/>
        </w:rPr>
        <w:noBreakHyphen/>
        <w:t>sol</w:t>
      </w:r>
      <w:proofErr w:type="spellEnd"/>
      <w:r w:rsidRPr="00CA43DD">
        <w:rPr>
          <w:rFonts w:cs="Times New Roman"/>
          <w:szCs w:val="24"/>
          <w:lang w:val="fr-CA"/>
        </w:rPr>
        <w:t xml:space="preserve"> est du même calibre que celui du projectile retiré du crâne de la victime.</w:t>
      </w:r>
    </w:p>
    <w:p w:rsidR="00DC2386" w:rsidRPr="00CA43DD" w:rsidRDefault="00DC2386" w:rsidP="00DC2386">
      <w:pPr>
        <w:pStyle w:val="ParaNoNdepar-AltN"/>
        <w:rPr>
          <w:rFonts w:cs="Times New Roman"/>
          <w:szCs w:val="24"/>
          <w:lang w:val="fr-CA"/>
        </w:rPr>
      </w:pPr>
      <w:r w:rsidRPr="00CA43DD">
        <w:rPr>
          <w:rFonts w:cs="Times New Roman"/>
          <w:szCs w:val="24"/>
          <w:lang w:val="fr-CA"/>
        </w:rPr>
        <w:t>Le juge du procès conclut à l</w:t>
      </w:r>
      <w:r>
        <w:rPr>
          <w:rFonts w:cs="Times New Roman"/>
          <w:szCs w:val="24"/>
          <w:lang w:val="fr-CA"/>
        </w:rPr>
        <w:t>’</w:t>
      </w:r>
      <w:r w:rsidRPr="00CA43DD">
        <w:rPr>
          <w:rFonts w:cs="Times New Roman"/>
          <w:szCs w:val="24"/>
          <w:lang w:val="fr-CA"/>
        </w:rPr>
        <w:t xml:space="preserve">invalidité du </w:t>
      </w:r>
      <w:proofErr w:type="spellStart"/>
      <w:r w:rsidRPr="00CA43DD">
        <w:rPr>
          <w:rFonts w:cs="Times New Roman"/>
          <w:szCs w:val="24"/>
          <w:lang w:val="fr-CA"/>
        </w:rPr>
        <w:t>télémandat</w:t>
      </w:r>
      <w:proofErr w:type="spellEnd"/>
      <w:r w:rsidRPr="00CA43DD">
        <w:rPr>
          <w:rFonts w:cs="Times New Roman"/>
          <w:szCs w:val="24"/>
          <w:lang w:val="fr-CA"/>
        </w:rPr>
        <w:t xml:space="preserve"> général et du </w:t>
      </w:r>
      <w:proofErr w:type="spellStart"/>
      <w:r w:rsidRPr="00CA43DD">
        <w:rPr>
          <w:rFonts w:cs="Times New Roman"/>
          <w:szCs w:val="24"/>
          <w:lang w:val="fr-CA"/>
        </w:rPr>
        <w:t>télémandat</w:t>
      </w:r>
      <w:proofErr w:type="spellEnd"/>
      <w:r w:rsidRPr="00CA43DD">
        <w:rPr>
          <w:rFonts w:cs="Times New Roman"/>
          <w:szCs w:val="24"/>
          <w:lang w:val="fr-CA"/>
        </w:rPr>
        <w:t xml:space="preserve"> de perquisition et saisie.  Selon lui, la police avait dû constater une faille dans les interventions des agents Tremblay, Mathieu et Fortier et demander alors les mandats pour remédier à l</w:t>
      </w:r>
      <w:r>
        <w:rPr>
          <w:rFonts w:cs="Times New Roman"/>
          <w:szCs w:val="24"/>
          <w:lang w:val="fr-CA"/>
        </w:rPr>
        <w:t>’</w:t>
      </w:r>
      <w:r w:rsidRPr="00CA43DD">
        <w:rPr>
          <w:rFonts w:cs="Times New Roman"/>
          <w:szCs w:val="24"/>
          <w:lang w:val="fr-CA"/>
        </w:rPr>
        <w:t>inconstitutionnalité de leurs actes.  Il ajoute que les mandats sont invalides parce que si les renseignements obtenus de façon inconstitutionnelle étaient retranchés de la dénonciation, les données restantes (par. 1</w:t>
      </w:r>
      <w:r w:rsidRPr="00CA43DD">
        <w:rPr>
          <w:rFonts w:cs="Times New Roman"/>
          <w:szCs w:val="24"/>
          <w:lang w:val="fr-CA"/>
        </w:rPr>
        <w:noBreakHyphen/>
        <w:t xml:space="preserve">3 et 8) ne constitueraient pas « quelque élément de preuve auquel le juge aurait pu raisonnablement ajouter foi pour faire droit à la demande » (par. 266, citant </w:t>
      </w:r>
      <w:r w:rsidRPr="00CA43DD">
        <w:rPr>
          <w:rFonts w:cs="Times New Roman"/>
          <w:szCs w:val="24"/>
          <w:lang w:val="fr-CA"/>
        </w:rPr>
        <w:lastRenderedPageBreak/>
        <w:t>l</w:t>
      </w:r>
      <w:r>
        <w:rPr>
          <w:rFonts w:cs="Times New Roman"/>
          <w:szCs w:val="24"/>
          <w:lang w:val="fr-CA"/>
        </w:rPr>
        <w:t>’</w:t>
      </w:r>
      <w:r w:rsidRPr="00CA43DD">
        <w:rPr>
          <w:rFonts w:cs="Times New Roman"/>
          <w:szCs w:val="24"/>
          <w:lang w:val="fr-CA"/>
        </w:rPr>
        <w:t xml:space="preserve">arrêt </w:t>
      </w:r>
      <w:r w:rsidRPr="00CA43DD">
        <w:rPr>
          <w:rFonts w:cs="Times New Roman"/>
          <w:i/>
          <w:szCs w:val="24"/>
          <w:lang w:val="fr-CA"/>
        </w:rPr>
        <w:t>R. c. Araujo</w:t>
      </w:r>
      <w:r w:rsidRPr="00CA43DD">
        <w:rPr>
          <w:rFonts w:cs="Times New Roman"/>
          <w:szCs w:val="24"/>
          <w:lang w:val="fr-CA"/>
        </w:rPr>
        <w:t>, 2000 CSC 65, [2000] 2 R.C.S. 992, par. 51).  Aussi, il y a invalidité en raison de l</w:t>
      </w:r>
      <w:r>
        <w:rPr>
          <w:rFonts w:cs="Times New Roman"/>
          <w:szCs w:val="24"/>
          <w:lang w:val="fr-CA"/>
        </w:rPr>
        <w:t>’</w:t>
      </w:r>
      <w:r w:rsidRPr="00CA43DD">
        <w:rPr>
          <w:rFonts w:cs="Times New Roman"/>
          <w:szCs w:val="24"/>
          <w:lang w:val="fr-CA"/>
        </w:rPr>
        <w:t xml:space="preserve">absence de renseignements pertinents et de la présence de renseignements délibérément trompeurs, notamment au par. 5, qui </w:t>
      </w:r>
      <w:proofErr w:type="gramStart"/>
      <w:r w:rsidRPr="00CA43DD">
        <w:rPr>
          <w:rFonts w:cs="Times New Roman"/>
          <w:szCs w:val="24"/>
          <w:lang w:val="fr-CA"/>
        </w:rPr>
        <w:t>laisse</w:t>
      </w:r>
      <w:proofErr w:type="gramEnd"/>
      <w:r w:rsidRPr="00CA43DD">
        <w:rPr>
          <w:rFonts w:cs="Times New Roman"/>
          <w:szCs w:val="24"/>
          <w:lang w:val="fr-CA"/>
        </w:rPr>
        <w:t xml:space="preserve"> entendre que l</w:t>
      </w:r>
      <w:r>
        <w:rPr>
          <w:rFonts w:cs="Times New Roman"/>
          <w:szCs w:val="24"/>
          <w:lang w:val="fr-CA"/>
        </w:rPr>
        <w:t>’</w:t>
      </w:r>
      <w:r w:rsidRPr="00CA43DD">
        <w:rPr>
          <w:rFonts w:cs="Times New Roman"/>
          <w:szCs w:val="24"/>
          <w:lang w:val="fr-CA"/>
        </w:rPr>
        <w:t>agent Fortier a fait certaines constatations par inadvertance lors de l</w:t>
      </w:r>
      <w:r>
        <w:rPr>
          <w:rFonts w:cs="Times New Roman"/>
          <w:szCs w:val="24"/>
          <w:lang w:val="fr-CA"/>
        </w:rPr>
        <w:t>’</w:t>
      </w:r>
      <w:r w:rsidRPr="00CA43DD">
        <w:rPr>
          <w:rFonts w:cs="Times New Roman"/>
          <w:szCs w:val="24"/>
          <w:lang w:val="fr-CA"/>
        </w:rPr>
        <w:t>agrandissement du périmètre de sécurité, alors qu</w:t>
      </w:r>
      <w:r>
        <w:rPr>
          <w:rFonts w:cs="Times New Roman"/>
          <w:szCs w:val="24"/>
          <w:lang w:val="fr-CA"/>
        </w:rPr>
        <w:t>’</w:t>
      </w:r>
      <w:r w:rsidRPr="00CA43DD">
        <w:rPr>
          <w:rFonts w:cs="Times New Roman"/>
          <w:szCs w:val="24"/>
          <w:lang w:val="fr-CA"/>
        </w:rPr>
        <w:t>il a fait la plupart d</w:t>
      </w:r>
      <w:r>
        <w:rPr>
          <w:rFonts w:cs="Times New Roman"/>
          <w:szCs w:val="24"/>
          <w:lang w:val="fr-CA"/>
        </w:rPr>
        <w:t>’</w:t>
      </w:r>
      <w:r w:rsidRPr="00CA43DD">
        <w:rPr>
          <w:rFonts w:cs="Times New Roman"/>
          <w:szCs w:val="24"/>
          <w:lang w:val="fr-CA"/>
        </w:rPr>
        <w:t>entre elles plus tôt pendant la fouille inconstitutionnelle de la résidence avec l</w:t>
      </w:r>
      <w:r>
        <w:rPr>
          <w:rFonts w:cs="Times New Roman"/>
          <w:szCs w:val="24"/>
          <w:lang w:val="fr-CA"/>
        </w:rPr>
        <w:t>’</w:t>
      </w:r>
      <w:r w:rsidRPr="00CA43DD">
        <w:rPr>
          <w:rFonts w:cs="Times New Roman"/>
          <w:szCs w:val="24"/>
          <w:lang w:val="fr-CA"/>
        </w:rPr>
        <w:t>agent Tremblay.  Se fondant sur l</w:t>
      </w:r>
      <w:r>
        <w:rPr>
          <w:rFonts w:cs="Times New Roman"/>
          <w:szCs w:val="24"/>
          <w:lang w:val="fr-CA"/>
        </w:rPr>
        <w:t>’</w:t>
      </w:r>
      <w:r w:rsidRPr="00CA43DD">
        <w:rPr>
          <w:rFonts w:cs="Times New Roman"/>
          <w:szCs w:val="24"/>
          <w:lang w:val="fr-CA"/>
        </w:rPr>
        <w:t xml:space="preserve">arrêt </w:t>
      </w:r>
      <w:r w:rsidRPr="00CA43DD">
        <w:rPr>
          <w:rFonts w:cs="Times New Roman"/>
          <w:i/>
          <w:szCs w:val="24"/>
          <w:lang w:val="fr-CA"/>
        </w:rPr>
        <w:t>R. c. Grant</w:t>
      </w:r>
      <w:r w:rsidRPr="00CA43DD">
        <w:rPr>
          <w:rFonts w:cs="Times New Roman"/>
          <w:szCs w:val="24"/>
          <w:lang w:val="fr-CA"/>
        </w:rPr>
        <w:t>,</w:t>
      </w:r>
      <w:r w:rsidRPr="00CA43DD">
        <w:rPr>
          <w:rFonts w:cs="Times New Roman"/>
          <w:i/>
          <w:szCs w:val="24"/>
          <w:lang w:val="fr-CA"/>
        </w:rPr>
        <w:t xml:space="preserve"> </w:t>
      </w:r>
      <w:r w:rsidRPr="00CA43DD">
        <w:rPr>
          <w:rFonts w:cs="Times New Roman"/>
          <w:szCs w:val="24"/>
          <w:lang w:val="fr-CA"/>
        </w:rPr>
        <w:t>[1993] 3 R.C.S. 223, p. 254</w:t>
      </w:r>
      <w:r>
        <w:rPr>
          <w:rFonts w:cs="Times New Roman"/>
          <w:szCs w:val="24"/>
          <w:lang w:val="fr-CA"/>
        </w:rPr>
        <w:t>-255</w:t>
      </w:r>
      <w:r w:rsidRPr="00CA43DD">
        <w:rPr>
          <w:rFonts w:cs="Times New Roman"/>
          <w:szCs w:val="24"/>
          <w:lang w:val="fr-CA"/>
        </w:rPr>
        <w:t xml:space="preserve"> (« </w:t>
      </w:r>
      <w:r w:rsidRPr="00CA43DD">
        <w:rPr>
          <w:rFonts w:cs="Times New Roman"/>
          <w:i/>
          <w:szCs w:val="24"/>
          <w:lang w:val="fr-CA"/>
        </w:rPr>
        <w:t>Grant 1993</w:t>
      </w:r>
      <w:r w:rsidRPr="00CA43DD">
        <w:rPr>
          <w:rFonts w:cs="Times New Roman"/>
          <w:szCs w:val="24"/>
          <w:lang w:val="fr-CA"/>
        </w:rPr>
        <w:t> »), le juge du procès conclut que l</w:t>
      </w:r>
      <w:r>
        <w:rPr>
          <w:rFonts w:cs="Times New Roman"/>
          <w:szCs w:val="24"/>
          <w:lang w:val="fr-CA"/>
        </w:rPr>
        <w:t>’</w:t>
      </w:r>
      <w:r w:rsidRPr="00CA43DD">
        <w:rPr>
          <w:rFonts w:cs="Times New Roman"/>
          <w:szCs w:val="24"/>
          <w:lang w:val="fr-CA"/>
        </w:rPr>
        <w:t>ensemble du processus de perquisition est vicié par le fait que les fouilles périphériques sans mandat ont porté atteinte au droit garanti à l</w:t>
      </w:r>
      <w:r>
        <w:rPr>
          <w:rFonts w:cs="Times New Roman"/>
          <w:szCs w:val="24"/>
          <w:lang w:val="fr-CA"/>
        </w:rPr>
        <w:t>’</w:t>
      </w:r>
      <w:r w:rsidRPr="00CA43DD">
        <w:rPr>
          <w:rFonts w:cs="Times New Roman"/>
          <w:szCs w:val="24"/>
          <w:lang w:val="fr-CA"/>
        </w:rPr>
        <w:t>art. 8.</w:t>
      </w:r>
    </w:p>
    <w:p w:rsidR="00DC2386" w:rsidRPr="00CA43DD" w:rsidRDefault="00CF6E18" w:rsidP="00CF6E18">
      <w:pPr>
        <w:pStyle w:val="TitleTitre-AltT"/>
        <w:keepNext/>
        <w:tabs>
          <w:tab w:val="clear" w:pos="360"/>
          <w:tab w:val="left" w:pos="1170"/>
        </w:tabs>
        <w:spacing w:after="720"/>
        <w:ind w:left="1800" w:hanging="1800"/>
        <w:rPr>
          <w:rFonts w:cs="Times New Roman"/>
          <w:i/>
          <w:szCs w:val="24"/>
          <w:lang w:val="fr-CA"/>
        </w:rPr>
      </w:pPr>
      <w:r>
        <w:rPr>
          <w:rFonts w:cs="Times New Roman"/>
          <w:szCs w:val="24"/>
          <w:lang w:val="fr-CA"/>
        </w:rPr>
        <w:tab/>
      </w:r>
      <w:r w:rsidR="00DC2386" w:rsidRPr="00CA43DD">
        <w:rPr>
          <w:rFonts w:cs="Times New Roman"/>
          <w:szCs w:val="24"/>
          <w:lang w:val="fr-CA"/>
        </w:rPr>
        <w:t>j)</w:t>
      </w:r>
      <w:r w:rsidR="00DC2386" w:rsidRPr="00CA43DD">
        <w:rPr>
          <w:rFonts w:cs="Times New Roman"/>
          <w:i/>
          <w:szCs w:val="24"/>
          <w:lang w:val="fr-CA"/>
        </w:rPr>
        <w:tab/>
        <w:t>La première mise en garde</w:t>
      </w:r>
    </w:p>
    <w:p w:rsidR="00DC2386" w:rsidRPr="00CA43DD" w:rsidRDefault="00DC2386" w:rsidP="00DC2386">
      <w:pPr>
        <w:pStyle w:val="ParaNoNdepar-AltN"/>
        <w:rPr>
          <w:rFonts w:cs="Times New Roman"/>
          <w:szCs w:val="24"/>
          <w:lang w:val="fr-CA"/>
        </w:rPr>
      </w:pPr>
      <w:r w:rsidRPr="00CA43DD">
        <w:rPr>
          <w:rFonts w:cs="Times New Roman"/>
          <w:szCs w:val="24"/>
          <w:lang w:val="fr-CA"/>
        </w:rPr>
        <w:t>Rappelons que l</w:t>
      </w:r>
      <w:r>
        <w:rPr>
          <w:rFonts w:cs="Times New Roman"/>
          <w:szCs w:val="24"/>
          <w:lang w:val="fr-CA"/>
        </w:rPr>
        <w:t>’</w:t>
      </w:r>
      <w:r w:rsidRPr="00CA43DD">
        <w:rPr>
          <w:rFonts w:cs="Times New Roman"/>
          <w:szCs w:val="24"/>
          <w:lang w:val="fr-CA"/>
        </w:rPr>
        <w:t>appelante a été mise en garde et informée de son droit à l</w:t>
      </w:r>
      <w:r>
        <w:rPr>
          <w:rFonts w:cs="Times New Roman"/>
          <w:szCs w:val="24"/>
          <w:lang w:val="fr-CA"/>
        </w:rPr>
        <w:t>’</w:t>
      </w:r>
      <w:r w:rsidRPr="00CA43DD">
        <w:rPr>
          <w:rFonts w:cs="Times New Roman"/>
          <w:szCs w:val="24"/>
          <w:lang w:val="fr-CA"/>
        </w:rPr>
        <w:t>avocat à 5 h 23 par l</w:t>
      </w:r>
      <w:r>
        <w:rPr>
          <w:rFonts w:cs="Times New Roman"/>
          <w:szCs w:val="24"/>
          <w:lang w:val="fr-CA"/>
        </w:rPr>
        <w:t>’</w:t>
      </w:r>
      <w:r w:rsidRPr="00CA43DD">
        <w:rPr>
          <w:rFonts w:cs="Times New Roman"/>
          <w:szCs w:val="24"/>
          <w:lang w:val="fr-CA"/>
        </w:rPr>
        <w:t>enquêteur Bellemare.  C</w:t>
      </w:r>
      <w:r>
        <w:rPr>
          <w:rFonts w:cs="Times New Roman"/>
          <w:szCs w:val="24"/>
          <w:lang w:val="fr-CA"/>
        </w:rPr>
        <w:t>’</w:t>
      </w:r>
      <w:r w:rsidRPr="00CA43DD">
        <w:rPr>
          <w:rFonts w:cs="Times New Roman"/>
          <w:szCs w:val="24"/>
          <w:lang w:val="fr-CA"/>
        </w:rPr>
        <w:t>était la première fois qu</w:t>
      </w:r>
      <w:r>
        <w:rPr>
          <w:rFonts w:cs="Times New Roman"/>
          <w:szCs w:val="24"/>
          <w:lang w:val="fr-CA"/>
        </w:rPr>
        <w:t>’</w:t>
      </w:r>
      <w:r w:rsidRPr="00CA43DD">
        <w:rPr>
          <w:rFonts w:cs="Times New Roman"/>
          <w:szCs w:val="24"/>
          <w:lang w:val="fr-CA"/>
        </w:rPr>
        <w:t>elle l</w:t>
      </w:r>
      <w:r>
        <w:rPr>
          <w:rFonts w:cs="Times New Roman"/>
          <w:szCs w:val="24"/>
          <w:lang w:val="fr-CA"/>
        </w:rPr>
        <w:t>’</w:t>
      </w:r>
      <w:r w:rsidRPr="00CA43DD">
        <w:rPr>
          <w:rFonts w:cs="Times New Roman"/>
          <w:szCs w:val="24"/>
          <w:lang w:val="fr-CA"/>
        </w:rPr>
        <w:t>était même si elle était détenue depuis 0 h 27.  Aussi, elle a été mise en garde uniquement à titre de « témoin important » relativement à la tentative de meurtre sur la personne d</w:t>
      </w:r>
      <w:r>
        <w:rPr>
          <w:rFonts w:cs="Times New Roman"/>
          <w:szCs w:val="24"/>
          <w:lang w:val="fr-CA"/>
        </w:rPr>
        <w:t>’</w:t>
      </w:r>
      <w:r w:rsidRPr="00CA43DD">
        <w:rPr>
          <w:rFonts w:cs="Times New Roman"/>
          <w:szCs w:val="24"/>
          <w:lang w:val="fr-CA"/>
        </w:rPr>
        <w:t xml:space="preserve">André </w:t>
      </w:r>
      <w:proofErr w:type="spellStart"/>
      <w:r w:rsidRPr="00CA43DD">
        <w:rPr>
          <w:rFonts w:cs="Times New Roman"/>
          <w:szCs w:val="24"/>
          <w:lang w:val="fr-CA"/>
        </w:rPr>
        <w:t>Hogue</w:t>
      </w:r>
      <w:proofErr w:type="spellEnd"/>
      <w:r w:rsidRPr="00CA43DD">
        <w:rPr>
          <w:rFonts w:cs="Times New Roman"/>
          <w:szCs w:val="24"/>
          <w:lang w:val="fr-CA"/>
        </w:rPr>
        <w:t>.  L</w:t>
      </w:r>
      <w:r>
        <w:rPr>
          <w:rFonts w:cs="Times New Roman"/>
          <w:szCs w:val="24"/>
          <w:lang w:val="fr-CA"/>
        </w:rPr>
        <w:t>’</w:t>
      </w:r>
      <w:r w:rsidRPr="00CA43DD">
        <w:rPr>
          <w:rFonts w:cs="Times New Roman"/>
          <w:szCs w:val="24"/>
          <w:lang w:val="fr-CA"/>
        </w:rPr>
        <w:t>enquêteur Bellemare a fait la mise en garde habituelle, mais il en a biffé les mots « arrêté ou détenu » pour les remplacer par « témoin » (témoignage de l</w:t>
      </w:r>
      <w:r>
        <w:rPr>
          <w:rFonts w:cs="Times New Roman"/>
          <w:szCs w:val="24"/>
          <w:lang w:val="fr-CA"/>
        </w:rPr>
        <w:t>’</w:t>
      </w:r>
      <w:r w:rsidRPr="00CA43DD">
        <w:rPr>
          <w:rFonts w:cs="Times New Roman"/>
          <w:szCs w:val="24"/>
          <w:lang w:val="fr-CA"/>
        </w:rPr>
        <w:t>enquêteur Bellemare</w:t>
      </w:r>
      <w:r>
        <w:rPr>
          <w:rFonts w:cs="Times New Roman"/>
          <w:szCs w:val="24"/>
          <w:lang w:val="fr-CA"/>
        </w:rPr>
        <w:t>,</w:t>
      </w:r>
      <w:r w:rsidRPr="00CA43DD">
        <w:rPr>
          <w:rFonts w:cs="Times New Roman"/>
          <w:szCs w:val="24"/>
          <w:lang w:val="fr-CA"/>
        </w:rPr>
        <w:t xml:space="preserve"> </w:t>
      </w:r>
      <w:proofErr w:type="gramStart"/>
      <w:r w:rsidR="000D7D17">
        <w:rPr>
          <w:rFonts w:cs="Times New Roman"/>
          <w:szCs w:val="24"/>
          <w:lang w:val="fr-CA"/>
        </w:rPr>
        <w:t>d</w:t>
      </w:r>
      <w:r w:rsidRPr="00CA43DD">
        <w:rPr>
          <w:rFonts w:cs="Times New Roman"/>
          <w:szCs w:val="24"/>
          <w:lang w:val="fr-CA"/>
        </w:rPr>
        <w:t>.</w:t>
      </w:r>
      <w:r w:rsidR="000D7D17">
        <w:rPr>
          <w:rFonts w:cs="Times New Roman"/>
          <w:szCs w:val="24"/>
          <w:lang w:val="fr-CA"/>
        </w:rPr>
        <w:t>a</w:t>
      </w:r>
      <w:r w:rsidRPr="00CA43DD">
        <w:rPr>
          <w:rFonts w:cs="Times New Roman"/>
          <w:szCs w:val="24"/>
          <w:lang w:val="fr-CA"/>
        </w:rPr>
        <w:t>.,</w:t>
      </w:r>
      <w:proofErr w:type="gramEnd"/>
      <w:r w:rsidRPr="00CA43DD">
        <w:rPr>
          <w:rFonts w:cs="Times New Roman"/>
          <w:szCs w:val="24"/>
          <w:lang w:val="fr-CA"/>
        </w:rPr>
        <w:t xml:space="preserve"> vol. V, p. 192).  Il convient de remarquer que les policiers ont mis l</w:t>
      </w:r>
      <w:r>
        <w:rPr>
          <w:rFonts w:cs="Times New Roman"/>
          <w:szCs w:val="24"/>
          <w:lang w:val="fr-CA"/>
        </w:rPr>
        <w:t>’</w:t>
      </w:r>
      <w:r w:rsidRPr="00CA43DD">
        <w:rPr>
          <w:rFonts w:cs="Times New Roman"/>
          <w:szCs w:val="24"/>
          <w:lang w:val="fr-CA"/>
        </w:rPr>
        <w:t>appelante en garde à titre de témoin important à 5 h 23 alors qu</w:t>
      </w:r>
      <w:r>
        <w:rPr>
          <w:rFonts w:cs="Times New Roman"/>
          <w:szCs w:val="24"/>
          <w:lang w:val="fr-CA"/>
        </w:rPr>
        <w:t>’</w:t>
      </w:r>
      <w:r w:rsidRPr="00CA43DD">
        <w:rPr>
          <w:rFonts w:cs="Times New Roman"/>
          <w:szCs w:val="24"/>
          <w:lang w:val="fr-CA"/>
        </w:rPr>
        <w:t xml:space="preserve">ils avaient fait à 5 h 15 une dénonciation sous serment dans laquelle ils affirmaient avoir des motifs raisonnables et probables de croire à une tentative de meurtre.  Vu les renseignements que détenaient les policiers à 5 h 23, le juge du procès trouve </w:t>
      </w:r>
      <w:r w:rsidRPr="00CA43DD">
        <w:rPr>
          <w:rFonts w:cs="Times New Roman"/>
          <w:szCs w:val="24"/>
          <w:lang w:val="fr-CA"/>
        </w:rPr>
        <w:lastRenderedPageBreak/>
        <w:t>inexplicable qu</w:t>
      </w:r>
      <w:r>
        <w:rPr>
          <w:rFonts w:cs="Times New Roman"/>
          <w:szCs w:val="24"/>
          <w:lang w:val="fr-CA"/>
        </w:rPr>
        <w:t>’</w:t>
      </w:r>
      <w:r w:rsidRPr="00CA43DD">
        <w:rPr>
          <w:rFonts w:cs="Times New Roman"/>
          <w:szCs w:val="24"/>
          <w:lang w:val="fr-CA"/>
        </w:rPr>
        <w:t>ils aient seulement mis M</w:t>
      </w:r>
      <w:r w:rsidRPr="00CA43DD">
        <w:rPr>
          <w:rFonts w:cs="Times New Roman"/>
          <w:szCs w:val="24"/>
          <w:vertAlign w:val="superscript"/>
          <w:lang w:val="fr-CA"/>
        </w:rPr>
        <w:t>me</w:t>
      </w:r>
      <w:r w:rsidRPr="00CA43DD">
        <w:rPr>
          <w:rFonts w:cs="Times New Roman"/>
          <w:szCs w:val="24"/>
          <w:lang w:val="fr-CA"/>
        </w:rPr>
        <w:t> Côté en garde à titre de témoin important.  Après sa mise en garde, l</w:t>
      </w:r>
      <w:r>
        <w:rPr>
          <w:rFonts w:cs="Times New Roman"/>
          <w:szCs w:val="24"/>
          <w:lang w:val="fr-CA"/>
        </w:rPr>
        <w:t>’</w:t>
      </w:r>
      <w:r w:rsidRPr="00CA43DD">
        <w:rPr>
          <w:rFonts w:cs="Times New Roman"/>
          <w:szCs w:val="24"/>
          <w:lang w:val="fr-CA"/>
        </w:rPr>
        <w:t>appelante a parlé à un avocat puis elle a invoqué son droit de garder le silence.  Elle a ensuite décrit les événements de la journée à l</w:t>
      </w:r>
      <w:r>
        <w:rPr>
          <w:rFonts w:cs="Times New Roman"/>
          <w:szCs w:val="24"/>
          <w:lang w:val="fr-CA"/>
        </w:rPr>
        <w:t>’</w:t>
      </w:r>
      <w:r w:rsidRPr="00CA43DD">
        <w:rPr>
          <w:rFonts w:cs="Times New Roman"/>
          <w:szCs w:val="24"/>
          <w:lang w:val="fr-CA"/>
        </w:rPr>
        <w:t>enquêteur Bellemare avant d</w:t>
      </w:r>
      <w:r>
        <w:rPr>
          <w:rFonts w:cs="Times New Roman"/>
          <w:szCs w:val="24"/>
          <w:lang w:val="fr-CA"/>
        </w:rPr>
        <w:t>’</w:t>
      </w:r>
      <w:r w:rsidRPr="00CA43DD">
        <w:rPr>
          <w:rFonts w:cs="Times New Roman"/>
          <w:szCs w:val="24"/>
          <w:lang w:val="fr-CA"/>
        </w:rPr>
        <w:t>être mise en état d</w:t>
      </w:r>
      <w:r>
        <w:rPr>
          <w:rFonts w:cs="Times New Roman"/>
          <w:szCs w:val="24"/>
          <w:lang w:val="fr-CA"/>
        </w:rPr>
        <w:t>’</w:t>
      </w:r>
      <w:r w:rsidRPr="00CA43DD">
        <w:rPr>
          <w:rFonts w:cs="Times New Roman"/>
          <w:szCs w:val="24"/>
          <w:lang w:val="fr-CA"/>
        </w:rPr>
        <w:t>arrestation pour tentative de meurtre à 5 h 56.  Elle a alors fait l</w:t>
      </w:r>
      <w:r>
        <w:rPr>
          <w:rFonts w:cs="Times New Roman"/>
          <w:szCs w:val="24"/>
          <w:lang w:val="fr-CA"/>
        </w:rPr>
        <w:t>’</w:t>
      </w:r>
      <w:r w:rsidRPr="00CA43DD">
        <w:rPr>
          <w:rFonts w:cs="Times New Roman"/>
          <w:szCs w:val="24"/>
          <w:lang w:val="fr-CA"/>
        </w:rPr>
        <w:t>objet d</w:t>
      </w:r>
      <w:r>
        <w:rPr>
          <w:rFonts w:cs="Times New Roman"/>
          <w:szCs w:val="24"/>
          <w:lang w:val="fr-CA"/>
        </w:rPr>
        <w:t>’</w:t>
      </w:r>
      <w:r w:rsidRPr="00CA43DD">
        <w:rPr>
          <w:rFonts w:cs="Times New Roman"/>
          <w:szCs w:val="24"/>
          <w:lang w:val="fr-CA"/>
        </w:rPr>
        <w:t>une autre mise en garde, elle a été informée de son droit à l</w:t>
      </w:r>
      <w:r>
        <w:rPr>
          <w:rFonts w:cs="Times New Roman"/>
          <w:szCs w:val="24"/>
          <w:lang w:val="fr-CA"/>
        </w:rPr>
        <w:t>’</w:t>
      </w:r>
      <w:r w:rsidRPr="00CA43DD">
        <w:rPr>
          <w:rFonts w:cs="Times New Roman"/>
          <w:szCs w:val="24"/>
          <w:lang w:val="fr-CA"/>
        </w:rPr>
        <w:t>assistance d</w:t>
      </w:r>
      <w:r>
        <w:rPr>
          <w:rFonts w:cs="Times New Roman"/>
          <w:szCs w:val="24"/>
          <w:lang w:val="fr-CA"/>
        </w:rPr>
        <w:t>’</w:t>
      </w:r>
      <w:r w:rsidRPr="00CA43DD">
        <w:rPr>
          <w:rFonts w:cs="Times New Roman"/>
          <w:szCs w:val="24"/>
          <w:lang w:val="fr-CA"/>
        </w:rPr>
        <w:t>un avocat et elle s</w:t>
      </w:r>
      <w:r>
        <w:rPr>
          <w:rFonts w:cs="Times New Roman"/>
          <w:szCs w:val="24"/>
          <w:lang w:val="fr-CA"/>
        </w:rPr>
        <w:t>’</w:t>
      </w:r>
      <w:r w:rsidRPr="00CA43DD">
        <w:rPr>
          <w:rFonts w:cs="Times New Roman"/>
          <w:szCs w:val="24"/>
          <w:lang w:val="fr-CA"/>
        </w:rPr>
        <w:t>est entretenue avec un avocat pour la deuxième fois.</w:t>
      </w:r>
    </w:p>
    <w:p w:rsidR="00DC2386" w:rsidRPr="00CA43DD" w:rsidRDefault="00CF6E18" w:rsidP="00CF6E18">
      <w:pPr>
        <w:pStyle w:val="TitleTitre-AltT"/>
        <w:keepNext/>
        <w:tabs>
          <w:tab w:val="clear" w:pos="360"/>
          <w:tab w:val="left" w:pos="1170"/>
        </w:tabs>
        <w:spacing w:after="720"/>
        <w:ind w:left="1800" w:hanging="1800"/>
        <w:rPr>
          <w:rFonts w:cs="Times New Roman"/>
          <w:i/>
          <w:szCs w:val="24"/>
          <w:lang w:val="fr-CA"/>
        </w:rPr>
      </w:pPr>
      <w:r>
        <w:rPr>
          <w:rFonts w:cs="Times New Roman"/>
          <w:szCs w:val="24"/>
          <w:lang w:val="fr-CA"/>
        </w:rPr>
        <w:tab/>
      </w:r>
      <w:r w:rsidR="00DC2386" w:rsidRPr="00CA43DD">
        <w:rPr>
          <w:rFonts w:cs="Times New Roman"/>
          <w:szCs w:val="24"/>
          <w:lang w:val="fr-CA"/>
        </w:rPr>
        <w:t>k)</w:t>
      </w:r>
      <w:r w:rsidR="00DC2386" w:rsidRPr="00CA43DD">
        <w:rPr>
          <w:rFonts w:cs="Times New Roman"/>
          <w:i/>
          <w:szCs w:val="24"/>
          <w:lang w:val="fr-CA"/>
        </w:rPr>
        <w:tab/>
        <w:t>L</w:t>
      </w:r>
      <w:r w:rsidR="00DC2386">
        <w:rPr>
          <w:rFonts w:cs="Times New Roman"/>
          <w:i/>
          <w:szCs w:val="24"/>
          <w:lang w:val="fr-CA"/>
        </w:rPr>
        <w:t>’</w:t>
      </w:r>
      <w:r w:rsidR="00DC2386" w:rsidRPr="00CA43DD">
        <w:rPr>
          <w:rFonts w:cs="Times New Roman"/>
          <w:i/>
          <w:szCs w:val="24"/>
          <w:lang w:val="fr-CA"/>
        </w:rPr>
        <w:t>interrogatoire</w:t>
      </w:r>
    </w:p>
    <w:p w:rsidR="00DC2386" w:rsidRPr="00CA43DD" w:rsidRDefault="00DC2386" w:rsidP="00DC2386">
      <w:pPr>
        <w:pStyle w:val="ParaNoNdepar-AltN"/>
        <w:rPr>
          <w:rFonts w:cs="Times New Roman"/>
          <w:szCs w:val="24"/>
          <w:lang w:val="fr-CA"/>
        </w:rPr>
      </w:pPr>
      <w:r w:rsidRPr="00CA43DD">
        <w:rPr>
          <w:rFonts w:cs="Times New Roman"/>
          <w:szCs w:val="24"/>
          <w:lang w:val="fr-CA"/>
        </w:rPr>
        <w:t>Une fois en état d</w:t>
      </w:r>
      <w:r>
        <w:rPr>
          <w:rFonts w:cs="Times New Roman"/>
          <w:szCs w:val="24"/>
          <w:lang w:val="fr-CA"/>
        </w:rPr>
        <w:t>’</w:t>
      </w:r>
      <w:r w:rsidRPr="00CA43DD">
        <w:rPr>
          <w:rFonts w:cs="Times New Roman"/>
          <w:szCs w:val="24"/>
          <w:lang w:val="fr-CA"/>
        </w:rPr>
        <w:t>arrestation pour tentative de meurtre à 5 h 56, l</w:t>
      </w:r>
      <w:r>
        <w:rPr>
          <w:rFonts w:cs="Times New Roman"/>
          <w:szCs w:val="24"/>
          <w:lang w:val="fr-CA"/>
        </w:rPr>
        <w:t>’</w:t>
      </w:r>
      <w:r w:rsidRPr="00CA43DD">
        <w:rPr>
          <w:rFonts w:cs="Times New Roman"/>
          <w:szCs w:val="24"/>
          <w:lang w:val="fr-CA"/>
        </w:rPr>
        <w:t>appelante a été transférée à un autre poste de police.  Après avoir dormi une heure puis mangé, elle a été interrogée, d</w:t>
      </w:r>
      <w:r>
        <w:rPr>
          <w:rFonts w:cs="Times New Roman"/>
          <w:szCs w:val="24"/>
          <w:lang w:val="fr-CA"/>
        </w:rPr>
        <w:t>’</w:t>
      </w:r>
      <w:r w:rsidRPr="00CA43DD">
        <w:rPr>
          <w:rFonts w:cs="Times New Roman"/>
          <w:szCs w:val="24"/>
          <w:lang w:val="fr-CA"/>
        </w:rPr>
        <w:t>abord par l</w:t>
      </w:r>
      <w:r>
        <w:rPr>
          <w:rFonts w:cs="Times New Roman"/>
          <w:szCs w:val="24"/>
          <w:lang w:val="fr-CA"/>
        </w:rPr>
        <w:t>’</w:t>
      </w:r>
      <w:r w:rsidRPr="00CA43DD">
        <w:rPr>
          <w:rFonts w:cs="Times New Roman"/>
          <w:szCs w:val="24"/>
          <w:lang w:val="fr-CA"/>
        </w:rPr>
        <w:t>enquêteur Bellemare, puis par l</w:t>
      </w:r>
      <w:r>
        <w:rPr>
          <w:rFonts w:cs="Times New Roman"/>
          <w:szCs w:val="24"/>
          <w:lang w:val="fr-CA"/>
        </w:rPr>
        <w:t>’</w:t>
      </w:r>
      <w:r w:rsidRPr="00CA43DD">
        <w:rPr>
          <w:rFonts w:cs="Times New Roman"/>
          <w:szCs w:val="24"/>
          <w:lang w:val="fr-CA"/>
        </w:rPr>
        <w:t>enquêteur Pierre Samson.  Au début, l</w:t>
      </w:r>
      <w:r>
        <w:rPr>
          <w:rFonts w:cs="Times New Roman"/>
          <w:szCs w:val="24"/>
          <w:lang w:val="fr-CA"/>
        </w:rPr>
        <w:t>’</w:t>
      </w:r>
      <w:r w:rsidRPr="00CA43DD">
        <w:rPr>
          <w:rFonts w:cs="Times New Roman"/>
          <w:szCs w:val="24"/>
          <w:lang w:val="fr-CA"/>
        </w:rPr>
        <w:t>appelante s</w:t>
      </w:r>
      <w:r>
        <w:rPr>
          <w:rFonts w:cs="Times New Roman"/>
          <w:szCs w:val="24"/>
          <w:lang w:val="fr-CA"/>
        </w:rPr>
        <w:t>’</w:t>
      </w:r>
      <w:r w:rsidRPr="00CA43DD">
        <w:rPr>
          <w:rFonts w:cs="Times New Roman"/>
          <w:szCs w:val="24"/>
          <w:lang w:val="fr-CA"/>
        </w:rPr>
        <w:t>est montrée en proie à une grande anxiété parce que la porte de la salle d</w:t>
      </w:r>
      <w:r>
        <w:rPr>
          <w:rFonts w:cs="Times New Roman"/>
          <w:szCs w:val="24"/>
          <w:lang w:val="fr-CA"/>
        </w:rPr>
        <w:t>’</w:t>
      </w:r>
      <w:r w:rsidRPr="00CA43DD">
        <w:rPr>
          <w:rFonts w:cs="Times New Roman"/>
          <w:szCs w:val="24"/>
          <w:lang w:val="fr-CA"/>
        </w:rPr>
        <w:t>interrogatoire était fermée; elle semblait souffrir de claustrophobie.  Apparemment épuisée, elle a dit plusieurs fois à l</w:t>
      </w:r>
      <w:r>
        <w:rPr>
          <w:rFonts w:cs="Times New Roman"/>
          <w:szCs w:val="24"/>
          <w:lang w:val="fr-CA"/>
        </w:rPr>
        <w:t>’</w:t>
      </w:r>
      <w:r w:rsidRPr="00CA43DD">
        <w:rPr>
          <w:rFonts w:cs="Times New Roman"/>
          <w:szCs w:val="24"/>
          <w:lang w:val="fr-CA"/>
        </w:rPr>
        <w:t>enquêteur qu</w:t>
      </w:r>
      <w:r>
        <w:rPr>
          <w:rFonts w:cs="Times New Roman"/>
          <w:szCs w:val="24"/>
          <w:lang w:val="fr-CA"/>
        </w:rPr>
        <w:t>’</w:t>
      </w:r>
      <w:r w:rsidRPr="00CA43DD">
        <w:rPr>
          <w:rFonts w:cs="Times New Roman"/>
          <w:szCs w:val="24"/>
          <w:lang w:val="fr-CA"/>
        </w:rPr>
        <w:t>elle en avait assez, qu</w:t>
      </w:r>
      <w:r>
        <w:rPr>
          <w:rFonts w:cs="Times New Roman"/>
          <w:szCs w:val="24"/>
          <w:lang w:val="fr-CA"/>
        </w:rPr>
        <w:t>’</w:t>
      </w:r>
      <w:r w:rsidRPr="00CA43DD">
        <w:rPr>
          <w:rFonts w:cs="Times New Roman"/>
          <w:szCs w:val="24"/>
          <w:lang w:val="fr-CA"/>
        </w:rPr>
        <w:t>elle ne voulait plus parler ou qu</w:t>
      </w:r>
      <w:r>
        <w:rPr>
          <w:rFonts w:cs="Times New Roman"/>
          <w:szCs w:val="24"/>
          <w:lang w:val="fr-CA"/>
        </w:rPr>
        <w:t>’</w:t>
      </w:r>
      <w:r w:rsidRPr="00CA43DD">
        <w:rPr>
          <w:rFonts w:cs="Times New Roman"/>
          <w:szCs w:val="24"/>
          <w:lang w:val="fr-CA"/>
        </w:rPr>
        <w:t>elle voulait aller se coucher.  Elle a invoqué son droit de garder le silence plus de 20 fois après avoir consulté différents avocats.  À 8 h, on lui a annoncé le décès de M. </w:t>
      </w:r>
      <w:proofErr w:type="spellStart"/>
      <w:r w:rsidRPr="00CA43DD">
        <w:rPr>
          <w:rFonts w:cs="Times New Roman"/>
          <w:szCs w:val="24"/>
          <w:lang w:val="fr-CA"/>
        </w:rPr>
        <w:t>Hogue</w:t>
      </w:r>
      <w:proofErr w:type="spellEnd"/>
      <w:r w:rsidRPr="00CA43DD">
        <w:rPr>
          <w:rFonts w:cs="Times New Roman"/>
          <w:szCs w:val="24"/>
          <w:lang w:val="fr-CA"/>
        </w:rPr>
        <w:t xml:space="preserve"> et on l</w:t>
      </w:r>
      <w:r>
        <w:rPr>
          <w:rFonts w:cs="Times New Roman"/>
          <w:szCs w:val="24"/>
          <w:lang w:val="fr-CA"/>
        </w:rPr>
        <w:t>’</w:t>
      </w:r>
      <w:r w:rsidRPr="00CA43DD">
        <w:rPr>
          <w:rFonts w:cs="Times New Roman"/>
          <w:szCs w:val="24"/>
          <w:lang w:val="fr-CA"/>
        </w:rPr>
        <w:t>a arrêtée pour meurtre, ce qui a mis fin à l</w:t>
      </w:r>
      <w:r>
        <w:rPr>
          <w:rFonts w:cs="Times New Roman"/>
          <w:szCs w:val="24"/>
          <w:lang w:val="fr-CA"/>
        </w:rPr>
        <w:t>’</w:t>
      </w:r>
      <w:r w:rsidRPr="00CA43DD">
        <w:rPr>
          <w:rFonts w:cs="Times New Roman"/>
          <w:szCs w:val="24"/>
          <w:lang w:val="fr-CA"/>
        </w:rPr>
        <w:t>interrogatoire.</w:t>
      </w:r>
    </w:p>
    <w:p w:rsidR="00DC2386" w:rsidRPr="00CA43DD" w:rsidRDefault="00DC2386" w:rsidP="00DC2386">
      <w:pPr>
        <w:pStyle w:val="ParaNoNdepar-AltN"/>
        <w:rPr>
          <w:rFonts w:cs="Times New Roman"/>
          <w:szCs w:val="24"/>
          <w:lang w:val="fr-CA"/>
        </w:rPr>
      </w:pPr>
      <w:r w:rsidRPr="00CA43DD">
        <w:rPr>
          <w:rFonts w:cs="Times New Roman"/>
          <w:szCs w:val="24"/>
          <w:lang w:val="fr-CA"/>
        </w:rPr>
        <w:t>Le juge du procès conclut à la violation systématique du droit de l</w:t>
      </w:r>
      <w:r>
        <w:rPr>
          <w:rFonts w:cs="Times New Roman"/>
          <w:szCs w:val="24"/>
          <w:lang w:val="fr-CA"/>
        </w:rPr>
        <w:t>’</w:t>
      </w:r>
      <w:r w:rsidRPr="00CA43DD">
        <w:rPr>
          <w:rFonts w:cs="Times New Roman"/>
          <w:szCs w:val="24"/>
          <w:lang w:val="fr-CA"/>
        </w:rPr>
        <w:t>appelante de garder le silence.  M</w:t>
      </w:r>
      <w:r w:rsidRPr="00CA43DD">
        <w:rPr>
          <w:rFonts w:cs="Times New Roman"/>
          <w:szCs w:val="24"/>
          <w:vertAlign w:val="superscript"/>
          <w:lang w:val="fr-CA"/>
        </w:rPr>
        <w:t>me</w:t>
      </w:r>
      <w:r w:rsidRPr="00CA43DD">
        <w:rPr>
          <w:rFonts w:cs="Times New Roman"/>
          <w:szCs w:val="24"/>
          <w:lang w:val="fr-CA"/>
        </w:rPr>
        <w:t xml:space="preserve"> Côté a été réveillée au milieu de la nuit alors </w:t>
      </w:r>
      <w:r w:rsidRPr="00CA43DD">
        <w:rPr>
          <w:rFonts w:cs="Times New Roman"/>
          <w:szCs w:val="24"/>
          <w:lang w:val="fr-CA"/>
        </w:rPr>
        <w:lastRenderedPageBreak/>
        <w:t>qu</w:t>
      </w:r>
      <w:r>
        <w:rPr>
          <w:rFonts w:cs="Times New Roman"/>
          <w:szCs w:val="24"/>
          <w:lang w:val="fr-CA"/>
        </w:rPr>
        <w:t>’</w:t>
      </w:r>
      <w:r w:rsidRPr="00CA43DD">
        <w:rPr>
          <w:rFonts w:cs="Times New Roman"/>
          <w:szCs w:val="24"/>
          <w:lang w:val="fr-CA"/>
        </w:rPr>
        <w:t>il n</w:t>
      </w:r>
      <w:r>
        <w:rPr>
          <w:rFonts w:cs="Times New Roman"/>
          <w:szCs w:val="24"/>
          <w:lang w:val="fr-CA"/>
        </w:rPr>
        <w:t>’</w:t>
      </w:r>
      <w:r w:rsidRPr="00CA43DD">
        <w:rPr>
          <w:rFonts w:cs="Times New Roman"/>
          <w:szCs w:val="24"/>
          <w:lang w:val="fr-CA"/>
        </w:rPr>
        <w:t xml:space="preserve">y avait pas urgence, les policiers ont délibérément tardé à lui faire la bonne mise en garde, elle était épuisée, elle souffrait de claustrophobie et elle a invoqué son droit de garder le silence à maintes reprises.  </w:t>
      </w:r>
    </w:p>
    <w:p w:rsidR="00DC2386" w:rsidRPr="00CA43DD" w:rsidRDefault="00DC2386" w:rsidP="00DC2386">
      <w:pPr>
        <w:pStyle w:val="ParaNoNdepar-AltN"/>
        <w:rPr>
          <w:rFonts w:cs="Times New Roman"/>
          <w:szCs w:val="24"/>
          <w:lang w:val="fr-CA"/>
        </w:rPr>
      </w:pPr>
      <w:r w:rsidRPr="00CA43DD">
        <w:rPr>
          <w:rFonts w:cs="Times New Roman"/>
          <w:szCs w:val="24"/>
          <w:lang w:val="fr-CA"/>
        </w:rPr>
        <w:t>Il reproche aussi aux policiers d</w:t>
      </w:r>
      <w:r>
        <w:rPr>
          <w:rFonts w:cs="Times New Roman"/>
          <w:szCs w:val="24"/>
          <w:lang w:val="fr-CA"/>
        </w:rPr>
        <w:t>’</w:t>
      </w:r>
      <w:r w:rsidRPr="00CA43DD">
        <w:rPr>
          <w:rFonts w:cs="Times New Roman"/>
          <w:szCs w:val="24"/>
          <w:lang w:val="fr-CA"/>
        </w:rPr>
        <w:t>avoir dénigré le travail de l</w:t>
      </w:r>
      <w:r>
        <w:rPr>
          <w:rFonts w:cs="Times New Roman"/>
          <w:szCs w:val="24"/>
          <w:lang w:val="fr-CA"/>
        </w:rPr>
        <w:t>’</w:t>
      </w:r>
      <w:r w:rsidRPr="00CA43DD">
        <w:rPr>
          <w:rFonts w:cs="Times New Roman"/>
          <w:szCs w:val="24"/>
          <w:lang w:val="fr-CA"/>
        </w:rPr>
        <w:t>avocat de la défense en affirmant à l</w:t>
      </w:r>
      <w:r>
        <w:rPr>
          <w:rFonts w:cs="Times New Roman"/>
          <w:szCs w:val="24"/>
          <w:lang w:val="fr-CA"/>
        </w:rPr>
        <w:t>’</w:t>
      </w:r>
      <w:r w:rsidRPr="00CA43DD">
        <w:rPr>
          <w:rFonts w:cs="Times New Roman"/>
          <w:szCs w:val="24"/>
          <w:lang w:val="fr-CA"/>
        </w:rPr>
        <w:t>appelante qu</w:t>
      </w:r>
      <w:r>
        <w:rPr>
          <w:rFonts w:cs="Times New Roman"/>
          <w:szCs w:val="24"/>
          <w:lang w:val="fr-CA"/>
        </w:rPr>
        <w:t>’</w:t>
      </w:r>
      <w:r w:rsidRPr="00CA43DD">
        <w:rPr>
          <w:rFonts w:cs="Times New Roman"/>
          <w:szCs w:val="24"/>
          <w:lang w:val="fr-CA"/>
        </w:rPr>
        <w:t>elle avait plus d</w:t>
      </w:r>
      <w:r>
        <w:rPr>
          <w:rFonts w:cs="Times New Roman"/>
          <w:szCs w:val="24"/>
          <w:lang w:val="fr-CA"/>
        </w:rPr>
        <w:t>’</w:t>
      </w:r>
      <w:r w:rsidRPr="00CA43DD">
        <w:rPr>
          <w:rFonts w:cs="Times New Roman"/>
          <w:szCs w:val="24"/>
          <w:lang w:val="fr-CA"/>
        </w:rPr>
        <w:t>expérience de vie que son avocat et que la seule personne qui pouvait l</w:t>
      </w:r>
      <w:r>
        <w:rPr>
          <w:rFonts w:cs="Times New Roman"/>
          <w:szCs w:val="24"/>
          <w:lang w:val="fr-CA"/>
        </w:rPr>
        <w:t>’</w:t>
      </w:r>
      <w:r w:rsidRPr="00CA43DD">
        <w:rPr>
          <w:rFonts w:cs="Times New Roman"/>
          <w:szCs w:val="24"/>
          <w:lang w:val="fr-CA"/>
        </w:rPr>
        <w:t>aider, c</w:t>
      </w:r>
      <w:r>
        <w:rPr>
          <w:rFonts w:cs="Times New Roman"/>
          <w:szCs w:val="24"/>
          <w:lang w:val="fr-CA"/>
        </w:rPr>
        <w:t>’</w:t>
      </w:r>
      <w:r w:rsidRPr="00CA43DD">
        <w:rPr>
          <w:rFonts w:cs="Times New Roman"/>
          <w:szCs w:val="24"/>
          <w:lang w:val="fr-CA"/>
        </w:rPr>
        <w:t xml:space="preserve">était </w:t>
      </w:r>
      <w:proofErr w:type="spellStart"/>
      <w:r w:rsidRPr="00CA43DD">
        <w:rPr>
          <w:rFonts w:cs="Times New Roman"/>
          <w:szCs w:val="24"/>
          <w:lang w:val="fr-CA"/>
        </w:rPr>
        <w:t>elle</w:t>
      </w:r>
      <w:r w:rsidRPr="00CA43DD">
        <w:rPr>
          <w:rFonts w:cs="Times New Roman"/>
          <w:szCs w:val="24"/>
          <w:lang w:val="fr-CA"/>
        </w:rPr>
        <w:noBreakHyphen/>
        <w:t>même</w:t>
      </w:r>
      <w:proofErr w:type="spellEnd"/>
      <w:r w:rsidRPr="00CA43DD">
        <w:rPr>
          <w:rFonts w:cs="Times New Roman"/>
          <w:szCs w:val="24"/>
          <w:lang w:val="fr-CA"/>
        </w:rPr>
        <w:t>.  L</w:t>
      </w:r>
      <w:r>
        <w:rPr>
          <w:rFonts w:cs="Times New Roman"/>
          <w:szCs w:val="24"/>
          <w:lang w:val="fr-CA"/>
        </w:rPr>
        <w:t>’</w:t>
      </w:r>
      <w:r w:rsidRPr="00CA43DD">
        <w:rPr>
          <w:rFonts w:cs="Times New Roman"/>
          <w:szCs w:val="24"/>
          <w:lang w:val="fr-CA"/>
        </w:rPr>
        <w:t>enquêteur lui a aussi prodigué des conseils concernant l</w:t>
      </w:r>
      <w:r>
        <w:rPr>
          <w:rFonts w:cs="Times New Roman"/>
          <w:szCs w:val="24"/>
          <w:lang w:val="fr-CA"/>
        </w:rPr>
        <w:t>’</w:t>
      </w:r>
      <w:r w:rsidRPr="00CA43DD">
        <w:rPr>
          <w:rFonts w:cs="Times New Roman"/>
          <w:szCs w:val="24"/>
          <w:lang w:val="fr-CA"/>
        </w:rPr>
        <w:t>exercice de son droit de garder le silence.  Il lui a dit que si elle avait planifié le meurtre, comme l</w:t>
      </w:r>
      <w:r>
        <w:rPr>
          <w:rFonts w:cs="Times New Roman"/>
          <w:szCs w:val="24"/>
          <w:lang w:val="fr-CA"/>
        </w:rPr>
        <w:t>’</w:t>
      </w:r>
      <w:r w:rsidRPr="00CA43DD">
        <w:rPr>
          <w:rFonts w:cs="Times New Roman"/>
          <w:szCs w:val="24"/>
          <w:lang w:val="fr-CA"/>
        </w:rPr>
        <w:t>aurait fait le membre d</w:t>
      </w:r>
      <w:r>
        <w:rPr>
          <w:rFonts w:cs="Times New Roman"/>
          <w:szCs w:val="24"/>
          <w:lang w:val="fr-CA"/>
        </w:rPr>
        <w:t>’</w:t>
      </w:r>
      <w:r w:rsidRPr="00CA43DD">
        <w:rPr>
          <w:rFonts w:cs="Times New Roman"/>
          <w:szCs w:val="24"/>
          <w:lang w:val="fr-CA"/>
        </w:rPr>
        <w:t>un groupe criminel organisé, il était préférable de garder le silence parce qu</w:t>
      </w:r>
      <w:r>
        <w:rPr>
          <w:rFonts w:cs="Times New Roman"/>
          <w:szCs w:val="24"/>
          <w:lang w:val="fr-CA"/>
        </w:rPr>
        <w:t>’</w:t>
      </w:r>
      <w:r w:rsidRPr="00CA43DD">
        <w:rPr>
          <w:rFonts w:cs="Times New Roman"/>
          <w:szCs w:val="24"/>
          <w:lang w:val="fr-CA"/>
        </w:rPr>
        <w:t>elle serait alors dans un sérieux pétrin.  Mais comme sa situation était très différente, il a laissé entendre qu</w:t>
      </w:r>
      <w:r>
        <w:rPr>
          <w:rFonts w:cs="Times New Roman"/>
          <w:szCs w:val="24"/>
          <w:lang w:val="fr-CA"/>
        </w:rPr>
        <w:t>’</w:t>
      </w:r>
      <w:r w:rsidRPr="00CA43DD">
        <w:rPr>
          <w:rFonts w:cs="Times New Roman"/>
          <w:szCs w:val="24"/>
          <w:lang w:val="fr-CA"/>
        </w:rPr>
        <w:t>elle n</w:t>
      </w:r>
      <w:r>
        <w:rPr>
          <w:rFonts w:cs="Times New Roman"/>
          <w:szCs w:val="24"/>
          <w:lang w:val="fr-CA"/>
        </w:rPr>
        <w:t>’</w:t>
      </w:r>
      <w:r w:rsidRPr="00CA43DD">
        <w:rPr>
          <w:rFonts w:cs="Times New Roman"/>
          <w:szCs w:val="24"/>
          <w:lang w:val="fr-CA"/>
        </w:rPr>
        <w:t>avait pas à garder le silence.  L</w:t>
      </w:r>
      <w:r>
        <w:rPr>
          <w:rFonts w:cs="Times New Roman"/>
          <w:szCs w:val="24"/>
          <w:lang w:val="fr-CA"/>
        </w:rPr>
        <w:t>’</w:t>
      </w:r>
      <w:r w:rsidRPr="00CA43DD">
        <w:rPr>
          <w:rFonts w:cs="Times New Roman"/>
          <w:szCs w:val="24"/>
          <w:lang w:val="fr-CA"/>
        </w:rPr>
        <w:t>enquêteur a ajouté que si elle avait commis un vol à main armée, il lui aurait conseillé de garder le silence, mais là encore, sa situation était tout autre.  Compte tenu de ces actes précis, de l</w:t>
      </w:r>
      <w:r>
        <w:rPr>
          <w:rFonts w:cs="Times New Roman"/>
          <w:szCs w:val="24"/>
          <w:lang w:val="fr-CA"/>
        </w:rPr>
        <w:t>’</w:t>
      </w:r>
      <w:r w:rsidRPr="00CA43DD">
        <w:rPr>
          <w:rFonts w:cs="Times New Roman"/>
          <w:szCs w:val="24"/>
          <w:lang w:val="fr-CA"/>
        </w:rPr>
        <w:t>ensemble de l</w:t>
      </w:r>
      <w:r>
        <w:rPr>
          <w:rFonts w:cs="Times New Roman"/>
          <w:szCs w:val="24"/>
          <w:lang w:val="fr-CA"/>
        </w:rPr>
        <w:t>’</w:t>
      </w:r>
      <w:r w:rsidRPr="00CA43DD">
        <w:rPr>
          <w:rFonts w:cs="Times New Roman"/>
          <w:szCs w:val="24"/>
          <w:lang w:val="fr-CA"/>
        </w:rPr>
        <w:t>enquête policière et du contexte général de la violation systématique des droits constitutionnels de M</w:t>
      </w:r>
      <w:r w:rsidRPr="00CA43DD">
        <w:rPr>
          <w:rFonts w:cs="Times New Roman"/>
          <w:szCs w:val="24"/>
          <w:vertAlign w:val="superscript"/>
          <w:lang w:val="fr-CA"/>
        </w:rPr>
        <w:t>me</w:t>
      </w:r>
      <w:r w:rsidRPr="00CA43DD">
        <w:rPr>
          <w:rFonts w:cs="Times New Roman"/>
          <w:szCs w:val="24"/>
          <w:lang w:val="fr-CA"/>
        </w:rPr>
        <w:t xml:space="preserve"> Côté, le juge du procès se dit non convaincu hors de tout doute raisonnable du caractère libre et volontaire de la déclaration enregistrée sur bande vidéo. </w:t>
      </w:r>
    </w:p>
    <w:p w:rsidR="00DC2386" w:rsidRPr="00CA43DD" w:rsidRDefault="00CF6E18" w:rsidP="00CF6E18">
      <w:pPr>
        <w:pStyle w:val="TitleTitre-AltT"/>
        <w:keepNext/>
        <w:tabs>
          <w:tab w:val="clear" w:pos="360"/>
          <w:tab w:val="left" w:pos="1170"/>
        </w:tabs>
        <w:spacing w:after="720"/>
        <w:ind w:left="1800" w:hanging="1800"/>
        <w:rPr>
          <w:rFonts w:cs="Times New Roman"/>
          <w:i/>
          <w:szCs w:val="24"/>
          <w:lang w:val="fr-CA"/>
        </w:rPr>
      </w:pPr>
      <w:r>
        <w:rPr>
          <w:rFonts w:cs="Times New Roman"/>
          <w:szCs w:val="24"/>
          <w:lang w:val="fr-CA"/>
        </w:rPr>
        <w:tab/>
      </w:r>
      <w:r w:rsidR="00DC2386" w:rsidRPr="00CA43DD">
        <w:rPr>
          <w:rFonts w:cs="Times New Roman"/>
          <w:szCs w:val="24"/>
          <w:lang w:val="fr-CA"/>
        </w:rPr>
        <w:t>l)</w:t>
      </w:r>
      <w:r w:rsidR="00DC2386" w:rsidRPr="00CA43DD">
        <w:rPr>
          <w:rFonts w:cs="Times New Roman"/>
          <w:szCs w:val="24"/>
          <w:lang w:val="fr-CA"/>
        </w:rPr>
        <w:tab/>
      </w:r>
      <w:r w:rsidR="00DC2386" w:rsidRPr="00CA43DD">
        <w:rPr>
          <w:rFonts w:cs="Times New Roman"/>
          <w:i/>
          <w:szCs w:val="24"/>
          <w:lang w:val="fr-CA"/>
        </w:rPr>
        <w:t>Le témoignage des policiers au procès</w:t>
      </w:r>
    </w:p>
    <w:p w:rsidR="00DC2386" w:rsidRPr="00CA43DD" w:rsidRDefault="00DC2386" w:rsidP="00DC2386">
      <w:pPr>
        <w:pStyle w:val="ParaNoNdepar-AltN"/>
        <w:rPr>
          <w:rFonts w:cs="Times New Roman"/>
          <w:szCs w:val="24"/>
          <w:lang w:val="fr-CA"/>
        </w:rPr>
      </w:pPr>
      <w:r w:rsidRPr="00CA43DD">
        <w:rPr>
          <w:rFonts w:cs="Times New Roman"/>
          <w:szCs w:val="24"/>
          <w:lang w:val="fr-CA"/>
        </w:rPr>
        <w:t>Le juge du procès tire de sévères conclusions au sujet de la crédibilité du témoignage des policiers au procès.  Il n</w:t>
      </w:r>
      <w:r>
        <w:rPr>
          <w:rFonts w:cs="Times New Roman"/>
          <w:szCs w:val="24"/>
          <w:lang w:val="fr-CA"/>
        </w:rPr>
        <w:t>’</w:t>
      </w:r>
      <w:r w:rsidRPr="00CA43DD">
        <w:rPr>
          <w:rFonts w:cs="Times New Roman"/>
          <w:szCs w:val="24"/>
          <w:lang w:val="fr-CA"/>
        </w:rPr>
        <w:t xml:space="preserve">ajoute pas foi aux témoignages des agents </w:t>
      </w:r>
      <w:r w:rsidRPr="00CA43DD">
        <w:rPr>
          <w:rFonts w:cs="Times New Roman"/>
          <w:szCs w:val="24"/>
          <w:lang w:val="fr-CA"/>
        </w:rPr>
        <w:lastRenderedPageBreak/>
        <w:t>Tremblay, Mathieu et Fortier, estimant que ces derniers n</w:t>
      </w:r>
      <w:r>
        <w:rPr>
          <w:rFonts w:cs="Times New Roman"/>
          <w:szCs w:val="24"/>
          <w:lang w:val="fr-CA"/>
        </w:rPr>
        <w:t>’</w:t>
      </w:r>
      <w:r w:rsidRPr="00CA43DD">
        <w:rPr>
          <w:rFonts w:cs="Times New Roman"/>
          <w:szCs w:val="24"/>
          <w:lang w:val="fr-CA"/>
        </w:rPr>
        <w:t>ont fait preuve ni de franchise ni de sincérité.  Selon lui, les agents ont présenté leur intervention au domicile de l</w:t>
      </w:r>
      <w:r>
        <w:rPr>
          <w:rFonts w:cs="Times New Roman"/>
          <w:szCs w:val="24"/>
          <w:lang w:val="fr-CA"/>
        </w:rPr>
        <w:t>’</w:t>
      </w:r>
      <w:r w:rsidRPr="00CA43DD">
        <w:rPr>
          <w:rFonts w:cs="Times New Roman"/>
          <w:szCs w:val="24"/>
          <w:lang w:val="fr-CA"/>
        </w:rPr>
        <w:t>appelante comme une simple mesure de routine visant uniquement à valider l</w:t>
      </w:r>
      <w:r>
        <w:rPr>
          <w:rFonts w:cs="Times New Roman"/>
          <w:szCs w:val="24"/>
          <w:lang w:val="fr-CA"/>
        </w:rPr>
        <w:t>’</w:t>
      </w:r>
      <w:r w:rsidRPr="00CA43DD">
        <w:rPr>
          <w:rFonts w:cs="Times New Roman"/>
          <w:szCs w:val="24"/>
          <w:lang w:val="fr-CA"/>
        </w:rPr>
        <w:t>appel au 9</w:t>
      </w:r>
      <w:r w:rsidRPr="00CA43DD">
        <w:rPr>
          <w:rFonts w:cs="Times New Roman"/>
          <w:szCs w:val="24"/>
          <w:lang w:val="fr-CA"/>
        </w:rPr>
        <w:noBreakHyphen/>
        <w:t>1</w:t>
      </w:r>
      <w:r w:rsidRPr="00CA43DD">
        <w:rPr>
          <w:rFonts w:cs="Times New Roman"/>
          <w:szCs w:val="24"/>
          <w:lang w:val="fr-CA"/>
        </w:rPr>
        <w:noBreakHyphen/>
        <w:t>1 et à vérifier la sûreté des lieux, alors qu</w:t>
      </w:r>
      <w:r>
        <w:rPr>
          <w:rFonts w:cs="Times New Roman"/>
          <w:szCs w:val="24"/>
          <w:lang w:val="fr-CA"/>
        </w:rPr>
        <w:t>’</w:t>
      </w:r>
      <w:r w:rsidRPr="00CA43DD">
        <w:rPr>
          <w:rFonts w:cs="Times New Roman"/>
          <w:szCs w:val="24"/>
          <w:lang w:val="fr-CA"/>
        </w:rPr>
        <w:t>ils savaient fort bien que M. </w:t>
      </w:r>
      <w:proofErr w:type="spellStart"/>
      <w:r w:rsidRPr="00CA43DD">
        <w:rPr>
          <w:rFonts w:cs="Times New Roman"/>
          <w:szCs w:val="24"/>
          <w:lang w:val="fr-CA"/>
        </w:rPr>
        <w:t>Hogue</w:t>
      </w:r>
      <w:proofErr w:type="spellEnd"/>
      <w:r w:rsidRPr="00CA43DD">
        <w:rPr>
          <w:rFonts w:cs="Times New Roman"/>
          <w:szCs w:val="24"/>
          <w:lang w:val="fr-CA"/>
        </w:rPr>
        <w:t xml:space="preserve"> avait vraisemblablement été atteint d</w:t>
      </w:r>
      <w:r>
        <w:rPr>
          <w:rFonts w:cs="Times New Roman"/>
          <w:szCs w:val="24"/>
          <w:lang w:val="fr-CA"/>
        </w:rPr>
        <w:t>’</w:t>
      </w:r>
      <w:r w:rsidRPr="00CA43DD">
        <w:rPr>
          <w:rFonts w:cs="Times New Roman"/>
          <w:szCs w:val="24"/>
          <w:lang w:val="fr-CA"/>
        </w:rPr>
        <w:t>une balle à l</w:t>
      </w:r>
      <w:r>
        <w:rPr>
          <w:rFonts w:cs="Times New Roman"/>
          <w:szCs w:val="24"/>
          <w:lang w:val="fr-CA"/>
        </w:rPr>
        <w:t>’</w:t>
      </w:r>
      <w:r w:rsidRPr="00CA43DD">
        <w:rPr>
          <w:rFonts w:cs="Times New Roman"/>
          <w:szCs w:val="24"/>
          <w:lang w:val="fr-CA"/>
        </w:rPr>
        <w:t>arrière de la tête et qu</w:t>
      </w:r>
      <w:r>
        <w:rPr>
          <w:rFonts w:cs="Times New Roman"/>
          <w:szCs w:val="24"/>
          <w:lang w:val="fr-CA"/>
        </w:rPr>
        <w:t>’</w:t>
      </w:r>
      <w:r w:rsidRPr="00CA43DD">
        <w:rPr>
          <w:rFonts w:cs="Times New Roman"/>
          <w:szCs w:val="24"/>
          <w:lang w:val="fr-CA"/>
        </w:rPr>
        <w:t>ils menaient une enquête criminelle.  Il fait aussi remarquer que lors de leurs témoignages, les policiers ont refusé de reconnaître des faits évidents et ont avancé des hypothèses invraisemblables.  Il dit avoir l</w:t>
      </w:r>
      <w:r>
        <w:rPr>
          <w:rFonts w:cs="Times New Roman"/>
          <w:szCs w:val="24"/>
          <w:lang w:val="fr-CA"/>
        </w:rPr>
        <w:t>’</w:t>
      </w:r>
      <w:r w:rsidRPr="00CA43DD">
        <w:rPr>
          <w:rFonts w:cs="Times New Roman"/>
          <w:szCs w:val="24"/>
          <w:lang w:val="fr-CA"/>
        </w:rPr>
        <w:t>impression que les agents ont agi de la sorte pour éviter qu</w:t>
      </w:r>
      <w:r>
        <w:rPr>
          <w:rFonts w:cs="Times New Roman"/>
          <w:szCs w:val="24"/>
          <w:lang w:val="fr-CA"/>
        </w:rPr>
        <w:t>’</w:t>
      </w:r>
      <w:r w:rsidRPr="00CA43DD">
        <w:rPr>
          <w:rFonts w:cs="Times New Roman"/>
          <w:szCs w:val="24"/>
          <w:lang w:val="fr-CA"/>
        </w:rPr>
        <w:t>il n</w:t>
      </w:r>
      <w:r>
        <w:rPr>
          <w:rFonts w:cs="Times New Roman"/>
          <w:szCs w:val="24"/>
          <w:lang w:val="fr-CA"/>
        </w:rPr>
        <w:t>’</w:t>
      </w:r>
      <w:r w:rsidRPr="00CA43DD">
        <w:rPr>
          <w:rFonts w:cs="Times New Roman"/>
          <w:szCs w:val="24"/>
          <w:lang w:val="fr-CA"/>
        </w:rPr>
        <w:t>arrive à la conclusion que M</w:t>
      </w:r>
      <w:r w:rsidRPr="00CA43DD">
        <w:rPr>
          <w:rFonts w:cs="Times New Roman"/>
          <w:szCs w:val="24"/>
          <w:vertAlign w:val="superscript"/>
          <w:lang w:val="fr-CA"/>
        </w:rPr>
        <w:t>me</w:t>
      </w:r>
      <w:r w:rsidRPr="00CA43DD">
        <w:rPr>
          <w:rFonts w:cs="Times New Roman"/>
          <w:szCs w:val="24"/>
          <w:lang w:val="fr-CA"/>
        </w:rPr>
        <w:t> Côté avait été détenue et qu</w:t>
      </w:r>
      <w:r>
        <w:rPr>
          <w:rFonts w:cs="Times New Roman"/>
          <w:szCs w:val="24"/>
          <w:lang w:val="fr-CA"/>
        </w:rPr>
        <w:t>’</w:t>
      </w:r>
      <w:r w:rsidRPr="00CA43DD">
        <w:rPr>
          <w:rFonts w:cs="Times New Roman"/>
          <w:szCs w:val="24"/>
          <w:lang w:val="fr-CA"/>
        </w:rPr>
        <w:t>elle aurait dû recevoir une mise en garde appropriée.  Comme il est mentionné précédemment, le juge du procès conclut que l</w:t>
      </w:r>
      <w:r>
        <w:rPr>
          <w:rFonts w:cs="Times New Roman"/>
          <w:szCs w:val="24"/>
          <w:lang w:val="fr-CA"/>
        </w:rPr>
        <w:t>’</w:t>
      </w:r>
      <w:r w:rsidRPr="00CA43DD">
        <w:rPr>
          <w:rFonts w:cs="Times New Roman"/>
          <w:szCs w:val="24"/>
          <w:lang w:val="fr-CA"/>
        </w:rPr>
        <w:t>affirmation de l</w:t>
      </w:r>
      <w:r>
        <w:rPr>
          <w:rFonts w:cs="Times New Roman"/>
          <w:szCs w:val="24"/>
          <w:lang w:val="fr-CA"/>
        </w:rPr>
        <w:t>’</w:t>
      </w:r>
      <w:r w:rsidRPr="00CA43DD">
        <w:rPr>
          <w:rFonts w:cs="Times New Roman"/>
          <w:szCs w:val="24"/>
          <w:lang w:val="fr-CA"/>
        </w:rPr>
        <w:t>agent Mathieu selon laquelle M</w:t>
      </w:r>
      <w:r w:rsidRPr="00CA43DD">
        <w:rPr>
          <w:rFonts w:cs="Times New Roman"/>
          <w:szCs w:val="24"/>
          <w:vertAlign w:val="superscript"/>
          <w:lang w:val="fr-CA"/>
        </w:rPr>
        <w:t>me</w:t>
      </w:r>
      <w:r w:rsidRPr="00CA43DD">
        <w:rPr>
          <w:rFonts w:cs="Times New Roman"/>
          <w:szCs w:val="24"/>
          <w:lang w:val="fr-CA"/>
        </w:rPr>
        <w:t> Côté n</w:t>
      </w:r>
      <w:r>
        <w:rPr>
          <w:rFonts w:cs="Times New Roman"/>
          <w:szCs w:val="24"/>
          <w:lang w:val="fr-CA"/>
        </w:rPr>
        <w:t>’</w:t>
      </w:r>
      <w:r w:rsidRPr="00CA43DD">
        <w:rPr>
          <w:rFonts w:cs="Times New Roman"/>
          <w:szCs w:val="24"/>
          <w:lang w:val="fr-CA"/>
        </w:rPr>
        <w:t>était pas détenue et aurait pu quitter le poste de police à tout moment est indigne de foi.  À son avis, les témoignages des agents selon lesquels l</w:t>
      </w:r>
      <w:r>
        <w:rPr>
          <w:rFonts w:cs="Times New Roman"/>
          <w:szCs w:val="24"/>
          <w:lang w:val="fr-CA"/>
        </w:rPr>
        <w:t>’</w:t>
      </w:r>
      <w:r w:rsidRPr="00CA43DD">
        <w:rPr>
          <w:rFonts w:cs="Times New Roman"/>
          <w:szCs w:val="24"/>
          <w:lang w:val="fr-CA"/>
        </w:rPr>
        <w:t>appelante n</w:t>
      </w:r>
      <w:r>
        <w:rPr>
          <w:rFonts w:cs="Times New Roman"/>
          <w:szCs w:val="24"/>
          <w:lang w:val="fr-CA"/>
        </w:rPr>
        <w:t>’</w:t>
      </w:r>
      <w:r w:rsidRPr="00CA43DD">
        <w:rPr>
          <w:rFonts w:cs="Times New Roman"/>
          <w:szCs w:val="24"/>
          <w:lang w:val="fr-CA"/>
        </w:rPr>
        <w:t>a pas été informée de la blessure par balle parce que l</w:t>
      </w:r>
      <w:r>
        <w:rPr>
          <w:rFonts w:cs="Times New Roman"/>
          <w:szCs w:val="24"/>
          <w:lang w:val="fr-CA"/>
        </w:rPr>
        <w:t>’</w:t>
      </w:r>
      <w:r w:rsidRPr="00CA43DD">
        <w:rPr>
          <w:rFonts w:cs="Times New Roman"/>
          <w:szCs w:val="24"/>
          <w:lang w:val="fr-CA"/>
        </w:rPr>
        <w:t>information n</w:t>
      </w:r>
      <w:r>
        <w:rPr>
          <w:rFonts w:cs="Times New Roman"/>
          <w:szCs w:val="24"/>
          <w:lang w:val="fr-CA"/>
        </w:rPr>
        <w:t>’</w:t>
      </w:r>
      <w:r w:rsidRPr="00CA43DD">
        <w:rPr>
          <w:rFonts w:cs="Times New Roman"/>
          <w:szCs w:val="24"/>
          <w:lang w:val="fr-CA"/>
        </w:rPr>
        <w:t>avait pas encore été confirmée sont tout aussi invraisemblables.  De façon générale, il estime que l</w:t>
      </w:r>
      <w:r>
        <w:rPr>
          <w:rFonts w:cs="Times New Roman"/>
          <w:szCs w:val="24"/>
          <w:lang w:val="fr-CA"/>
        </w:rPr>
        <w:t>’</w:t>
      </w:r>
      <w:r w:rsidRPr="00CA43DD">
        <w:rPr>
          <w:rFonts w:cs="Times New Roman"/>
          <w:szCs w:val="24"/>
          <w:lang w:val="fr-CA"/>
        </w:rPr>
        <w:t>attitude des agents pendant leurs témoignages, surtout celle de l</w:t>
      </w:r>
      <w:r>
        <w:rPr>
          <w:rFonts w:cs="Times New Roman"/>
          <w:szCs w:val="24"/>
          <w:lang w:val="fr-CA"/>
        </w:rPr>
        <w:t>’</w:t>
      </w:r>
      <w:r w:rsidRPr="00CA43DD">
        <w:rPr>
          <w:rFonts w:cs="Times New Roman"/>
          <w:szCs w:val="24"/>
          <w:lang w:val="fr-CA"/>
        </w:rPr>
        <w:t>agent Tremblay, mais aussi des agents Mathieu et Fortier, établit leur refus d</w:t>
      </w:r>
      <w:r>
        <w:rPr>
          <w:rFonts w:cs="Times New Roman"/>
          <w:szCs w:val="24"/>
          <w:lang w:val="fr-CA"/>
        </w:rPr>
        <w:t>’</w:t>
      </w:r>
      <w:r w:rsidRPr="00CA43DD">
        <w:rPr>
          <w:rFonts w:cs="Times New Roman"/>
          <w:szCs w:val="24"/>
          <w:lang w:val="fr-CA"/>
        </w:rPr>
        <w:t>admettre qu</w:t>
      </w:r>
      <w:r>
        <w:rPr>
          <w:rFonts w:cs="Times New Roman"/>
          <w:szCs w:val="24"/>
          <w:lang w:val="fr-CA"/>
        </w:rPr>
        <w:t>’</w:t>
      </w:r>
      <w:r w:rsidRPr="00CA43DD">
        <w:rPr>
          <w:rFonts w:cs="Times New Roman"/>
          <w:szCs w:val="24"/>
          <w:lang w:val="fr-CA"/>
        </w:rPr>
        <w:t>une piste de l</w:t>
      </w:r>
      <w:r>
        <w:rPr>
          <w:rFonts w:cs="Times New Roman"/>
          <w:szCs w:val="24"/>
          <w:lang w:val="fr-CA"/>
        </w:rPr>
        <w:t>’</w:t>
      </w:r>
      <w:r w:rsidRPr="00CA43DD">
        <w:rPr>
          <w:rFonts w:cs="Times New Roman"/>
          <w:szCs w:val="24"/>
          <w:lang w:val="fr-CA"/>
        </w:rPr>
        <w:t>enquête reliait M</w:t>
      </w:r>
      <w:r w:rsidRPr="00CA43DD">
        <w:rPr>
          <w:rFonts w:cs="Times New Roman"/>
          <w:szCs w:val="24"/>
          <w:vertAlign w:val="superscript"/>
          <w:lang w:val="fr-CA"/>
        </w:rPr>
        <w:t>me </w:t>
      </w:r>
      <w:r w:rsidRPr="00CA43DD">
        <w:rPr>
          <w:rFonts w:cs="Times New Roman"/>
          <w:szCs w:val="24"/>
          <w:lang w:val="fr-CA"/>
        </w:rPr>
        <w:t>Côté à la tentative de meurtre sur la personne de M. </w:t>
      </w:r>
      <w:proofErr w:type="spellStart"/>
      <w:r w:rsidRPr="00CA43DD">
        <w:rPr>
          <w:rFonts w:cs="Times New Roman"/>
          <w:szCs w:val="24"/>
          <w:lang w:val="fr-CA"/>
        </w:rPr>
        <w:t>Hogue</w:t>
      </w:r>
      <w:proofErr w:type="spellEnd"/>
      <w:r w:rsidRPr="00CA43DD">
        <w:rPr>
          <w:rFonts w:cs="Times New Roman"/>
          <w:szCs w:val="24"/>
          <w:lang w:val="fr-CA"/>
        </w:rPr>
        <w:t>.</w:t>
      </w:r>
    </w:p>
    <w:p w:rsidR="00DC2386" w:rsidRPr="00CA43DD" w:rsidRDefault="00DC2386" w:rsidP="00DC2386">
      <w:pPr>
        <w:pStyle w:val="ParaNoNdepar-AltN"/>
        <w:rPr>
          <w:rFonts w:cs="Times New Roman"/>
          <w:szCs w:val="24"/>
          <w:lang w:val="fr-CA"/>
        </w:rPr>
      </w:pPr>
      <w:r w:rsidRPr="00CA43DD">
        <w:rPr>
          <w:rFonts w:cs="Times New Roman"/>
          <w:szCs w:val="24"/>
          <w:lang w:val="fr-CA"/>
        </w:rPr>
        <w:t>Le juge du procès conclut en outre que les policiers appelés à témoigner ont tenté de diminuer l</w:t>
      </w:r>
      <w:r>
        <w:rPr>
          <w:rFonts w:cs="Times New Roman"/>
          <w:szCs w:val="24"/>
          <w:lang w:val="fr-CA"/>
        </w:rPr>
        <w:t>’</w:t>
      </w:r>
      <w:r w:rsidRPr="00CA43DD">
        <w:rPr>
          <w:rFonts w:cs="Times New Roman"/>
          <w:szCs w:val="24"/>
          <w:lang w:val="fr-CA"/>
        </w:rPr>
        <w:t>importance de certains éléments de preuve.  Plus précisément, ils ont cherché à minimiser l</w:t>
      </w:r>
      <w:r>
        <w:rPr>
          <w:rFonts w:cs="Times New Roman"/>
          <w:szCs w:val="24"/>
          <w:lang w:val="fr-CA"/>
        </w:rPr>
        <w:t>’</w:t>
      </w:r>
      <w:r w:rsidRPr="00CA43DD">
        <w:rPr>
          <w:rFonts w:cs="Times New Roman"/>
          <w:szCs w:val="24"/>
          <w:lang w:val="fr-CA"/>
        </w:rPr>
        <w:t>importance de l</w:t>
      </w:r>
      <w:r>
        <w:rPr>
          <w:rFonts w:cs="Times New Roman"/>
          <w:szCs w:val="24"/>
          <w:lang w:val="fr-CA"/>
        </w:rPr>
        <w:t>’</w:t>
      </w:r>
      <w:r w:rsidRPr="00CA43DD">
        <w:rPr>
          <w:rFonts w:cs="Times New Roman"/>
          <w:szCs w:val="24"/>
          <w:lang w:val="fr-CA"/>
        </w:rPr>
        <w:t xml:space="preserve">information transmise par le </w:t>
      </w:r>
      <w:r w:rsidRPr="00CA43DD">
        <w:rPr>
          <w:rFonts w:cs="Times New Roman"/>
          <w:szCs w:val="24"/>
          <w:lang w:val="fr-CA"/>
        </w:rPr>
        <w:lastRenderedPageBreak/>
        <w:t>D</w:t>
      </w:r>
      <w:r w:rsidRPr="00CA43DD">
        <w:rPr>
          <w:rFonts w:cs="Times New Roman"/>
          <w:szCs w:val="24"/>
          <w:vertAlign w:val="superscript"/>
          <w:lang w:val="fr-CA"/>
        </w:rPr>
        <w:t>r </w:t>
      </w:r>
      <w:proofErr w:type="spellStart"/>
      <w:r w:rsidRPr="00CA43DD">
        <w:rPr>
          <w:rFonts w:cs="Times New Roman"/>
          <w:szCs w:val="24"/>
          <w:lang w:val="fr-CA"/>
        </w:rPr>
        <w:t>Elazhary</w:t>
      </w:r>
      <w:proofErr w:type="spellEnd"/>
      <w:r w:rsidRPr="00CA43DD">
        <w:rPr>
          <w:rFonts w:cs="Times New Roman"/>
          <w:szCs w:val="24"/>
          <w:lang w:val="fr-CA"/>
        </w:rPr>
        <w:t>, par exemple lorsque l</w:t>
      </w:r>
      <w:r>
        <w:rPr>
          <w:rFonts w:cs="Times New Roman"/>
          <w:szCs w:val="24"/>
          <w:lang w:val="fr-CA"/>
        </w:rPr>
        <w:t>’</w:t>
      </w:r>
      <w:r w:rsidRPr="00CA43DD">
        <w:rPr>
          <w:rFonts w:cs="Times New Roman"/>
          <w:szCs w:val="24"/>
          <w:lang w:val="fr-CA"/>
        </w:rPr>
        <w:t>agent Mathieu a soutenu que l</w:t>
      </w:r>
      <w:r>
        <w:rPr>
          <w:rFonts w:cs="Times New Roman"/>
          <w:szCs w:val="24"/>
          <w:lang w:val="fr-CA"/>
        </w:rPr>
        <w:t>’</w:t>
      </w:r>
      <w:r w:rsidRPr="00CA43DD">
        <w:rPr>
          <w:rFonts w:cs="Times New Roman"/>
          <w:szCs w:val="24"/>
          <w:lang w:val="fr-CA"/>
        </w:rPr>
        <w:t>appelante n</w:t>
      </w:r>
      <w:r>
        <w:rPr>
          <w:rFonts w:cs="Times New Roman"/>
          <w:szCs w:val="24"/>
          <w:lang w:val="fr-CA"/>
        </w:rPr>
        <w:t>’</w:t>
      </w:r>
      <w:r w:rsidRPr="00CA43DD">
        <w:rPr>
          <w:rFonts w:cs="Times New Roman"/>
          <w:szCs w:val="24"/>
          <w:lang w:val="fr-CA"/>
        </w:rPr>
        <w:t>était pas détenue et qu</w:t>
      </w:r>
      <w:r>
        <w:rPr>
          <w:rFonts w:cs="Times New Roman"/>
          <w:szCs w:val="24"/>
          <w:lang w:val="fr-CA"/>
        </w:rPr>
        <w:t>’</w:t>
      </w:r>
      <w:r w:rsidRPr="00CA43DD">
        <w:rPr>
          <w:rFonts w:cs="Times New Roman"/>
          <w:szCs w:val="24"/>
          <w:lang w:val="fr-CA"/>
        </w:rPr>
        <w:t>elle était libre de partir à tout moment.  Les policiers ont aussi minimisé l</w:t>
      </w:r>
      <w:r>
        <w:rPr>
          <w:rFonts w:cs="Times New Roman"/>
          <w:szCs w:val="24"/>
          <w:lang w:val="fr-CA"/>
        </w:rPr>
        <w:t>’</w:t>
      </w:r>
      <w:r w:rsidRPr="00CA43DD">
        <w:rPr>
          <w:rFonts w:cs="Times New Roman"/>
          <w:szCs w:val="24"/>
          <w:lang w:val="fr-CA"/>
        </w:rPr>
        <w:t>importance que revêtait la question de savoir si les trous dans la fenêtre du solarium résultaient du tir d</w:t>
      </w:r>
      <w:r>
        <w:rPr>
          <w:rFonts w:cs="Times New Roman"/>
          <w:szCs w:val="24"/>
          <w:lang w:val="fr-CA"/>
        </w:rPr>
        <w:t>’</w:t>
      </w:r>
      <w:r w:rsidRPr="00CA43DD">
        <w:rPr>
          <w:rFonts w:cs="Times New Roman"/>
          <w:szCs w:val="24"/>
          <w:lang w:val="fr-CA"/>
        </w:rPr>
        <w:t>un projectile et ils ont insisté sur l</w:t>
      </w:r>
      <w:r>
        <w:rPr>
          <w:rFonts w:cs="Times New Roman"/>
          <w:szCs w:val="24"/>
          <w:lang w:val="fr-CA"/>
        </w:rPr>
        <w:t>’</w:t>
      </w:r>
      <w:r w:rsidRPr="00CA43DD">
        <w:rPr>
          <w:rFonts w:cs="Times New Roman"/>
          <w:szCs w:val="24"/>
          <w:lang w:val="fr-CA"/>
        </w:rPr>
        <w:t xml:space="preserve">importance de vérifier si un tir avait pu provenir de la rivière derrière le </w:t>
      </w:r>
      <w:proofErr w:type="spellStart"/>
      <w:r w:rsidRPr="00CA43DD">
        <w:rPr>
          <w:rFonts w:cs="Times New Roman"/>
          <w:szCs w:val="24"/>
          <w:lang w:val="fr-CA"/>
        </w:rPr>
        <w:t>gazebo</w:t>
      </w:r>
      <w:proofErr w:type="spellEnd"/>
      <w:r w:rsidRPr="00CA43DD">
        <w:rPr>
          <w:rFonts w:cs="Times New Roman"/>
          <w:szCs w:val="24"/>
          <w:lang w:val="fr-CA"/>
        </w:rPr>
        <w:t xml:space="preserve"> alors que cette hypothèse était incompatible avec les éléments de preuve déjà recueillis.  Il conclut que la franchise et la sincérité qu</w:t>
      </w:r>
      <w:r>
        <w:rPr>
          <w:rFonts w:cs="Times New Roman"/>
          <w:szCs w:val="24"/>
          <w:lang w:val="fr-CA"/>
        </w:rPr>
        <w:t>’</w:t>
      </w:r>
      <w:r w:rsidRPr="00CA43DD">
        <w:rPr>
          <w:rFonts w:cs="Times New Roman"/>
          <w:szCs w:val="24"/>
          <w:lang w:val="fr-CA"/>
        </w:rPr>
        <w:t>on est en droit de s</w:t>
      </w:r>
      <w:r>
        <w:rPr>
          <w:rFonts w:cs="Times New Roman"/>
          <w:szCs w:val="24"/>
          <w:lang w:val="fr-CA"/>
        </w:rPr>
        <w:t>’</w:t>
      </w:r>
      <w:r w:rsidRPr="00CA43DD">
        <w:rPr>
          <w:rFonts w:cs="Times New Roman"/>
          <w:szCs w:val="24"/>
          <w:lang w:val="fr-CA"/>
        </w:rPr>
        <w:t>attendre de la part de policiers chargés de l</w:t>
      </w:r>
      <w:r>
        <w:rPr>
          <w:rFonts w:cs="Times New Roman"/>
          <w:szCs w:val="24"/>
          <w:lang w:val="fr-CA"/>
        </w:rPr>
        <w:t>’</w:t>
      </w:r>
      <w:r w:rsidRPr="00CA43DD">
        <w:rPr>
          <w:rFonts w:cs="Times New Roman"/>
          <w:szCs w:val="24"/>
          <w:lang w:val="fr-CA"/>
        </w:rPr>
        <w:t>application de la loi n</w:t>
      </w:r>
      <w:r>
        <w:rPr>
          <w:rFonts w:cs="Times New Roman"/>
          <w:szCs w:val="24"/>
          <w:lang w:val="fr-CA"/>
        </w:rPr>
        <w:t>’</w:t>
      </w:r>
      <w:r w:rsidRPr="00CA43DD">
        <w:rPr>
          <w:rFonts w:cs="Times New Roman"/>
          <w:szCs w:val="24"/>
          <w:lang w:val="fr-CA"/>
        </w:rPr>
        <w:t xml:space="preserve">étaient malheureusement pas au </w:t>
      </w:r>
      <w:proofErr w:type="spellStart"/>
      <w:r w:rsidRPr="00CA43DD">
        <w:rPr>
          <w:rFonts w:cs="Times New Roman"/>
          <w:szCs w:val="24"/>
          <w:lang w:val="fr-CA"/>
        </w:rPr>
        <w:t>rendez</w:t>
      </w:r>
      <w:r w:rsidRPr="00CA43DD">
        <w:rPr>
          <w:rFonts w:cs="Times New Roman"/>
          <w:szCs w:val="24"/>
          <w:lang w:val="fr-CA"/>
        </w:rPr>
        <w:noBreakHyphen/>
        <w:t>vous</w:t>
      </w:r>
      <w:proofErr w:type="spellEnd"/>
      <w:r w:rsidRPr="00CA43DD">
        <w:rPr>
          <w:rFonts w:cs="Times New Roman"/>
          <w:szCs w:val="24"/>
          <w:lang w:val="fr-CA"/>
        </w:rPr>
        <w:t>.</w:t>
      </w:r>
    </w:p>
    <w:p w:rsidR="00DC2386" w:rsidRPr="00CA43DD" w:rsidRDefault="00CF6E18" w:rsidP="00CF6E18">
      <w:pPr>
        <w:pStyle w:val="TitleTitre-AltT"/>
        <w:keepNext/>
        <w:tabs>
          <w:tab w:val="clear" w:pos="360"/>
          <w:tab w:val="left" w:pos="1170"/>
        </w:tabs>
        <w:spacing w:after="720"/>
        <w:ind w:left="1800" w:hanging="1800"/>
        <w:rPr>
          <w:rFonts w:cs="Times New Roman"/>
          <w:i/>
          <w:szCs w:val="24"/>
          <w:lang w:val="fr-CA"/>
        </w:rPr>
      </w:pPr>
      <w:r>
        <w:rPr>
          <w:rFonts w:cs="Times New Roman"/>
          <w:szCs w:val="24"/>
          <w:lang w:val="fr-CA"/>
        </w:rPr>
        <w:tab/>
      </w:r>
      <w:r w:rsidR="00DC2386" w:rsidRPr="00CA43DD">
        <w:rPr>
          <w:rFonts w:cs="Times New Roman"/>
          <w:szCs w:val="24"/>
          <w:lang w:val="fr-CA"/>
        </w:rPr>
        <w:t>m)</w:t>
      </w:r>
      <w:r w:rsidR="00DC2386" w:rsidRPr="00CA43DD">
        <w:rPr>
          <w:rFonts w:cs="Times New Roman"/>
          <w:szCs w:val="24"/>
          <w:lang w:val="fr-CA"/>
        </w:rPr>
        <w:tab/>
      </w:r>
      <w:r w:rsidR="00DC2386" w:rsidRPr="00CA43DD">
        <w:rPr>
          <w:rFonts w:cs="Times New Roman"/>
          <w:i/>
          <w:szCs w:val="24"/>
          <w:lang w:val="fr-CA"/>
        </w:rPr>
        <w:t xml:space="preserve">La violation grave et systématique des droits garantis par la Charte </w:t>
      </w:r>
    </w:p>
    <w:p w:rsidR="00DC2386" w:rsidRPr="00CA43DD" w:rsidRDefault="00DC2386" w:rsidP="00DC2386">
      <w:pPr>
        <w:pStyle w:val="ParaNoNdepar-AltN"/>
        <w:rPr>
          <w:rFonts w:cs="Times New Roman"/>
          <w:szCs w:val="24"/>
          <w:lang w:val="fr-CA"/>
        </w:rPr>
      </w:pPr>
      <w:r w:rsidRPr="00CA43DD">
        <w:rPr>
          <w:rFonts w:cs="Times New Roman"/>
          <w:szCs w:val="24"/>
          <w:lang w:val="fr-CA"/>
        </w:rPr>
        <w:t>Le juge du procès est déconcerté par le comportement des policiers tout au long de l</w:t>
      </w:r>
      <w:r>
        <w:rPr>
          <w:rFonts w:cs="Times New Roman"/>
          <w:szCs w:val="24"/>
          <w:lang w:val="fr-CA"/>
        </w:rPr>
        <w:t>’</w:t>
      </w:r>
      <w:r w:rsidRPr="00CA43DD">
        <w:rPr>
          <w:rFonts w:cs="Times New Roman"/>
          <w:szCs w:val="24"/>
          <w:lang w:val="fr-CA"/>
        </w:rPr>
        <w:t>enquête, un comportement qui, à son avis, reflète un mépris flagrant des droits constitutionnels de l</w:t>
      </w:r>
      <w:r>
        <w:rPr>
          <w:rFonts w:cs="Times New Roman"/>
          <w:szCs w:val="24"/>
          <w:lang w:val="fr-CA"/>
        </w:rPr>
        <w:t>’</w:t>
      </w:r>
      <w:r w:rsidRPr="00CA43DD">
        <w:rPr>
          <w:rFonts w:cs="Times New Roman"/>
          <w:szCs w:val="24"/>
          <w:lang w:val="fr-CA"/>
        </w:rPr>
        <w:t>appelante.  Il estime que les atteintes au droit de cette dernière à la protection contre les fouilles, saisies et perquisitions abusives sont extrêmement sérieuses, « flagrant[es] et systématique[s] » (par. 337).  À son avis, elles ne sont pas le fruit d</w:t>
      </w:r>
      <w:r>
        <w:rPr>
          <w:rFonts w:cs="Times New Roman"/>
          <w:szCs w:val="24"/>
          <w:lang w:val="fr-CA"/>
        </w:rPr>
        <w:t>’</w:t>
      </w:r>
      <w:r w:rsidRPr="00CA43DD">
        <w:rPr>
          <w:rFonts w:cs="Times New Roman"/>
          <w:szCs w:val="24"/>
          <w:lang w:val="fr-CA"/>
        </w:rPr>
        <w:t>erreurs de jugement isolées de la part des policiers, mais bien le résultat d</w:t>
      </w:r>
      <w:r>
        <w:rPr>
          <w:rFonts w:cs="Times New Roman"/>
          <w:szCs w:val="24"/>
          <w:lang w:val="fr-CA"/>
        </w:rPr>
        <w:t>’</w:t>
      </w:r>
      <w:r w:rsidRPr="00CA43DD">
        <w:rPr>
          <w:rFonts w:cs="Times New Roman"/>
          <w:szCs w:val="24"/>
          <w:lang w:val="fr-CA"/>
        </w:rPr>
        <w:t xml:space="preserve">un mépris systématique des droits garantis par la </w:t>
      </w:r>
      <w:r w:rsidRPr="00CA43DD">
        <w:rPr>
          <w:rFonts w:cs="Times New Roman"/>
          <w:i/>
          <w:szCs w:val="24"/>
          <w:lang w:val="fr-CA"/>
        </w:rPr>
        <w:t>Charte</w:t>
      </w:r>
      <w:r w:rsidRPr="00CA43DD">
        <w:rPr>
          <w:rFonts w:cs="Times New Roman"/>
          <w:szCs w:val="24"/>
          <w:lang w:val="fr-CA"/>
        </w:rPr>
        <w:t>.  Il conclut que les policiers n</w:t>
      </w:r>
      <w:r>
        <w:rPr>
          <w:rFonts w:cs="Times New Roman"/>
          <w:szCs w:val="24"/>
          <w:lang w:val="fr-CA"/>
        </w:rPr>
        <w:t>’</w:t>
      </w:r>
      <w:r w:rsidRPr="00CA43DD">
        <w:rPr>
          <w:rFonts w:cs="Times New Roman"/>
          <w:szCs w:val="24"/>
          <w:lang w:val="fr-CA"/>
        </w:rPr>
        <w:t>ont pas agi de bonne foi.</w:t>
      </w:r>
    </w:p>
    <w:p w:rsidR="00DC2386" w:rsidRPr="00CA43DD" w:rsidRDefault="00CF6E18" w:rsidP="00CF6E18">
      <w:pPr>
        <w:pStyle w:val="TitleTitre-AltT"/>
        <w:keepNext/>
        <w:tabs>
          <w:tab w:val="clear" w:pos="360"/>
          <w:tab w:val="left" w:pos="1170"/>
        </w:tabs>
        <w:spacing w:after="720"/>
        <w:ind w:left="1800" w:hanging="1800"/>
        <w:rPr>
          <w:rFonts w:cs="Times New Roman"/>
          <w:i/>
          <w:szCs w:val="24"/>
          <w:lang w:val="fr-CA"/>
        </w:rPr>
      </w:pPr>
      <w:r>
        <w:rPr>
          <w:rFonts w:cs="Times New Roman"/>
          <w:szCs w:val="24"/>
          <w:lang w:val="fr-CA"/>
        </w:rPr>
        <w:lastRenderedPageBreak/>
        <w:tab/>
      </w:r>
      <w:r w:rsidR="00DC2386" w:rsidRPr="00CA43DD">
        <w:rPr>
          <w:rFonts w:cs="Times New Roman"/>
          <w:szCs w:val="24"/>
          <w:lang w:val="fr-CA"/>
        </w:rPr>
        <w:t>n)</w:t>
      </w:r>
      <w:r w:rsidR="00DC2386" w:rsidRPr="00CA43DD">
        <w:rPr>
          <w:rFonts w:cs="Times New Roman"/>
          <w:i/>
          <w:szCs w:val="24"/>
          <w:lang w:val="fr-CA"/>
        </w:rPr>
        <w:tab/>
        <w:t>L</w:t>
      </w:r>
      <w:r w:rsidR="00DC2386">
        <w:rPr>
          <w:rFonts w:cs="Times New Roman"/>
          <w:i/>
          <w:szCs w:val="24"/>
          <w:lang w:val="fr-CA"/>
        </w:rPr>
        <w:t>’</w:t>
      </w:r>
      <w:r w:rsidR="00DC2386" w:rsidRPr="00CA43DD">
        <w:rPr>
          <w:rFonts w:cs="Times New Roman"/>
          <w:i/>
          <w:szCs w:val="24"/>
          <w:lang w:val="fr-CA"/>
        </w:rPr>
        <w:t>exclusion de la preuve</w:t>
      </w:r>
    </w:p>
    <w:p w:rsidR="00DC2386" w:rsidRPr="00CA43DD" w:rsidRDefault="00DC2386" w:rsidP="00DC2386">
      <w:pPr>
        <w:pStyle w:val="ParaNoNdepar-AltN"/>
        <w:rPr>
          <w:rFonts w:cs="Times New Roman"/>
          <w:szCs w:val="24"/>
          <w:lang w:val="fr-CA"/>
        </w:rPr>
      </w:pPr>
      <w:r w:rsidRPr="00CA43DD">
        <w:rPr>
          <w:rFonts w:cs="Times New Roman"/>
          <w:szCs w:val="24"/>
          <w:lang w:val="fr-CA"/>
        </w:rPr>
        <w:t>Mettant en balance l</w:t>
      </w:r>
      <w:r>
        <w:rPr>
          <w:rFonts w:cs="Times New Roman"/>
          <w:szCs w:val="24"/>
          <w:lang w:val="fr-CA"/>
        </w:rPr>
        <w:t>’</w:t>
      </w:r>
      <w:r w:rsidRPr="00CA43DD">
        <w:rPr>
          <w:rFonts w:cs="Times New Roman"/>
          <w:szCs w:val="24"/>
          <w:lang w:val="fr-CA"/>
        </w:rPr>
        <w:t>intérêt qu</w:t>
      </w:r>
      <w:r>
        <w:rPr>
          <w:rFonts w:cs="Times New Roman"/>
          <w:szCs w:val="24"/>
          <w:lang w:val="fr-CA"/>
        </w:rPr>
        <w:t>’</w:t>
      </w:r>
      <w:r w:rsidRPr="00CA43DD">
        <w:rPr>
          <w:rFonts w:cs="Times New Roman"/>
          <w:szCs w:val="24"/>
          <w:lang w:val="fr-CA"/>
        </w:rPr>
        <w:t>a l</w:t>
      </w:r>
      <w:r>
        <w:rPr>
          <w:rFonts w:cs="Times New Roman"/>
          <w:szCs w:val="24"/>
          <w:lang w:val="fr-CA"/>
        </w:rPr>
        <w:t>’</w:t>
      </w:r>
      <w:r w:rsidRPr="00CA43DD">
        <w:rPr>
          <w:rFonts w:cs="Times New Roman"/>
          <w:szCs w:val="24"/>
          <w:lang w:val="fr-CA"/>
        </w:rPr>
        <w:t>État, d</w:t>
      </w:r>
      <w:r>
        <w:rPr>
          <w:rFonts w:cs="Times New Roman"/>
          <w:szCs w:val="24"/>
          <w:lang w:val="fr-CA"/>
        </w:rPr>
        <w:t>’</w:t>
      </w:r>
      <w:r w:rsidRPr="00CA43DD">
        <w:rPr>
          <w:rFonts w:cs="Times New Roman"/>
          <w:szCs w:val="24"/>
          <w:lang w:val="fr-CA"/>
        </w:rPr>
        <w:t>une part, à découvrir la vérité et, d</w:t>
      </w:r>
      <w:r>
        <w:rPr>
          <w:rFonts w:cs="Times New Roman"/>
          <w:szCs w:val="24"/>
          <w:lang w:val="fr-CA"/>
        </w:rPr>
        <w:t>’</w:t>
      </w:r>
      <w:r w:rsidRPr="00CA43DD">
        <w:rPr>
          <w:rFonts w:cs="Times New Roman"/>
          <w:szCs w:val="24"/>
          <w:lang w:val="fr-CA"/>
        </w:rPr>
        <w:t>autre part, à préserver l</w:t>
      </w:r>
      <w:r>
        <w:rPr>
          <w:rFonts w:cs="Times New Roman"/>
          <w:szCs w:val="24"/>
          <w:lang w:val="fr-CA"/>
        </w:rPr>
        <w:t>’</w:t>
      </w:r>
      <w:r w:rsidRPr="00CA43DD">
        <w:rPr>
          <w:rFonts w:cs="Times New Roman"/>
          <w:szCs w:val="24"/>
          <w:lang w:val="fr-CA"/>
        </w:rPr>
        <w:t>intégrité de l</w:t>
      </w:r>
      <w:r>
        <w:rPr>
          <w:rFonts w:cs="Times New Roman"/>
          <w:szCs w:val="24"/>
          <w:lang w:val="fr-CA"/>
        </w:rPr>
        <w:t>’</w:t>
      </w:r>
      <w:r w:rsidRPr="00CA43DD">
        <w:rPr>
          <w:rFonts w:cs="Times New Roman"/>
          <w:szCs w:val="24"/>
          <w:lang w:val="fr-CA"/>
        </w:rPr>
        <w:t>administration de la justice, le juge du procès arrive à la conclusion qu</w:t>
      </w:r>
      <w:r>
        <w:rPr>
          <w:rFonts w:cs="Times New Roman"/>
          <w:szCs w:val="24"/>
          <w:lang w:val="fr-CA"/>
        </w:rPr>
        <w:t>’</w:t>
      </w:r>
      <w:r w:rsidRPr="00CA43DD">
        <w:rPr>
          <w:rFonts w:cs="Times New Roman"/>
          <w:szCs w:val="24"/>
          <w:lang w:val="fr-CA"/>
        </w:rPr>
        <w:t>il n</w:t>
      </w:r>
      <w:r>
        <w:rPr>
          <w:rFonts w:cs="Times New Roman"/>
          <w:szCs w:val="24"/>
          <w:lang w:val="fr-CA"/>
        </w:rPr>
        <w:t>’</w:t>
      </w:r>
      <w:r w:rsidRPr="00CA43DD">
        <w:rPr>
          <w:rFonts w:cs="Times New Roman"/>
          <w:szCs w:val="24"/>
          <w:lang w:val="fr-CA"/>
        </w:rPr>
        <w:t>y a d</w:t>
      </w:r>
      <w:r>
        <w:rPr>
          <w:rFonts w:cs="Times New Roman"/>
          <w:szCs w:val="24"/>
          <w:lang w:val="fr-CA"/>
        </w:rPr>
        <w:t>’</w:t>
      </w:r>
      <w:r w:rsidRPr="00CA43DD">
        <w:rPr>
          <w:rFonts w:cs="Times New Roman"/>
          <w:szCs w:val="24"/>
          <w:lang w:val="fr-CA"/>
        </w:rPr>
        <w:t>autre choix que d</w:t>
      </w:r>
      <w:r>
        <w:rPr>
          <w:rFonts w:cs="Times New Roman"/>
          <w:szCs w:val="24"/>
          <w:lang w:val="fr-CA"/>
        </w:rPr>
        <w:t>’</w:t>
      </w:r>
      <w:r w:rsidRPr="00CA43DD">
        <w:rPr>
          <w:rFonts w:cs="Times New Roman"/>
          <w:szCs w:val="24"/>
          <w:lang w:val="fr-CA"/>
        </w:rPr>
        <w:t>écarter la preuve pour éviter de déconsidérer davantage l</w:t>
      </w:r>
      <w:r>
        <w:rPr>
          <w:rFonts w:cs="Times New Roman"/>
          <w:szCs w:val="24"/>
          <w:lang w:val="fr-CA"/>
        </w:rPr>
        <w:t>’</w:t>
      </w:r>
      <w:r w:rsidRPr="00CA43DD">
        <w:rPr>
          <w:rFonts w:cs="Times New Roman"/>
          <w:szCs w:val="24"/>
          <w:lang w:val="fr-CA"/>
        </w:rPr>
        <w:t>administration de la justice.  À son avis, l</w:t>
      </w:r>
      <w:r>
        <w:rPr>
          <w:rFonts w:cs="Times New Roman"/>
          <w:szCs w:val="24"/>
          <w:lang w:val="fr-CA"/>
        </w:rPr>
        <w:t>’</w:t>
      </w:r>
      <w:r w:rsidRPr="00CA43DD">
        <w:rPr>
          <w:rFonts w:cs="Times New Roman"/>
          <w:szCs w:val="24"/>
          <w:lang w:val="fr-CA"/>
        </w:rPr>
        <w:t>utilisation de la preuve est susceptible de déconsidérer l</w:t>
      </w:r>
      <w:r>
        <w:rPr>
          <w:rFonts w:cs="Times New Roman"/>
          <w:szCs w:val="24"/>
          <w:lang w:val="fr-CA"/>
        </w:rPr>
        <w:t>’</w:t>
      </w:r>
      <w:r w:rsidRPr="00CA43DD">
        <w:rPr>
          <w:rFonts w:cs="Times New Roman"/>
          <w:szCs w:val="24"/>
          <w:lang w:val="fr-CA"/>
        </w:rPr>
        <w:t>administration de la justice, et il écarte les déclarations orales et écrites de l</w:t>
      </w:r>
      <w:r>
        <w:rPr>
          <w:rFonts w:cs="Times New Roman"/>
          <w:szCs w:val="24"/>
          <w:lang w:val="fr-CA"/>
        </w:rPr>
        <w:t>’</w:t>
      </w:r>
      <w:r w:rsidRPr="00CA43DD">
        <w:rPr>
          <w:rFonts w:cs="Times New Roman"/>
          <w:szCs w:val="24"/>
          <w:lang w:val="fr-CA"/>
        </w:rPr>
        <w:t>appelante, la preuve recueillie lors des fouilles effectuées chez l</w:t>
      </w:r>
      <w:r>
        <w:rPr>
          <w:rFonts w:cs="Times New Roman"/>
          <w:szCs w:val="24"/>
          <w:lang w:val="fr-CA"/>
        </w:rPr>
        <w:t>’</w:t>
      </w:r>
      <w:r w:rsidRPr="00CA43DD">
        <w:rPr>
          <w:rFonts w:cs="Times New Roman"/>
          <w:szCs w:val="24"/>
          <w:lang w:val="fr-CA"/>
        </w:rPr>
        <w:t>appelante en vertu d</w:t>
      </w:r>
      <w:r>
        <w:rPr>
          <w:rFonts w:cs="Times New Roman"/>
          <w:szCs w:val="24"/>
          <w:lang w:val="fr-CA"/>
        </w:rPr>
        <w:t>’</w:t>
      </w:r>
      <w:r w:rsidRPr="00CA43DD">
        <w:rPr>
          <w:rFonts w:cs="Times New Roman"/>
          <w:szCs w:val="24"/>
          <w:lang w:val="fr-CA"/>
        </w:rPr>
        <w:t>un mandat et les constatations des policiers sur les abords de la maison avant la délivrance des mandats.  Soulignant la gravité du crime en cause et le grand intérêt qu</w:t>
      </w:r>
      <w:r>
        <w:rPr>
          <w:rFonts w:cs="Times New Roman"/>
          <w:szCs w:val="24"/>
          <w:lang w:val="fr-CA"/>
        </w:rPr>
        <w:t>’</w:t>
      </w:r>
      <w:r w:rsidRPr="00CA43DD">
        <w:rPr>
          <w:rFonts w:cs="Times New Roman"/>
          <w:szCs w:val="24"/>
          <w:lang w:val="fr-CA"/>
        </w:rPr>
        <w:t>a la société à ce que l</w:t>
      </w:r>
      <w:r>
        <w:rPr>
          <w:rFonts w:cs="Times New Roman"/>
          <w:szCs w:val="24"/>
          <w:lang w:val="fr-CA"/>
        </w:rPr>
        <w:t>’</w:t>
      </w:r>
      <w:r w:rsidRPr="00CA43DD">
        <w:rPr>
          <w:rFonts w:cs="Times New Roman"/>
          <w:szCs w:val="24"/>
          <w:lang w:val="fr-CA"/>
        </w:rPr>
        <w:t>affaire soit tranchée au fond, le juge reconnaît qu</w:t>
      </w:r>
      <w:r>
        <w:rPr>
          <w:rFonts w:cs="Times New Roman"/>
          <w:szCs w:val="24"/>
          <w:lang w:val="fr-CA"/>
        </w:rPr>
        <w:t>’</w:t>
      </w:r>
      <w:r w:rsidRPr="00CA43DD">
        <w:rPr>
          <w:rFonts w:cs="Times New Roman"/>
          <w:szCs w:val="24"/>
          <w:lang w:val="fr-CA"/>
        </w:rPr>
        <w:t>il lui est particulièrement difficile de rendre sa décision, car elle entraîne l</w:t>
      </w:r>
      <w:r>
        <w:rPr>
          <w:rFonts w:cs="Times New Roman"/>
          <w:szCs w:val="24"/>
          <w:lang w:val="fr-CA"/>
        </w:rPr>
        <w:t>’</w:t>
      </w:r>
      <w:r w:rsidRPr="00CA43DD">
        <w:rPr>
          <w:rFonts w:cs="Times New Roman"/>
          <w:szCs w:val="24"/>
          <w:lang w:val="fr-CA"/>
        </w:rPr>
        <w:t>acquittement de l</w:t>
      </w:r>
      <w:r>
        <w:rPr>
          <w:rFonts w:cs="Times New Roman"/>
          <w:szCs w:val="24"/>
          <w:lang w:val="fr-CA"/>
        </w:rPr>
        <w:t>’</w:t>
      </w:r>
      <w:r w:rsidRPr="00CA43DD">
        <w:rPr>
          <w:rFonts w:cs="Times New Roman"/>
          <w:szCs w:val="24"/>
          <w:lang w:val="fr-CA"/>
        </w:rPr>
        <w:t>appelante.</w:t>
      </w:r>
    </w:p>
    <w:p w:rsidR="00DC2386" w:rsidRPr="00CA43DD" w:rsidRDefault="00DC2386" w:rsidP="006E7471">
      <w:pPr>
        <w:pStyle w:val="TitleTitre-AltT"/>
        <w:keepNext/>
        <w:tabs>
          <w:tab w:val="clear" w:pos="360"/>
          <w:tab w:val="left" w:pos="720"/>
        </w:tabs>
        <w:spacing w:after="720"/>
        <w:ind w:left="720" w:hanging="720"/>
        <w:rPr>
          <w:rFonts w:cs="Times New Roman"/>
          <w:szCs w:val="24"/>
          <w:lang w:val="fr-CA"/>
        </w:rPr>
      </w:pPr>
      <w:r w:rsidRPr="00CA43DD">
        <w:rPr>
          <w:rFonts w:cs="Times New Roman"/>
          <w:szCs w:val="24"/>
          <w:lang w:val="fr-CA"/>
        </w:rPr>
        <w:t>B.</w:t>
      </w:r>
      <w:r w:rsidRPr="00CA43DD">
        <w:rPr>
          <w:rFonts w:cs="Times New Roman"/>
          <w:szCs w:val="24"/>
          <w:lang w:val="fr-CA"/>
        </w:rPr>
        <w:tab/>
      </w:r>
      <w:r w:rsidRPr="00CA43DD">
        <w:rPr>
          <w:rFonts w:cs="Times New Roman"/>
          <w:i/>
          <w:szCs w:val="24"/>
          <w:lang w:val="fr-CA"/>
        </w:rPr>
        <w:t>La Cour d</w:t>
      </w:r>
      <w:r>
        <w:rPr>
          <w:rFonts w:cs="Times New Roman"/>
          <w:i/>
          <w:szCs w:val="24"/>
          <w:lang w:val="fr-CA"/>
        </w:rPr>
        <w:t>’</w:t>
      </w:r>
      <w:r w:rsidRPr="00CA43DD">
        <w:rPr>
          <w:rFonts w:cs="Times New Roman"/>
          <w:i/>
          <w:szCs w:val="24"/>
          <w:lang w:val="fr-CA"/>
        </w:rPr>
        <w:t>appel, 2010 QCCA 303</w:t>
      </w:r>
      <w:r w:rsidR="00D33056">
        <w:rPr>
          <w:rFonts w:cs="Times New Roman"/>
          <w:i/>
          <w:szCs w:val="24"/>
          <w:lang w:val="fr-CA"/>
        </w:rPr>
        <w:t>, 74 C.R. (6th) 130</w:t>
      </w:r>
    </w:p>
    <w:p w:rsidR="00DC2386" w:rsidRPr="00CA43DD" w:rsidRDefault="00DC2386" w:rsidP="00DC2386">
      <w:pPr>
        <w:pStyle w:val="ParaNoNdepar-AltN"/>
        <w:rPr>
          <w:rFonts w:cs="Times New Roman"/>
          <w:szCs w:val="24"/>
          <w:lang w:val="fr-CA"/>
        </w:rPr>
      </w:pPr>
      <w:r w:rsidRPr="00CA43DD">
        <w:rPr>
          <w:rFonts w:cs="Times New Roman"/>
          <w:szCs w:val="24"/>
          <w:lang w:val="fr-CA"/>
        </w:rPr>
        <w:t>La Cour d</w:t>
      </w:r>
      <w:r>
        <w:rPr>
          <w:rFonts w:cs="Times New Roman"/>
          <w:szCs w:val="24"/>
          <w:lang w:val="fr-CA"/>
        </w:rPr>
        <w:t>’</w:t>
      </w:r>
      <w:r w:rsidRPr="00CA43DD">
        <w:rPr>
          <w:rFonts w:cs="Times New Roman"/>
          <w:szCs w:val="24"/>
          <w:lang w:val="fr-CA"/>
        </w:rPr>
        <w:t>appel statue que le juge du procès a eu raison d</w:t>
      </w:r>
      <w:r>
        <w:rPr>
          <w:rFonts w:cs="Times New Roman"/>
          <w:szCs w:val="24"/>
          <w:lang w:val="fr-CA"/>
        </w:rPr>
        <w:t>’</w:t>
      </w:r>
      <w:r w:rsidRPr="00CA43DD">
        <w:rPr>
          <w:rFonts w:cs="Times New Roman"/>
          <w:szCs w:val="24"/>
          <w:lang w:val="fr-CA"/>
        </w:rPr>
        <w:t>écarter les déclarations de l</w:t>
      </w:r>
      <w:r>
        <w:rPr>
          <w:rFonts w:cs="Times New Roman"/>
          <w:szCs w:val="24"/>
          <w:lang w:val="fr-CA"/>
        </w:rPr>
        <w:t>’</w:t>
      </w:r>
      <w:r w:rsidRPr="00CA43DD">
        <w:rPr>
          <w:rFonts w:cs="Times New Roman"/>
          <w:szCs w:val="24"/>
          <w:lang w:val="fr-CA"/>
        </w:rPr>
        <w:t>appelante, car en les obtenant, les policiers ont gravement compromis l</w:t>
      </w:r>
      <w:r>
        <w:rPr>
          <w:rFonts w:cs="Times New Roman"/>
          <w:szCs w:val="24"/>
          <w:lang w:val="fr-CA"/>
        </w:rPr>
        <w:t>’efficacité</w:t>
      </w:r>
      <w:r w:rsidRPr="00CA43DD">
        <w:rPr>
          <w:rFonts w:cs="Times New Roman"/>
          <w:szCs w:val="24"/>
          <w:lang w:val="fr-CA"/>
        </w:rPr>
        <w:t xml:space="preserve"> des </w:t>
      </w:r>
      <w:r>
        <w:rPr>
          <w:rFonts w:cs="Times New Roman"/>
          <w:szCs w:val="24"/>
          <w:lang w:val="fr-CA"/>
        </w:rPr>
        <w:t xml:space="preserve">conseils juridiques donnés à </w:t>
      </w:r>
      <w:r w:rsidRPr="00CA43DD">
        <w:rPr>
          <w:rFonts w:cs="Times New Roman"/>
          <w:szCs w:val="24"/>
          <w:lang w:val="fr-CA"/>
        </w:rPr>
        <w:t>M</w:t>
      </w:r>
      <w:r w:rsidRPr="00CA43DD">
        <w:rPr>
          <w:rFonts w:cs="Times New Roman"/>
          <w:szCs w:val="24"/>
          <w:vertAlign w:val="superscript"/>
          <w:lang w:val="fr-CA"/>
        </w:rPr>
        <w:t>me</w:t>
      </w:r>
      <w:r w:rsidRPr="00CA43DD">
        <w:rPr>
          <w:rFonts w:cs="Times New Roman"/>
          <w:szCs w:val="24"/>
          <w:lang w:val="fr-CA"/>
        </w:rPr>
        <w:t xml:space="preserve"> Côté </w:t>
      </w:r>
      <w:r>
        <w:rPr>
          <w:rFonts w:cs="Times New Roman"/>
          <w:szCs w:val="24"/>
          <w:lang w:val="fr-CA"/>
        </w:rPr>
        <w:t xml:space="preserve">par ses </w:t>
      </w:r>
      <w:r w:rsidRPr="00CA43DD">
        <w:rPr>
          <w:rFonts w:cs="Times New Roman"/>
          <w:szCs w:val="24"/>
          <w:lang w:val="fr-CA"/>
        </w:rPr>
        <w:t>avocats</w:t>
      </w:r>
      <w:r>
        <w:rPr>
          <w:rFonts w:cs="Times New Roman"/>
          <w:szCs w:val="24"/>
          <w:lang w:val="fr-CA"/>
        </w:rPr>
        <w:t>,</w:t>
      </w:r>
      <w:r w:rsidRPr="00CA43DD">
        <w:rPr>
          <w:rFonts w:cs="Times New Roman"/>
          <w:szCs w:val="24"/>
          <w:lang w:val="fr-CA"/>
        </w:rPr>
        <w:t xml:space="preserve"> un comportement que ne pouvait sanctionner une cour de justice.  Le ministère public reconnaît généralement que les policiers ont commis des violations et que ces violations sont graves.  Il concède également qu</w:t>
      </w:r>
      <w:r>
        <w:rPr>
          <w:rFonts w:cs="Times New Roman"/>
          <w:szCs w:val="24"/>
          <w:lang w:val="fr-CA"/>
        </w:rPr>
        <w:t>’</w:t>
      </w:r>
      <w:r w:rsidRPr="00CA43DD">
        <w:rPr>
          <w:rFonts w:cs="Times New Roman"/>
          <w:szCs w:val="24"/>
          <w:lang w:val="fr-CA"/>
        </w:rPr>
        <w:t>il y a lieu d</w:t>
      </w:r>
      <w:r>
        <w:rPr>
          <w:rFonts w:cs="Times New Roman"/>
          <w:szCs w:val="24"/>
          <w:lang w:val="fr-CA"/>
        </w:rPr>
        <w:t>’</w:t>
      </w:r>
      <w:r w:rsidRPr="00CA43DD">
        <w:rPr>
          <w:rFonts w:cs="Times New Roman"/>
          <w:szCs w:val="24"/>
          <w:lang w:val="fr-CA"/>
        </w:rPr>
        <w:t>écarter les déclarations enregistrées sur bande vidéo.  Cependant, la Cour d</w:t>
      </w:r>
      <w:r>
        <w:rPr>
          <w:rFonts w:cs="Times New Roman"/>
          <w:szCs w:val="24"/>
          <w:lang w:val="fr-CA"/>
        </w:rPr>
        <w:t>’</w:t>
      </w:r>
      <w:r w:rsidRPr="00CA43DD">
        <w:rPr>
          <w:rFonts w:cs="Times New Roman"/>
          <w:szCs w:val="24"/>
          <w:lang w:val="fr-CA"/>
        </w:rPr>
        <w:t xml:space="preserve">appel estime que le juge du </w:t>
      </w:r>
      <w:r w:rsidRPr="00CA43DD">
        <w:rPr>
          <w:rFonts w:cs="Times New Roman"/>
          <w:szCs w:val="24"/>
          <w:lang w:val="fr-CA"/>
        </w:rPr>
        <w:lastRenderedPageBreak/>
        <w:t>procès a eu tort d</w:t>
      </w:r>
      <w:r>
        <w:rPr>
          <w:rFonts w:cs="Times New Roman"/>
          <w:szCs w:val="24"/>
          <w:lang w:val="fr-CA"/>
        </w:rPr>
        <w:t>’</w:t>
      </w:r>
      <w:r w:rsidRPr="00CA43DD">
        <w:rPr>
          <w:rFonts w:cs="Times New Roman"/>
          <w:szCs w:val="24"/>
          <w:lang w:val="fr-CA"/>
        </w:rPr>
        <w:t>écarter les constatations faites par les policiers lors de l</w:t>
      </w:r>
      <w:r>
        <w:rPr>
          <w:rFonts w:cs="Times New Roman"/>
          <w:szCs w:val="24"/>
          <w:lang w:val="fr-CA"/>
        </w:rPr>
        <w:t>’</w:t>
      </w:r>
      <w:r w:rsidRPr="00CA43DD">
        <w:rPr>
          <w:rFonts w:cs="Times New Roman"/>
          <w:szCs w:val="24"/>
          <w:lang w:val="fr-CA"/>
        </w:rPr>
        <w:t>examen de l</w:t>
      </w:r>
      <w:r>
        <w:rPr>
          <w:rFonts w:cs="Times New Roman"/>
          <w:szCs w:val="24"/>
          <w:lang w:val="fr-CA"/>
        </w:rPr>
        <w:t>’</w:t>
      </w:r>
      <w:r w:rsidRPr="00CA43DD">
        <w:rPr>
          <w:rFonts w:cs="Times New Roman"/>
          <w:szCs w:val="24"/>
          <w:lang w:val="fr-CA"/>
        </w:rPr>
        <w:t>extérieur de la maison de l</w:t>
      </w:r>
      <w:r>
        <w:rPr>
          <w:rFonts w:cs="Times New Roman"/>
          <w:szCs w:val="24"/>
          <w:lang w:val="fr-CA"/>
        </w:rPr>
        <w:t>’</w:t>
      </w:r>
      <w:r w:rsidRPr="00CA43DD">
        <w:rPr>
          <w:rFonts w:cs="Times New Roman"/>
          <w:szCs w:val="24"/>
          <w:lang w:val="fr-CA"/>
        </w:rPr>
        <w:t>appelante avant l</w:t>
      </w:r>
      <w:r>
        <w:rPr>
          <w:rFonts w:cs="Times New Roman"/>
          <w:szCs w:val="24"/>
          <w:lang w:val="fr-CA"/>
        </w:rPr>
        <w:t>’</w:t>
      </w:r>
      <w:r w:rsidRPr="00CA43DD">
        <w:rPr>
          <w:rFonts w:cs="Times New Roman"/>
          <w:szCs w:val="24"/>
          <w:lang w:val="fr-CA"/>
        </w:rPr>
        <w:t>obtention des mandats et la preuve matérielle qu</w:t>
      </w:r>
      <w:r>
        <w:rPr>
          <w:rFonts w:cs="Times New Roman"/>
          <w:szCs w:val="24"/>
          <w:lang w:val="fr-CA"/>
        </w:rPr>
        <w:t>’</w:t>
      </w:r>
      <w:r w:rsidRPr="00CA43DD">
        <w:rPr>
          <w:rFonts w:cs="Times New Roman"/>
          <w:szCs w:val="24"/>
          <w:lang w:val="fr-CA"/>
        </w:rPr>
        <w:t>ils ont recueillie dans sa résidence lors de l</w:t>
      </w:r>
      <w:r>
        <w:rPr>
          <w:rFonts w:cs="Times New Roman"/>
          <w:szCs w:val="24"/>
          <w:lang w:val="fr-CA"/>
        </w:rPr>
        <w:t>’</w:t>
      </w:r>
      <w:r w:rsidRPr="00CA43DD">
        <w:rPr>
          <w:rFonts w:cs="Times New Roman"/>
          <w:szCs w:val="24"/>
          <w:lang w:val="fr-CA"/>
        </w:rPr>
        <w:t xml:space="preserve">exécution des deux </w:t>
      </w:r>
      <w:proofErr w:type="spellStart"/>
      <w:r w:rsidRPr="00CA43DD">
        <w:rPr>
          <w:rFonts w:cs="Times New Roman"/>
          <w:szCs w:val="24"/>
          <w:lang w:val="fr-CA"/>
        </w:rPr>
        <w:t>télémandats</w:t>
      </w:r>
      <w:proofErr w:type="spellEnd"/>
      <w:r w:rsidRPr="00CA43DD">
        <w:rPr>
          <w:rFonts w:cs="Times New Roman"/>
          <w:szCs w:val="24"/>
          <w:lang w:val="fr-CA"/>
        </w:rPr>
        <w:t>.</w:t>
      </w:r>
    </w:p>
    <w:p w:rsidR="00DC2386" w:rsidRPr="00CA43DD" w:rsidRDefault="00DC2386" w:rsidP="00DC2386">
      <w:pPr>
        <w:pStyle w:val="ParaNoNdepar-AltN"/>
        <w:rPr>
          <w:rFonts w:cs="Times New Roman"/>
          <w:szCs w:val="24"/>
          <w:lang w:val="fr-CA"/>
        </w:rPr>
      </w:pPr>
      <w:r w:rsidRPr="00CA43DD">
        <w:rPr>
          <w:rFonts w:cs="Times New Roman"/>
          <w:szCs w:val="24"/>
          <w:lang w:val="fr-CA"/>
        </w:rPr>
        <w:t>La Cour d</w:t>
      </w:r>
      <w:r>
        <w:rPr>
          <w:rFonts w:cs="Times New Roman"/>
          <w:szCs w:val="24"/>
          <w:lang w:val="fr-CA"/>
        </w:rPr>
        <w:t>’</w:t>
      </w:r>
      <w:r w:rsidRPr="00CA43DD">
        <w:rPr>
          <w:rFonts w:cs="Times New Roman"/>
          <w:szCs w:val="24"/>
          <w:lang w:val="fr-CA"/>
        </w:rPr>
        <w:t>appel explique que la seule question à trancher est celle de l</w:t>
      </w:r>
      <w:r>
        <w:rPr>
          <w:rFonts w:cs="Times New Roman"/>
          <w:szCs w:val="24"/>
          <w:lang w:val="fr-CA"/>
        </w:rPr>
        <w:t>’</w:t>
      </w:r>
      <w:r w:rsidRPr="00CA43DD">
        <w:rPr>
          <w:rFonts w:cs="Times New Roman"/>
          <w:szCs w:val="24"/>
          <w:lang w:val="fr-CA"/>
        </w:rPr>
        <w:t>admissibilité d</w:t>
      </w:r>
      <w:r>
        <w:rPr>
          <w:rFonts w:cs="Times New Roman"/>
          <w:szCs w:val="24"/>
          <w:lang w:val="fr-CA"/>
        </w:rPr>
        <w:t>’</w:t>
      </w:r>
      <w:r w:rsidRPr="00CA43DD">
        <w:rPr>
          <w:rFonts w:cs="Times New Roman"/>
          <w:szCs w:val="24"/>
          <w:lang w:val="fr-CA"/>
        </w:rPr>
        <w:t>éléments de preuve dérivée fiables.  Dans l</w:t>
      </w:r>
      <w:r>
        <w:rPr>
          <w:rFonts w:cs="Times New Roman"/>
          <w:szCs w:val="24"/>
          <w:lang w:val="fr-CA"/>
        </w:rPr>
        <w:t>’</w:t>
      </w:r>
      <w:r w:rsidRPr="00CA43DD">
        <w:rPr>
          <w:rFonts w:cs="Times New Roman"/>
          <w:szCs w:val="24"/>
          <w:lang w:val="fr-CA"/>
        </w:rPr>
        <w:t xml:space="preserve">arrêt </w:t>
      </w:r>
      <w:r w:rsidRPr="00CA43DD">
        <w:rPr>
          <w:rFonts w:cs="Times New Roman"/>
          <w:i/>
          <w:szCs w:val="24"/>
          <w:lang w:val="fr-CA"/>
        </w:rPr>
        <w:t>R. c.</w:t>
      </w:r>
      <w:r w:rsidRPr="00CA43DD">
        <w:rPr>
          <w:rFonts w:cs="Times New Roman"/>
          <w:szCs w:val="24"/>
          <w:lang w:val="fr-CA"/>
        </w:rPr>
        <w:t xml:space="preserve"> </w:t>
      </w:r>
      <w:r w:rsidRPr="00CA43DD">
        <w:rPr>
          <w:rFonts w:cs="Times New Roman"/>
          <w:i/>
          <w:szCs w:val="24"/>
          <w:lang w:val="fr-CA"/>
        </w:rPr>
        <w:t>Grant</w:t>
      </w:r>
      <w:r w:rsidRPr="00CA43DD">
        <w:rPr>
          <w:rFonts w:cs="Times New Roman"/>
          <w:iCs/>
          <w:szCs w:val="24"/>
          <w:lang w:val="fr-CA"/>
        </w:rPr>
        <w:t xml:space="preserve">, 2009 CSC 32, [2009] 2 R.C.S. 353, notre Cour considère </w:t>
      </w:r>
      <w:r w:rsidRPr="00CA43DD">
        <w:rPr>
          <w:rFonts w:cs="Times New Roman"/>
          <w:szCs w:val="24"/>
          <w:lang w:val="fr-CA"/>
        </w:rPr>
        <w:t>la preuve dérivée comme « une preuve matérielle découverte à la suite d</w:t>
      </w:r>
      <w:r>
        <w:rPr>
          <w:rFonts w:cs="Times New Roman"/>
          <w:szCs w:val="24"/>
          <w:lang w:val="fr-CA"/>
        </w:rPr>
        <w:t>’</w:t>
      </w:r>
      <w:r w:rsidRPr="00CA43DD">
        <w:rPr>
          <w:rFonts w:cs="Times New Roman"/>
          <w:szCs w:val="24"/>
          <w:lang w:val="fr-CA"/>
        </w:rPr>
        <w:t>une déclaration obtenue illégalement » (par. 116).  La Cour d</w:t>
      </w:r>
      <w:r>
        <w:rPr>
          <w:rFonts w:cs="Times New Roman"/>
          <w:szCs w:val="24"/>
          <w:lang w:val="fr-CA"/>
        </w:rPr>
        <w:t>’</w:t>
      </w:r>
      <w:r w:rsidRPr="00CA43DD">
        <w:rPr>
          <w:rFonts w:cs="Times New Roman"/>
          <w:szCs w:val="24"/>
          <w:lang w:val="fr-CA"/>
        </w:rPr>
        <w:t xml:space="preserve">appel paraît assimiler </w:t>
      </w:r>
      <w:r w:rsidRPr="00CA43DD">
        <w:rPr>
          <w:rFonts w:cs="Times New Roman"/>
          <w:i/>
          <w:iCs/>
          <w:szCs w:val="24"/>
          <w:lang w:val="fr-CA"/>
        </w:rPr>
        <w:t>tous</w:t>
      </w:r>
      <w:r w:rsidRPr="00CA43DD">
        <w:rPr>
          <w:rFonts w:cs="Times New Roman"/>
          <w:szCs w:val="24"/>
          <w:lang w:val="fr-CA"/>
        </w:rPr>
        <w:t xml:space="preserve"> les éléments de preuve matérielle recueillis sur les lieux à une preuve dérivée ainsi définie.  Elle fait observer que</w:t>
      </w:r>
      <w:r>
        <w:rPr>
          <w:rFonts w:cs="Times New Roman"/>
          <w:szCs w:val="24"/>
          <w:lang w:val="fr-CA"/>
        </w:rPr>
        <w:t>,</w:t>
      </w:r>
      <w:r w:rsidRPr="00CA43DD">
        <w:rPr>
          <w:rFonts w:cs="Times New Roman"/>
          <w:szCs w:val="24"/>
          <w:lang w:val="fr-CA"/>
        </w:rPr>
        <w:t xml:space="preserve"> lorsque le juge du procès s</w:t>
      </w:r>
      <w:r>
        <w:rPr>
          <w:rFonts w:cs="Times New Roman"/>
          <w:szCs w:val="24"/>
          <w:lang w:val="fr-CA"/>
        </w:rPr>
        <w:t>’</w:t>
      </w:r>
      <w:r w:rsidRPr="00CA43DD">
        <w:rPr>
          <w:rFonts w:cs="Times New Roman"/>
          <w:szCs w:val="24"/>
          <w:lang w:val="fr-CA"/>
        </w:rPr>
        <w:t xml:space="preserve">est prononcé, les arrêts </w:t>
      </w:r>
      <w:r w:rsidRPr="00CA43DD">
        <w:rPr>
          <w:rFonts w:cs="Times New Roman"/>
          <w:i/>
          <w:szCs w:val="24"/>
          <w:lang w:val="fr-CA"/>
        </w:rPr>
        <w:t>Grant</w:t>
      </w:r>
      <w:r w:rsidRPr="00CA43DD">
        <w:rPr>
          <w:rFonts w:cs="Times New Roman"/>
          <w:szCs w:val="24"/>
          <w:lang w:val="fr-CA"/>
        </w:rPr>
        <w:t xml:space="preserve"> et </w:t>
      </w:r>
      <w:r w:rsidRPr="00CA43DD">
        <w:rPr>
          <w:rFonts w:cs="Times New Roman"/>
          <w:i/>
          <w:szCs w:val="24"/>
          <w:lang w:val="fr-CA"/>
        </w:rPr>
        <w:t>R. c. Harrison</w:t>
      </w:r>
      <w:r w:rsidRPr="00CA43DD">
        <w:rPr>
          <w:rFonts w:cs="Times New Roman"/>
          <w:szCs w:val="24"/>
          <w:lang w:val="fr-CA"/>
        </w:rPr>
        <w:t>, 2009 CSC 34, [2009] 2 R.C.S. 494</w:t>
      </w:r>
      <w:r w:rsidR="00D33056">
        <w:rPr>
          <w:rFonts w:cs="Times New Roman"/>
          <w:szCs w:val="24"/>
          <w:lang w:val="fr-CA"/>
        </w:rPr>
        <w:t>,</w:t>
      </w:r>
      <w:r>
        <w:rPr>
          <w:rFonts w:cs="Times New Roman"/>
          <w:szCs w:val="24"/>
          <w:lang w:val="fr-CA"/>
        </w:rPr>
        <w:t xml:space="preserve"> </w:t>
      </w:r>
      <w:r w:rsidRPr="00CA43DD">
        <w:rPr>
          <w:rFonts w:cs="Times New Roman"/>
          <w:szCs w:val="24"/>
          <w:lang w:val="fr-CA"/>
        </w:rPr>
        <w:t>n</w:t>
      </w:r>
      <w:r>
        <w:rPr>
          <w:rFonts w:cs="Times New Roman"/>
          <w:szCs w:val="24"/>
          <w:lang w:val="fr-CA"/>
        </w:rPr>
        <w:t>’</w:t>
      </w:r>
      <w:r w:rsidRPr="00CA43DD">
        <w:rPr>
          <w:rFonts w:cs="Times New Roman"/>
          <w:szCs w:val="24"/>
          <w:lang w:val="fr-CA"/>
        </w:rPr>
        <w:t>avaient pas encore été rendus</w:t>
      </w:r>
      <w:r>
        <w:rPr>
          <w:rFonts w:cs="Times New Roman"/>
          <w:szCs w:val="24"/>
          <w:lang w:val="fr-CA"/>
        </w:rPr>
        <w:t xml:space="preserve"> et que </w:t>
      </w:r>
      <w:proofErr w:type="spellStart"/>
      <w:r>
        <w:rPr>
          <w:rFonts w:cs="Times New Roman"/>
          <w:szCs w:val="24"/>
          <w:lang w:val="fr-CA"/>
        </w:rPr>
        <w:t>ceux</w:t>
      </w:r>
      <w:r>
        <w:rPr>
          <w:rFonts w:cs="Times New Roman"/>
          <w:szCs w:val="24"/>
          <w:lang w:val="fr-CA"/>
        </w:rPr>
        <w:noBreakHyphen/>
        <w:t>ci</w:t>
      </w:r>
      <w:proofErr w:type="spellEnd"/>
      <w:r>
        <w:rPr>
          <w:rFonts w:cs="Times New Roman"/>
          <w:szCs w:val="24"/>
          <w:lang w:val="fr-CA"/>
        </w:rPr>
        <w:t xml:space="preserve"> </w:t>
      </w:r>
      <w:r w:rsidRPr="00CA43DD">
        <w:rPr>
          <w:rFonts w:cs="Times New Roman"/>
          <w:szCs w:val="24"/>
          <w:lang w:val="fr-CA"/>
        </w:rPr>
        <w:t xml:space="preserve">ont modifié </w:t>
      </w:r>
      <w:r>
        <w:rPr>
          <w:rFonts w:cs="Times New Roman"/>
          <w:szCs w:val="24"/>
          <w:lang w:val="fr-CA"/>
        </w:rPr>
        <w:t>le droit dans ce domaine</w:t>
      </w:r>
      <w:r w:rsidRPr="00CA43DD">
        <w:rPr>
          <w:rFonts w:cs="Times New Roman"/>
          <w:szCs w:val="24"/>
          <w:lang w:val="fr-CA"/>
        </w:rPr>
        <w:t xml:space="preserve">.  Dans </w:t>
      </w:r>
      <w:r w:rsidRPr="00CA43DD">
        <w:rPr>
          <w:rFonts w:cs="Times New Roman"/>
          <w:i/>
          <w:szCs w:val="24"/>
          <w:lang w:val="fr-CA"/>
        </w:rPr>
        <w:t>Grant</w:t>
      </w:r>
      <w:r w:rsidRPr="00D33056">
        <w:rPr>
          <w:rFonts w:cs="Times New Roman"/>
          <w:szCs w:val="24"/>
          <w:lang w:val="fr-CA"/>
        </w:rPr>
        <w:t>,</w:t>
      </w:r>
      <w:r w:rsidRPr="00CA43DD">
        <w:rPr>
          <w:rFonts w:cs="Times New Roman"/>
          <w:i/>
          <w:szCs w:val="24"/>
          <w:lang w:val="fr-CA"/>
        </w:rPr>
        <w:t xml:space="preserve"> </w:t>
      </w:r>
      <w:r w:rsidRPr="00CA43DD">
        <w:rPr>
          <w:rFonts w:cs="Times New Roman"/>
          <w:szCs w:val="24"/>
          <w:lang w:val="fr-CA"/>
        </w:rPr>
        <w:t>la Cour dit que, pour décider s</w:t>
      </w:r>
      <w:r>
        <w:rPr>
          <w:rFonts w:cs="Times New Roman"/>
          <w:szCs w:val="24"/>
          <w:lang w:val="fr-CA"/>
        </w:rPr>
        <w:t>’</w:t>
      </w:r>
      <w:r w:rsidRPr="00CA43DD">
        <w:rPr>
          <w:rFonts w:cs="Times New Roman"/>
          <w:szCs w:val="24"/>
          <w:lang w:val="fr-CA"/>
        </w:rPr>
        <w:t>il y a lieu d</w:t>
      </w:r>
      <w:r>
        <w:rPr>
          <w:rFonts w:cs="Times New Roman"/>
          <w:szCs w:val="24"/>
          <w:lang w:val="fr-CA"/>
        </w:rPr>
        <w:t>’</w:t>
      </w:r>
      <w:r w:rsidRPr="00CA43DD">
        <w:rPr>
          <w:rFonts w:cs="Times New Roman"/>
          <w:szCs w:val="24"/>
          <w:lang w:val="fr-CA"/>
        </w:rPr>
        <w:t xml:space="preserve">écarter la preuve suivant le par. 24(2) de la </w:t>
      </w:r>
      <w:r w:rsidRPr="00CA43DD">
        <w:rPr>
          <w:rFonts w:cs="Times New Roman"/>
          <w:i/>
          <w:iCs/>
          <w:szCs w:val="24"/>
          <w:lang w:val="fr-CA"/>
        </w:rPr>
        <w:t>Charte</w:t>
      </w:r>
      <w:r w:rsidRPr="00CA43DD">
        <w:rPr>
          <w:rFonts w:cs="Times New Roman"/>
          <w:szCs w:val="24"/>
          <w:lang w:val="fr-CA"/>
        </w:rPr>
        <w:t>, le tribunal doit examiner et mettre en balance les trois considérations suivantes : (1) la gravité de la conduite attentatoire de l</w:t>
      </w:r>
      <w:r>
        <w:rPr>
          <w:rFonts w:cs="Times New Roman"/>
          <w:szCs w:val="24"/>
          <w:lang w:val="fr-CA"/>
        </w:rPr>
        <w:t>’</w:t>
      </w:r>
      <w:r w:rsidRPr="00CA43DD">
        <w:rPr>
          <w:rFonts w:cs="Times New Roman"/>
          <w:szCs w:val="24"/>
          <w:lang w:val="fr-CA"/>
        </w:rPr>
        <w:t>État, (2) l</w:t>
      </w:r>
      <w:r>
        <w:rPr>
          <w:rFonts w:cs="Times New Roman"/>
          <w:szCs w:val="24"/>
          <w:lang w:val="fr-CA"/>
        </w:rPr>
        <w:t>’</w:t>
      </w:r>
      <w:r w:rsidRPr="00CA43DD">
        <w:rPr>
          <w:rFonts w:cs="Times New Roman"/>
          <w:szCs w:val="24"/>
          <w:lang w:val="fr-CA"/>
        </w:rPr>
        <w:t>incidence de la violation sur les droits de l</w:t>
      </w:r>
      <w:r>
        <w:rPr>
          <w:rFonts w:cs="Times New Roman"/>
          <w:szCs w:val="24"/>
          <w:lang w:val="fr-CA"/>
        </w:rPr>
        <w:t>’</w:t>
      </w:r>
      <w:r w:rsidRPr="00CA43DD">
        <w:rPr>
          <w:rFonts w:cs="Times New Roman"/>
          <w:szCs w:val="24"/>
          <w:lang w:val="fr-CA"/>
        </w:rPr>
        <w:t xml:space="preserve">accusé garantis par la </w:t>
      </w:r>
      <w:r w:rsidRPr="00CA43DD">
        <w:rPr>
          <w:rFonts w:cs="Times New Roman"/>
          <w:i/>
          <w:szCs w:val="24"/>
          <w:lang w:val="fr-CA"/>
        </w:rPr>
        <w:t>Charte</w:t>
      </w:r>
      <w:r w:rsidRPr="00CA43DD">
        <w:rPr>
          <w:rFonts w:cs="Times New Roman"/>
          <w:szCs w:val="24"/>
          <w:lang w:val="fr-CA"/>
        </w:rPr>
        <w:t xml:space="preserve"> et (3) l</w:t>
      </w:r>
      <w:r>
        <w:rPr>
          <w:rFonts w:cs="Times New Roman"/>
          <w:szCs w:val="24"/>
          <w:lang w:val="fr-CA"/>
        </w:rPr>
        <w:t>’</w:t>
      </w:r>
      <w:r w:rsidRPr="00CA43DD">
        <w:rPr>
          <w:rFonts w:cs="Times New Roman"/>
          <w:szCs w:val="24"/>
          <w:lang w:val="fr-CA"/>
        </w:rPr>
        <w:t>intérêt de la société à ce que l</w:t>
      </w:r>
      <w:r>
        <w:rPr>
          <w:rFonts w:cs="Times New Roman"/>
          <w:szCs w:val="24"/>
          <w:lang w:val="fr-CA"/>
        </w:rPr>
        <w:t>’</w:t>
      </w:r>
      <w:r w:rsidRPr="00CA43DD">
        <w:rPr>
          <w:rFonts w:cs="Times New Roman"/>
          <w:szCs w:val="24"/>
          <w:lang w:val="fr-CA"/>
        </w:rPr>
        <w:t>affaire soit jugée au fond (par. 71).  La Cour d</w:t>
      </w:r>
      <w:r>
        <w:rPr>
          <w:rFonts w:cs="Times New Roman"/>
          <w:szCs w:val="24"/>
          <w:lang w:val="fr-CA"/>
        </w:rPr>
        <w:t>’</w:t>
      </w:r>
      <w:r w:rsidRPr="00CA43DD">
        <w:rPr>
          <w:rFonts w:cs="Times New Roman"/>
          <w:szCs w:val="24"/>
          <w:lang w:val="fr-CA"/>
        </w:rPr>
        <w:t>appel explique que même si les éléments de preuve dérivée sont souvent écartés en cas de violation grave des droits constitutionnels de l</w:t>
      </w:r>
      <w:r>
        <w:rPr>
          <w:rFonts w:cs="Times New Roman"/>
          <w:szCs w:val="24"/>
          <w:lang w:val="fr-CA"/>
        </w:rPr>
        <w:t>’</w:t>
      </w:r>
      <w:r w:rsidRPr="00CA43DD">
        <w:rPr>
          <w:rFonts w:cs="Times New Roman"/>
          <w:szCs w:val="24"/>
          <w:lang w:val="fr-CA"/>
        </w:rPr>
        <w:t>accusé, suivant l</w:t>
      </w:r>
      <w:r>
        <w:rPr>
          <w:rFonts w:cs="Times New Roman"/>
          <w:szCs w:val="24"/>
          <w:lang w:val="fr-CA"/>
        </w:rPr>
        <w:t>’</w:t>
      </w:r>
      <w:r w:rsidRPr="00CA43DD">
        <w:rPr>
          <w:rFonts w:cs="Times New Roman"/>
          <w:szCs w:val="24"/>
          <w:lang w:val="fr-CA"/>
        </w:rPr>
        <w:t xml:space="preserve">arrêt </w:t>
      </w:r>
      <w:r w:rsidRPr="00CA43DD">
        <w:rPr>
          <w:rFonts w:cs="Times New Roman"/>
          <w:i/>
          <w:szCs w:val="24"/>
          <w:lang w:val="fr-CA"/>
        </w:rPr>
        <w:t>Grant</w:t>
      </w:r>
      <w:r w:rsidRPr="00CA43DD">
        <w:rPr>
          <w:rFonts w:cs="Times New Roman"/>
          <w:szCs w:val="24"/>
          <w:lang w:val="fr-CA"/>
        </w:rPr>
        <w:t>, le juge « doit désormais se demander si l</w:t>
      </w:r>
      <w:r>
        <w:rPr>
          <w:rFonts w:cs="Times New Roman"/>
          <w:szCs w:val="24"/>
          <w:lang w:val="fr-CA"/>
        </w:rPr>
        <w:t>’</w:t>
      </w:r>
      <w:r w:rsidRPr="00CA43DD">
        <w:rPr>
          <w:rFonts w:cs="Times New Roman"/>
          <w:szCs w:val="24"/>
          <w:lang w:val="fr-CA"/>
        </w:rPr>
        <w:t>utilisation des éléments de preuve dérivée obtenus par suite d</w:t>
      </w:r>
      <w:r>
        <w:rPr>
          <w:rFonts w:cs="Times New Roman"/>
          <w:szCs w:val="24"/>
          <w:lang w:val="fr-CA"/>
        </w:rPr>
        <w:t>’</w:t>
      </w:r>
      <w:r w:rsidRPr="00CA43DD">
        <w:rPr>
          <w:rFonts w:cs="Times New Roman"/>
          <w:szCs w:val="24"/>
          <w:lang w:val="fr-CA"/>
        </w:rPr>
        <w:t xml:space="preserve">une violation de la </w:t>
      </w:r>
      <w:r w:rsidRPr="00CA43DD">
        <w:rPr>
          <w:rFonts w:cs="Times New Roman"/>
          <w:i/>
          <w:iCs/>
          <w:szCs w:val="24"/>
          <w:lang w:val="fr-CA"/>
        </w:rPr>
        <w:t>Charte</w:t>
      </w:r>
      <w:r w:rsidRPr="00CA43DD">
        <w:rPr>
          <w:rFonts w:cs="Times New Roman"/>
          <w:szCs w:val="24"/>
          <w:lang w:val="fr-CA"/>
        </w:rPr>
        <w:t xml:space="preserve"> serait susceptible de déconsidérer l</w:t>
      </w:r>
      <w:r>
        <w:rPr>
          <w:rFonts w:cs="Times New Roman"/>
          <w:szCs w:val="24"/>
          <w:lang w:val="fr-CA"/>
        </w:rPr>
        <w:t>’</w:t>
      </w:r>
      <w:r w:rsidRPr="00CA43DD">
        <w:rPr>
          <w:rFonts w:cs="Times New Roman"/>
          <w:szCs w:val="24"/>
          <w:lang w:val="fr-CA"/>
        </w:rPr>
        <w:t xml:space="preserve">administration de la justice » (par. 33, citant </w:t>
      </w:r>
      <w:r w:rsidRPr="00CA43DD">
        <w:rPr>
          <w:rFonts w:cs="Times New Roman"/>
          <w:i/>
          <w:szCs w:val="24"/>
          <w:lang w:val="fr-CA"/>
        </w:rPr>
        <w:t>Grant</w:t>
      </w:r>
      <w:r w:rsidR="00D33056">
        <w:rPr>
          <w:rFonts w:cs="Times New Roman"/>
          <w:szCs w:val="24"/>
          <w:lang w:val="fr-CA"/>
        </w:rPr>
        <w:t>,</w:t>
      </w:r>
      <w:r w:rsidRPr="00CA43DD">
        <w:rPr>
          <w:rFonts w:cs="Times New Roman"/>
          <w:szCs w:val="24"/>
          <w:lang w:val="fr-CA"/>
        </w:rPr>
        <w:t xml:space="preserve"> </w:t>
      </w:r>
      <w:r w:rsidRPr="00CA43DD">
        <w:rPr>
          <w:rFonts w:cs="Times New Roman"/>
          <w:szCs w:val="24"/>
          <w:lang w:val="fr-CA"/>
        </w:rPr>
        <w:lastRenderedPageBreak/>
        <w:t>par. 118).  La Cour d</w:t>
      </w:r>
      <w:r>
        <w:rPr>
          <w:rFonts w:cs="Times New Roman"/>
          <w:szCs w:val="24"/>
          <w:lang w:val="fr-CA"/>
        </w:rPr>
        <w:t>’</w:t>
      </w:r>
      <w:r w:rsidRPr="00CA43DD">
        <w:rPr>
          <w:rFonts w:cs="Times New Roman"/>
          <w:szCs w:val="24"/>
          <w:lang w:val="fr-CA"/>
        </w:rPr>
        <w:t>appel examine les trois considérations qui, selon l</w:t>
      </w:r>
      <w:r>
        <w:rPr>
          <w:rFonts w:cs="Times New Roman"/>
          <w:szCs w:val="24"/>
          <w:lang w:val="fr-CA"/>
        </w:rPr>
        <w:t>’</w:t>
      </w:r>
      <w:r w:rsidRPr="00CA43DD">
        <w:rPr>
          <w:rFonts w:cs="Times New Roman"/>
          <w:szCs w:val="24"/>
          <w:lang w:val="fr-CA"/>
        </w:rPr>
        <w:t xml:space="preserve">arrêt </w:t>
      </w:r>
      <w:r w:rsidRPr="00CA43DD">
        <w:rPr>
          <w:rFonts w:cs="Times New Roman"/>
          <w:i/>
          <w:szCs w:val="24"/>
          <w:lang w:val="fr-CA"/>
        </w:rPr>
        <w:t>Grant</w:t>
      </w:r>
      <w:r w:rsidRPr="00CA43DD">
        <w:rPr>
          <w:rFonts w:cs="Times New Roman"/>
          <w:szCs w:val="24"/>
          <w:lang w:val="fr-CA"/>
        </w:rPr>
        <w:t>, président à l</w:t>
      </w:r>
      <w:r>
        <w:rPr>
          <w:rFonts w:cs="Times New Roman"/>
          <w:szCs w:val="24"/>
          <w:lang w:val="fr-CA"/>
        </w:rPr>
        <w:t>’</w:t>
      </w:r>
      <w:r w:rsidRPr="00CA43DD">
        <w:rPr>
          <w:rFonts w:cs="Times New Roman"/>
          <w:szCs w:val="24"/>
          <w:lang w:val="fr-CA"/>
        </w:rPr>
        <w:t>application du par. 24(2).</w:t>
      </w:r>
    </w:p>
    <w:p w:rsidR="00DC2386" w:rsidRPr="00CA43DD" w:rsidRDefault="00DC2386" w:rsidP="00DC2386">
      <w:pPr>
        <w:pStyle w:val="ParaNoNdepar-AltN"/>
        <w:rPr>
          <w:rFonts w:cs="Times New Roman"/>
          <w:szCs w:val="24"/>
          <w:lang w:val="fr-CA"/>
        </w:rPr>
      </w:pPr>
      <w:r w:rsidRPr="00CA43DD">
        <w:rPr>
          <w:rFonts w:cs="Times New Roman"/>
          <w:szCs w:val="24"/>
          <w:lang w:val="fr-CA"/>
        </w:rPr>
        <w:t>En ce qui concerne la première (la gravité de la conduite attentatoire de l</w:t>
      </w:r>
      <w:r>
        <w:rPr>
          <w:rFonts w:cs="Times New Roman"/>
          <w:szCs w:val="24"/>
          <w:lang w:val="fr-CA"/>
        </w:rPr>
        <w:t>’</w:t>
      </w:r>
      <w:r w:rsidRPr="00CA43DD">
        <w:rPr>
          <w:rFonts w:cs="Times New Roman"/>
          <w:szCs w:val="24"/>
          <w:lang w:val="fr-CA"/>
        </w:rPr>
        <w:t>État), la Cour d</w:t>
      </w:r>
      <w:r>
        <w:rPr>
          <w:rFonts w:cs="Times New Roman"/>
          <w:szCs w:val="24"/>
          <w:lang w:val="fr-CA"/>
        </w:rPr>
        <w:t>’</w:t>
      </w:r>
      <w:r w:rsidRPr="00CA43DD">
        <w:rPr>
          <w:rFonts w:cs="Times New Roman"/>
          <w:szCs w:val="24"/>
          <w:lang w:val="fr-CA"/>
        </w:rPr>
        <w:t xml:space="preserve">appel convient avec le juge du procès que les violations de la </w:t>
      </w:r>
      <w:r w:rsidRPr="00CA43DD">
        <w:rPr>
          <w:rFonts w:cs="Times New Roman"/>
          <w:i/>
          <w:iCs/>
          <w:szCs w:val="24"/>
          <w:lang w:val="fr-CA"/>
        </w:rPr>
        <w:t>Charte</w:t>
      </w:r>
      <w:r w:rsidRPr="00CA43DD">
        <w:rPr>
          <w:rFonts w:cs="Times New Roman"/>
          <w:szCs w:val="24"/>
          <w:lang w:val="fr-CA"/>
        </w:rPr>
        <w:t xml:space="preserve"> sont graves et que les policiers ont systématiquement porté atteinte aux droits constitutionnels de M</w:t>
      </w:r>
      <w:r w:rsidRPr="00CA43DD">
        <w:rPr>
          <w:rFonts w:cs="Times New Roman"/>
          <w:szCs w:val="24"/>
          <w:vertAlign w:val="superscript"/>
          <w:lang w:val="fr-CA"/>
        </w:rPr>
        <w:t>me</w:t>
      </w:r>
      <w:r w:rsidRPr="00CA43DD">
        <w:rPr>
          <w:rFonts w:cs="Times New Roman"/>
          <w:szCs w:val="24"/>
          <w:lang w:val="fr-CA"/>
        </w:rPr>
        <w:t> Côté.  Elle estime toutefois que les policiers n</w:t>
      </w:r>
      <w:r>
        <w:rPr>
          <w:rFonts w:cs="Times New Roman"/>
          <w:szCs w:val="24"/>
          <w:lang w:val="fr-CA"/>
        </w:rPr>
        <w:t>’</w:t>
      </w:r>
      <w:r w:rsidRPr="00CA43DD">
        <w:rPr>
          <w:rFonts w:cs="Times New Roman"/>
          <w:szCs w:val="24"/>
          <w:lang w:val="fr-CA"/>
        </w:rPr>
        <w:t xml:space="preserve">ont pas délibérément agi de manière abusive.  </w:t>
      </w:r>
    </w:p>
    <w:p w:rsidR="00DC2386" w:rsidRPr="00CA43DD" w:rsidRDefault="00DC2386" w:rsidP="00DC2386">
      <w:pPr>
        <w:pStyle w:val="ParaNoNdepar-AltN"/>
        <w:rPr>
          <w:rFonts w:cs="Times New Roman"/>
          <w:szCs w:val="24"/>
          <w:lang w:val="fr-CA"/>
        </w:rPr>
      </w:pPr>
      <w:r w:rsidRPr="00CA43DD">
        <w:rPr>
          <w:rFonts w:cs="Times New Roman"/>
          <w:szCs w:val="24"/>
          <w:lang w:val="fr-CA"/>
        </w:rPr>
        <w:t>En ce qui concerne la deuxième (l</w:t>
      </w:r>
      <w:r>
        <w:rPr>
          <w:rFonts w:cs="Times New Roman"/>
          <w:szCs w:val="24"/>
          <w:lang w:val="fr-CA"/>
        </w:rPr>
        <w:t>’</w:t>
      </w:r>
      <w:r w:rsidRPr="00CA43DD">
        <w:rPr>
          <w:rFonts w:cs="Times New Roman"/>
          <w:szCs w:val="24"/>
          <w:lang w:val="fr-CA"/>
        </w:rPr>
        <w:t>incidence de la violation sur les droits de l</w:t>
      </w:r>
      <w:r>
        <w:rPr>
          <w:rFonts w:cs="Times New Roman"/>
          <w:szCs w:val="24"/>
          <w:lang w:val="fr-CA"/>
        </w:rPr>
        <w:t>’</w:t>
      </w:r>
      <w:r w:rsidRPr="00CA43DD">
        <w:rPr>
          <w:rFonts w:cs="Times New Roman"/>
          <w:szCs w:val="24"/>
          <w:lang w:val="fr-CA"/>
        </w:rPr>
        <w:t>accusé), elle conclut que la série d</w:t>
      </w:r>
      <w:r>
        <w:rPr>
          <w:rFonts w:cs="Times New Roman"/>
          <w:szCs w:val="24"/>
          <w:lang w:val="fr-CA"/>
        </w:rPr>
        <w:t>’</w:t>
      </w:r>
      <w:r w:rsidRPr="00CA43DD">
        <w:rPr>
          <w:rFonts w:cs="Times New Roman"/>
          <w:szCs w:val="24"/>
          <w:lang w:val="fr-CA"/>
        </w:rPr>
        <w:t>erreurs commises par les policiers a eu de graves conséquences pour l</w:t>
      </w:r>
      <w:r>
        <w:rPr>
          <w:rFonts w:cs="Times New Roman"/>
          <w:szCs w:val="24"/>
          <w:lang w:val="fr-CA"/>
        </w:rPr>
        <w:t>’</w:t>
      </w:r>
      <w:r w:rsidRPr="00CA43DD">
        <w:rPr>
          <w:rFonts w:cs="Times New Roman"/>
          <w:szCs w:val="24"/>
          <w:lang w:val="fr-CA"/>
        </w:rPr>
        <w:t>accusée.  Elle insiste cependant sur le fait que la preuve aurait pu être découverte de manière légale sans la participation de l</w:t>
      </w:r>
      <w:r>
        <w:rPr>
          <w:rFonts w:cs="Times New Roman"/>
          <w:szCs w:val="24"/>
          <w:lang w:val="fr-CA"/>
        </w:rPr>
        <w:t>’</w:t>
      </w:r>
      <w:r w:rsidRPr="00CA43DD">
        <w:rPr>
          <w:rFonts w:cs="Times New Roman"/>
          <w:szCs w:val="24"/>
          <w:lang w:val="fr-CA"/>
        </w:rPr>
        <w:t>appelante, car les policiers auraient pu obtenir un mandat de perquisition.  Elle opine qu</w:t>
      </w:r>
      <w:r>
        <w:rPr>
          <w:rFonts w:cs="Times New Roman"/>
          <w:szCs w:val="24"/>
          <w:lang w:val="fr-CA"/>
        </w:rPr>
        <w:t>’</w:t>
      </w:r>
      <w:r w:rsidRPr="00CA43DD">
        <w:rPr>
          <w:rFonts w:cs="Times New Roman"/>
          <w:szCs w:val="24"/>
          <w:lang w:val="fr-CA"/>
        </w:rPr>
        <w:t>un mandat aurait été délivré sur le fondement de l</w:t>
      </w:r>
      <w:r>
        <w:rPr>
          <w:rFonts w:cs="Times New Roman"/>
          <w:szCs w:val="24"/>
          <w:lang w:val="fr-CA"/>
        </w:rPr>
        <w:t>’</w:t>
      </w:r>
      <w:r w:rsidRPr="00CA43DD">
        <w:rPr>
          <w:rFonts w:cs="Times New Roman"/>
          <w:szCs w:val="24"/>
          <w:lang w:val="fr-CA"/>
        </w:rPr>
        <w:t>appel au 9</w:t>
      </w:r>
      <w:r w:rsidRPr="00CA43DD">
        <w:rPr>
          <w:rFonts w:cs="Times New Roman"/>
          <w:szCs w:val="24"/>
          <w:lang w:val="fr-CA"/>
        </w:rPr>
        <w:noBreakHyphen/>
        <w:t>1</w:t>
      </w:r>
      <w:r w:rsidRPr="00CA43DD">
        <w:rPr>
          <w:rFonts w:cs="Times New Roman"/>
          <w:szCs w:val="24"/>
          <w:lang w:val="fr-CA"/>
        </w:rPr>
        <w:noBreakHyphen/>
        <w:t>1 et de la découverte que le défunt avait reçu un projectile à l</w:t>
      </w:r>
      <w:r>
        <w:rPr>
          <w:rFonts w:cs="Times New Roman"/>
          <w:szCs w:val="24"/>
          <w:lang w:val="fr-CA"/>
        </w:rPr>
        <w:t>’</w:t>
      </w:r>
      <w:r w:rsidRPr="00CA43DD">
        <w:rPr>
          <w:rFonts w:cs="Times New Roman"/>
          <w:szCs w:val="24"/>
          <w:lang w:val="fr-CA"/>
        </w:rPr>
        <w:t>arrière de la tête, écartant ainsi la thèse du suicide.  S</w:t>
      </w:r>
      <w:r>
        <w:rPr>
          <w:rFonts w:cs="Times New Roman"/>
          <w:szCs w:val="24"/>
          <w:lang w:val="fr-CA"/>
        </w:rPr>
        <w:t>’</w:t>
      </w:r>
      <w:r w:rsidRPr="00CA43DD">
        <w:rPr>
          <w:rFonts w:cs="Times New Roman"/>
          <w:szCs w:val="24"/>
          <w:lang w:val="fr-CA"/>
        </w:rPr>
        <w:t xml:space="preserve">appuyant sur </w:t>
      </w:r>
      <w:r w:rsidRPr="00CA43DD">
        <w:rPr>
          <w:rFonts w:cs="Times New Roman"/>
          <w:i/>
          <w:szCs w:val="24"/>
          <w:lang w:val="fr-CA"/>
        </w:rPr>
        <w:t>Grant</w:t>
      </w:r>
      <w:r w:rsidRPr="00CA43DD">
        <w:rPr>
          <w:rFonts w:cs="Times New Roman"/>
          <w:szCs w:val="24"/>
          <w:lang w:val="fr-CA"/>
        </w:rPr>
        <w:t>,</w:t>
      </w:r>
      <w:r w:rsidR="00D33056">
        <w:rPr>
          <w:rFonts w:cs="Times New Roman"/>
          <w:szCs w:val="24"/>
          <w:lang w:val="fr-CA"/>
        </w:rPr>
        <w:t xml:space="preserve"> au par. 122,</w:t>
      </w:r>
      <w:r w:rsidRPr="00CA43DD">
        <w:rPr>
          <w:rFonts w:cs="Times New Roman"/>
          <w:i/>
          <w:szCs w:val="24"/>
          <w:lang w:val="fr-CA"/>
        </w:rPr>
        <w:t xml:space="preserve"> </w:t>
      </w:r>
      <w:r w:rsidRPr="00CA43DD">
        <w:rPr>
          <w:rFonts w:cs="Times New Roman"/>
          <w:szCs w:val="24"/>
          <w:lang w:val="fr-CA"/>
        </w:rPr>
        <w:t>la Cour d</w:t>
      </w:r>
      <w:r>
        <w:rPr>
          <w:rFonts w:cs="Times New Roman"/>
          <w:szCs w:val="24"/>
          <w:lang w:val="fr-CA"/>
        </w:rPr>
        <w:t>’</w:t>
      </w:r>
      <w:r w:rsidRPr="00CA43DD">
        <w:rPr>
          <w:rFonts w:cs="Times New Roman"/>
          <w:szCs w:val="24"/>
          <w:lang w:val="fr-CA"/>
        </w:rPr>
        <w:t xml:space="preserve">appel estime que la possibilité de découvrir la preuve matérielle « reste </w:t>
      </w:r>
      <w:r w:rsidR="00D33056">
        <w:rPr>
          <w:rFonts w:cs="Times New Roman"/>
          <w:szCs w:val="24"/>
          <w:lang w:val="fr-CA"/>
        </w:rPr>
        <w:t>[</w:t>
      </w:r>
      <w:r w:rsidRPr="00CA43DD">
        <w:rPr>
          <w:rFonts w:cs="Times New Roman"/>
          <w:szCs w:val="24"/>
          <w:lang w:val="fr-CA"/>
        </w:rPr>
        <w:t>. . .</w:t>
      </w:r>
      <w:r w:rsidR="00D33056">
        <w:rPr>
          <w:rFonts w:cs="Times New Roman"/>
          <w:szCs w:val="24"/>
          <w:lang w:val="fr-CA"/>
        </w:rPr>
        <w:t>]</w:t>
      </w:r>
      <w:r w:rsidRPr="00CA43DD">
        <w:rPr>
          <w:rFonts w:cs="Times New Roman"/>
          <w:szCs w:val="24"/>
          <w:lang w:val="fr-CA"/>
        </w:rPr>
        <w:t xml:space="preserve"> utile pour évaluer l</w:t>
      </w:r>
      <w:r>
        <w:rPr>
          <w:rFonts w:cs="Times New Roman"/>
          <w:szCs w:val="24"/>
          <w:lang w:val="fr-CA"/>
        </w:rPr>
        <w:t>’</w:t>
      </w:r>
      <w:r w:rsidRPr="00CA43DD">
        <w:rPr>
          <w:rFonts w:cs="Times New Roman"/>
          <w:szCs w:val="24"/>
          <w:lang w:val="fr-CA"/>
        </w:rPr>
        <w:t>impact réel de la violation sur les intérêts protégés de l</w:t>
      </w:r>
      <w:r>
        <w:rPr>
          <w:rFonts w:cs="Times New Roman"/>
          <w:szCs w:val="24"/>
          <w:lang w:val="fr-CA"/>
        </w:rPr>
        <w:t>’</w:t>
      </w:r>
      <w:r w:rsidRPr="00CA43DD">
        <w:rPr>
          <w:rFonts w:cs="Times New Roman"/>
          <w:szCs w:val="24"/>
          <w:lang w:val="fr-CA"/>
        </w:rPr>
        <w:t>accusé », car la possibilité de découvrir des éléments de preuve dérivée de manière indépendante aurait pour effet d</w:t>
      </w:r>
      <w:r>
        <w:rPr>
          <w:rFonts w:cs="Times New Roman"/>
          <w:szCs w:val="24"/>
          <w:lang w:val="fr-CA"/>
        </w:rPr>
        <w:t>’</w:t>
      </w:r>
      <w:r w:rsidRPr="00CA43DD">
        <w:rPr>
          <w:rFonts w:cs="Times New Roman"/>
          <w:szCs w:val="24"/>
          <w:lang w:val="fr-CA"/>
        </w:rPr>
        <w:t>atténuer l</w:t>
      </w:r>
      <w:r>
        <w:rPr>
          <w:rFonts w:cs="Times New Roman"/>
          <w:szCs w:val="24"/>
          <w:lang w:val="fr-CA"/>
        </w:rPr>
        <w:t>’</w:t>
      </w:r>
      <w:r w:rsidRPr="00CA43DD">
        <w:rPr>
          <w:rFonts w:cs="Times New Roman"/>
          <w:szCs w:val="24"/>
          <w:lang w:val="fr-CA"/>
        </w:rPr>
        <w:t>incidence sur l</w:t>
      </w:r>
      <w:r>
        <w:rPr>
          <w:rFonts w:cs="Times New Roman"/>
          <w:szCs w:val="24"/>
          <w:lang w:val="fr-CA"/>
        </w:rPr>
        <w:t>’</w:t>
      </w:r>
      <w:r w:rsidRPr="00CA43DD">
        <w:rPr>
          <w:rFonts w:cs="Times New Roman"/>
          <w:szCs w:val="24"/>
          <w:lang w:val="fr-CA"/>
        </w:rPr>
        <w:t>accusée de la violation de ses droits constitutionnels (par. 43).  La possibilité de découvrir la preuve importait donc pour l</w:t>
      </w:r>
      <w:r>
        <w:rPr>
          <w:rFonts w:cs="Times New Roman"/>
          <w:szCs w:val="24"/>
          <w:lang w:val="fr-CA"/>
        </w:rPr>
        <w:t>’</w:t>
      </w:r>
      <w:r w:rsidRPr="00CA43DD">
        <w:rPr>
          <w:rFonts w:cs="Times New Roman"/>
          <w:szCs w:val="24"/>
          <w:lang w:val="fr-CA"/>
        </w:rPr>
        <w:t>examen de la deuxième considération.  La Cour d</w:t>
      </w:r>
      <w:r>
        <w:rPr>
          <w:rFonts w:cs="Times New Roman"/>
          <w:szCs w:val="24"/>
          <w:lang w:val="fr-CA"/>
        </w:rPr>
        <w:t>’</w:t>
      </w:r>
      <w:r w:rsidRPr="00CA43DD">
        <w:rPr>
          <w:rFonts w:cs="Times New Roman"/>
          <w:szCs w:val="24"/>
          <w:lang w:val="fr-CA"/>
        </w:rPr>
        <w:t>appel statue que l</w:t>
      </w:r>
      <w:r>
        <w:rPr>
          <w:rFonts w:cs="Times New Roman"/>
          <w:szCs w:val="24"/>
          <w:lang w:val="fr-CA"/>
        </w:rPr>
        <w:t>’</w:t>
      </w:r>
      <w:r w:rsidRPr="00CA43DD">
        <w:rPr>
          <w:rFonts w:cs="Times New Roman"/>
          <w:szCs w:val="24"/>
          <w:lang w:val="fr-CA"/>
        </w:rPr>
        <w:t xml:space="preserve">utilisation de la preuve matérielle ne </w:t>
      </w:r>
      <w:r w:rsidRPr="00CA43DD">
        <w:rPr>
          <w:rFonts w:cs="Times New Roman"/>
          <w:szCs w:val="24"/>
          <w:lang w:val="fr-CA"/>
        </w:rPr>
        <w:lastRenderedPageBreak/>
        <w:t>compromettait pas l</w:t>
      </w:r>
      <w:r>
        <w:rPr>
          <w:rFonts w:cs="Times New Roman"/>
          <w:szCs w:val="24"/>
          <w:lang w:val="fr-CA"/>
        </w:rPr>
        <w:t>’</w:t>
      </w:r>
      <w:r w:rsidRPr="00CA43DD">
        <w:rPr>
          <w:rFonts w:cs="Times New Roman"/>
          <w:szCs w:val="24"/>
          <w:lang w:val="fr-CA"/>
        </w:rPr>
        <w:t>équité du procès ni ne déconsidérait l</w:t>
      </w:r>
      <w:r>
        <w:rPr>
          <w:rFonts w:cs="Times New Roman"/>
          <w:szCs w:val="24"/>
          <w:lang w:val="fr-CA"/>
        </w:rPr>
        <w:t>’</w:t>
      </w:r>
      <w:r w:rsidRPr="00CA43DD">
        <w:rPr>
          <w:rFonts w:cs="Times New Roman"/>
          <w:szCs w:val="24"/>
          <w:lang w:val="fr-CA"/>
        </w:rPr>
        <w:t>administration de la justice, car les éléments matériels constatés ou recueillis auraient pu être découverts par ailleurs si les policiers avaient obtenu un mandat dès qu</w:t>
      </w:r>
      <w:r>
        <w:rPr>
          <w:rFonts w:cs="Times New Roman"/>
          <w:szCs w:val="24"/>
          <w:lang w:val="fr-CA"/>
        </w:rPr>
        <w:t>’</w:t>
      </w:r>
      <w:r w:rsidRPr="00CA43DD">
        <w:rPr>
          <w:rFonts w:cs="Times New Roman"/>
          <w:szCs w:val="24"/>
          <w:lang w:val="fr-CA"/>
        </w:rPr>
        <w:t>ils avaient eu des motifs d</w:t>
      </w:r>
      <w:r>
        <w:rPr>
          <w:rFonts w:cs="Times New Roman"/>
          <w:szCs w:val="24"/>
          <w:lang w:val="fr-CA"/>
        </w:rPr>
        <w:t>’</w:t>
      </w:r>
      <w:r w:rsidRPr="00CA43DD">
        <w:rPr>
          <w:rFonts w:cs="Times New Roman"/>
          <w:szCs w:val="24"/>
          <w:lang w:val="fr-CA"/>
        </w:rPr>
        <w:t>en demander un.</w:t>
      </w:r>
    </w:p>
    <w:p w:rsidR="00DC2386" w:rsidRPr="00CA43DD" w:rsidRDefault="00DC2386" w:rsidP="00DC2386">
      <w:pPr>
        <w:pStyle w:val="ParaNoNdepar-AltN"/>
        <w:rPr>
          <w:rFonts w:cs="Times New Roman"/>
          <w:szCs w:val="24"/>
          <w:lang w:val="fr-CA"/>
        </w:rPr>
      </w:pPr>
      <w:r w:rsidRPr="00CA43DD">
        <w:rPr>
          <w:rFonts w:cs="Times New Roman"/>
          <w:szCs w:val="24"/>
          <w:lang w:val="fr-CA"/>
        </w:rPr>
        <w:t>En ce qui concerne la troisième considération (l</w:t>
      </w:r>
      <w:r>
        <w:rPr>
          <w:rFonts w:cs="Times New Roman"/>
          <w:szCs w:val="24"/>
          <w:lang w:val="fr-CA"/>
        </w:rPr>
        <w:t>’</w:t>
      </w:r>
      <w:r w:rsidRPr="00CA43DD">
        <w:rPr>
          <w:rFonts w:cs="Times New Roman"/>
          <w:szCs w:val="24"/>
          <w:lang w:val="fr-CA"/>
        </w:rPr>
        <w:t>intérêt de la société à ce que l</w:t>
      </w:r>
      <w:r>
        <w:rPr>
          <w:rFonts w:cs="Times New Roman"/>
          <w:szCs w:val="24"/>
          <w:lang w:val="fr-CA"/>
        </w:rPr>
        <w:t>’</w:t>
      </w:r>
      <w:r w:rsidRPr="00CA43DD">
        <w:rPr>
          <w:rFonts w:cs="Times New Roman"/>
          <w:szCs w:val="24"/>
          <w:lang w:val="fr-CA"/>
        </w:rPr>
        <w:t>affaire soit jugée au fond), la Cour d</w:t>
      </w:r>
      <w:r>
        <w:rPr>
          <w:rFonts w:cs="Times New Roman"/>
          <w:szCs w:val="24"/>
          <w:lang w:val="fr-CA"/>
        </w:rPr>
        <w:t>’</w:t>
      </w:r>
      <w:r w:rsidRPr="00CA43DD">
        <w:rPr>
          <w:rFonts w:cs="Times New Roman"/>
          <w:szCs w:val="24"/>
          <w:lang w:val="fr-CA"/>
        </w:rPr>
        <w:t xml:space="preserve">appel explique que la preuve matérielle écartée par le juge (p. ex. le trou dans la moustiquaire du </w:t>
      </w:r>
      <w:proofErr w:type="spellStart"/>
      <w:r w:rsidRPr="00CA43DD">
        <w:rPr>
          <w:rFonts w:cs="Times New Roman"/>
          <w:szCs w:val="24"/>
          <w:lang w:val="fr-CA"/>
        </w:rPr>
        <w:t>gazebo</w:t>
      </w:r>
      <w:proofErr w:type="spellEnd"/>
      <w:r w:rsidRPr="00CA43DD">
        <w:rPr>
          <w:rFonts w:cs="Times New Roman"/>
          <w:szCs w:val="24"/>
          <w:lang w:val="fr-CA"/>
        </w:rPr>
        <w:t>, l</w:t>
      </w:r>
      <w:r w:rsidR="00D33056">
        <w:rPr>
          <w:rFonts w:cs="Times New Roman"/>
          <w:szCs w:val="24"/>
          <w:lang w:val="fr-CA"/>
        </w:rPr>
        <w:t>es</w:t>
      </w:r>
      <w:r w:rsidRPr="00CA43DD">
        <w:rPr>
          <w:rFonts w:cs="Times New Roman"/>
          <w:szCs w:val="24"/>
          <w:lang w:val="fr-CA"/>
        </w:rPr>
        <w:t xml:space="preserve"> perforation</w:t>
      </w:r>
      <w:r w:rsidR="00D33056">
        <w:rPr>
          <w:rFonts w:cs="Times New Roman"/>
          <w:szCs w:val="24"/>
          <w:lang w:val="fr-CA"/>
        </w:rPr>
        <w:t>s</w:t>
      </w:r>
      <w:r w:rsidRPr="00CA43DD">
        <w:rPr>
          <w:rFonts w:cs="Times New Roman"/>
          <w:szCs w:val="24"/>
          <w:lang w:val="fr-CA"/>
        </w:rPr>
        <w:t xml:space="preserve"> de fenêtre du solarium, les traces de sang et l</w:t>
      </w:r>
      <w:r>
        <w:rPr>
          <w:rFonts w:cs="Times New Roman"/>
          <w:szCs w:val="24"/>
          <w:lang w:val="fr-CA"/>
        </w:rPr>
        <w:t>’</w:t>
      </w:r>
      <w:r w:rsidRPr="00CA43DD">
        <w:rPr>
          <w:rFonts w:cs="Times New Roman"/>
          <w:szCs w:val="24"/>
          <w:lang w:val="fr-CA"/>
        </w:rPr>
        <w:t>arme à feu enregistrée au nom de la victime) était essentielle à la poursuite, car il s</w:t>
      </w:r>
      <w:r>
        <w:rPr>
          <w:rFonts w:cs="Times New Roman"/>
          <w:szCs w:val="24"/>
          <w:lang w:val="fr-CA"/>
        </w:rPr>
        <w:t>’</w:t>
      </w:r>
      <w:r w:rsidRPr="00CA43DD">
        <w:rPr>
          <w:rFonts w:cs="Times New Roman"/>
          <w:szCs w:val="24"/>
          <w:lang w:val="fr-CA"/>
        </w:rPr>
        <w:t>agissait de l</w:t>
      </w:r>
      <w:r>
        <w:rPr>
          <w:rFonts w:cs="Times New Roman"/>
          <w:szCs w:val="24"/>
          <w:lang w:val="fr-CA"/>
        </w:rPr>
        <w:t>’</w:t>
      </w:r>
      <w:r w:rsidRPr="00CA43DD">
        <w:rPr>
          <w:rFonts w:cs="Times New Roman"/>
          <w:szCs w:val="24"/>
          <w:lang w:val="fr-CA"/>
        </w:rPr>
        <w:t>entièreté des éléments recueillis sur le lieu du crime.  Elle ajoute que la preuve était fiable et elle conclut que l</w:t>
      </w:r>
      <w:r>
        <w:rPr>
          <w:rFonts w:cs="Times New Roman"/>
          <w:szCs w:val="24"/>
          <w:lang w:val="fr-CA"/>
        </w:rPr>
        <w:t>’</w:t>
      </w:r>
      <w:r w:rsidRPr="00CA43DD">
        <w:rPr>
          <w:rFonts w:cs="Times New Roman"/>
          <w:szCs w:val="24"/>
          <w:lang w:val="fr-CA"/>
        </w:rPr>
        <w:t>intérêt de la société à ce que l</w:t>
      </w:r>
      <w:r>
        <w:rPr>
          <w:rFonts w:cs="Times New Roman"/>
          <w:szCs w:val="24"/>
          <w:lang w:val="fr-CA"/>
        </w:rPr>
        <w:t>’</w:t>
      </w:r>
      <w:r w:rsidRPr="00CA43DD">
        <w:rPr>
          <w:rFonts w:cs="Times New Roman"/>
          <w:szCs w:val="24"/>
          <w:lang w:val="fr-CA"/>
        </w:rPr>
        <w:t>affaire soit jugée au fond était extrêmement important vu la gravité du crime reproché.</w:t>
      </w:r>
    </w:p>
    <w:p w:rsidR="00DC2386" w:rsidRPr="00CA43DD" w:rsidRDefault="00DC2386" w:rsidP="00DC2386">
      <w:pPr>
        <w:pStyle w:val="ParaNoNdepar-AltN"/>
        <w:rPr>
          <w:rFonts w:cs="Times New Roman"/>
          <w:szCs w:val="24"/>
          <w:lang w:val="fr-CA"/>
        </w:rPr>
      </w:pPr>
      <w:r w:rsidRPr="00CA43DD">
        <w:rPr>
          <w:rFonts w:cs="Times New Roman"/>
          <w:szCs w:val="24"/>
          <w:lang w:val="fr-CA"/>
        </w:rPr>
        <w:t>La Cour d</w:t>
      </w:r>
      <w:r>
        <w:rPr>
          <w:rFonts w:cs="Times New Roman"/>
          <w:szCs w:val="24"/>
          <w:lang w:val="fr-CA"/>
        </w:rPr>
        <w:t>’</w:t>
      </w:r>
      <w:r w:rsidRPr="00CA43DD">
        <w:rPr>
          <w:rFonts w:cs="Times New Roman"/>
          <w:szCs w:val="24"/>
          <w:lang w:val="fr-CA"/>
        </w:rPr>
        <w:t>appel est d</w:t>
      </w:r>
      <w:r>
        <w:rPr>
          <w:rFonts w:cs="Times New Roman"/>
          <w:szCs w:val="24"/>
          <w:lang w:val="fr-CA"/>
        </w:rPr>
        <w:t>’</w:t>
      </w:r>
      <w:r w:rsidRPr="00CA43DD">
        <w:rPr>
          <w:rFonts w:cs="Times New Roman"/>
          <w:szCs w:val="24"/>
          <w:lang w:val="fr-CA"/>
        </w:rPr>
        <w:t>avis que c</w:t>
      </w:r>
      <w:r>
        <w:rPr>
          <w:rFonts w:cs="Times New Roman"/>
          <w:szCs w:val="24"/>
          <w:lang w:val="fr-CA"/>
        </w:rPr>
        <w:t>’</w:t>
      </w:r>
      <w:r w:rsidRPr="00CA43DD">
        <w:rPr>
          <w:rFonts w:cs="Times New Roman"/>
          <w:szCs w:val="24"/>
          <w:lang w:val="fr-CA"/>
        </w:rPr>
        <w:t>est l</w:t>
      </w:r>
      <w:r>
        <w:rPr>
          <w:rFonts w:cs="Times New Roman"/>
          <w:szCs w:val="24"/>
          <w:lang w:val="fr-CA"/>
        </w:rPr>
        <w:t>’</w:t>
      </w:r>
      <w:r w:rsidRPr="00CA43DD">
        <w:rPr>
          <w:rFonts w:cs="Times New Roman"/>
          <w:i/>
          <w:szCs w:val="24"/>
          <w:lang w:val="fr-CA"/>
        </w:rPr>
        <w:t>exclusion</w:t>
      </w:r>
      <w:r w:rsidRPr="00CA43DD">
        <w:rPr>
          <w:rFonts w:cs="Times New Roman"/>
          <w:szCs w:val="24"/>
          <w:lang w:val="fr-CA"/>
        </w:rPr>
        <w:t xml:space="preserve"> de la preuve matérielle, et non son utilisation, qui est susceptible de déconsidérer l</w:t>
      </w:r>
      <w:r>
        <w:rPr>
          <w:rFonts w:cs="Times New Roman"/>
          <w:szCs w:val="24"/>
          <w:lang w:val="fr-CA"/>
        </w:rPr>
        <w:t>’</w:t>
      </w:r>
      <w:r w:rsidRPr="00CA43DD">
        <w:rPr>
          <w:rFonts w:cs="Times New Roman"/>
          <w:szCs w:val="24"/>
          <w:lang w:val="fr-CA"/>
        </w:rPr>
        <w:t>administration de la justice.  Dans son optique, toute la preuve matérielle recueillie sur le lieu du crime aurait été découverte sans l</w:t>
      </w:r>
      <w:r>
        <w:rPr>
          <w:rFonts w:cs="Times New Roman"/>
          <w:szCs w:val="24"/>
          <w:lang w:val="fr-CA"/>
        </w:rPr>
        <w:t>’</w:t>
      </w:r>
      <w:r w:rsidRPr="00CA43DD">
        <w:rPr>
          <w:rFonts w:cs="Times New Roman"/>
          <w:szCs w:val="24"/>
          <w:lang w:val="fr-CA"/>
        </w:rPr>
        <w:t>aide de l</w:t>
      </w:r>
      <w:r>
        <w:rPr>
          <w:rFonts w:cs="Times New Roman"/>
          <w:szCs w:val="24"/>
          <w:lang w:val="fr-CA"/>
        </w:rPr>
        <w:t>’</w:t>
      </w:r>
      <w:r w:rsidRPr="00CA43DD">
        <w:rPr>
          <w:rFonts w:cs="Times New Roman"/>
          <w:szCs w:val="24"/>
          <w:lang w:val="fr-CA"/>
        </w:rPr>
        <w:t>appelante, le crime est très grave et les policiers n</w:t>
      </w:r>
      <w:r>
        <w:rPr>
          <w:rFonts w:cs="Times New Roman"/>
          <w:szCs w:val="24"/>
          <w:lang w:val="fr-CA"/>
        </w:rPr>
        <w:t>’</w:t>
      </w:r>
      <w:r w:rsidRPr="00CA43DD">
        <w:rPr>
          <w:rFonts w:cs="Times New Roman"/>
          <w:szCs w:val="24"/>
          <w:lang w:val="fr-CA"/>
        </w:rPr>
        <w:t>ont pas délibérément agi de manière abusive.  Elle explique que même si les policiers avaient une conception plutôt parcellaire du respect des droits constitutionnels de l</w:t>
      </w:r>
      <w:r>
        <w:rPr>
          <w:rFonts w:cs="Times New Roman"/>
          <w:szCs w:val="24"/>
          <w:lang w:val="fr-CA"/>
        </w:rPr>
        <w:t>’</w:t>
      </w:r>
      <w:r w:rsidRPr="00CA43DD">
        <w:rPr>
          <w:rFonts w:cs="Times New Roman"/>
          <w:szCs w:val="24"/>
          <w:lang w:val="fr-CA"/>
        </w:rPr>
        <w:t>appelante et que le juge du procès ne les a pas considérés comme des témoins dignes de foi, il n</w:t>
      </w:r>
      <w:r>
        <w:rPr>
          <w:rFonts w:cs="Times New Roman"/>
          <w:szCs w:val="24"/>
          <w:lang w:val="fr-CA"/>
        </w:rPr>
        <w:t>’</w:t>
      </w:r>
      <w:r w:rsidRPr="00CA43DD">
        <w:rPr>
          <w:rFonts w:cs="Times New Roman"/>
          <w:szCs w:val="24"/>
          <w:lang w:val="fr-CA"/>
        </w:rPr>
        <w:t>y a pas eu d</w:t>
      </w:r>
      <w:r>
        <w:rPr>
          <w:rFonts w:cs="Times New Roman"/>
          <w:szCs w:val="24"/>
          <w:lang w:val="fr-CA"/>
        </w:rPr>
        <w:t>’</w:t>
      </w:r>
      <w:r w:rsidRPr="00CA43DD">
        <w:rPr>
          <w:rFonts w:cs="Times New Roman"/>
          <w:szCs w:val="24"/>
          <w:lang w:val="fr-CA"/>
        </w:rPr>
        <w:t>« attitude attentatoire » de leur part (par. 47).  En conséquence, la preuve matérielle recueillie et les constatations faites au domicile de l</w:t>
      </w:r>
      <w:r>
        <w:rPr>
          <w:rFonts w:cs="Times New Roman"/>
          <w:szCs w:val="24"/>
          <w:lang w:val="fr-CA"/>
        </w:rPr>
        <w:t>’</w:t>
      </w:r>
      <w:r w:rsidRPr="00CA43DD">
        <w:rPr>
          <w:rFonts w:cs="Times New Roman"/>
          <w:szCs w:val="24"/>
          <w:lang w:val="fr-CA"/>
        </w:rPr>
        <w:t xml:space="preserve">appelante </w:t>
      </w:r>
      <w:r w:rsidRPr="00CA43DD">
        <w:rPr>
          <w:rFonts w:cs="Times New Roman"/>
          <w:szCs w:val="24"/>
          <w:lang w:val="fr-CA"/>
        </w:rPr>
        <w:lastRenderedPageBreak/>
        <w:t>n</w:t>
      </w:r>
      <w:r>
        <w:rPr>
          <w:rFonts w:cs="Times New Roman"/>
          <w:szCs w:val="24"/>
          <w:lang w:val="fr-CA"/>
        </w:rPr>
        <w:t>’</w:t>
      </w:r>
      <w:r w:rsidRPr="00CA43DD">
        <w:rPr>
          <w:rFonts w:cs="Times New Roman"/>
          <w:szCs w:val="24"/>
          <w:lang w:val="fr-CA"/>
        </w:rPr>
        <w:t>auraient pas dû être écartées.  L</w:t>
      </w:r>
      <w:r>
        <w:rPr>
          <w:rFonts w:cs="Times New Roman"/>
          <w:szCs w:val="24"/>
          <w:lang w:val="fr-CA"/>
        </w:rPr>
        <w:t>’</w:t>
      </w:r>
      <w:r w:rsidRPr="00CA43DD">
        <w:rPr>
          <w:rFonts w:cs="Times New Roman"/>
          <w:szCs w:val="24"/>
          <w:lang w:val="fr-CA"/>
        </w:rPr>
        <w:t>appel est accueilli et la tenue d</w:t>
      </w:r>
      <w:r>
        <w:rPr>
          <w:rFonts w:cs="Times New Roman"/>
          <w:szCs w:val="24"/>
          <w:lang w:val="fr-CA"/>
        </w:rPr>
        <w:t>’</w:t>
      </w:r>
      <w:r w:rsidRPr="00CA43DD">
        <w:rPr>
          <w:rFonts w:cs="Times New Roman"/>
          <w:szCs w:val="24"/>
          <w:lang w:val="fr-CA"/>
        </w:rPr>
        <w:t>un nouveau procès est ordonnée.</w:t>
      </w:r>
    </w:p>
    <w:p w:rsidR="00DC2386" w:rsidRPr="00CA43DD" w:rsidRDefault="00DC2386" w:rsidP="006E7471">
      <w:pPr>
        <w:pStyle w:val="TitleTitre-AltT"/>
        <w:keepNext/>
        <w:tabs>
          <w:tab w:val="clear" w:pos="360"/>
          <w:tab w:val="left" w:pos="720"/>
        </w:tabs>
        <w:spacing w:after="720"/>
        <w:ind w:left="720" w:hanging="720"/>
        <w:rPr>
          <w:rFonts w:cs="Times New Roman"/>
          <w:i/>
          <w:szCs w:val="24"/>
          <w:lang w:val="fr-CA"/>
        </w:rPr>
      </w:pPr>
      <w:r w:rsidRPr="00CA43DD">
        <w:rPr>
          <w:rFonts w:cs="Times New Roman"/>
          <w:szCs w:val="24"/>
          <w:lang w:val="fr-CA"/>
        </w:rPr>
        <w:t>C.</w:t>
      </w:r>
      <w:r w:rsidRPr="00CA43DD">
        <w:rPr>
          <w:rFonts w:cs="Times New Roman"/>
          <w:szCs w:val="24"/>
          <w:lang w:val="fr-CA"/>
        </w:rPr>
        <w:tab/>
      </w:r>
      <w:r w:rsidRPr="00CA43DD">
        <w:rPr>
          <w:rFonts w:cs="Times New Roman"/>
          <w:i/>
          <w:szCs w:val="24"/>
          <w:lang w:val="fr-CA"/>
        </w:rPr>
        <w:t>Questions en litige</w:t>
      </w:r>
    </w:p>
    <w:p w:rsidR="00DC2386" w:rsidRPr="00CA43DD" w:rsidRDefault="00DC2386" w:rsidP="00DC2386">
      <w:pPr>
        <w:pStyle w:val="ParaNoNdepar-AltN"/>
        <w:rPr>
          <w:rFonts w:cs="Times New Roman"/>
          <w:szCs w:val="24"/>
          <w:lang w:val="fr-CA"/>
        </w:rPr>
      </w:pPr>
      <w:r w:rsidRPr="00CA43DD">
        <w:rPr>
          <w:rFonts w:cs="Times New Roman"/>
          <w:szCs w:val="24"/>
          <w:lang w:val="fr-CA"/>
        </w:rPr>
        <w:t>L</w:t>
      </w:r>
      <w:r>
        <w:rPr>
          <w:rFonts w:cs="Times New Roman"/>
          <w:szCs w:val="24"/>
          <w:lang w:val="fr-CA"/>
        </w:rPr>
        <w:t>’</w:t>
      </w:r>
      <w:r w:rsidRPr="00CA43DD">
        <w:rPr>
          <w:rFonts w:cs="Times New Roman"/>
          <w:szCs w:val="24"/>
          <w:lang w:val="fr-CA"/>
        </w:rPr>
        <w:t>appelante conteste la décision de la Cour d</w:t>
      </w:r>
      <w:r>
        <w:rPr>
          <w:rFonts w:cs="Times New Roman"/>
          <w:szCs w:val="24"/>
          <w:lang w:val="fr-CA"/>
        </w:rPr>
        <w:t>’</w:t>
      </w:r>
      <w:r w:rsidRPr="00CA43DD">
        <w:rPr>
          <w:rFonts w:cs="Times New Roman"/>
          <w:szCs w:val="24"/>
          <w:lang w:val="fr-CA"/>
        </w:rPr>
        <w:t>appel qui autorise l</w:t>
      </w:r>
      <w:r>
        <w:rPr>
          <w:rFonts w:cs="Times New Roman"/>
          <w:szCs w:val="24"/>
          <w:lang w:val="fr-CA"/>
        </w:rPr>
        <w:t>’</w:t>
      </w:r>
      <w:r w:rsidRPr="00CA43DD">
        <w:rPr>
          <w:rFonts w:cs="Times New Roman"/>
          <w:szCs w:val="24"/>
          <w:lang w:val="fr-CA"/>
        </w:rPr>
        <w:t xml:space="preserve">utilisation de la preuve matérielle et des constatations faites chez elle par les policiers.  Le ministère public reconnaît comme il se doit que les policiers ont gravement porté </w:t>
      </w:r>
      <w:r w:rsidR="00252271">
        <w:rPr>
          <w:rFonts w:cs="Times New Roman"/>
          <w:szCs w:val="24"/>
          <w:lang w:val="fr-CA"/>
        </w:rPr>
        <w:t>atteinte</w:t>
      </w:r>
      <w:r w:rsidRPr="00CA43DD">
        <w:rPr>
          <w:rFonts w:cs="Times New Roman"/>
          <w:szCs w:val="24"/>
          <w:lang w:val="fr-CA"/>
        </w:rPr>
        <w:t xml:space="preserve"> aux droits de l</w:t>
      </w:r>
      <w:r>
        <w:rPr>
          <w:rFonts w:cs="Times New Roman"/>
          <w:szCs w:val="24"/>
          <w:lang w:val="fr-CA"/>
        </w:rPr>
        <w:t>’</w:t>
      </w:r>
      <w:r w:rsidRPr="00CA43DD">
        <w:rPr>
          <w:rFonts w:cs="Times New Roman"/>
          <w:szCs w:val="24"/>
          <w:lang w:val="fr-CA"/>
        </w:rPr>
        <w:t>appelante, y compris ses droits constitutionnels.  Il ne conteste pas la décision du juge du procès d</w:t>
      </w:r>
      <w:r>
        <w:rPr>
          <w:rFonts w:cs="Times New Roman"/>
          <w:szCs w:val="24"/>
          <w:lang w:val="fr-CA"/>
        </w:rPr>
        <w:t>’</w:t>
      </w:r>
      <w:r w:rsidRPr="00CA43DD">
        <w:rPr>
          <w:rFonts w:cs="Times New Roman"/>
          <w:szCs w:val="24"/>
          <w:lang w:val="fr-CA"/>
        </w:rPr>
        <w:t>écarter les déclarations de l</w:t>
      </w:r>
      <w:r>
        <w:rPr>
          <w:rFonts w:cs="Times New Roman"/>
          <w:szCs w:val="24"/>
          <w:lang w:val="fr-CA"/>
        </w:rPr>
        <w:t>’</w:t>
      </w:r>
      <w:r w:rsidRPr="00CA43DD">
        <w:rPr>
          <w:rFonts w:cs="Times New Roman"/>
          <w:szCs w:val="24"/>
          <w:lang w:val="fr-CA"/>
        </w:rPr>
        <w:t>appelante aux policiers.  Cependant, il appuie la décision de la Cour d</w:t>
      </w:r>
      <w:r>
        <w:rPr>
          <w:rFonts w:cs="Times New Roman"/>
          <w:szCs w:val="24"/>
          <w:lang w:val="fr-CA"/>
        </w:rPr>
        <w:t>’</w:t>
      </w:r>
      <w:r w:rsidRPr="00CA43DD">
        <w:rPr>
          <w:rFonts w:cs="Times New Roman"/>
          <w:szCs w:val="24"/>
          <w:lang w:val="fr-CA"/>
        </w:rPr>
        <w:t>appel d</w:t>
      </w:r>
      <w:r>
        <w:rPr>
          <w:rFonts w:cs="Times New Roman"/>
          <w:szCs w:val="24"/>
          <w:lang w:val="fr-CA"/>
        </w:rPr>
        <w:t>’</w:t>
      </w:r>
      <w:r w:rsidRPr="00CA43DD">
        <w:rPr>
          <w:rFonts w:cs="Times New Roman"/>
          <w:szCs w:val="24"/>
          <w:lang w:val="fr-CA"/>
        </w:rPr>
        <w:t>autoriser l</w:t>
      </w:r>
      <w:r>
        <w:rPr>
          <w:rFonts w:cs="Times New Roman"/>
          <w:szCs w:val="24"/>
          <w:lang w:val="fr-CA"/>
        </w:rPr>
        <w:t>’</w:t>
      </w:r>
      <w:r w:rsidRPr="00CA43DD">
        <w:rPr>
          <w:rFonts w:cs="Times New Roman"/>
          <w:szCs w:val="24"/>
          <w:lang w:val="fr-CA"/>
        </w:rPr>
        <w:t>utilisation des constatations faites au domicile de l</w:t>
      </w:r>
      <w:r>
        <w:rPr>
          <w:rFonts w:cs="Times New Roman"/>
          <w:szCs w:val="24"/>
          <w:lang w:val="fr-CA"/>
        </w:rPr>
        <w:t>’</w:t>
      </w:r>
      <w:r w:rsidRPr="00CA43DD">
        <w:rPr>
          <w:rFonts w:cs="Times New Roman"/>
          <w:szCs w:val="24"/>
          <w:lang w:val="fr-CA"/>
        </w:rPr>
        <w:t>appelante et de la preuve matérielle qui y a été recueillie.</w:t>
      </w:r>
    </w:p>
    <w:p w:rsidR="00DC2386" w:rsidRPr="00CA43DD" w:rsidRDefault="00DC2386" w:rsidP="00DC2386">
      <w:pPr>
        <w:pStyle w:val="ParaNoNdepar-AltN"/>
        <w:rPr>
          <w:rFonts w:cs="Times New Roman"/>
          <w:szCs w:val="24"/>
          <w:lang w:val="fr-CA"/>
        </w:rPr>
      </w:pPr>
      <w:r w:rsidRPr="00CA43DD">
        <w:rPr>
          <w:rFonts w:cs="Times New Roman"/>
          <w:szCs w:val="24"/>
          <w:lang w:val="fr-CA"/>
        </w:rPr>
        <w:t>La Cour d</w:t>
      </w:r>
      <w:r>
        <w:rPr>
          <w:rFonts w:cs="Times New Roman"/>
          <w:szCs w:val="24"/>
          <w:lang w:val="fr-CA"/>
        </w:rPr>
        <w:t>’</w:t>
      </w:r>
      <w:r w:rsidRPr="00CA43DD">
        <w:rPr>
          <w:rFonts w:cs="Times New Roman"/>
          <w:szCs w:val="24"/>
          <w:lang w:val="fr-CA"/>
        </w:rPr>
        <w:t>appel intervient principalement au motif que les éléments constatés ou recueillis sur le lieu du crime auraient pu être découverts légalement sans la participation de l</w:t>
      </w:r>
      <w:r>
        <w:rPr>
          <w:rFonts w:cs="Times New Roman"/>
          <w:szCs w:val="24"/>
          <w:lang w:val="fr-CA"/>
        </w:rPr>
        <w:t>’</w:t>
      </w:r>
      <w:r w:rsidRPr="00CA43DD">
        <w:rPr>
          <w:rFonts w:cs="Times New Roman"/>
          <w:szCs w:val="24"/>
          <w:lang w:val="fr-CA"/>
        </w:rPr>
        <w:t>appelante.  Elle invoque aussi le fait que les policiers n</w:t>
      </w:r>
      <w:r>
        <w:rPr>
          <w:rFonts w:cs="Times New Roman"/>
          <w:szCs w:val="24"/>
          <w:lang w:val="fr-CA"/>
        </w:rPr>
        <w:t>’</w:t>
      </w:r>
      <w:r w:rsidRPr="00CA43DD">
        <w:rPr>
          <w:rFonts w:cs="Times New Roman"/>
          <w:szCs w:val="24"/>
          <w:lang w:val="fr-CA"/>
        </w:rPr>
        <w:t>ont pas délibérément agi de manière abusive, de même que la gravité du crime.  Elle procède donc sur ce fondement à une nouvelle mise en balance des éléments pertinents pour l</w:t>
      </w:r>
      <w:r>
        <w:rPr>
          <w:rFonts w:cs="Times New Roman"/>
          <w:szCs w:val="24"/>
          <w:lang w:val="fr-CA"/>
        </w:rPr>
        <w:t>’</w:t>
      </w:r>
      <w:r w:rsidRPr="00CA43DD">
        <w:rPr>
          <w:rFonts w:cs="Times New Roman"/>
          <w:szCs w:val="24"/>
          <w:lang w:val="fr-CA"/>
        </w:rPr>
        <w:t>application du par. 24(2) et elle conclut que préserver la considération dont jouit l</w:t>
      </w:r>
      <w:r>
        <w:rPr>
          <w:rFonts w:cs="Times New Roman"/>
          <w:szCs w:val="24"/>
          <w:lang w:val="fr-CA"/>
        </w:rPr>
        <w:t>’</w:t>
      </w:r>
      <w:r w:rsidRPr="00CA43DD">
        <w:rPr>
          <w:rFonts w:cs="Times New Roman"/>
          <w:szCs w:val="24"/>
          <w:lang w:val="fr-CA"/>
        </w:rPr>
        <w:t>administration de la justice nécessite l</w:t>
      </w:r>
      <w:r>
        <w:rPr>
          <w:rFonts w:cs="Times New Roman"/>
          <w:szCs w:val="24"/>
          <w:lang w:val="fr-CA"/>
        </w:rPr>
        <w:t>’</w:t>
      </w:r>
      <w:r w:rsidRPr="00CA43DD">
        <w:rPr>
          <w:rFonts w:cs="Times New Roman"/>
          <w:szCs w:val="24"/>
          <w:lang w:val="fr-CA"/>
        </w:rPr>
        <w:t>utilisation d</w:t>
      </w:r>
      <w:r>
        <w:rPr>
          <w:rFonts w:cs="Times New Roman"/>
          <w:szCs w:val="24"/>
          <w:lang w:val="fr-CA"/>
        </w:rPr>
        <w:t>’</w:t>
      </w:r>
      <w:r w:rsidRPr="00CA43DD">
        <w:rPr>
          <w:rFonts w:cs="Times New Roman"/>
          <w:szCs w:val="24"/>
          <w:lang w:val="fr-CA"/>
        </w:rPr>
        <w:t xml:space="preserve">une partie de la preuve.  Le pourvoi soulève donc deux questions principales : </w:t>
      </w:r>
    </w:p>
    <w:p w:rsidR="00DC2386" w:rsidRPr="00CA43DD" w:rsidRDefault="00DC2386" w:rsidP="00CF6E18">
      <w:pPr>
        <w:pStyle w:val="Citation-AltC"/>
        <w:spacing w:after="480" w:line="480" w:lineRule="auto"/>
        <w:ind w:left="720" w:hanging="720"/>
        <w:contextualSpacing w:val="0"/>
        <w:rPr>
          <w:szCs w:val="24"/>
          <w:lang w:val="fr-CA"/>
        </w:rPr>
      </w:pPr>
      <w:r w:rsidRPr="00CA43DD">
        <w:rPr>
          <w:szCs w:val="24"/>
          <w:lang w:val="fr-CA"/>
        </w:rPr>
        <w:lastRenderedPageBreak/>
        <w:t>1.</w:t>
      </w:r>
      <w:r w:rsidRPr="00CA43DD">
        <w:rPr>
          <w:szCs w:val="24"/>
          <w:lang w:val="fr-CA"/>
        </w:rPr>
        <w:tab/>
        <w:t>La Cour d</w:t>
      </w:r>
      <w:r>
        <w:rPr>
          <w:szCs w:val="24"/>
          <w:lang w:val="fr-CA"/>
        </w:rPr>
        <w:t>’</w:t>
      </w:r>
      <w:r w:rsidRPr="00CA43DD">
        <w:rPr>
          <w:szCs w:val="24"/>
          <w:lang w:val="fr-CA"/>
        </w:rPr>
        <w:t xml:space="preserve">appel </w:t>
      </w:r>
      <w:proofErr w:type="spellStart"/>
      <w:r w:rsidRPr="00CA43DD">
        <w:rPr>
          <w:szCs w:val="24"/>
          <w:lang w:val="fr-CA"/>
        </w:rPr>
        <w:t>a</w:t>
      </w:r>
      <w:r w:rsidRPr="00CA43DD">
        <w:rPr>
          <w:szCs w:val="24"/>
          <w:lang w:val="fr-CA"/>
        </w:rPr>
        <w:noBreakHyphen/>
        <w:t>t</w:t>
      </w:r>
      <w:r w:rsidRPr="00CA43DD">
        <w:rPr>
          <w:szCs w:val="24"/>
          <w:lang w:val="fr-CA"/>
        </w:rPr>
        <w:noBreakHyphen/>
        <w:t>elle</w:t>
      </w:r>
      <w:proofErr w:type="spellEnd"/>
      <w:r w:rsidRPr="00CA43DD">
        <w:rPr>
          <w:szCs w:val="24"/>
          <w:lang w:val="fr-CA"/>
        </w:rPr>
        <w:t xml:space="preserve"> eu tort d</w:t>
      </w:r>
      <w:r>
        <w:rPr>
          <w:szCs w:val="24"/>
          <w:lang w:val="fr-CA"/>
        </w:rPr>
        <w:t>’</w:t>
      </w:r>
      <w:r w:rsidRPr="00CA43DD">
        <w:rPr>
          <w:szCs w:val="24"/>
          <w:lang w:val="fr-CA"/>
        </w:rPr>
        <w:t>intervenir au motif que les policiers n</w:t>
      </w:r>
      <w:r>
        <w:rPr>
          <w:szCs w:val="24"/>
          <w:lang w:val="fr-CA"/>
        </w:rPr>
        <w:t>’</w:t>
      </w:r>
      <w:r w:rsidRPr="00CA43DD">
        <w:rPr>
          <w:szCs w:val="24"/>
          <w:lang w:val="fr-CA"/>
        </w:rPr>
        <w:t>avaient pas délibérément agi de manière abusive et que le crime était grave?</w:t>
      </w:r>
    </w:p>
    <w:p w:rsidR="00DC2386" w:rsidRPr="00CA43DD" w:rsidRDefault="00DC2386" w:rsidP="00CF6E18">
      <w:pPr>
        <w:pStyle w:val="Citation-AltC"/>
        <w:spacing w:after="480" w:line="480" w:lineRule="auto"/>
        <w:ind w:left="720" w:hanging="720"/>
        <w:contextualSpacing w:val="0"/>
        <w:rPr>
          <w:szCs w:val="24"/>
          <w:lang w:val="fr-CA"/>
        </w:rPr>
      </w:pPr>
      <w:r w:rsidRPr="00CA43DD">
        <w:rPr>
          <w:szCs w:val="24"/>
          <w:lang w:val="fr-CA"/>
        </w:rPr>
        <w:t>2.</w:t>
      </w:r>
      <w:r w:rsidRPr="00CA43DD">
        <w:rPr>
          <w:szCs w:val="24"/>
          <w:lang w:val="fr-CA"/>
        </w:rPr>
        <w:tab/>
        <w:t>La Cour d</w:t>
      </w:r>
      <w:r>
        <w:rPr>
          <w:szCs w:val="24"/>
          <w:lang w:val="fr-CA"/>
        </w:rPr>
        <w:t>’</w:t>
      </w:r>
      <w:r w:rsidRPr="00CA43DD">
        <w:rPr>
          <w:szCs w:val="24"/>
          <w:lang w:val="fr-CA"/>
        </w:rPr>
        <w:t xml:space="preserve">appel </w:t>
      </w:r>
      <w:proofErr w:type="spellStart"/>
      <w:r w:rsidRPr="00CA43DD">
        <w:rPr>
          <w:szCs w:val="24"/>
          <w:lang w:val="fr-CA"/>
        </w:rPr>
        <w:t>a</w:t>
      </w:r>
      <w:r w:rsidRPr="00CA43DD">
        <w:rPr>
          <w:szCs w:val="24"/>
          <w:lang w:val="fr-CA"/>
        </w:rPr>
        <w:noBreakHyphen/>
        <w:t>t</w:t>
      </w:r>
      <w:r w:rsidRPr="00CA43DD">
        <w:rPr>
          <w:szCs w:val="24"/>
          <w:lang w:val="fr-CA"/>
        </w:rPr>
        <w:noBreakHyphen/>
        <w:t>elle</w:t>
      </w:r>
      <w:proofErr w:type="spellEnd"/>
      <w:r w:rsidRPr="00CA43DD">
        <w:rPr>
          <w:szCs w:val="24"/>
          <w:lang w:val="fr-CA"/>
        </w:rPr>
        <w:t xml:space="preserve"> eu tort d</w:t>
      </w:r>
      <w:r>
        <w:rPr>
          <w:szCs w:val="24"/>
          <w:lang w:val="fr-CA"/>
        </w:rPr>
        <w:t>’</w:t>
      </w:r>
      <w:r w:rsidRPr="00CA43DD">
        <w:rPr>
          <w:szCs w:val="24"/>
          <w:lang w:val="fr-CA"/>
        </w:rPr>
        <w:t xml:space="preserve">intervenir sur le fondement de la « possibilité de découvrir » la preuve? </w:t>
      </w:r>
    </w:p>
    <w:p w:rsidR="00DC2386" w:rsidRPr="00CA43DD" w:rsidRDefault="00DC2386" w:rsidP="006E7471">
      <w:pPr>
        <w:pStyle w:val="TitleTitre-AltT"/>
        <w:keepNext/>
        <w:tabs>
          <w:tab w:val="clear" w:pos="360"/>
          <w:tab w:val="left" w:pos="720"/>
        </w:tabs>
        <w:spacing w:after="720"/>
        <w:ind w:left="720" w:hanging="720"/>
        <w:rPr>
          <w:rFonts w:cs="Times New Roman"/>
          <w:szCs w:val="24"/>
          <w:lang w:val="fr-CA"/>
        </w:rPr>
      </w:pPr>
      <w:r w:rsidRPr="00CA43DD">
        <w:rPr>
          <w:rFonts w:cs="Times New Roman"/>
          <w:szCs w:val="24"/>
          <w:lang w:val="fr-CA"/>
        </w:rPr>
        <w:t>III.</w:t>
      </w:r>
      <w:r w:rsidRPr="00CA43DD">
        <w:rPr>
          <w:rFonts w:cs="Times New Roman"/>
          <w:szCs w:val="24"/>
          <w:lang w:val="fr-CA"/>
        </w:rPr>
        <w:tab/>
      </w:r>
      <w:r w:rsidRPr="00CA43DD">
        <w:rPr>
          <w:rFonts w:cs="Times New Roman"/>
          <w:szCs w:val="24"/>
          <w:u w:val="single"/>
          <w:lang w:val="fr-CA"/>
        </w:rPr>
        <w:t>Analyse</w:t>
      </w:r>
    </w:p>
    <w:p w:rsidR="00DC2386" w:rsidRPr="00CA43DD" w:rsidRDefault="00DC2386" w:rsidP="00DC2386">
      <w:pPr>
        <w:pStyle w:val="ParaNoNdepar-AltN"/>
        <w:rPr>
          <w:rFonts w:cs="Times New Roman"/>
          <w:szCs w:val="24"/>
          <w:lang w:val="fr-CA"/>
        </w:rPr>
      </w:pPr>
      <w:r w:rsidRPr="00CA43DD">
        <w:rPr>
          <w:rFonts w:cs="Times New Roman"/>
          <w:szCs w:val="24"/>
          <w:lang w:val="fr-CA"/>
        </w:rPr>
        <w:t>Avant l</w:t>
      </w:r>
      <w:r>
        <w:rPr>
          <w:rFonts w:cs="Times New Roman"/>
          <w:szCs w:val="24"/>
          <w:lang w:val="fr-CA"/>
        </w:rPr>
        <w:t>’</w:t>
      </w:r>
      <w:r w:rsidRPr="00CA43DD">
        <w:rPr>
          <w:rFonts w:cs="Times New Roman"/>
          <w:szCs w:val="24"/>
          <w:lang w:val="fr-CA"/>
        </w:rPr>
        <w:t>examen de ces questions, j</w:t>
      </w:r>
      <w:r>
        <w:rPr>
          <w:rFonts w:cs="Times New Roman"/>
          <w:szCs w:val="24"/>
          <w:lang w:val="fr-CA"/>
        </w:rPr>
        <w:t>’</w:t>
      </w:r>
      <w:r w:rsidRPr="00CA43DD">
        <w:rPr>
          <w:rFonts w:cs="Times New Roman"/>
          <w:szCs w:val="24"/>
          <w:lang w:val="fr-CA"/>
        </w:rPr>
        <w:t>expose brièvement la norme de contrôle et les considérations qui valent pour l</w:t>
      </w:r>
      <w:r>
        <w:rPr>
          <w:rFonts w:cs="Times New Roman"/>
          <w:szCs w:val="24"/>
          <w:lang w:val="fr-CA"/>
        </w:rPr>
        <w:t>’</w:t>
      </w:r>
      <w:r w:rsidRPr="00CA43DD">
        <w:rPr>
          <w:rFonts w:cs="Times New Roman"/>
          <w:szCs w:val="24"/>
          <w:lang w:val="fr-CA"/>
        </w:rPr>
        <w:t>application du par. 24(2) suivant l</w:t>
      </w:r>
      <w:r>
        <w:rPr>
          <w:rFonts w:cs="Times New Roman"/>
          <w:szCs w:val="24"/>
          <w:lang w:val="fr-CA"/>
        </w:rPr>
        <w:t>’</w:t>
      </w:r>
      <w:r w:rsidRPr="00CA43DD">
        <w:rPr>
          <w:rFonts w:cs="Times New Roman"/>
          <w:szCs w:val="24"/>
          <w:lang w:val="fr-CA"/>
        </w:rPr>
        <w:t xml:space="preserve">arrêt </w:t>
      </w:r>
      <w:r w:rsidRPr="00CA43DD">
        <w:rPr>
          <w:rFonts w:cs="Times New Roman"/>
          <w:i/>
          <w:szCs w:val="24"/>
          <w:lang w:val="fr-CA"/>
        </w:rPr>
        <w:t xml:space="preserve">Grant </w:t>
      </w:r>
      <w:r w:rsidRPr="00CA43DD">
        <w:rPr>
          <w:rFonts w:cs="Times New Roman"/>
          <w:szCs w:val="24"/>
          <w:lang w:val="fr-CA"/>
        </w:rPr>
        <w:t>et les arrêts connexes de notre Cour</w:t>
      </w:r>
      <w:r w:rsidRPr="00CA43DD">
        <w:rPr>
          <w:rFonts w:cs="Times New Roman"/>
          <w:i/>
          <w:szCs w:val="24"/>
          <w:lang w:val="fr-CA"/>
        </w:rPr>
        <w:t xml:space="preserve">. </w:t>
      </w:r>
    </w:p>
    <w:p w:rsidR="00DC2386" w:rsidRPr="00CA43DD" w:rsidRDefault="00DC2386" w:rsidP="006E7471">
      <w:pPr>
        <w:pStyle w:val="TitleTitre-AltT"/>
        <w:keepNext/>
        <w:tabs>
          <w:tab w:val="clear" w:pos="360"/>
          <w:tab w:val="left" w:pos="720"/>
        </w:tabs>
        <w:spacing w:after="720"/>
        <w:ind w:left="720" w:hanging="720"/>
        <w:rPr>
          <w:rFonts w:cs="Times New Roman"/>
          <w:szCs w:val="24"/>
          <w:lang w:val="fr-CA"/>
        </w:rPr>
      </w:pPr>
      <w:r w:rsidRPr="00CA43DD">
        <w:rPr>
          <w:rFonts w:cs="Times New Roman"/>
          <w:szCs w:val="24"/>
          <w:lang w:val="fr-CA"/>
        </w:rPr>
        <w:t>A.</w:t>
      </w:r>
      <w:r w:rsidRPr="00CA43DD">
        <w:rPr>
          <w:rFonts w:cs="Times New Roman"/>
          <w:szCs w:val="24"/>
          <w:lang w:val="fr-CA"/>
        </w:rPr>
        <w:tab/>
      </w:r>
      <w:r w:rsidRPr="00CA43DD">
        <w:rPr>
          <w:rFonts w:cs="Times New Roman"/>
          <w:i/>
          <w:szCs w:val="24"/>
          <w:lang w:val="fr-CA"/>
        </w:rPr>
        <w:t>La norme de contrôle</w:t>
      </w:r>
    </w:p>
    <w:p w:rsidR="00DC2386" w:rsidRPr="00CA43DD" w:rsidRDefault="00DC2386" w:rsidP="00DC2386">
      <w:pPr>
        <w:pStyle w:val="ParaNoNdepar-AltN"/>
        <w:rPr>
          <w:rFonts w:cs="Times New Roman"/>
          <w:szCs w:val="24"/>
          <w:lang w:val="fr-CA"/>
        </w:rPr>
      </w:pPr>
      <w:r w:rsidRPr="00CA43DD">
        <w:rPr>
          <w:rFonts w:cs="Times New Roman"/>
          <w:szCs w:val="24"/>
          <w:lang w:val="fr-CA"/>
        </w:rPr>
        <w:t>La norme de contrôle applicable à la détermination, par le juge du procès, de ce qui, suivant le par. 24(2), est susceptible de déconsidérer l</w:t>
      </w:r>
      <w:r>
        <w:rPr>
          <w:rFonts w:cs="Times New Roman"/>
          <w:szCs w:val="24"/>
          <w:lang w:val="fr-CA"/>
        </w:rPr>
        <w:t>’</w:t>
      </w:r>
      <w:r w:rsidRPr="00CA43DD">
        <w:rPr>
          <w:rFonts w:cs="Times New Roman"/>
          <w:szCs w:val="24"/>
          <w:lang w:val="fr-CA"/>
        </w:rPr>
        <w:t>administration de justice eu égard aux circonstances, n</w:t>
      </w:r>
      <w:r>
        <w:rPr>
          <w:rFonts w:cs="Times New Roman"/>
          <w:szCs w:val="24"/>
          <w:lang w:val="fr-CA"/>
        </w:rPr>
        <w:t>’</w:t>
      </w:r>
      <w:r w:rsidRPr="00CA43DD">
        <w:rPr>
          <w:rFonts w:cs="Times New Roman"/>
          <w:szCs w:val="24"/>
          <w:lang w:val="fr-CA"/>
        </w:rPr>
        <w:t>est pas controversée.  La Cour l</w:t>
      </w:r>
      <w:r>
        <w:rPr>
          <w:rFonts w:cs="Times New Roman"/>
          <w:szCs w:val="24"/>
          <w:lang w:val="fr-CA"/>
        </w:rPr>
        <w:t>’</w:t>
      </w:r>
      <w:r w:rsidRPr="00CA43DD">
        <w:rPr>
          <w:rFonts w:cs="Times New Roman"/>
          <w:szCs w:val="24"/>
          <w:lang w:val="fr-CA"/>
        </w:rPr>
        <w:t xml:space="preserve">énonce dans </w:t>
      </w:r>
      <w:r w:rsidRPr="00CA43DD">
        <w:rPr>
          <w:rFonts w:cs="Times New Roman"/>
          <w:i/>
          <w:szCs w:val="24"/>
          <w:lang w:val="fr-CA"/>
        </w:rPr>
        <w:t>Grant</w:t>
      </w:r>
      <w:r w:rsidRPr="00CA43DD">
        <w:rPr>
          <w:rFonts w:cs="Times New Roman"/>
          <w:szCs w:val="24"/>
          <w:lang w:val="fr-CA"/>
        </w:rPr>
        <w:t xml:space="preserve">, puis la confirme dans </w:t>
      </w:r>
      <w:r w:rsidRPr="00CA43DD">
        <w:rPr>
          <w:rFonts w:cs="Times New Roman"/>
          <w:i/>
          <w:szCs w:val="24"/>
          <w:lang w:val="fr-CA"/>
        </w:rPr>
        <w:t>R. c. Beaulieu</w:t>
      </w:r>
      <w:r w:rsidRPr="00CA43DD">
        <w:rPr>
          <w:rFonts w:cs="Times New Roman"/>
          <w:szCs w:val="24"/>
          <w:lang w:val="fr-CA"/>
        </w:rPr>
        <w:t>, 2010 CSC 7, [2010] 1 R.C.S. 248.  Lorsque le juge du procès a pris en compte les considérations applicables et n</w:t>
      </w:r>
      <w:r>
        <w:rPr>
          <w:rFonts w:cs="Times New Roman"/>
          <w:szCs w:val="24"/>
          <w:lang w:val="fr-CA"/>
        </w:rPr>
        <w:t>’</w:t>
      </w:r>
      <w:r w:rsidRPr="00CA43DD">
        <w:rPr>
          <w:rFonts w:cs="Times New Roman"/>
          <w:szCs w:val="24"/>
          <w:lang w:val="fr-CA"/>
        </w:rPr>
        <w:t>a tiré aucune conclusion déraisonnable, sa décision justifie une grande déférence en appel (</w:t>
      </w:r>
      <w:r w:rsidRPr="00CA43DD">
        <w:rPr>
          <w:rFonts w:cs="Times New Roman"/>
          <w:i/>
          <w:szCs w:val="24"/>
          <w:lang w:val="fr-CA"/>
        </w:rPr>
        <w:t>Grant</w:t>
      </w:r>
      <w:r w:rsidRPr="00CA43DD">
        <w:rPr>
          <w:rFonts w:cs="Times New Roman"/>
          <w:iCs/>
          <w:szCs w:val="24"/>
          <w:lang w:val="fr-CA"/>
        </w:rPr>
        <w:t>,</w:t>
      </w:r>
      <w:r w:rsidRPr="00CA43DD">
        <w:rPr>
          <w:rFonts w:cs="Times New Roman"/>
          <w:i/>
          <w:szCs w:val="24"/>
          <w:lang w:val="fr-CA"/>
        </w:rPr>
        <w:t xml:space="preserve"> </w:t>
      </w:r>
      <w:r w:rsidRPr="00CA43DD">
        <w:rPr>
          <w:rFonts w:cs="Times New Roman"/>
          <w:szCs w:val="24"/>
          <w:lang w:val="fr-CA"/>
        </w:rPr>
        <w:t>par. 86</w:t>
      </w:r>
      <w:r w:rsidR="00D33056">
        <w:rPr>
          <w:rFonts w:cs="Times New Roman"/>
          <w:szCs w:val="24"/>
          <w:lang w:val="fr-CA"/>
        </w:rPr>
        <w:t>,</w:t>
      </w:r>
      <w:r w:rsidRPr="00CA43DD">
        <w:rPr>
          <w:rFonts w:cs="Times New Roman"/>
          <w:szCs w:val="24"/>
          <w:lang w:val="fr-CA"/>
        </w:rPr>
        <w:t xml:space="preserve"> et </w:t>
      </w:r>
      <w:r w:rsidRPr="00CA43DD">
        <w:rPr>
          <w:rFonts w:cs="Times New Roman"/>
          <w:i/>
          <w:szCs w:val="24"/>
          <w:lang w:val="fr-CA"/>
        </w:rPr>
        <w:t>Beaulieu</w:t>
      </w:r>
      <w:r w:rsidRPr="00CA43DD">
        <w:rPr>
          <w:rFonts w:cs="Times New Roman"/>
          <w:iCs/>
          <w:szCs w:val="24"/>
          <w:lang w:val="fr-CA"/>
        </w:rPr>
        <w:t>,</w:t>
      </w:r>
      <w:r w:rsidRPr="00CA43DD">
        <w:rPr>
          <w:rFonts w:cs="Times New Roman"/>
          <w:i/>
          <w:szCs w:val="24"/>
          <w:lang w:val="fr-CA"/>
        </w:rPr>
        <w:t xml:space="preserve"> </w:t>
      </w:r>
      <w:r w:rsidRPr="00CA43DD">
        <w:rPr>
          <w:rFonts w:cs="Times New Roman"/>
          <w:szCs w:val="24"/>
          <w:lang w:val="fr-CA"/>
        </w:rPr>
        <w:t>par. 5).</w:t>
      </w:r>
    </w:p>
    <w:p w:rsidR="00DC2386" w:rsidRPr="00CA43DD" w:rsidRDefault="00DC2386" w:rsidP="006E7471">
      <w:pPr>
        <w:pStyle w:val="TitleTitre-AltT"/>
        <w:keepNext/>
        <w:tabs>
          <w:tab w:val="clear" w:pos="360"/>
          <w:tab w:val="left" w:pos="720"/>
        </w:tabs>
        <w:spacing w:after="720"/>
        <w:ind w:left="720" w:hanging="720"/>
        <w:rPr>
          <w:rFonts w:cs="Times New Roman"/>
          <w:szCs w:val="24"/>
          <w:lang w:val="fr-CA"/>
        </w:rPr>
      </w:pPr>
      <w:r w:rsidRPr="00CA43DD">
        <w:rPr>
          <w:rFonts w:cs="Times New Roman"/>
          <w:szCs w:val="24"/>
          <w:lang w:val="fr-CA"/>
        </w:rPr>
        <w:lastRenderedPageBreak/>
        <w:t>B.</w:t>
      </w:r>
      <w:r w:rsidRPr="00CA43DD">
        <w:rPr>
          <w:rFonts w:cs="Times New Roman"/>
          <w:szCs w:val="24"/>
          <w:lang w:val="fr-CA"/>
        </w:rPr>
        <w:tab/>
      </w:r>
      <w:r w:rsidRPr="00CA43DD">
        <w:rPr>
          <w:rFonts w:cs="Times New Roman"/>
          <w:i/>
          <w:szCs w:val="24"/>
          <w:lang w:val="fr-CA"/>
        </w:rPr>
        <w:t>La grille d</w:t>
      </w:r>
      <w:r>
        <w:rPr>
          <w:rFonts w:cs="Times New Roman"/>
          <w:i/>
          <w:szCs w:val="24"/>
          <w:lang w:val="fr-CA"/>
        </w:rPr>
        <w:t>’</w:t>
      </w:r>
      <w:r w:rsidRPr="00CA43DD">
        <w:rPr>
          <w:rFonts w:cs="Times New Roman"/>
          <w:i/>
          <w:szCs w:val="24"/>
          <w:lang w:val="fr-CA"/>
        </w:rPr>
        <w:t>analyse de l</w:t>
      </w:r>
      <w:r>
        <w:rPr>
          <w:rFonts w:cs="Times New Roman"/>
          <w:i/>
          <w:szCs w:val="24"/>
          <w:lang w:val="fr-CA"/>
        </w:rPr>
        <w:t>’</w:t>
      </w:r>
      <w:r w:rsidRPr="00CA43DD">
        <w:rPr>
          <w:rFonts w:cs="Times New Roman"/>
          <w:i/>
          <w:szCs w:val="24"/>
          <w:lang w:val="fr-CA"/>
        </w:rPr>
        <w:t xml:space="preserve">arrêt Grant </w:t>
      </w:r>
    </w:p>
    <w:p w:rsidR="00DC2386" w:rsidRPr="00CA43DD" w:rsidRDefault="00DC2386" w:rsidP="00DC2386">
      <w:pPr>
        <w:pStyle w:val="ParaNoNdepar-AltN"/>
        <w:rPr>
          <w:rFonts w:cs="Times New Roman"/>
          <w:szCs w:val="24"/>
          <w:lang w:val="fr-CA"/>
        </w:rPr>
      </w:pPr>
      <w:r w:rsidRPr="00CA43DD">
        <w:rPr>
          <w:rFonts w:cs="Times New Roman"/>
          <w:szCs w:val="24"/>
          <w:lang w:val="fr-CA"/>
        </w:rPr>
        <w:t>Dans l</w:t>
      </w:r>
      <w:r>
        <w:rPr>
          <w:rFonts w:cs="Times New Roman"/>
          <w:szCs w:val="24"/>
          <w:lang w:val="fr-CA"/>
        </w:rPr>
        <w:t>’</w:t>
      </w:r>
      <w:r w:rsidRPr="00CA43DD">
        <w:rPr>
          <w:rFonts w:cs="Times New Roman"/>
          <w:szCs w:val="24"/>
          <w:lang w:val="fr-CA"/>
        </w:rPr>
        <w:t xml:space="preserve">arrêt </w:t>
      </w:r>
      <w:r w:rsidRPr="00CA43DD">
        <w:rPr>
          <w:rFonts w:cs="Times New Roman"/>
          <w:i/>
          <w:szCs w:val="24"/>
          <w:lang w:val="fr-CA"/>
        </w:rPr>
        <w:t>Grant</w:t>
      </w:r>
      <w:r w:rsidRPr="00CA43DD">
        <w:rPr>
          <w:rFonts w:cs="Times New Roman"/>
          <w:szCs w:val="24"/>
          <w:lang w:val="fr-CA"/>
        </w:rPr>
        <w:t>,</w:t>
      </w:r>
      <w:r w:rsidRPr="00CA43DD">
        <w:rPr>
          <w:rFonts w:cs="Times New Roman"/>
          <w:i/>
          <w:szCs w:val="24"/>
          <w:lang w:val="fr-CA"/>
        </w:rPr>
        <w:t xml:space="preserve"> </w:t>
      </w:r>
      <w:r w:rsidRPr="00CA43DD">
        <w:rPr>
          <w:rFonts w:cs="Times New Roman"/>
          <w:szCs w:val="24"/>
          <w:lang w:val="fr-CA"/>
        </w:rPr>
        <w:t>la Cour redéfinit la démarche qui s</w:t>
      </w:r>
      <w:r>
        <w:rPr>
          <w:rFonts w:cs="Times New Roman"/>
          <w:szCs w:val="24"/>
          <w:lang w:val="fr-CA"/>
        </w:rPr>
        <w:t>’</w:t>
      </w:r>
      <w:r w:rsidRPr="00CA43DD">
        <w:rPr>
          <w:rFonts w:cs="Times New Roman"/>
          <w:szCs w:val="24"/>
          <w:lang w:val="fr-CA"/>
        </w:rPr>
        <w:t>impose pour décider d</w:t>
      </w:r>
      <w:r>
        <w:rPr>
          <w:rFonts w:cs="Times New Roman"/>
          <w:szCs w:val="24"/>
          <w:lang w:val="fr-CA"/>
        </w:rPr>
        <w:t>’</w:t>
      </w:r>
      <w:r w:rsidRPr="00CA43DD">
        <w:rPr>
          <w:rFonts w:cs="Times New Roman"/>
          <w:szCs w:val="24"/>
          <w:lang w:val="fr-CA"/>
        </w:rPr>
        <w:t>écarter ou non la preuve en application du par. 24(2).  Elle explique que le par. 24(2) s</w:t>
      </w:r>
      <w:r>
        <w:rPr>
          <w:rFonts w:cs="Times New Roman"/>
          <w:szCs w:val="24"/>
          <w:lang w:val="fr-CA"/>
        </w:rPr>
        <w:t>’</w:t>
      </w:r>
      <w:r w:rsidRPr="00CA43DD">
        <w:rPr>
          <w:rFonts w:cs="Times New Roman"/>
          <w:szCs w:val="24"/>
          <w:lang w:val="fr-CA"/>
        </w:rPr>
        <w:t>intéresse généralement à « l</w:t>
      </w:r>
      <w:r>
        <w:rPr>
          <w:rFonts w:cs="Times New Roman"/>
          <w:szCs w:val="24"/>
          <w:lang w:val="fr-CA"/>
        </w:rPr>
        <w:t>’</w:t>
      </w:r>
      <w:r w:rsidRPr="00CA43DD">
        <w:rPr>
          <w:rFonts w:cs="Times New Roman"/>
          <w:szCs w:val="24"/>
          <w:lang w:val="fr-CA"/>
        </w:rPr>
        <w:t>appréciation de l</w:t>
      </w:r>
      <w:r>
        <w:rPr>
          <w:rFonts w:cs="Times New Roman"/>
          <w:szCs w:val="24"/>
          <w:lang w:val="fr-CA"/>
        </w:rPr>
        <w:t>’</w:t>
      </w:r>
      <w:r w:rsidRPr="00CA43DD">
        <w:rPr>
          <w:rFonts w:cs="Times New Roman"/>
          <w:szCs w:val="24"/>
          <w:lang w:val="fr-CA"/>
        </w:rPr>
        <w:t>effet à long terme de l</w:t>
      </w:r>
      <w:r>
        <w:rPr>
          <w:rFonts w:cs="Times New Roman"/>
          <w:szCs w:val="24"/>
          <w:lang w:val="fr-CA"/>
        </w:rPr>
        <w:t>’</w:t>
      </w:r>
      <w:r w:rsidRPr="00CA43DD">
        <w:rPr>
          <w:rFonts w:cs="Times New Roman"/>
          <w:szCs w:val="24"/>
          <w:lang w:val="fr-CA"/>
        </w:rPr>
        <w:t>utilisation d</w:t>
      </w:r>
      <w:r>
        <w:rPr>
          <w:rFonts w:cs="Times New Roman"/>
          <w:szCs w:val="24"/>
          <w:lang w:val="fr-CA"/>
        </w:rPr>
        <w:t>’</w:t>
      </w:r>
      <w:r w:rsidRPr="00CA43DD">
        <w:rPr>
          <w:rFonts w:cs="Times New Roman"/>
          <w:szCs w:val="24"/>
          <w:lang w:val="fr-CA"/>
        </w:rPr>
        <w:t>éléments de preuve sur la considération globale dont jouit le système de justice » (par. 68).  Comme je le signale précédemment, la Cour retient trois questions pour déterminer si l</w:t>
      </w:r>
      <w:r>
        <w:rPr>
          <w:rFonts w:cs="Times New Roman"/>
          <w:szCs w:val="24"/>
          <w:lang w:val="fr-CA"/>
        </w:rPr>
        <w:t>’</w:t>
      </w:r>
      <w:r w:rsidRPr="00CA43DD">
        <w:rPr>
          <w:rFonts w:cs="Times New Roman"/>
          <w:szCs w:val="24"/>
          <w:lang w:val="fr-CA"/>
        </w:rPr>
        <w:t>utilisation d</w:t>
      </w:r>
      <w:r>
        <w:rPr>
          <w:rFonts w:cs="Times New Roman"/>
          <w:szCs w:val="24"/>
          <w:lang w:val="fr-CA"/>
        </w:rPr>
        <w:t>’</w:t>
      </w:r>
      <w:r w:rsidRPr="00CA43DD">
        <w:rPr>
          <w:rFonts w:cs="Times New Roman"/>
          <w:szCs w:val="24"/>
          <w:lang w:val="fr-CA"/>
        </w:rPr>
        <w:t xml:space="preserve">un élément de preuve obtenu en violation de la </w:t>
      </w:r>
      <w:r w:rsidRPr="00CA43DD">
        <w:rPr>
          <w:rFonts w:cs="Times New Roman"/>
          <w:i/>
          <w:iCs/>
          <w:szCs w:val="24"/>
          <w:lang w:val="fr-CA"/>
        </w:rPr>
        <w:t>Charte</w:t>
      </w:r>
      <w:r w:rsidRPr="00CA43DD">
        <w:rPr>
          <w:rFonts w:cs="Times New Roman"/>
          <w:szCs w:val="24"/>
          <w:lang w:val="fr-CA"/>
        </w:rPr>
        <w:t xml:space="preserve"> est susceptible de déconsidérer l</w:t>
      </w:r>
      <w:r>
        <w:rPr>
          <w:rFonts w:cs="Times New Roman"/>
          <w:szCs w:val="24"/>
          <w:lang w:val="fr-CA"/>
        </w:rPr>
        <w:t>’</w:t>
      </w:r>
      <w:r w:rsidRPr="00CA43DD">
        <w:rPr>
          <w:rFonts w:cs="Times New Roman"/>
          <w:szCs w:val="24"/>
          <w:lang w:val="fr-CA"/>
        </w:rPr>
        <w:t>administration de la justice.  Il incombe au tribunal saisi d</w:t>
      </w:r>
      <w:r>
        <w:rPr>
          <w:rFonts w:cs="Times New Roman"/>
          <w:szCs w:val="24"/>
          <w:lang w:val="fr-CA"/>
        </w:rPr>
        <w:t>’</w:t>
      </w:r>
      <w:r w:rsidRPr="00CA43DD">
        <w:rPr>
          <w:rFonts w:cs="Times New Roman"/>
          <w:szCs w:val="24"/>
          <w:lang w:val="fr-CA"/>
        </w:rPr>
        <w:t>une demande d</w:t>
      </w:r>
      <w:r>
        <w:rPr>
          <w:rFonts w:cs="Times New Roman"/>
          <w:szCs w:val="24"/>
          <w:lang w:val="fr-CA"/>
        </w:rPr>
        <w:t>’</w:t>
      </w:r>
      <w:r w:rsidRPr="00CA43DD">
        <w:rPr>
          <w:rFonts w:cs="Times New Roman"/>
          <w:szCs w:val="24"/>
          <w:lang w:val="fr-CA"/>
        </w:rPr>
        <w:t>exclusion de la preuve fondée sur le par. 24(2) de mettre en balance chacun des facteurs énoncés pour déterminer si, eu égard aux circonstances, l</w:t>
      </w:r>
      <w:r>
        <w:rPr>
          <w:rFonts w:cs="Times New Roman"/>
          <w:szCs w:val="24"/>
          <w:lang w:val="fr-CA"/>
        </w:rPr>
        <w:t>’</w:t>
      </w:r>
      <w:r w:rsidRPr="00CA43DD">
        <w:rPr>
          <w:rFonts w:cs="Times New Roman"/>
          <w:szCs w:val="24"/>
          <w:lang w:val="fr-CA"/>
        </w:rPr>
        <w:t>utilisation de la preuve est susceptible de déconsidérer l</w:t>
      </w:r>
      <w:r>
        <w:rPr>
          <w:rFonts w:cs="Times New Roman"/>
          <w:szCs w:val="24"/>
          <w:lang w:val="fr-CA"/>
        </w:rPr>
        <w:t>’</w:t>
      </w:r>
      <w:r w:rsidRPr="00CA43DD">
        <w:rPr>
          <w:rFonts w:cs="Times New Roman"/>
          <w:szCs w:val="24"/>
          <w:lang w:val="fr-CA"/>
        </w:rPr>
        <w:t>administration de la justice.</w:t>
      </w:r>
    </w:p>
    <w:p w:rsidR="00DC2386" w:rsidRPr="00CA43DD" w:rsidRDefault="00DC2386" w:rsidP="00DC2386">
      <w:pPr>
        <w:pStyle w:val="ParaNoNdepar-AltN"/>
        <w:rPr>
          <w:rFonts w:cs="Times New Roman"/>
          <w:szCs w:val="24"/>
          <w:lang w:val="fr-CA"/>
        </w:rPr>
      </w:pPr>
      <w:r w:rsidRPr="00CA43DD">
        <w:rPr>
          <w:rFonts w:cs="Times New Roman"/>
          <w:szCs w:val="24"/>
          <w:lang w:val="fr-CA"/>
        </w:rPr>
        <w:t>En formulant ce nouveau cadre d</w:t>
      </w:r>
      <w:r>
        <w:rPr>
          <w:rFonts w:cs="Times New Roman"/>
          <w:szCs w:val="24"/>
          <w:lang w:val="fr-CA"/>
        </w:rPr>
        <w:t>’</w:t>
      </w:r>
      <w:r w:rsidRPr="00CA43DD">
        <w:rPr>
          <w:rFonts w:cs="Times New Roman"/>
          <w:szCs w:val="24"/>
          <w:lang w:val="fr-CA"/>
        </w:rPr>
        <w:t xml:space="preserve">analyse, la Cour dit clairement que même si ces questions ne recoupent pas exactement celles énoncées dans la jurisprudence antérieure, elles englobent les facteurs pertinents pour trancher une demande fondée sur le par. 24(2) qui avaient été formulés auparavant.  Dans </w:t>
      </w:r>
      <w:r w:rsidRPr="00CA43DD">
        <w:rPr>
          <w:rFonts w:cs="Times New Roman"/>
          <w:i/>
          <w:szCs w:val="24"/>
          <w:lang w:val="fr-CA"/>
        </w:rPr>
        <w:t>Beaulieu</w:t>
      </w:r>
      <w:r w:rsidRPr="00CA43DD">
        <w:rPr>
          <w:rFonts w:cs="Times New Roman"/>
          <w:iCs/>
          <w:szCs w:val="24"/>
          <w:lang w:val="fr-CA"/>
        </w:rPr>
        <w:t>, s</w:t>
      </w:r>
      <w:r>
        <w:rPr>
          <w:rFonts w:cs="Times New Roman"/>
          <w:iCs/>
          <w:szCs w:val="24"/>
          <w:lang w:val="fr-CA"/>
        </w:rPr>
        <w:t>’</w:t>
      </w:r>
      <w:r w:rsidRPr="00CA43DD">
        <w:rPr>
          <w:rFonts w:cs="Times New Roman"/>
          <w:iCs/>
          <w:szCs w:val="24"/>
          <w:lang w:val="fr-CA"/>
        </w:rPr>
        <w:t xml:space="preserve">exprimant </w:t>
      </w:r>
      <w:r w:rsidRPr="00CA43DD">
        <w:rPr>
          <w:rFonts w:cs="Times New Roman"/>
          <w:szCs w:val="24"/>
          <w:lang w:val="fr-CA"/>
        </w:rPr>
        <w:t xml:space="preserve">au nom de la Cour, </w:t>
      </w:r>
      <w:r w:rsidRPr="00CA43DD">
        <w:rPr>
          <w:rFonts w:cs="Times New Roman"/>
          <w:iCs/>
          <w:szCs w:val="24"/>
          <w:lang w:val="fr-CA"/>
        </w:rPr>
        <w:t>la juge</w:t>
      </w:r>
      <w:r w:rsidRPr="00CA43DD">
        <w:rPr>
          <w:rFonts w:cs="Times New Roman"/>
          <w:i/>
          <w:szCs w:val="24"/>
          <w:lang w:val="fr-CA"/>
        </w:rPr>
        <w:t xml:space="preserve"> </w:t>
      </w:r>
      <w:r w:rsidRPr="00CA43DD">
        <w:rPr>
          <w:rFonts w:cs="Times New Roman"/>
          <w:szCs w:val="24"/>
          <w:lang w:val="fr-CA"/>
        </w:rPr>
        <w:t xml:space="preserve">Charron souligne ce point et fait observer que </w:t>
      </w:r>
      <w:r w:rsidRPr="00CA43DD">
        <w:rPr>
          <w:rFonts w:cs="Times New Roman"/>
          <w:i/>
          <w:szCs w:val="24"/>
          <w:lang w:val="fr-CA"/>
        </w:rPr>
        <w:t xml:space="preserve">Grant </w:t>
      </w:r>
      <w:r w:rsidRPr="00CA43DD">
        <w:rPr>
          <w:rFonts w:cs="Times New Roman"/>
          <w:szCs w:val="24"/>
          <w:lang w:val="fr-CA"/>
        </w:rPr>
        <w:t>n</w:t>
      </w:r>
      <w:r>
        <w:rPr>
          <w:rFonts w:cs="Times New Roman"/>
          <w:szCs w:val="24"/>
          <w:lang w:val="fr-CA"/>
        </w:rPr>
        <w:t>’</w:t>
      </w:r>
      <w:r w:rsidRPr="00CA43DD">
        <w:rPr>
          <w:rFonts w:cs="Times New Roman"/>
          <w:szCs w:val="24"/>
          <w:lang w:val="fr-CA"/>
        </w:rPr>
        <w:t>a pas modifié les facteurs pertinents pour l</w:t>
      </w:r>
      <w:r>
        <w:rPr>
          <w:rFonts w:cs="Times New Roman"/>
          <w:szCs w:val="24"/>
          <w:lang w:val="fr-CA"/>
        </w:rPr>
        <w:t>’</w:t>
      </w:r>
      <w:r w:rsidRPr="00CA43DD">
        <w:rPr>
          <w:rFonts w:cs="Times New Roman"/>
          <w:szCs w:val="24"/>
          <w:lang w:val="fr-CA"/>
        </w:rPr>
        <w:t>analyse fondée sur le par. 24(2).</w:t>
      </w:r>
    </w:p>
    <w:p w:rsidR="00DC2386" w:rsidRPr="00CA43DD" w:rsidRDefault="00DC2386" w:rsidP="00DC2386">
      <w:pPr>
        <w:pStyle w:val="ParaNoNdepar-AltN"/>
        <w:rPr>
          <w:rFonts w:cs="Times New Roman"/>
          <w:szCs w:val="24"/>
          <w:lang w:val="fr-CA"/>
        </w:rPr>
      </w:pPr>
      <w:r w:rsidRPr="00CA43DD">
        <w:rPr>
          <w:rFonts w:cs="Times New Roman"/>
          <w:szCs w:val="24"/>
          <w:lang w:val="fr-CA"/>
        </w:rPr>
        <w:lastRenderedPageBreak/>
        <w:t>La première question est celle de la gravité de la conduite de l</w:t>
      </w:r>
      <w:r>
        <w:rPr>
          <w:rFonts w:cs="Times New Roman"/>
          <w:szCs w:val="24"/>
          <w:lang w:val="fr-CA"/>
        </w:rPr>
        <w:t>’</w:t>
      </w:r>
      <w:r w:rsidRPr="00CA43DD">
        <w:rPr>
          <w:rFonts w:cs="Times New Roman"/>
          <w:szCs w:val="24"/>
          <w:lang w:val="fr-CA"/>
        </w:rPr>
        <w:t xml:space="preserve">État.  Plus </w:t>
      </w:r>
      <w:proofErr w:type="spellStart"/>
      <w:r w:rsidRPr="00CA43DD">
        <w:rPr>
          <w:rFonts w:cs="Times New Roman"/>
          <w:szCs w:val="24"/>
          <w:lang w:val="fr-CA"/>
        </w:rPr>
        <w:t>celle</w:t>
      </w:r>
      <w:r w:rsidRPr="00CA43DD">
        <w:rPr>
          <w:rFonts w:cs="Times New Roman"/>
          <w:szCs w:val="24"/>
          <w:lang w:val="fr-CA"/>
        </w:rPr>
        <w:noBreakHyphen/>
        <w:t>ci</w:t>
      </w:r>
      <w:proofErr w:type="spellEnd"/>
      <w:r w:rsidRPr="00CA43DD">
        <w:rPr>
          <w:rFonts w:cs="Times New Roman"/>
          <w:szCs w:val="24"/>
          <w:lang w:val="fr-CA"/>
        </w:rPr>
        <w:t xml:space="preserve"> est attentatoire, plus le tribunal doit s</w:t>
      </w:r>
      <w:r>
        <w:rPr>
          <w:rFonts w:cs="Times New Roman"/>
          <w:szCs w:val="24"/>
          <w:lang w:val="fr-CA"/>
        </w:rPr>
        <w:t>’</w:t>
      </w:r>
      <w:r w:rsidRPr="00CA43DD">
        <w:rPr>
          <w:rFonts w:cs="Times New Roman"/>
          <w:szCs w:val="24"/>
          <w:lang w:val="fr-CA"/>
        </w:rPr>
        <w:t>en dissocier en écartant la preuve qui y est liée.  La deuxième question touche l</w:t>
      </w:r>
      <w:r>
        <w:rPr>
          <w:rFonts w:cs="Times New Roman"/>
          <w:szCs w:val="24"/>
          <w:lang w:val="fr-CA"/>
        </w:rPr>
        <w:t>’</w:t>
      </w:r>
      <w:r w:rsidRPr="00CA43DD">
        <w:rPr>
          <w:rFonts w:cs="Times New Roman"/>
          <w:szCs w:val="24"/>
          <w:lang w:val="fr-CA"/>
        </w:rPr>
        <w:t>importance de l</w:t>
      </w:r>
      <w:r>
        <w:rPr>
          <w:rFonts w:cs="Times New Roman"/>
          <w:szCs w:val="24"/>
          <w:lang w:val="fr-CA"/>
        </w:rPr>
        <w:t>’</w:t>
      </w:r>
      <w:r w:rsidRPr="00CA43DD">
        <w:rPr>
          <w:rFonts w:cs="Times New Roman"/>
          <w:szCs w:val="24"/>
          <w:lang w:val="fr-CA"/>
        </w:rPr>
        <w:t>incidence de la violation sur les droits constitutionnels</w:t>
      </w:r>
      <w:r w:rsidR="00D33056">
        <w:rPr>
          <w:rFonts w:cs="Times New Roman"/>
          <w:szCs w:val="24"/>
          <w:lang w:val="fr-CA"/>
        </w:rPr>
        <w:t xml:space="preserve"> de</w:t>
      </w:r>
      <w:r w:rsidRPr="00CA43DD">
        <w:rPr>
          <w:rFonts w:cs="Times New Roman"/>
          <w:szCs w:val="24"/>
          <w:lang w:val="fr-CA"/>
        </w:rPr>
        <w:t xml:space="preserve"> l</w:t>
      </w:r>
      <w:r>
        <w:rPr>
          <w:rFonts w:cs="Times New Roman"/>
          <w:szCs w:val="24"/>
          <w:lang w:val="fr-CA"/>
        </w:rPr>
        <w:t>’</w:t>
      </w:r>
      <w:r w:rsidRPr="00CA43DD">
        <w:rPr>
          <w:rFonts w:cs="Times New Roman"/>
          <w:szCs w:val="24"/>
          <w:lang w:val="fr-CA"/>
        </w:rPr>
        <w:t>accusé.  L</w:t>
      </w:r>
      <w:r>
        <w:rPr>
          <w:rFonts w:cs="Times New Roman"/>
          <w:szCs w:val="24"/>
          <w:lang w:val="fr-CA"/>
        </w:rPr>
        <w:t>’</w:t>
      </w:r>
      <w:r w:rsidRPr="00CA43DD">
        <w:rPr>
          <w:rFonts w:cs="Times New Roman"/>
          <w:szCs w:val="24"/>
          <w:lang w:val="fr-CA"/>
        </w:rPr>
        <w:t>incidence peut être minime et formelle comme elle peut être profondément attentatoire.  Plus cette incidence est marquée, plus l</w:t>
      </w:r>
      <w:r>
        <w:rPr>
          <w:rFonts w:cs="Times New Roman"/>
          <w:szCs w:val="24"/>
          <w:lang w:val="fr-CA"/>
        </w:rPr>
        <w:t>’</w:t>
      </w:r>
      <w:r w:rsidRPr="00CA43DD">
        <w:rPr>
          <w:rFonts w:cs="Times New Roman"/>
          <w:szCs w:val="24"/>
          <w:lang w:val="fr-CA"/>
        </w:rPr>
        <w:t>utilisation de la preuve est susceptible de déconsidérer l</w:t>
      </w:r>
      <w:r>
        <w:rPr>
          <w:rFonts w:cs="Times New Roman"/>
          <w:szCs w:val="24"/>
          <w:lang w:val="fr-CA"/>
        </w:rPr>
        <w:t>’</w:t>
      </w:r>
      <w:r w:rsidRPr="00CA43DD">
        <w:rPr>
          <w:rFonts w:cs="Times New Roman"/>
          <w:szCs w:val="24"/>
          <w:lang w:val="fr-CA"/>
        </w:rPr>
        <w:t>administration de la justice.  La troisième question a trait à l</w:t>
      </w:r>
      <w:r>
        <w:rPr>
          <w:rFonts w:cs="Times New Roman"/>
          <w:szCs w:val="24"/>
          <w:lang w:val="fr-CA"/>
        </w:rPr>
        <w:t>’</w:t>
      </w:r>
      <w:r w:rsidRPr="00CA43DD">
        <w:rPr>
          <w:rFonts w:cs="Times New Roman"/>
          <w:szCs w:val="24"/>
          <w:lang w:val="fr-CA"/>
        </w:rPr>
        <w:t>intérêt de la société à ce que l</w:t>
      </w:r>
      <w:r>
        <w:rPr>
          <w:rFonts w:cs="Times New Roman"/>
          <w:szCs w:val="24"/>
          <w:lang w:val="fr-CA"/>
        </w:rPr>
        <w:t>’</w:t>
      </w:r>
      <w:r w:rsidRPr="00CA43DD">
        <w:rPr>
          <w:rFonts w:cs="Times New Roman"/>
          <w:szCs w:val="24"/>
          <w:lang w:val="fr-CA"/>
        </w:rPr>
        <w:t>affaire soit jugée au fond. Il s</w:t>
      </w:r>
      <w:r>
        <w:rPr>
          <w:rFonts w:cs="Times New Roman"/>
          <w:szCs w:val="24"/>
          <w:lang w:val="fr-CA"/>
        </w:rPr>
        <w:t>’</w:t>
      </w:r>
      <w:r w:rsidRPr="00CA43DD">
        <w:rPr>
          <w:rFonts w:cs="Times New Roman"/>
          <w:szCs w:val="24"/>
          <w:lang w:val="fr-CA"/>
        </w:rPr>
        <w:t>agit de savoir si la fonction de la procédure criminelle qui consiste à rechercher la vérité est mieux servie par l</w:t>
      </w:r>
      <w:r>
        <w:rPr>
          <w:rFonts w:cs="Times New Roman"/>
          <w:szCs w:val="24"/>
          <w:lang w:val="fr-CA"/>
        </w:rPr>
        <w:t>’</w:t>
      </w:r>
      <w:r w:rsidRPr="00CA43DD">
        <w:rPr>
          <w:rFonts w:cs="Times New Roman"/>
          <w:szCs w:val="24"/>
          <w:lang w:val="fr-CA"/>
        </w:rPr>
        <w:t>utilisation d</w:t>
      </w:r>
      <w:r>
        <w:rPr>
          <w:rFonts w:cs="Times New Roman"/>
          <w:szCs w:val="24"/>
          <w:lang w:val="fr-CA"/>
        </w:rPr>
        <w:t>’</w:t>
      </w:r>
      <w:r w:rsidRPr="00CA43DD">
        <w:rPr>
          <w:rFonts w:cs="Times New Roman"/>
          <w:szCs w:val="24"/>
          <w:lang w:val="fr-CA"/>
        </w:rPr>
        <w:t>éléments de preuve ou par leur exclusion.  La fiabilité de la preuve et son importance pour la poursuite sont les considérations clés.  L</w:t>
      </w:r>
      <w:r>
        <w:rPr>
          <w:rFonts w:cs="Times New Roman"/>
          <w:szCs w:val="24"/>
          <w:lang w:val="fr-CA"/>
        </w:rPr>
        <w:t>’</w:t>
      </w:r>
      <w:r w:rsidRPr="00CA43DD">
        <w:rPr>
          <w:rFonts w:cs="Times New Roman"/>
          <w:szCs w:val="24"/>
          <w:lang w:val="fr-CA"/>
        </w:rPr>
        <w:t>utilisation d</w:t>
      </w:r>
      <w:r>
        <w:rPr>
          <w:rFonts w:cs="Times New Roman"/>
          <w:szCs w:val="24"/>
          <w:lang w:val="fr-CA"/>
        </w:rPr>
        <w:t>’</w:t>
      </w:r>
      <w:r w:rsidRPr="00CA43DD">
        <w:rPr>
          <w:rFonts w:cs="Times New Roman"/>
          <w:szCs w:val="24"/>
          <w:lang w:val="fr-CA"/>
        </w:rPr>
        <w:t>éléments de preuve non fiables ne sert ni l</w:t>
      </w:r>
      <w:r>
        <w:rPr>
          <w:rFonts w:cs="Times New Roman"/>
          <w:szCs w:val="24"/>
          <w:lang w:val="fr-CA"/>
        </w:rPr>
        <w:t>’</w:t>
      </w:r>
      <w:r w:rsidRPr="00CA43DD">
        <w:rPr>
          <w:rFonts w:cs="Times New Roman"/>
          <w:szCs w:val="24"/>
          <w:lang w:val="fr-CA"/>
        </w:rPr>
        <w:t>intérêt de l</w:t>
      </w:r>
      <w:r>
        <w:rPr>
          <w:rFonts w:cs="Times New Roman"/>
          <w:szCs w:val="24"/>
          <w:lang w:val="fr-CA"/>
        </w:rPr>
        <w:t>’</w:t>
      </w:r>
      <w:r w:rsidRPr="00CA43DD">
        <w:rPr>
          <w:rFonts w:cs="Times New Roman"/>
          <w:szCs w:val="24"/>
          <w:lang w:val="fr-CA"/>
        </w:rPr>
        <w:t>accusé à ce qu</w:t>
      </w:r>
      <w:r>
        <w:rPr>
          <w:rFonts w:cs="Times New Roman"/>
          <w:szCs w:val="24"/>
          <w:lang w:val="fr-CA"/>
        </w:rPr>
        <w:t>’</w:t>
      </w:r>
      <w:r w:rsidRPr="00CA43DD">
        <w:rPr>
          <w:rFonts w:cs="Times New Roman"/>
          <w:szCs w:val="24"/>
          <w:lang w:val="fr-CA"/>
        </w:rPr>
        <w:t>un procès équitable soit tenu ni l</w:t>
      </w:r>
      <w:r>
        <w:rPr>
          <w:rFonts w:cs="Times New Roman"/>
          <w:szCs w:val="24"/>
          <w:lang w:val="fr-CA"/>
        </w:rPr>
        <w:t>’</w:t>
      </w:r>
      <w:r w:rsidRPr="00CA43DD">
        <w:rPr>
          <w:rFonts w:cs="Times New Roman"/>
          <w:szCs w:val="24"/>
          <w:lang w:val="fr-CA"/>
        </w:rPr>
        <w:t>intérêt du public à ce que la vérité soit découverte.  À l</w:t>
      </w:r>
      <w:r>
        <w:rPr>
          <w:rFonts w:cs="Times New Roman"/>
          <w:szCs w:val="24"/>
          <w:lang w:val="fr-CA"/>
        </w:rPr>
        <w:t>’</w:t>
      </w:r>
      <w:r w:rsidRPr="00CA43DD">
        <w:rPr>
          <w:rFonts w:cs="Times New Roman"/>
          <w:szCs w:val="24"/>
          <w:lang w:val="fr-CA"/>
        </w:rPr>
        <w:t>inverse, écarter des éléments de preuve fiables risque de compromettre la fonction de recherche de la vérité du système de justice et de rendre le procès inéquitable aux yeux du public.  L</w:t>
      </w:r>
      <w:r>
        <w:rPr>
          <w:rFonts w:cs="Times New Roman"/>
          <w:szCs w:val="24"/>
          <w:lang w:val="fr-CA"/>
        </w:rPr>
        <w:t>’</w:t>
      </w:r>
      <w:r w:rsidRPr="00CA43DD">
        <w:rPr>
          <w:rFonts w:cs="Times New Roman"/>
          <w:szCs w:val="24"/>
          <w:lang w:val="fr-CA"/>
        </w:rPr>
        <w:t>importance des éléments de preuve pour la poursuite constitue un corollaire à l</w:t>
      </w:r>
      <w:r>
        <w:rPr>
          <w:rFonts w:cs="Times New Roman"/>
          <w:szCs w:val="24"/>
          <w:lang w:val="fr-CA"/>
        </w:rPr>
        <w:t>’</w:t>
      </w:r>
      <w:r w:rsidRPr="00CA43DD">
        <w:rPr>
          <w:rFonts w:cs="Times New Roman"/>
          <w:szCs w:val="24"/>
          <w:lang w:val="fr-CA"/>
        </w:rPr>
        <w:t>examen de la fiabilité.  L</w:t>
      </w:r>
      <w:r>
        <w:rPr>
          <w:rFonts w:cs="Times New Roman"/>
          <w:szCs w:val="24"/>
          <w:lang w:val="fr-CA"/>
        </w:rPr>
        <w:t>’</w:t>
      </w:r>
      <w:r w:rsidRPr="00CA43DD">
        <w:rPr>
          <w:rFonts w:cs="Times New Roman"/>
          <w:szCs w:val="24"/>
          <w:lang w:val="fr-CA"/>
        </w:rPr>
        <w:t>utilisation d</w:t>
      </w:r>
      <w:r>
        <w:rPr>
          <w:rFonts w:cs="Times New Roman"/>
          <w:szCs w:val="24"/>
          <w:lang w:val="fr-CA"/>
        </w:rPr>
        <w:t>’</w:t>
      </w:r>
      <w:r w:rsidRPr="00CA43DD">
        <w:rPr>
          <w:rFonts w:cs="Times New Roman"/>
          <w:szCs w:val="24"/>
          <w:lang w:val="fr-CA"/>
        </w:rPr>
        <w:t>éléments de preuve d</w:t>
      </w:r>
      <w:r>
        <w:rPr>
          <w:rFonts w:cs="Times New Roman"/>
          <w:szCs w:val="24"/>
          <w:lang w:val="fr-CA"/>
        </w:rPr>
        <w:t>’</w:t>
      </w:r>
      <w:r w:rsidRPr="00CA43DD">
        <w:rPr>
          <w:rFonts w:cs="Times New Roman"/>
          <w:szCs w:val="24"/>
          <w:lang w:val="fr-CA"/>
        </w:rPr>
        <w:t>une fiabilité douteuse est davantage susceptible de déconsidérer l</w:t>
      </w:r>
      <w:r>
        <w:rPr>
          <w:rFonts w:cs="Times New Roman"/>
          <w:szCs w:val="24"/>
          <w:lang w:val="fr-CA"/>
        </w:rPr>
        <w:t>’</w:t>
      </w:r>
      <w:r w:rsidRPr="00CA43DD">
        <w:rPr>
          <w:rFonts w:cs="Times New Roman"/>
          <w:szCs w:val="24"/>
          <w:lang w:val="fr-CA"/>
        </w:rPr>
        <w:t xml:space="preserve">administration de la justice lorsque ces éléments représentent la totalité </w:t>
      </w:r>
      <w:r w:rsidR="00D33056">
        <w:rPr>
          <w:rFonts w:cs="Times New Roman"/>
          <w:szCs w:val="24"/>
          <w:lang w:val="fr-CA"/>
        </w:rPr>
        <w:t xml:space="preserve">de </w:t>
      </w:r>
      <w:r w:rsidRPr="00CA43DD">
        <w:rPr>
          <w:rFonts w:cs="Times New Roman"/>
          <w:szCs w:val="24"/>
          <w:lang w:val="fr-CA"/>
        </w:rPr>
        <w:t>la preuve dont dispose la poursuite, mais l</w:t>
      </w:r>
      <w:r>
        <w:rPr>
          <w:rFonts w:cs="Times New Roman"/>
          <w:szCs w:val="24"/>
          <w:lang w:val="fr-CA"/>
        </w:rPr>
        <w:t>’</w:t>
      </w:r>
      <w:r w:rsidRPr="00CA43DD">
        <w:rPr>
          <w:rFonts w:cs="Times New Roman"/>
          <w:szCs w:val="24"/>
          <w:lang w:val="fr-CA"/>
        </w:rPr>
        <w:t>exclusion d</w:t>
      </w:r>
      <w:r>
        <w:rPr>
          <w:rFonts w:cs="Times New Roman"/>
          <w:szCs w:val="24"/>
          <w:lang w:val="fr-CA"/>
        </w:rPr>
        <w:t>’</w:t>
      </w:r>
      <w:r w:rsidRPr="00CA43DD">
        <w:rPr>
          <w:rFonts w:cs="Times New Roman"/>
          <w:szCs w:val="24"/>
          <w:lang w:val="fr-CA"/>
        </w:rPr>
        <w:t>éléments de preuve d</w:t>
      </w:r>
      <w:r>
        <w:rPr>
          <w:rFonts w:cs="Times New Roman"/>
          <w:szCs w:val="24"/>
          <w:lang w:val="fr-CA"/>
        </w:rPr>
        <w:t>’</w:t>
      </w:r>
      <w:r w:rsidRPr="00CA43DD">
        <w:rPr>
          <w:rFonts w:cs="Times New Roman"/>
          <w:szCs w:val="24"/>
          <w:lang w:val="fr-CA"/>
        </w:rPr>
        <w:t>une grande fiabilité peut être plus dommageable pour la fonction de recherche de la vérité qui est inhérente à la procédure criminelle lorsqu</w:t>
      </w:r>
      <w:r>
        <w:rPr>
          <w:rFonts w:cs="Times New Roman"/>
          <w:szCs w:val="24"/>
          <w:lang w:val="fr-CA"/>
        </w:rPr>
        <w:t>’</w:t>
      </w:r>
      <w:r w:rsidRPr="00CA43DD">
        <w:rPr>
          <w:rFonts w:cs="Times New Roman"/>
          <w:szCs w:val="24"/>
          <w:lang w:val="fr-CA"/>
        </w:rPr>
        <w:t xml:space="preserve">elle se révèle fatale à la poursuite.  </w:t>
      </w:r>
    </w:p>
    <w:p w:rsidR="00DC2386" w:rsidRPr="00CA43DD" w:rsidRDefault="00DC2386" w:rsidP="00DC2386">
      <w:pPr>
        <w:pStyle w:val="ParaNoNdepar-AltN"/>
        <w:rPr>
          <w:rFonts w:cs="Times New Roman"/>
          <w:szCs w:val="24"/>
          <w:lang w:val="fr-CA"/>
        </w:rPr>
      </w:pPr>
      <w:r w:rsidRPr="00CA43DD">
        <w:rPr>
          <w:rFonts w:cs="Times New Roman"/>
          <w:szCs w:val="24"/>
          <w:lang w:val="fr-CA"/>
        </w:rPr>
        <w:lastRenderedPageBreak/>
        <w:t>Après avoir examiné ces questions, le tribunal doit mettre en balance l</w:t>
      </w:r>
      <w:r>
        <w:rPr>
          <w:rFonts w:cs="Times New Roman"/>
          <w:szCs w:val="24"/>
          <w:lang w:val="fr-CA"/>
        </w:rPr>
        <w:t>’</w:t>
      </w:r>
      <w:r w:rsidRPr="00CA43DD">
        <w:rPr>
          <w:rFonts w:cs="Times New Roman"/>
          <w:szCs w:val="24"/>
          <w:lang w:val="fr-CA"/>
        </w:rPr>
        <w:t>appréciation de chacune d</w:t>
      </w:r>
      <w:r>
        <w:rPr>
          <w:rFonts w:cs="Times New Roman"/>
          <w:szCs w:val="24"/>
          <w:lang w:val="fr-CA"/>
        </w:rPr>
        <w:t>’</w:t>
      </w:r>
      <w:r w:rsidRPr="00CA43DD">
        <w:rPr>
          <w:rFonts w:cs="Times New Roman"/>
          <w:szCs w:val="24"/>
          <w:lang w:val="fr-CA"/>
        </w:rPr>
        <w:t>elles pour statuer sur la demande fondée sur le par. 24(2), et aucune « règle prépondérante » ne régit cette opération (</w:t>
      </w:r>
      <w:r w:rsidRPr="00CA43DD">
        <w:rPr>
          <w:rFonts w:cs="Times New Roman"/>
          <w:i/>
          <w:szCs w:val="24"/>
          <w:lang w:val="fr-CA"/>
        </w:rPr>
        <w:t>Grant</w:t>
      </w:r>
      <w:r w:rsidRPr="00CA43DD">
        <w:rPr>
          <w:rFonts w:cs="Times New Roman"/>
          <w:szCs w:val="24"/>
          <w:lang w:val="fr-CA"/>
        </w:rPr>
        <w:t>, par. 86).  Au contraire, « [l]a preuve à l</w:t>
      </w:r>
      <w:r>
        <w:rPr>
          <w:rFonts w:cs="Times New Roman"/>
          <w:szCs w:val="24"/>
          <w:lang w:val="fr-CA"/>
        </w:rPr>
        <w:t>’</w:t>
      </w:r>
      <w:r w:rsidRPr="00CA43DD">
        <w:rPr>
          <w:rFonts w:cs="Times New Roman"/>
          <w:szCs w:val="24"/>
          <w:lang w:val="fr-CA"/>
        </w:rPr>
        <w:t>égard de chacune de ces questions doit être soupesée afin de déterminer si, eu égard aux circonstances, l</w:t>
      </w:r>
      <w:r>
        <w:rPr>
          <w:rFonts w:cs="Times New Roman"/>
          <w:szCs w:val="24"/>
          <w:lang w:val="fr-CA"/>
        </w:rPr>
        <w:t>’</w:t>
      </w:r>
      <w:r w:rsidRPr="00CA43DD">
        <w:rPr>
          <w:rFonts w:cs="Times New Roman"/>
          <w:szCs w:val="24"/>
          <w:lang w:val="fr-CA"/>
        </w:rPr>
        <w:t>utilisation des éléments de preuve serait susceptible de déconsidérer l</w:t>
      </w:r>
      <w:r>
        <w:rPr>
          <w:rFonts w:cs="Times New Roman"/>
          <w:szCs w:val="24"/>
          <w:lang w:val="fr-CA"/>
        </w:rPr>
        <w:t>’</w:t>
      </w:r>
      <w:r w:rsidRPr="00CA43DD">
        <w:rPr>
          <w:rFonts w:cs="Times New Roman"/>
          <w:szCs w:val="24"/>
          <w:lang w:val="fr-CA"/>
        </w:rPr>
        <w:t>administration de la justice » (</w:t>
      </w:r>
      <w:r w:rsidRPr="00CA43DD">
        <w:rPr>
          <w:rFonts w:cs="Times New Roman"/>
          <w:i/>
          <w:szCs w:val="24"/>
          <w:lang w:val="fr-CA"/>
        </w:rPr>
        <w:t>Harrison</w:t>
      </w:r>
      <w:r w:rsidRPr="00CA43DD">
        <w:rPr>
          <w:rFonts w:cs="Times New Roman"/>
          <w:iCs/>
          <w:szCs w:val="24"/>
          <w:lang w:val="fr-CA"/>
        </w:rPr>
        <w:t>,</w:t>
      </w:r>
      <w:r w:rsidRPr="00CA43DD">
        <w:rPr>
          <w:rFonts w:cs="Times New Roman"/>
          <w:i/>
          <w:szCs w:val="24"/>
          <w:lang w:val="fr-CA"/>
        </w:rPr>
        <w:t xml:space="preserve"> </w:t>
      </w:r>
      <w:r w:rsidRPr="00CA43DD">
        <w:rPr>
          <w:rFonts w:cs="Times New Roman"/>
          <w:szCs w:val="24"/>
          <w:lang w:val="fr-CA"/>
        </w:rPr>
        <w:t>par. 36).  Nulle considération ne doit l</w:t>
      </w:r>
      <w:r>
        <w:rPr>
          <w:rFonts w:cs="Times New Roman"/>
          <w:szCs w:val="24"/>
          <w:lang w:val="fr-CA"/>
        </w:rPr>
        <w:t>’</w:t>
      </w:r>
      <w:r w:rsidRPr="00CA43DD">
        <w:rPr>
          <w:rFonts w:cs="Times New Roman"/>
          <w:szCs w:val="24"/>
          <w:lang w:val="fr-CA"/>
        </w:rPr>
        <w:t>emporter systématiquement sur une autre.  Par exemple, comme l</w:t>
      </w:r>
      <w:r>
        <w:rPr>
          <w:rFonts w:cs="Times New Roman"/>
          <w:szCs w:val="24"/>
          <w:lang w:val="fr-CA"/>
        </w:rPr>
        <w:t>’</w:t>
      </w:r>
      <w:r w:rsidRPr="00CA43DD">
        <w:rPr>
          <w:rFonts w:cs="Times New Roman"/>
          <w:szCs w:val="24"/>
          <w:lang w:val="fr-CA"/>
        </w:rPr>
        <w:t xml:space="preserve">explique la Cour dans </w:t>
      </w:r>
      <w:r w:rsidRPr="00CA43DD">
        <w:rPr>
          <w:rFonts w:cs="Times New Roman"/>
          <w:i/>
          <w:szCs w:val="24"/>
          <w:lang w:val="fr-CA"/>
        </w:rPr>
        <w:t>Harrison</w:t>
      </w:r>
      <w:r w:rsidRPr="00CA43DD">
        <w:rPr>
          <w:rFonts w:cs="Times New Roman"/>
          <w:szCs w:val="24"/>
          <w:lang w:val="fr-CA"/>
        </w:rPr>
        <w:t>,</w:t>
      </w:r>
      <w:r w:rsidRPr="00CA43DD">
        <w:rPr>
          <w:rFonts w:cs="Times New Roman"/>
          <w:i/>
          <w:szCs w:val="24"/>
          <w:lang w:val="fr-CA"/>
        </w:rPr>
        <w:t xml:space="preserve"> </w:t>
      </w:r>
      <w:r w:rsidRPr="00CA43DD">
        <w:rPr>
          <w:rFonts w:cs="Times New Roman"/>
          <w:szCs w:val="24"/>
          <w:lang w:val="fr-CA"/>
        </w:rPr>
        <w:t>la gravité de l</w:t>
      </w:r>
      <w:r>
        <w:rPr>
          <w:rFonts w:cs="Times New Roman"/>
          <w:szCs w:val="24"/>
          <w:lang w:val="fr-CA"/>
        </w:rPr>
        <w:t>’</w:t>
      </w:r>
      <w:r w:rsidRPr="00CA43DD">
        <w:rPr>
          <w:rFonts w:cs="Times New Roman"/>
          <w:szCs w:val="24"/>
          <w:lang w:val="fr-CA"/>
        </w:rPr>
        <w:t>infraction et la fiabilité de la preuve ne doivent pas pouvoir « supplanter » l</w:t>
      </w:r>
      <w:r>
        <w:rPr>
          <w:rFonts w:cs="Times New Roman"/>
          <w:szCs w:val="24"/>
          <w:lang w:val="fr-CA"/>
        </w:rPr>
        <w:t>’</w:t>
      </w:r>
      <w:r w:rsidRPr="00CA43DD">
        <w:rPr>
          <w:rFonts w:cs="Times New Roman"/>
          <w:szCs w:val="24"/>
          <w:lang w:val="fr-CA"/>
        </w:rPr>
        <w:t xml:space="preserve">analyse fondée sur le par. 24(2), car une telle supplantation « priverait les personnes accusées de crimes graves de la protection des libertés individuelles garanties par la </w:t>
      </w:r>
      <w:r w:rsidRPr="00CA43DD">
        <w:rPr>
          <w:rFonts w:cs="Times New Roman"/>
          <w:i/>
          <w:iCs/>
          <w:szCs w:val="24"/>
          <w:lang w:val="fr-CA"/>
        </w:rPr>
        <w:t>Charte</w:t>
      </w:r>
      <w:r w:rsidRPr="00CA43DD">
        <w:rPr>
          <w:rFonts w:cs="Times New Roman"/>
          <w:szCs w:val="24"/>
          <w:lang w:val="fr-CA"/>
        </w:rPr>
        <w:t xml:space="preserve"> à tous les Canadiens et, en fait, attesterait que dans l</w:t>
      </w:r>
      <w:r>
        <w:rPr>
          <w:rFonts w:cs="Times New Roman"/>
          <w:szCs w:val="24"/>
          <w:lang w:val="fr-CA"/>
        </w:rPr>
        <w:t>’</w:t>
      </w:r>
      <w:r w:rsidRPr="00CA43DD">
        <w:rPr>
          <w:rFonts w:cs="Times New Roman"/>
          <w:szCs w:val="24"/>
          <w:lang w:val="fr-CA"/>
        </w:rPr>
        <w:t>administration du droit pénal, “la fin justifie les moyens” » (par. 40, citant 200</w:t>
      </w:r>
      <w:r w:rsidR="00D33056">
        <w:rPr>
          <w:rFonts w:cs="Times New Roman"/>
          <w:szCs w:val="24"/>
          <w:lang w:val="fr-CA"/>
        </w:rPr>
        <w:t xml:space="preserve">8 ONCA 85, 89 O.R. (3d) 161, </w:t>
      </w:r>
      <w:r w:rsidRPr="00CA43DD">
        <w:rPr>
          <w:rFonts w:cs="Times New Roman"/>
          <w:szCs w:val="24"/>
          <w:lang w:val="fr-CA"/>
        </w:rPr>
        <w:t xml:space="preserve">par. 150, la juge </w:t>
      </w:r>
      <w:proofErr w:type="spellStart"/>
      <w:r w:rsidRPr="00CA43DD">
        <w:rPr>
          <w:rFonts w:cs="Times New Roman"/>
          <w:szCs w:val="24"/>
          <w:lang w:val="fr-CA"/>
        </w:rPr>
        <w:t>Cronk</w:t>
      </w:r>
      <w:proofErr w:type="spellEnd"/>
      <w:r w:rsidRPr="00CA43DD">
        <w:rPr>
          <w:rFonts w:cs="Times New Roman"/>
          <w:szCs w:val="24"/>
          <w:lang w:val="fr-CA"/>
        </w:rPr>
        <w:t>, dissidente).  Dans tous les cas, le tribunal doit se soucier de la considération dont jouira à long terme l</w:t>
      </w:r>
      <w:r>
        <w:rPr>
          <w:rFonts w:cs="Times New Roman"/>
          <w:szCs w:val="24"/>
          <w:lang w:val="fr-CA"/>
        </w:rPr>
        <w:t>’</w:t>
      </w:r>
      <w:r w:rsidRPr="00CA43DD">
        <w:rPr>
          <w:rFonts w:cs="Times New Roman"/>
          <w:szCs w:val="24"/>
          <w:lang w:val="fr-CA"/>
        </w:rPr>
        <w:t>administration de la justice.</w:t>
      </w:r>
    </w:p>
    <w:p w:rsidR="00DC2386" w:rsidRPr="00CA43DD" w:rsidRDefault="00DC2386" w:rsidP="006E7471">
      <w:pPr>
        <w:pStyle w:val="TitleTitre-AltT"/>
        <w:keepNext/>
        <w:tabs>
          <w:tab w:val="clear" w:pos="360"/>
          <w:tab w:val="left" w:pos="720"/>
        </w:tabs>
        <w:spacing w:after="720"/>
        <w:ind w:left="720" w:hanging="720"/>
        <w:rPr>
          <w:rFonts w:cs="Times New Roman"/>
          <w:szCs w:val="24"/>
          <w:lang w:val="fr-CA"/>
        </w:rPr>
      </w:pPr>
      <w:r w:rsidRPr="00CA43DD">
        <w:rPr>
          <w:rFonts w:cs="Times New Roman"/>
          <w:szCs w:val="24"/>
          <w:lang w:val="fr-CA"/>
        </w:rPr>
        <w:t>C.</w:t>
      </w:r>
      <w:r w:rsidRPr="00CA43DD">
        <w:rPr>
          <w:rFonts w:cs="Times New Roman"/>
          <w:szCs w:val="24"/>
          <w:lang w:val="fr-CA"/>
        </w:rPr>
        <w:tab/>
      </w:r>
      <w:r w:rsidRPr="00CA43DD">
        <w:rPr>
          <w:rFonts w:cs="Times New Roman"/>
          <w:i/>
          <w:szCs w:val="24"/>
          <w:lang w:val="fr-CA"/>
        </w:rPr>
        <w:t>Première question en litige</w:t>
      </w:r>
      <w:r w:rsidRPr="00CA43DD">
        <w:rPr>
          <w:rFonts w:cs="Times New Roman"/>
          <w:szCs w:val="24"/>
          <w:lang w:val="fr-CA"/>
        </w:rPr>
        <w:t xml:space="preserve"> </w:t>
      </w:r>
    </w:p>
    <w:p w:rsidR="00DC2386" w:rsidRPr="00E95E71" w:rsidRDefault="00DC2386" w:rsidP="00DC2386">
      <w:pPr>
        <w:pStyle w:val="ParaNoNdepar-AltN"/>
        <w:rPr>
          <w:szCs w:val="24"/>
          <w:lang w:val="fr-CA"/>
        </w:rPr>
      </w:pPr>
      <w:r w:rsidRPr="00E95E71">
        <w:rPr>
          <w:rFonts w:cs="Times New Roman"/>
          <w:szCs w:val="24"/>
          <w:lang w:val="fr-CA"/>
        </w:rPr>
        <w:t xml:space="preserve">Je passe maintenant à la première des deux questions en litige dans le présent </w:t>
      </w:r>
      <w:r w:rsidR="00052F4B">
        <w:rPr>
          <w:rFonts w:cs="Times New Roman"/>
          <w:szCs w:val="24"/>
          <w:lang w:val="fr-CA"/>
        </w:rPr>
        <w:t>pourvoi :</w:t>
      </w:r>
      <w:r w:rsidR="00E95E71">
        <w:rPr>
          <w:rFonts w:cs="Times New Roman"/>
          <w:szCs w:val="24"/>
          <w:lang w:val="fr-CA"/>
        </w:rPr>
        <w:t xml:space="preserve"> </w:t>
      </w:r>
      <w:r w:rsidRPr="00E95E71">
        <w:rPr>
          <w:szCs w:val="24"/>
          <w:lang w:val="fr-CA"/>
        </w:rPr>
        <w:t xml:space="preserve">La Cour d’appel </w:t>
      </w:r>
      <w:proofErr w:type="spellStart"/>
      <w:r w:rsidRPr="00E95E71">
        <w:rPr>
          <w:szCs w:val="24"/>
          <w:lang w:val="fr-CA"/>
        </w:rPr>
        <w:t>a</w:t>
      </w:r>
      <w:r w:rsidRPr="00E95E71">
        <w:rPr>
          <w:szCs w:val="24"/>
          <w:lang w:val="fr-CA"/>
        </w:rPr>
        <w:noBreakHyphen/>
        <w:t>t</w:t>
      </w:r>
      <w:r w:rsidRPr="00E95E71">
        <w:rPr>
          <w:szCs w:val="24"/>
          <w:lang w:val="fr-CA"/>
        </w:rPr>
        <w:noBreakHyphen/>
        <w:t>elle</w:t>
      </w:r>
      <w:proofErr w:type="spellEnd"/>
      <w:r w:rsidRPr="00E95E71">
        <w:rPr>
          <w:szCs w:val="24"/>
          <w:lang w:val="fr-CA"/>
        </w:rPr>
        <w:t xml:space="preserve"> eu tort d’intervenir au motif que les policiers n’avaient pas délibérément agi de manière abusive et que le crime était grave?</w:t>
      </w:r>
    </w:p>
    <w:p w:rsidR="00DC2386" w:rsidRPr="00CA43DD" w:rsidRDefault="00DC2386" w:rsidP="00DC2386">
      <w:pPr>
        <w:pStyle w:val="ParaNoNdepar-AltN"/>
        <w:rPr>
          <w:rFonts w:cs="Times New Roman"/>
          <w:szCs w:val="24"/>
          <w:lang w:val="fr-CA"/>
        </w:rPr>
      </w:pPr>
      <w:r w:rsidRPr="00CA43DD">
        <w:rPr>
          <w:rFonts w:cs="Times New Roman"/>
          <w:szCs w:val="24"/>
          <w:lang w:val="fr-CA"/>
        </w:rPr>
        <w:lastRenderedPageBreak/>
        <w:t>Comme je l</w:t>
      </w:r>
      <w:r>
        <w:rPr>
          <w:rFonts w:cs="Times New Roman"/>
          <w:szCs w:val="24"/>
          <w:lang w:val="fr-CA"/>
        </w:rPr>
        <w:t>’</w:t>
      </w:r>
      <w:r w:rsidRPr="00CA43DD">
        <w:rPr>
          <w:rFonts w:cs="Times New Roman"/>
          <w:szCs w:val="24"/>
          <w:lang w:val="fr-CA"/>
        </w:rPr>
        <w:t>explique précédemment, la Cour d</w:t>
      </w:r>
      <w:r>
        <w:rPr>
          <w:rFonts w:cs="Times New Roman"/>
          <w:szCs w:val="24"/>
          <w:lang w:val="fr-CA"/>
        </w:rPr>
        <w:t>’</w:t>
      </w:r>
      <w:r w:rsidRPr="00CA43DD">
        <w:rPr>
          <w:rFonts w:cs="Times New Roman"/>
          <w:szCs w:val="24"/>
          <w:lang w:val="fr-CA"/>
        </w:rPr>
        <w:t>appel conclut que le juge du procès a eu tort d</w:t>
      </w:r>
      <w:r>
        <w:rPr>
          <w:rFonts w:cs="Times New Roman"/>
          <w:szCs w:val="24"/>
          <w:lang w:val="fr-CA"/>
        </w:rPr>
        <w:t>’</w:t>
      </w:r>
      <w:r w:rsidRPr="00CA43DD">
        <w:rPr>
          <w:rFonts w:cs="Times New Roman"/>
          <w:szCs w:val="24"/>
          <w:lang w:val="fr-CA"/>
        </w:rPr>
        <w:t>écarter la preuve matérielle recueillie sur le lieu du crime.  Elle se fonde en partie sur le fait que les policiers n</w:t>
      </w:r>
      <w:r>
        <w:rPr>
          <w:rFonts w:cs="Times New Roman"/>
          <w:szCs w:val="24"/>
          <w:lang w:val="fr-CA"/>
        </w:rPr>
        <w:t>’</w:t>
      </w:r>
      <w:r w:rsidRPr="00CA43DD">
        <w:rPr>
          <w:rFonts w:cs="Times New Roman"/>
          <w:szCs w:val="24"/>
          <w:lang w:val="fr-CA"/>
        </w:rPr>
        <w:t>ont pas eu d</w:t>
      </w:r>
      <w:r>
        <w:rPr>
          <w:rFonts w:cs="Times New Roman"/>
          <w:szCs w:val="24"/>
          <w:lang w:val="fr-CA"/>
        </w:rPr>
        <w:t>’</w:t>
      </w:r>
      <w:r w:rsidRPr="00CA43DD">
        <w:rPr>
          <w:rFonts w:cs="Times New Roman"/>
          <w:szCs w:val="24"/>
          <w:lang w:val="fr-CA"/>
        </w:rPr>
        <w:t>attitude attentatoire et n</w:t>
      </w:r>
      <w:r>
        <w:rPr>
          <w:rFonts w:cs="Times New Roman"/>
          <w:szCs w:val="24"/>
          <w:lang w:val="fr-CA"/>
        </w:rPr>
        <w:t>’</w:t>
      </w:r>
      <w:r w:rsidRPr="00CA43DD">
        <w:rPr>
          <w:rFonts w:cs="Times New Roman"/>
          <w:szCs w:val="24"/>
          <w:lang w:val="fr-CA"/>
        </w:rPr>
        <w:t>ont pas délibérément agi de manière abusive. Elle invoque aussi la gravité de l</w:t>
      </w:r>
      <w:r>
        <w:rPr>
          <w:rFonts w:cs="Times New Roman"/>
          <w:szCs w:val="24"/>
          <w:lang w:val="fr-CA"/>
        </w:rPr>
        <w:t>’</w:t>
      </w:r>
      <w:r w:rsidRPr="00CA43DD">
        <w:rPr>
          <w:rFonts w:cs="Times New Roman"/>
          <w:szCs w:val="24"/>
          <w:lang w:val="fr-CA"/>
        </w:rPr>
        <w:t>infraction.  À mon humble avis, son intervention n</w:t>
      </w:r>
      <w:r>
        <w:rPr>
          <w:rFonts w:cs="Times New Roman"/>
          <w:szCs w:val="24"/>
          <w:lang w:val="fr-CA"/>
        </w:rPr>
        <w:t>’</w:t>
      </w:r>
      <w:r w:rsidRPr="00CA43DD">
        <w:rPr>
          <w:rFonts w:cs="Times New Roman"/>
          <w:szCs w:val="24"/>
          <w:lang w:val="fr-CA"/>
        </w:rPr>
        <w:t>est justifiée par aucun de ces motifs.</w:t>
      </w:r>
    </w:p>
    <w:p w:rsidR="00DC2386" w:rsidRPr="00CA43DD" w:rsidRDefault="00E95E71" w:rsidP="00E95E71">
      <w:pPr>
        <w:pStyle w:val="TitleTitre-AltT"/>
        <w:keepNext/>
        <w:tabs>
          <w:tab w:val="clear" w:pos="360"/>
          <w:tab w:val="left" w:pos="1170"/>
        </w:tabs>
        <w:spacing w:after="720"/>
        <w:ind w:left="1800" w:hanging="1800"/>
        <w:rPr>
          <w:rFonts w:cs="Times New Roman"/>
          <w:szCs w:val="24"/>
          <w:u w:val="single"/>
          <w:lang w:val="fr-CA"/>
        </w:rPr>
      </w:pPr>
      <w:r>
        <w:rPr>
          <w:rFonts w:cs="Times New Roman"/>
          <w:szCs w:val="24"/>
          <w:lang w:val="fr-CA"/>
        </w:rPr>
        <w:tab/>
      </w:r>
      <w:r w:rsidR="00DC2386" w:rsidRPr="00CA43DD">
        <w:rPr>
          <w:rFonts w:cs="Times New Roman"/>
          <w:szCs w:val="24"/>
          <w:lang w:val="fr-CA"/>
        </w:rPr>
        <w:t>(1)</w:t>
      </w:r>
      <w:r w:rsidR="00DC2386" w:rsidRPr="00CA43DD">
        <w:rPr>
          <w:rFonts w:cs="Times New Roman"/>
          <w:szCs w:val="24"/>
          <w:lang w:val="fr-CA"/>
        </w:rPr>
        <w:tab/>
      </w:r>
      <w:r w:rsidR="00DC2386" w:rsidRPr="00CA43DD">
        <w:rPr>
          <w:rFonts w:cs="Times New Roman"/>
          <w:szCs w:val="24"/>
          <w:u w:val="single"/>
          <w:lang w:val="fr-CA"/>
        </w:rPr>
        <w:t>Nouvelle qualification de la conduite des policiers</w:t>
      </w:r>
    </w:p>
    <w:p w:rsidR="00DC2386" w:rsidRPr="00CA43DD" w:rsidRDefault="00DC2386" w:rsidP="00DC2386">
      <w:pPr>
        <w:pStyle w:val="ParaNoNdepar-AltN"/>
        <w:rPr>
          <w:rFonts w:cs="Times New Roman"/>
          <w:szCs w:val="24"/>
          <w:lang w:val="fr-CA"/>
        </w:rPr>
      </w:pPr>
      <w:r w:rsidRPr="00CA43DD">
        <w:rPr>
          <w:rFonts w:cs="Times New Roman"/>
          <w:szCs w:val="24"/>
          <w:lang w:val="fr-CA"/>
        </w:rPr>
        <w:t>La Cour d</w:t>
      </w:r>
      <w:r>
        <w:rPr>
          <w:rFonts w:cs="Times New Roman"/>
          <w:szCs w:val="24"/>
          <w:lang w:val="fr-CA"/>
        </w:rPr>
        <w:t>’</w:t>
      </w:r>
      <w:r w:rsidRPr="00CA43DD">
        <w:rPr>
          <w:rFonts w:cs="Times New Roman"/>
          <w:szCs w:val="24"/>
          <w:lang w:val="fr-CA"/>
        </w:rPr>
        <w:t>appel conclut que les policiers n</w:t>
      </w:r>
      <w:r>
        <w:rPr>
          <w:rFonts w:cs="Times New Roman"/>
          <w:szCs w:val="24"/>
          <w:lang w:val="fr-CA"/>
        </w:rPr>
        <w:t>’</w:t>
      </w:r>
      <w:r w:rsidRPr="00CA43DD">
        <w:rPr>
          <w:rFonts w:cs="Times New Roman"/>
          <w:szCs w:val="24"/>
          <w:lang w:val="fr-CA"/>
        </w:rPr>
        <w:t>ont pas eu d</w:t>
      </w:r>
      <w:r>
        <w:rPr>
          <w:rFonts w:cs="Times New Roman"/>
          <w:szCs w:val="24"/>
          <w:lang w:val="fr-CA"/>
        </w:rPr>
        <w:t>’</w:t>
      </w:r>
      <w:r w:rsidRPr="00CA43DD">
        <w:rPr>
          <w:rFonts w:cs="Times New Roman"/>
          <w:szCs w:val="24"/>
          <w:lang w:val="fr-CA"/>
        </w:rPr>
        <w:t>attitude attentatoire</w:t>
      </w:r>
      <w:r>
        <w:rPr>
          <w:rFonts w:cs="Times New Roman"/>
          <w:szCs w:val="24"/>
          <w:lang w:val="fr-CA"/>
        </w:rPr>
        <w:t xml:space="preserve"> ni délibérément agi de manière abusive.</w:t>
      </w:r>
      <w:r w:rsidRPr="00CA43DD">
        <w:rPr>
          <w:rFonts w:cs="Times New Roman"/>
          <w:szCs w:val="24"/>
          <w:lang w:val="fr-CA"/>
        </w:rPr>
        <w:t xml:space="preserve"> </w:t>
      </w:r>
      <w:r>
        <w:rPr>
          <w:rFonts w:cs="Times New Roman"/>
          <w:szCs w:val="24"/>
          <w:lang w:val="fr-CA"/>
        </w:rPr>
        <w:t>Cela</w:t>
      </w:r>
      <w:r w:rsidRPr="00CA43DD">
        <w:rPr>
          <w:rFonts w:cs="Times New Roman"/>
          <w:szCs w:val="24"/>
          <w:lang w:val="fr-CA"/>
        </w:rPr>
        <w:t xml:space="preserve"> revient à qualifier de nouveau la preuve alors qu</w:t>
      </w:r>
      <w:r>
        <w:rPr>
          <w:rFonts w:cs="Times New Roman"/>
          <w:szCs w:val="24"/>
          <w:lang w:val="fr-CA"/>
        </w:rPr>
        <w:t>’</w:t>
      </w:r>
      <w:r w:rsidRPr="00CA43DD">
        <w:rPr>
          <w:rFonts w:cs="Times New Roman"/>
          <w:szCs w:val="24"/>
          <w:lang w:val="fr-CA"/>
        </w:rPr>
        <w:t xml:space="preserve">elle ne peut le faire.  Le juge du procès tire de nombreuses conclusions contraires, à savoir que les violations de la </w:t>
      </w:r>
      <w:r w:rsidRPr="00CA43DD">
        <w:rPr>
          <w:rFonts w:cs="Times New Roman"/>
          <w:i/>
          <w:szCs w:val="24"/>
          <w:lang w:val="fr-CA"/>
        </w:rPr>
        <w:t xml:space="preserve">Charte </w:t>
      </w:r>
      <w:r w:rsidRPr="00CA43DD">
        <w:rPr>
          <w:rFonts w:cs="Times New Roman"/>
          <w:szCs w:val="24"/>
          <w:lang w:val="fr-CA"/>
        </w:rPr>
        <w:t>sont extrêmement graves, que les policiers n</w:t>
      </w:r>
      <w:r>
        <w:rPr>
          <w:rFonts w:cs="Times New Roman"/>
          <w:szCs w:val="24"/>
          <w:lang w:val="fr-CA"/>
        </w:rPr>
        <w:t>’</w:t>
      </w:r>
      <w:r w:rsidRPr="00CA43DD">
        <w:rPr>
          <w:rFonts w:cs="Times New Roman"/>
          <w:szCs w:val="24"/>
          <w:lang w:val="fr-CA"/>
        </w:rPr>
        <w:t>ont pas agi de bonne foi, qu</w:t>
      </w:r>
      <w:r>
        <w:rPr>
          <w:rFonts w:cs="Times New Roman"/>
          <w:szCs w:val="24"/>
          <w:lang w:val="fr-CA"/>
        </w:rPr>
        <w:t>’</w:t>
      </w:r>
      <w:r w:rsidRPr="00CA43DD">
        <w:rPr>
          <w:rFonts w:cs="Times New Roman"/>
          <w:szCs w:val="24"/>
          <w:lang w:val="fr-CA"/>
        </w:rPr>
        <w:t>ils ont fait preuve d</w:t>
      </w:r>
      <w:r>
        <w:rPr>
          <w:rFonts w:cs="Times New Roman"/>
          <w:szCs w:val="24"/>
          <w:lang w:val="fr-CA"/>
        </w:rPr>
        <w:t>’</w:t>
      </w:r>
      <w:r w:rsidRPr="00CA43DD">
        <w:rPr>
          <w:rFonts w:cs="Times New Roman"/>
          <w:szCs w:val="24"/>
          <w:lang w:val="fr-CA"/>
        </w:rPr>
        <w:t>un mépris constant et systématique pour les droits constitutionnels de l</w:t>
      </w:r>
      <w:r>
        <w:rPr>
          <w:rFonts w:cs="Times New Roman"/>
          <w:szCs w:val="24"/>
          <w:lang w:val="fr-CA"/>
        </w:rPr>
        <w:t>’</w:t>
      </w:r>
      <w:r w:rsidRPr="00CA43DD">
        <w:rPr>
          <w:rFonts w:cs="Times New Roman"/>
          <w:szCs w:val="24"/>
          <w:lang w:val="fr-CA"/>
        </w:rPr>
        <w:t>appelante et qu</w:t>
      </w:r>
      <w:r>
        <w:rPr>
          <w:rFonts w:cs="Times New Roman"/>
          <w:szCs w:val="24"/>
          <w:lang w:val="fr-CA"/>
        </w:rPr>
        <w:t>’</w:t>
      </w:r>
      <w:r w:rsidRPr="00CA43DD">
        <w:rPr>
          <w:rFonts w:cs="Times New Roman"/>
          <w:szCs w:val="24"/>
          <w:lang w:val="fr-CA"/>
        </w:rPr>
        <w:t>ils ont persisté dans leur conduite répréhensible en induisant un officier de justice en erreur dans le but d</w:t>
      </w:r>
      <w:r>
        <w:rPr>
          <w:rFonts w:cs="Times New Roman"/>
          <w:szCs w:val="24"/>
          <w:lang w:val="fr-CA"/>
        </w:rPr>
        <w:t>’</w:t>
      </w:r>
      <w:r w:rsidRPr="00CA43DD">
        <w:rPr>
          <w:rFonts w:cs="Times New Roman"/>
          <w:szCs w:val="24"/>
          <w:lang w:val="fr-CA"/>
        </w:rPr>
        <w:t xml:space="preserve">obtenir des mandats de perquisition, en ne témoignant pas de manière franche et sincère et en invoquant des motifs qui ne tenaient pas la route pour justifier leurs gestes. </w:t>
      </w:r>
      <w:r w:rsidRPr="00CA43DD" w:rsidDel="0002004E">
        <w:rPr>
          <w:rFonts w:cs="Times New Roman"/>
          <w:szCs w:val="24"/>
          <w:lang w:val="fr-CA"/>
        </w:rPr>
        <w:t xml:space="preserve"> </w:t>
      </w:r>
      <w:r w:rsidRPr="00CA43DD">
        <w:rPr>
          <w:rFonts w:cs="Times New Roman"/>
          <w:szCs w:val="24"/>
          <w:lang w:val="fr-CA"/>
        </w:rPr>
        <w:t>En toute déférence, la Cour d</w:t>
      </w:r>
      <w:r>
        <w:rPr>
          <w:rFonts w:cs="Times New Roman"/>
          <w:szCs w:val="24"/>
          <w:lang w:val="fr-CA"/>
        </w:rPr>
        <w:t>’</w:t>
      </w:r>
      <w:r w:rsidRPr="00CA43DD">
        <w:rPr>
          <w:rFonts w:cs="Times New Roman"/>
          <w:szCs w:val="24"/>
          <w:lang w:val="fr-CA"/>
        </w:rPr>
        <w:t>appel outrepasse son rôle en qualifiant de nouveau la preuve, tournant ainsi le dos aux conclusions expresses du juge du procès qui sont pourtant exemptes d</w:t>
      </w:r>
      <w:r>
        <w:rPr>
          <w:rFonts w:cs="Times New Roman"/>
          <w:szCs w:val="24"/>
          <w:lang w:val="fr-CA"/>
        </w:rPr>
        <w:t>’</w:t>
      </w:r>
      <w:r w:rsidRPr="00CA43DD">
        <w:rPr>
          <w:rFonts w:cs="Times New Roman"/>
          <w:szCs w:val="24"/>
          <w:lang w:val="fr-CA"/>
        </w:rPr>
        <w:t>erreur manifeste et déterminante.  La Cour d</w:t>
      </w:r>
      <w:r>
        <w:rPr>
          <w:rFonts w:cs="Times New Roman"/>
          <w:szCs w:val="24"/>
          <w:lang w:val="fr-CA"/>
        </w:rPr>
        <w:t>’</w:t>
      </w:r>
      <w:r w:rsidRPr="00CA43DD">
        <w:rPr>
          <w:rFonts w:cs="Times New Roman"/>
          <w:szCs w:val="24"/>
          <w:lang w:val="fr-CA"/>
        </w:rPr>
        <w:t>appel n</w:t>
      </w:r>
      <w:r>
        <w:rPr>
          <w:rFonts w:cs="Times New Roman"/>
          <w:szCs w:val="24"/>
          <w:lang w:val="fr-CA"/>
        </w:rPr>
        <w:t>’</w:t>
      </w:r>
      <w:r w:rsidRPr="00CA43DD">
        <w:rPr>
          <w:rFonts w:cs="Times New Roman"/>
          <w:szCs w:val="24"/>
          <w:lang w:val="fr-CA"/>
        </w:rPr>
        <w:t>aurait pas dû substituer sa propre appréciation de la conduite des policiers à celle du juge du procès.</w:t>
      </w:r>
    </w:p>
    <w:p w:rsidR="00DC2386" w:rsidRPr="00CA43DD" w:rsidRDefault="00DC2386" w:rsidP="00DC2386">
      <w:pPr>
        <w:pStyle w:val="ParaNoNdepar-AltN"/>
        <w:rPr>
          <w:rFonts w:cs="Times New Roman"/>
          <w:szCs w:val="24"/>
          <w:lang w:val="fr-CA"/>
        </w:rPr>
      </w:pPr>
      <w:r w:rsidRPr="00CA43DD">
        <w:rPr>
          <w:rFonts w:cs="Times New Roman"/>
          <w:szCs w:val="24"/>
          <w:lang w:val="fr-CA"/>
        </w:rPr>
        <w:lastRenderedPageBreak/>
        <w:t>L</w:t>
      </w:r>
      <w:r>
        <w:rPr>
          <w:rFonts w:cs="Times New Roman"/>
          <w:szCs w:val="24"/>
          <w:lang w:val="fr-CA"/>
        </w:rPr>
        <w:t>’</w:t>
      </w:r>
      <w:r w:rsidRPr="00CA43DD">
        <w:rPr>
          <w:rFonts w:cs="Times New Roman"/>
          <w:szCs w:val="24"/>
          <w:lang w:val="fr-CA"/>
        </w:rPr>
        <w:t>intimée consacre une grande partie de la plaidoirie écrite à tenter de convaincre la Cour du caractère déraisonnable des conclusions du juge du procès sur la nature de la conduite des policiers.  Elle prétend que le juge critique trop sévèrement les policiers et, plus précisément, qu</w:t>
      </w:r>
      <w:r>
        <w:rPr>
          <w:rFonts w:cs="Times New Roman"/>
          <w:szCs w:val="24"/>
          <w:lang w:val="fr-CA"/>
        </w:rPr>
        <w:t>’</w:t>
      </w:r>
      <w:r w:rsidRPr="00CA43DD">
        <w:rPr>
          <w:rFonts w:cs="Times New Roman"/>
          <w:szCs w:val="24"/>
          <w:lang w:val="fr-CA"/>
        </w:rPr>
        <w:t xml:space="preserve">il était déraisonnable de conclure au caractère flagrant des atteintes à la </w:t>
      </w:r>
      <w:r w:rsidRPr="00CA43DD">
        <w:rPr>
          <w:rFonts w:cs="Times New Roman"/>
          <w:i/>
          <w:iCs/>
          <w:szCs w:val="24"/>
          <w:lang w:val="fr-CA"/>
        </w:rPr>
        <w:t>Charte</w:t>
      </w:r>
      <w:r w:rsidRPr="00CA43DD">
        <w:rPr>
          <w:rFonts w:cs="Times New Roman"/>
          <w:szCs w:val="24"/>
          <w:lang w:val="fr-CA"/>
        </w:rPr>
        <w:t xml:space="preserve"> sans tenir compte de l</w:t>
      </w:r>
      <w:r>
        <w:rPr>
          <w:rFonts w:cs="Times New Roman"/>
          <w:szCs w:val="24"/>
          <w:lang w:val="fr-CA"/>
        </w:rPr>
        <w:t>’</w:t>
      </w:r>
      <w:r w:rsidRPr="00CA43DD">
        <w:rPr>
          <w:rFonts w:cs="Times New Roman"/>
          <w:szCs w:val="24"/>
          <w:lang w:val="fr-CA"/>
        </w:rPr>
        <w:t>évolution de la situation et de sa dynamique.  Elle ajoute que le juge du procès a tort de ne pas arriver à la conclusion que les policiers se trouvaient dans une situation d</w:t>
      </w:r>
      <w:r>
        <w:rPr>
          <w:rFonts w:cs="Times New Roman"/>
          <w:szCs w:val="24"/>
          <w:lang w:val="fr-CA"/>
        </w:rPr>
        <w:t>’</w:t>
      </w:r>
      <w:r w:rsidRPr="00CA43DD">
        <w:rPr>
          <w:rFonts w:cs="Times New Roman"/>
          <w:szCs w:val="24"/>
          <w:lang w:val="fr-CA"/>
        </w:rPr>
        <w:t>urgence nécessitant une intervention immédiate des patrouilleurs.  Je ne peux faire droit à ces prétentions qui visent à faire infirmer les conclusions de fait du juge du procès.  Il faut respecter les conclusions de fait tirées lors d</w:t>
      </w:r>
      <w:r>
        <w:rPr>
          <w:rFonts w:cs="Times New Roman"/>
          <w:szCs w:val="24"/>
          <w:lang w:val="fr-CA"/>
        </w:rPr>
        <w:t>’</w:t>
      </w:r>
      <w:r w:rsidRPr="00CA43DD">
        <w:rPr>
          <w:rFonts w:cs="Times New Roman"/>
          <w:szCs w:val="24"/>
          <w:lang w:val="fr-CA"/>
        </w:rPr>
        <w:t xml:space="preserve">un </w:t>
      </w:r>
      <w:proofErr w:type="spellStart"/>
      <w:r w:rsidRPr="00CA43DD">
        <w:rPr>
          <w:rFonts w:cs="Times New Roman"/>
          <w:szCs w:val="24"/>
          <w:lang w:val="fr-CA"/>
        </w:rPr>
        <w:t>voir</w:t>
      </w:r>
      <w:r w:rsidRPr="00CA43DD">
        <w:rPr>
          <w:rFonts w:cs="Times New Roman"/>
          <w:szCs w:val="24"/>
          <w:lang w:val="fr-CA"/>
        </w:rPr>
        <w:noBreakHyphen/>
        <w:t>dire</w:t>
      </w:r>
      <w:proofErr w:type="spellEnd"/>
      <w:r w:rsidRPr="00CA43DD">
        <w:rPr>
          <w:rFonts w:cs="Times New Roman"/>
          <w:szCs w:val="24"/>
          <w:lang w:val="fr-CA"/>
        </w:rPr>
        <w:t xml:space="preserve"> sur l</w:t>
      </w:r>
      <w:r>
        <w:rPr>
          <w:rFonts w:cs="Times New Roman"/>
          <w:szCs w:val="24"/>
          <w:lang w:val="fr-CA"/>
        </w:rPr>
        <w:t>’</w:t>
      </w:r>
      <w:r w:rsidRPr="00CA43DD">
        <w:rPr>
          <w:rFonts w:cs="Times New Roman"/>
          <w:szCs w:val="24"/>
          <w:lang w:val="fr-CA"/>
        </w:rPr>
        <w:t>admissibilité de la preuve, sauf si elles sont entachées d</w:t>
      </w:r>
      <w:r>
        <w:rPr>
          <w:rFonts w:cs="Times New Roman"/>
          <w:szCs w:val="24"/>
          <w:lang w:val="fr-CA"/>
        </w:rPr>
        <w:t>’</w:t>
      </w:r>
      <w:r w:rsidRPr="00CA43DD">
        <w:rPr>
          <w:rFonts w:cs="Times New Roman"/>
          <w:szCs w:val="24"/>
          <w:lang w:val="fr-CA"/>
        </w:rPr>
        <w:t>une erreur manifeste et déterminante.  Le juge du procès dit clairement que dès le moment — à peu de chose près — où les policiers sont arrivés chez l</w:t>
      </w:r>
      <w:r>
        <w:rPr>
          <w:rFonts w:cs="Times New Roman"/>
          <w:szCs w:val="24"/>
          <w:lang w:val="fr-CA"/>
        </w:rPr>
        <w:t>’</w:t>
      </w:r>
      <w:r w:rsidRPr="00CA43DD">
        <w:rPr>
          <w:rFonts w:cs="Times New Roman"/>
          <w:szCs w:val="24"/>
          <w:lang w:val="fr-CA"/>
        </w:rPr>
        <w:t>appelante, ils la tenaient pour suspecte.  Il conclut qu</w:t>
      </w:r>
      <w:r>
        <w:rPr>
          <w:rFonts w:cs="Times New Roman"/>
          <w:szCs w:val="24"/>
          <w:lang w:val="fr-CA"/>
        </w:rPr>
        <w:t>’</w:t>
      </w:r>
      <w:r w:rsidRPr="00CA43DD">
        <w:rPr>
          <w:rFonts w:cs="Times New Roman"/>
          <w:szCs w:val="24"/>
          <w:lang w:val="fr-CA"/>
        </w:rPr>
        <w:t xml:space="preserve">ils </w:t>
      </w:r>
      <w:r w:rsidRPr="00CA43DD">
        <w:rPr>
          <w:rFonts w:cs="Times New Roman"/>
          <w:i/>
          <w:szCs w:val="24"/>
          <w:lang w:val="fr-CA"/>
        </w:rPr>
        <w:t xml:space="preserve">savaient </w:t>
      </w:r>
      <w:r w:rsidRPr="00CA43DD">
        <w:rPr>
          <w:rFonts w:cs="Times New Roman"/>
          <w:szCs w:val="24"/>
          <w:lang w:val="fr-CA"/>
        </w:rPr>
        <w:t>que la personne qu</w:t>
      </w:r>
      <w:r>
        <w:rPr>
          <w:rFonts w:cs="Times New Roman"/>
          <w:szCs w:val="24"/>
          <w:lang w:val="fr-CA"/>
        </w:rPr>
        <w:t>’</w:t>
      </w:r>
      <w:r w:rsidRPr="00CA43DD">
        <w:rPr>
          <w:rFonts w:cs="Times New Roman"/>
          <w:szCs w:val="24"/>
          <w:lang w:val="fr-CA"/>
        </w:rPr>
        <w:t>ils rencontraient était susceptible d</w:t>
      </w:r>
      <w:r>
        <w:rPr>
          <w:rFonts w:cs="Times New Roman"/>
          <w:szCs w:val="24"/>
          <w:lang w:val="fr-CA"/>
        </w:rPr>
        <w:t>’</w:t>
      </w:r>
      <w:r w:rsidRPr="00CA43DD">
        <w:rPr>
          <w:rFonts w:cs="Times New Roman"/>
          <w:szCs w:val="24"/>
          <w:lang w:val="fr-CA"/>
        </w:rPr>
        <w:t>être impliquée dans la mort de M. </w:t>
      </w:r>
      <w:proofErr w:type="spellStart"/>
      <w:r w:rsidRPr="00CA43DD">
        <w:rPr>
          <w:rFonts w:cs="Times New Roman"/>
          <w:szCs w:val="24"/>
          <w:lang w:val="fr-CA"/>
        </w:rPr>
        <w:t>Hogue</w:t>
      </w:r>
      <w:proofErr w:type="spellEnd"/>
      <w:r w:rsidRPr="00CA43DD">
        <w:rPr>
          <w:rFonts w:cs="Times New Roman"/>
          <w:szCs w:val="24"/>
          <w:lang w:val="fr-CA"/>
        </w:rPr>
        <w:t>.  Je signale en outre que le juge du procès arrive clairement à la conclusion que les policiers n</w:t>
      </w:r>
      <w:r>
        <w:rPr>
          <w:rFonts w:cs="Times New Roman"/>
          <w:szCs w:val="24"/>
          <w:lang w:val="fr-CA"/>
        </w:rPr>
        <w:t>’</w:t>
      </w:r>
      <w:r w:rsidRPr="00CA43DD">
        <w:rPr>
          <w:rFonts w:cs="Times New Roman"/>
          <w:szCs w:val="24"/>
          <w:lang w:val="fr-CA"/>
        </w:rPr>
        <w:t>exerçaient pas le pouvoir d</w:t>
      </w:r>
      <w:r>
        <w:rPr>
          <w:rFonts w:cs="Times New Roman"/>
          <w:szCs w:val="24"/>
          <w:lang w:val="fr-CA"/>
        </w:rPr>
        <w:t>’</w:t>
      </w:r>
      <w:r w:rsidRPr="00CA43DD">
        <w:rPr>
          <w:rFonts w:cs="Times New Roman"/>
          <w:szCs w:val="24"/>
          <w:lang w:val="fr-CA"/>
        </w:rPr>
        <w:t>enquête découlant d</w:t>
      </w:r>
      <w:r>
        <w:rPr>
          <w:rFonts w:cs="Times New Roman"/>
          <w:szCs w:val="24"/>
          <w:lang w:val="fr-CA"/>
        </w:rPr>
        <w:t>’</w:t>
      </w:r>
      <w:r w:rsidRPr="00CA43DD">
        <w:rPr>
          <w:rFonts w:cs="Times New Roman"/>
          <w:szCs w:val="24"/>
          <w:lang w:val="fr-CA"/>
        </w:rPr>
        <w:t>un appel au 9</w:t>
      </w:r>
      <w:r w:rsidRPr="00CA43DD">
        <w:rPr>
          <w:rFonts w:cs="Times New Roman"/>
          <w:szCs w:val="24"/>
          <w:lang w:val="fr-CA"/>
        </w:rPr>
        <w:noBreakHyphen/>
        <w:t>1</w:t>
      </w:r>
      <w:r w:rsidRPr="00CA43DD">
        <w:rPr>
          <w:rFonts w:cs="Times New Roman"/>
          <w:szCs w:val="24"/>
          <w:lang w:val="fr-CA"/>
        </w:rPr>
        <w:noBreakHyphen/>
        <w:t>1 lorsqu</w:t>
      </w:r>
      <w:r>
        <w:rPr>
          <w:rFonts w:cs="Times New Roman"/>
          <w:szCs w:val="24"/>
          <w:lang w:val="fr-CA"/>
        </w:rPr>
        <w:t>’</w:t>
      </w:r>
      <w:r w:rsidRPr="00CA43DD">
        <w:rPr>
          <w:rFonts w:cs="Times New Roman"/>
          <w:szCs w:val="24"/>
          <w:lang w:val="fr-CA"/>
        </w:rPr>
        <w:t>ils se sont présentés chez M</w:t>
      </w:r>
      <w:r w:rsidRPr="00CA43DD">
        <w:rPr>
          <w:rFonts w:cs="Times New Roman"/>
          <w:szCs w:val="24"/>
          <w:vertAlign w:val="superscript"/>
          <w:lang w:val="fr-CA"/>
        </w:rPr>
        <w:t>me</w:t>
      </w:r>
      <w:r w:rsidRPr="00CA43DD">
        <w:rPr>
          <w:rFonts w:cs="Times New Roman"/>
          <w:szCs w:val="24"/>
          <w:lang w:val="fr-CA"/>
        </w:rPr>
        <w:t> Côté.  Au contraire, ils entreprenaient selon lui une enquête criminelle en s</w:t>
      </w:r>
      <w:r>
        <w:rPr>
          <w:rFonts w:cs="Times New Roman"/>
          <w:szCs w:val="24"/>
          <w:lang w:val="fr-CA"/>
        </w:rPr>
        <w:t>’</w:t>
      </w:r>
      <w:r w:rsidRPr="00CA43DD">
        <w:rPr>
          <w:rFonts w:cs="Times New Roman"/>
          <w:szCs w:val="24"/>
          <w:lang w:val="fr-CA"/>
        </w:rPr>
        <w:t>entretenant avec un suspect évident.  Le juge du procès tire ces conclusions de fait non équivoques après avoir observé les policiers témoigner et avoir alors apprécié directement la crédibilité de leurs témoignages.  Il n</w:t>
      </w:r>
      <w:r>
        <w:rPr>
          <w:rFonts w:cs="Times New Roman"/>
          <w:szCs w:val="24"/>
          <w:lang w:val="fr-CA"/>
        </w:rPr>
        <w:t>’</w:t>
      </w:r>
      <w:r w:rsidRPr="00CA43DD">
        <w:rPr>
          <w:rFonts w:cs="Times New Roman"/>
          <w:szCs w:val="24"/>
          <w:lang w:val="fr-CA"/>
        </w:rPr>
        <w:t xml:space="preserve">y a aucune raison de revenir sur ses nombreuses conclusions concernant la conduite des policiers et, par conséquent, je me refuse à les modifier. </w:t>
      </w:r>
    </w:p>
    <w:p w:rsidR="00DC2386" w:rsidRPr="00CA43DD" w:rsidRDefault="00E95E71" w:rsidP="00E95E71">
      <w:pPr>
        <w:pStyle w:val="TitleTitre-AltT"/>
        <w:keepNext/>
        <w:tabs>
          <w:tab w:val="clear" w:pos="360"/>
          <w:tab w:val="left" w:pos="1170"/>
        </w:tabs>
        <w:spacing w:after="720"/>
        <w:ind w:left="1800" w:hanging="1800"/>
        <w:rPr>
          <w:rFonts w:cs="Times New Roman"/>
          <w:szCs w:val="24"/>
          <w:lang w:val="fr-CA"/>
        </w:rPr>
      </w:pPr>
      <w:r>
        <w:rPr>
          <w:rFonts w:cs="Times New Roman"/>
          <w:szCs w:val="24"/>
          <w:lang w:val="fr-CA"/>
        </w:rPr>
        <w:lastRenderedPageBreak/>
        <w:tab/>
      </w:r>
      <w:r w:rsidR="00DC2386" w:rsidRPr="00CA43DD">
        <w:rPr>
          <w:rFonts w:cs="Times New Roman"/>
          <w:szCs w:val="24"/>
          <w:lang w:val="fr-CA"/>
        </w:rPr>
        <w:t>(2)</w:t>
      </w:r>
      <w:r w:rsidR="00DC2386" w:rsidRPr="00CA43DD">
        <w:rPr>
          <w:rFonts w:cs="Times New Roman"/>
          <w:szCs w:val="24"/>
          <w:lang w:val="fr-CA"/>
        </w:rPr>
        <w:tab/>
      </w:r>
      <w:r w:rsidR="00DC2386" w:rsidRPr="00CA43DD">
        <w:rPr>
          <w:rFonts w:cs="Times New Roman"/>
          <w:szCs w:val="24"/>
          <w:u w:val="single"/>
          <w:lang w:val="fr-CA"/>
        </w:rPr>
        <w:t>Gravité de l</w:t>
      </w:r>
      <w:r w:rsidR="00DC2386">
        <w:rPr>
          <w:rFonts w:cs="Times New Roman"/>
          <w:szCs w:val="24"/>
          <w:u w:val="single"/>
          <w:lang w:val="fr-CA"/>
        </w:rPr>
        <w:t>’</w:t>
      </w:r>
      <w:r w:rsidR="00DC2386" w:rsidRPr="00CA43DD">
        <w:rPr>
          <w:rFonts w:cs="Times New Roman"/>
          <w:szCs w:val="24"/>
          <w:u w:val="single"/>
          <w:lang w:val="fr-CA"/>
        </w:rPr>
        <w:t>infraction</w:t>
      </w:r>
    </w:p>
    <w:p w:rsidR="00DC2386" w:rsidRPr="00CA43DD" w:rsidRDefault="00DC2386" w:rsidP="00DC2386">
      <w:pPr>
        <w:pStyle w:val="ParaNoNdepar-AltN"/>
        <w:rPr>
          <w:rFonts w:cs="Times New Roman"/>
          <w:szCs w:val="24"/>
          <w:lang w:val="fr-CA"/>
        </w:rPr>
      </w:pPr>
      <w:r w:rsidRPr="00CA43DD">
        <w:rPr>
          <w:rFonts w:cs="Times New Roman"/>
          <w:szCs w:val="24"/>
          <w:lang w:val="fr-CA"/>
        </w:rPr>
        <w:t>La Cour d</w:t>
      </w:r>
      <w:r>
        <w:rPr>
          <w:rFonts w:cs="Times New Roman"/>
          <w:szCs w:val="24"/>
          <w:lang w:val="fr-CA"/>
        </w:rPr>
        <w:t>’</w:t>
      </w:r>
      <w:r w:rsidRPr="00CA43DD">
        <w:rPr>
          <w:rFonts w:cs="Times New Roman"/>
          <w:szCs w:val="24"/>
          <w:lang w:val="fr-CA"/>
        </w:rPr>
        <w:t>appel invoque également la gravité de l</w:t>
      </w:r>
      <w:r>
        <w:rPr>
          <w:rFonts w:cs="Times New Roman"/>
          <w:szCs w:val="24"/>
          <w:lang w:val="fr-CA"/>
        </w:rPr>
        <w:t>’</w:t>
      </w:r>
      <w:r w:rsidRPr="00CA43DD">
        <w:rPr>
          <w:rFonts w:cs="Times New Roman"/>
          <w:szCs w:val="24"/>
          <w:lang w:val="fr-CA"/>
        </w:rPr>
        <w:t>infraction pour justifier sa conclusion que le juge du procès a eu tort d</w:t>
      </w:r>
      <w:r>
        <w:rPr>
          <w:rFonts w:cs="Times New Roman"/>
          <w:szCs w:val="24"/>
          <w:lang w:val="fr-CA"/>
        </w:rPr>
        <w:t>’</w:t>
      </w:r>
      <w:r w:rsidRPr="00CA43DD">
        <w:rPr>
          <w:rFonts w:cs="Times New Roman"/>
          <w:szCs w:val="24"/>
          <w:lang w:val="fr-CA"/>
        </w:rPr>
        <w:t>écarter la preuve matérielle recueillie au domicile de l</w:t>
      </w:r>
      <w:r>
        <w:rPr>
          <w:rFonts w:cs="Times New Roman"/>
          <w:szCs w:val="24"/>
          <w:lang w:val="fr-CA"/>
        </w:rPr>
        <w:t>’</w:t>
      </w:r>
      <w:r w:rsidRPr="00CA43DD">
        <w:rPr>
          <w:rFonts w:cs="Times New Roman"/>
          <w:szCs w:val="24"/>
          <w:lang w:val="fr-CA"/>
        </w:rPr>
        <w:t>appelante.  Cette considération correspond au troisième volet de la grille d</w:t>
      </w:r>
      <w:r>
        <w:rPr>
          <w:rFonts w:cs="Times New Roman"/>
          <w:szCs w:val="24"/>
          <w:lang w:val="fr-CA"/>
        </w:rPr>
        <w:t>’</w:t>
      </w:r>
      <w:r w:rsidRPr="00CA43DD">
        <w:rPr>
          <w:rFonts w:cs="Times New Roman"/>
          <w:szCs w:val="24"/>
          <w:lang w:val="fr-CA"/>
        </w:rPr>
        <w:t>analyse de l</w:t>
      </w:r>
      <w:r>
        <w:rPr>
          <w:rFonts w:cs="Times New Roman"/>
          <w:szCs w:val="24"/>
          <w:lang w:val="fr-CA"/>
        </w:rPr>
        <w:t>’</w:t>
      </w:r>
      <w:r w:rsidRPr="00CA43DD">
        <w:rPr>
          <w:rFonts w:cs="Times New Roman"/>
          <w:szCs w:val="24"/>
          <w:lang w:val="fr-CA"/>
        </w:rPr>
        <w:t xml:space="preserve">arrêt </w:t>
      </w:r>
      <w:r w:rsidRPr="00CA43DD">
        <w:rPr>
          <w:rFonts w:cs="Times New Roman"/>
          <w:i/>
          <w:szCs w:val="24"/>
          <w:lang w:val="fr-CA"/>
        </w:rPr>
        <w:t>Grant</w:t>
      </w:r>
      <w:r w:rsidRPr="00CA43DD">
        <w:rPr>
          <w:rFonts w:cs="Times New Roman"/>
          <w:iCs/>
          <w:szCs w:val="24"/>
          <w:lang w:val="fr-CA"/>
        </w:rPr>
        <w:t>,</w:t>
      </w:r>
      <w:r w:rsidRPr="00CA43DD">
        <w:rPr>
          <w:rFonts w:cs="Times New Roman"/>
          <w:i/>
          <w:szCs w:val="24"/>
          <w:lang w:val="fr-CA"/>
        </w:rPr>
        <w:t xml:space="preserve"> </w:t>
      </w:r>
      <w:r w:rsidRPr="00CA43DD">
        <w:rPr>
          <w:rFonts w:cs="Times New Roman"/>
          <w:szCs w:val="24"/>
          <w:lang w:val="fr-CA"/>
        </w:rPr>
        <w:t>à savoir l</w:t>
      </w:r>
      <w:r>
        <w:rPr>
          <w:rFonts w:cs="Times New Roman"/>
          <w:szCs w:val="24"/>
          <w:lang w:val="fr-CA"/>
        </w:rPr>
        <w:t>’</w:t>
      </w:r>
      <w:r w:rsidRPr="00CA43DD">
        <w:rPr>
          <w:rFonts w:cs="Times New Roman"/>
          <w:szCs w:val="24"/>
          <w:lang w:val="fr-CA"/>
        </w:rPr>
        <w:t>intérêt de la société à ce que l</w:t>
      </w:r>
      <w:r>
        <w:rPr>
          <w:rFonts w:cs="Times New Roman"/>
          <w:szCs w:val="24"/>
          <w:lang w:val="fr-CA"/>
        </w:rPr>
        <w:t>’</w:t>
      </w:r>
      <w:r w:rsidRPr="00CA43DD">
        <w:rPr>
          <w:rFonts w:cs="Times New Roman"/>
          <w:szCs w:val="24"/>
          <w:lang w:val="fr-CA"/>
        </w:rPr>
        <w:t>affaire soit jugée au fond.  Dans le cas d</w:t>
      </w:r>
      <w:r>
        <w:rPr>
          <w:rFonts w:cs="Times New Roman"/>
          <w:szCs w:val="24"/>
          <w:lang w:val="fr-CA"/>
        </w:rPr>
        <w:t>’</w:t>
      </w:r>
      <w:r w:rsidRPr="00CA43DD">
        <w:rPr>
          <w:rFonts w:cs="Times New Roman"/>
          <w:szCs w:val="24"/>
          <w:lang w:val="fr-CA"/>
        </w:rPr>
        <w:t>éléments de preuve pertinents et fiables qui sont indispensables à la poursuite, cette considération joue souvent en faveur de l</w:t>
      </w:r>
      <w:r>
        <w:rPr>
          <w:rFonts w:cs="Times New Roman"/>
          <w:szCs w:val="24"/>
          <w:lang w:val="fr-CA"/>
        </w:rPr>
        <w:t>’</w:t>
      </w:r>
      <w:r w:rsidRPr="00CA43DD">
        <w:rPr>
          <w:rFonts w:cs="Times New Roman"/>
          <w:szCs w:val="24"/>
          <w:lang w:val="fr-CA"/>
        </w:rPr>
        <w:t>utilisation, bien qu</w:t>
      </w:r>
      <w:r>
        <w:rPr>
          <w:rFonts w:cs="Times New Roman"/>
          <w:szCs w:val="24"/>
          <w:lang w:val="fr-CA"/>
        </w:rPr>
        <w:t>’</w:t>
      </w:r>
      <w:r w:rsidRPr="00CA43DD">
        <w:rPr>
          <w:rFonts w:cs="Times New Roman"/>
          <w:szCs w:val="24"/>
          <w:lang w:val="fr-CA"/>
        </w:rPr>
        <w:t>elle doive être mise en balance avec d</w:t>
      </w:r>
      <w:r>
        <w:rPr>
          <w:rFonts w:cs="Times New Roman"/>
          <w:szCs w:val="24"/>
          <w:lang w:val="fr-CA"/>
        </w:rPr>
        <w:t>’</w:t>
      </w:r>
      <w:r w:rsidRPr="00CA43DD">
        <w:rPr>
          <w:rFonts w:cs="Times New Roman"/>
          <w:szCs w:val="24"/>
          <w:lang w:val="fr-CA"/>
        </w:rPr>
        <w:t>autres qui sont également pertinentes.  La gravité de l</w:t>
      </w:r>
      <w:r>
        <w:rPr>
          <w:rFonts w:cs="Times New Roman"/>
          <w:szCs w:val="24"/>
          <w:lang w:val="fr-CA"/>
        </w:rPr>
        <w:t>’</w:t>
      </w:r>
      <w:r w:rsidRPr="00CA43DD">
        <w:rPr>
          <w:rFonts w:cs="Times New Roman"/>
          <w:szCs w:val="24"/>
          <w:lang w:val="fr-CA"/>
        </w:rPr>
        <w:t>infraction est toutefois susceptible de</w:t>
      </w:r>
      <w:r w:rsidR="007C7801">
        <w:rPr>
          <w:rFonts w:cs="Times New Roman"/>
          <w:szCs w:val="24"/>
          <w:lang w:val="fr-CA"/>
        </w:rPr>
        <w:t xml:space="preserve"> « </w:t>
      </w:r>
      <w:r w:rsidRPr="00CA43DD">
        <w:rPr>
          <w:rFonts w:cs="Times New Roman"/>
          <w:szCs w:val="24"/>
          <w:lang w:val="fr-CA"/>
        </w:rPr>
        <w:t>jouer dans les deux sens</w:t>
      </w:r>
      <w:r w:rsidR="007C7801">
        <w:rPr>
          <w:rFonts w:cs="Times New Roman"/>
          <w:szCs w:val="24"/>
          <w:lang w:val="fr-CA"/>
        </w:rPr>
        <w:t> »</w:t>
      </w:r>
      <w:r w:rsidRPr="00CA43DD">
        <w:rPr>
          <w:rFonts w:cs="Times New Roman"/>
          <w:szCs w:val="24"/>
          <w:lang w:val="fr-CA"/>
        </w:rPr>
        <w:t xml:space="preserve"> et ne milite pas toujours en faveur de l</w:t>
      </w:r>
      <w:r>
        <w:rPr>
          <w:rFonts w:cs="Times New Roman"/>
          <w:szCs w:val="24"/>
          <w:lang w:val="fr-CA"/>
        </w:rPr>
        <w:t>’</w:t>
      </w:r>
      <w:r w:rsidRPr="00CA43DD">
        <w:rPr>
          <w:rFonts w:cs="Times New Roman"/>
          <w:szCs w:val="24"/>
          <w:lang w:val="fr-CA"/>
        </w:rPr>
        <w:t>utilisation de la preuve (</w:t>
      </w:r>
      <w:r w:rsidRPr="00CA43DD">
        <w:rPr>
          <w:rFonts w:cs="Times New Roman"/>
          <w:i/>
          <w:szCs w:val="24"/>
          <w:lang w:val="fr-CA"/>
        </w:rPr>
        <w:t>Grant</w:t>
      </w:r>
      <w:r w:rsidRPr="00CA43DD">
        <w:rPr>
          <w:rFonts w:cs="Times New Roman"/>
          <w:iCs/>
          <w:szCs w:val="24"/>
          <w:lang w:val="fr-CA"/>
        </w:rPr>
        <w:t>,</w:t>
      </w:r>
      <w:r w:rsidRPr="00CA43DD">
        <w:rPr>
          <w:rFonts w:cs="Times New Roman"/>
          <w:i/>
          <w:szCs w:val="24"/>
          <w:lang w:val="fr-CA"/>
        </w:rPr>
        <w:t xml:space="preserve"> </w:t>
      </w:r>
      <w:r w:rsidRPr="00CA43DD">
        <w:rPr>
          <w:rFonts w:cs="Times New Roman"/>
          <w:szCs w:val="24"/>
          <w:lang w:val="fr-CA"/>
        </w:rPr>
        <w:t>par. 84).  La société a certes grandement intérêt à ce qu</w:t>
      </w:r>
      <w:r>
        <w:rPr>
          <w:rFonts w:cs="Times New Roman"/>
          <w:szCs w:val="24"/>
          <w:lang w:val="fr-CA"/>
        </w:rPr>
        <w:t>’</w:t>
      </w:r>
      <w:r w:rsidRPr="00CA43DD">
        <w:rPr>
          <w:rFonts w:cs="Times New Roman"/>
          <w:szCs w:val="24"/>
          <w:lang w:val="fr-CA"/>
        </w:rPr>
        <w:t>une affaire de crime grave soit jugée au fond, mais elle a un intérêt tout aussi important à ce que le système de justice demeure à l</w:t>
      </w:r>
      <w:r>
        <w:rPr>
          <w:rFonts w:cs="Times New Roman"/>
          <w:szCs w:val="24"/>
          <w:lang w:val="fr-CA"/>
        </w:rPr>
        <w:t>’</w:t>
      </w:r>
      <w:r w:rsidRPr="00CA43DD">
        <w:rPr>
          <w:rFonts w:cs="Times New Roman"/>
          <w:szCs w:val="24"/>
          <w:lang w:val="fr-CA"/>
        </w:rPr>
        <w:t>abri de tout reproche, particulièrement lorsque l</w:t>
      </w:r>
      <w:r>
        <w:rPr>
          <w:rFonts w:cs="Times New Roman"/>
          <w:szCs w:val="24"/>
          <w:lang w:val="fr-CA"/>
        </w:rPr>
        <w:t>’</w:t>
      </w:r>
      <w:r w:rsidRPr="00CA43DD">
        <w:rPr>
          <w:rFonts w:cs="Times New Roman"/>
          <w:szCs w:val="24"/>
          <w:lang w:val="fr-CA"/>
        </w:rPr>
        <w:t>accusé encourt de lourdes conséquences pénales.</w:t>
      </w:r>
    </w:p>
    <w:p w:rsidR="00DC2386" w:rsidRPr="00CA43DD" w:rsidRDefault="00DC2386" w:rsidP="00DC2386">
      <w:pPr>
        <w:pStyle w:val="ParaNoNdepar-AltN"/>
        <w:rPr>
          <w:rFonts w:cs="Times New Roman"/>
          <w:szCs w:val="24"/>
          <w:lang w:val="fr-CA"/>
        </w:rPr>
      </w:pPr>
      <w:r w:rsidRPr="00CA43DD">
        <w:rPr>
          <w:rFonts w:cs="Times New Roman"/>
          <w:szCs w:val="24"/>
          <w:lang w:val="fr-CA"/>
        </w:rPr>
        <w:t>La Cour d</w:t>
      </w:r>
      <w:r>
        <w:rPr>
          <w:rFonts w:cs="Times New Roman"/>
          <w:szCs w:val="24"/>
          <w:lang w:val="fr-CA"/>
        </w:rPr>
        <w:t>’</w:t>
      </w:r>
      <w:r w:rsidRPr="00CA43DD">
        <w:rPr>
          <w:rFonts w:cs="Times New Roman"/>
          <w:szCs w:val="24"/>
          <w:lang w:val="fr-CA"/>
        </w:rPr>
        <w:t>appel commet donc une erreur en soupesant à nouveau l</w:t>
      </w:r>
      <w:r>
        <w:rPr>
          <w:rFonts w:cs="Times New Roman"/>
          <w:szCs w:val="24"/>
          <w:lang w:val="fr-CA"/>
        </w:rPr>
        <w:t>’</w:t>
      </w:r>
      <w:r w:rsidRPr="00CA43DD">
        <w:rPr>
          <w:rFonts w:cs="Times New Roman"/>
          <w:szCs w:val="24"/>
          <w:lang w:val="fr-CA"/>
        </w:rPr>
        <w:t>incidence de la gravité de l</w:t>
      </w:r>
      <w:r>
        <w:rPr>
          <w:rFonts w:cs="Times New Roman"/>
          <w:szCs w:val="24"/>
          <w:lang w:val="fr-CA"/>
        </w:rPr>
        <w:t>’</w:t>
      </w:r>
      <w:r w:rsidRPr="00CA43DD">
        <w:rPr>
          <w:rFonts w:cs="Times New Roman"/>
          <w:szCs w:val="24"/>
          <w:lang w:val="fr-CA"/>
        </w:rPr>
        <w:t>infraction, une considération dûment examinée par le juge du procès, qui était douloureusement conscient de la gravité de l</w:t>
      </w:r>
      <w:r>
        <w:rPr>
          <w:rFonts w:cs="Times New Roman"/>
          <w:szCs w:val="24"/>
          <w:lang w:val="fr-CA"/>
        </w:rPr>
        <w:t>’</w:t>
      </w:r>
      <w:r w:rsidRPr="00CA43DD">
        <w:rPr>
          <w:rFonts w:cs="Times New Roman"/>
          <w:szCs w:val="24"/>
          <w:lang w:val="fr-CA"/>
        </w:rPr>
        <w:t>infraction et des conséquences de l</w:t>
      </w:r>
      <w:r>
        <w:rPr>
          <w:rFonts w:cs="Times New Roman"/>
          <w:szCs w:val="24"/>
          <w:lang w:val="fr-CA"/>
        </w:rPr>
        <w:t>’</w:t>
      </w:r>
      <w:r w:rsidRPr="00CA43DD">
        <w:rPr>
          <w:rFonts w:cs="Times New Roman"/>
          <w:szCs w:val="24"/>
          <w:lang w:val="fr-CA"/>
        </w:rPr>
        <w:t>exclusion de la preuve.  Au par</w:t>
      </w:r>
      <w:r w:rsidR="007C7801">
        <w:rPr>
          <w:rFonts w:cs="Times New Roman"/>
          <w:szCs w:val="24"/>
          <w:lang w:val="fr-CA"/>
        </w:rPr>
        <w:t>agraphe</w:t>
      </w:r>
      <w:r w:rsidRPr="00CA43DD">
        <w:rPr>
          <w:rFonts w:cs="Times New Roman"/>
          <w:szCs w:val="24"/>
          <w:lang w:val="fr-CA"/>
        </w:rPr>
        <w:t> 339 de ses motifs, le juge du procès reconnaît qu</w:t>
      </w:r>
      <w:r>
        <w:rPr>
          <w:rFonts w:cs="Times New Roman"/>
          <w:szCs w:val="24"/>
          <w:lang w:val="fr-CA"/>
        </w:rPr>
        <w:t>’</w:t>
      </w:r>
      <w:r w:rsidRPr="00CA43DD">
        <w:rPr>
          <w:rFonts w:cs="Times New Roman"/>
          <w:szCs w:val="24"/>
          <w:lang w:val="fr-CA"/>
        </w:rPr>
        <w:t>il s</w:t>
      </w:r>
      <w:r>
        <w:rPr>
          <w:rFonts w:cs="Times New Roman"/>
          <w:szCs w:val="24"/>
          <w:lang w:val="fr-CA"/>
        </w:rPr>
        <w:t>’</w:t>
      </w:r>
      <w:r w:rsidRPr="00CA43DD">
        <w:rPr>
          <w:rFonts w:cs="Times New Roman"/>
          <w:szCs w:val="24"/>
          <w:lang w:val="fr-CA"/>
        </w:rPr>
        <w:t>agit d</w:t>
      </w:r>
      <w:r>
        <w:rPr>
          <w:rFonts w:cs="Times New Roman"/>
          <w:szCs w:val="24"/>
          <w:lang w:val="fr-CA"/>
        </w:rPr>
        <w:t>’</w:t>
      </w:r>
      <w:r w:rsidRPr="00CA43DD">
        <w:rPr>
          <w:rFonts w:cs="Times New Roman"/>
          <w:szCs w:val="24"/>
          <w:lang w:val="fr-CA"/>
        </w:rPr>
        <w:t>une infraction grave, puis au par. 340, il fait remarquer que plus l</w:t>
      </w:r>
      <w:r>
        <w:rPr>
          <w:rFonts w:cs="Times New Roman"/>
          <w:szCs w:val="24"/>
          <w:lang w:val="fr-CA"/>
        </w:rPr>
        <w:t>’</w:t>
      </w:r>
      <w:r w:rsidRPr="00CA43DD">
        <w:rPr>
          <w:rFonts w:cs="Times New Roman"/>
          <w:szCs w:val="24"/>
          <w:lang w:val="fr-CA"/>
        </w:rPr>
        <w:t>infraction est grave, plus l</w:t>
      </w:r>
      <w:r>
        <w:rPr>
          <w:rFonts w:cs="Times New Roman"/>
          <w:szCs w:val="24"/>
          <w:lang w:val="fr-CA"/>
        </w:rPr>
        <w:t>’</w:t>
      </w:r>
      <w:r w:rsidRPr="00CA43DD">
        <w:rPr>
          <w:rFonts w:cs="Times New Roman"/>
          <w:szCs w:val="24"/>
          <w:lang w:val="fr-CA"/>
        </w:rPr>
        <w:t>exclusion de la preuve est susceptible de déconsidérer l</w:t>
      </w:r>
      <w:r>
        <w:rPr>
          <w:rFonts w:cs="Times New Roman"/>
          <w:szCs w:val="24"/>
          <w:lang w:val="fr-CA"/>
        </w:rPr>
        <w:t>’</w:t>
      </w:r>
      <w:r w:rsidRPr="00CA43DD">
        <w:rPr>
          <w:rFonts w:cs="Times New Roman"/>
          <w:szCs w:val="24"/>
          <w:lang w:val="fr-CA"/>
        </w:rPr>
        <w:t xml:space="preserve">administration de la justice, surtout lorsque la preuve est essentielle </w:t>
      </w:r>
      <w:r w:rsidRPr="00CA43DD">
        <w:rPr>
          <w:rFonts w:cs="Times New Roman"/>
          <w:szCs w:val="24"/>
          <w:lang w:val="fr-CA"/>
        </w:rPr>
        <w:lastRenderedPageBreak/>
        <w:t>à une déclaration de culpabilité.  Le juge du procès en tient manifestement compte dans son analyse fondée sur le par. 24(2) et, par conséquent, rien ne justifie la Cour d</w:t>
      </w:r>
      <w:r>
        <w:rPr>
          <w:rFonts w:cs="Times New Roman"/>
          <w:szCs w:val="24"/>
          <w:lang w:val="fr-CA"/>
        </w:rPr>
        <w:t>’</w:t>
      </w:r>
      <w:r w:rsidRPr="00CA43DD">
        <w:rPr>
          <w:rFonts w:cs="Times New Roman"/>
          <w:szCs w:val="24"/>
          <w:lang w:val="fr-CA"/>
        </w:rPr>
        <w:t>appel d</w:t>
      </w:r>
      <w:r>
        <w:rPr>
          <w:rFonts w:cs="Times New Roman"/>
          <w:szCs w:val="24"/>
          <w:lang w:val="fr-CA"/>
        </w:rPr>
        <w:t>’</w:t>
      </w:r>
      <w:r w:rsidRPr="00CA43DD">
        <w:rPr>
          <w:rFonts w:cs="Times New Roman"/>
          <w:szCs w:val="24"/>
          <w:lang w:val="fr-CA"/>
        </w:rPr>
        <w:t xml:space="preserve">y accorder simplement une importance accrue.  </w:t>
      </w:r>
    </w:p>
    <w:p w:rsidR="00DC2386" w:rsidRPr="00CA43DD" w:rsidRDefault="00DC2386" w:rsidP="00DC2386">
      <w:pPr>
        <w:pStyle w:val="ParaNoNdepar-AltN"/>
        <w:rPr>
          <w:rFonts w:cs="Times New Roman"/>
          <w:szCs w:val="24"/>
          <w:lang w:val="fr-CA"/>
        </w:rPr>
      </w:pPr>
      <w:r w:rsidRPr="00CA43DD">
        <w:rPr>
          <w:rFonts w:cs="Times New Roman"/>
          <w:szCs w:val="24"/>
          <w:lang w:val="fr-CA"/>
        </w:rPr>
        <w:t>L</w:t>
      </w:r>
      <w:r>
        <w:rPr>
          <w:rFonts w:cs="Times New Roman"/>
          <w:szCs w:val="24"/>
          <w:lang w:val="fr-CA"/>
        </w:rPr>
        <w:t>’</w:t>
      </w:r>
      <w:r w:rsidRPr="00CA43DD">
        <w:rPr>
          <w:rFonts w:cs="Times New Roman"/>
          <w:szCs w:val="24"/>
          <w:lang w:val="fr-CA"/>
        </w:rPr>
        <w:t>intimée prétend que le juge du procès a eu tort de ne pas prendre en compte la fiabilité de la preuve, ce qui se serait répercuté sur son évaluation du troisième élément à considérer pour l</w:t>
      </w:r>
      <w:r>
        <w:rPr>
          <w:rFonts w:cs="Times New Roman"/>
          <w:szCs w:val="24"/>
          <w:lang w:val="fr-CA"/>
        </w:rPr>
        <w:t>’</w:t>
      </w:r>
      <w:r w:rsidRPr="00CA43DD">
        <w:rPr>
          <w:rFonts w:cs="Times New Roman"/>
          <w:szCs w:val="24"/>
          <w:lang w:val="fr-CA"/>
        </w:rPr>
        <w:t>application du par. 24(2).  Je reconnais que le juge du procès ne dit pas expressément que la preuve est fiable, mais il est évidemment tout à fait conscient de la nature de la preuve qu</w:t>
      </w:r>
      <w:r>
        <w:rPr>
          <w:rFonts w:cs="Times New Roman"/>
          <w:szCs w:val="24"/>
          <w:lang w:val="fr-CA"/>
        </w:rPr>
        <w:t>’</w:t>
      </w:r>
      <w:r w:rsidRPr="00CA43DD">
        <w:rPr>
          <w:rFonts w:cs="Times New Roman"/>
          <w:szCs w:val="24"/>
          <w:lang w:val="fr-CA"/>
        </w:rPr>
        <w:t>il écarte.  La preuve est fiable en ce sens qu</w:t>
      </w:r>
      <w:r>
        <w:rPr>
          <w:rFonts w:cs="Times New Roman"/>
          <w:szCs w:val="24"/>
          <w:lang w:val="fr-CA"/>
        </w:rPr>
        <w:t>’</w:t>
      </w:r>
      <w:r w:rsidRPr="00CA43DD">
        <w:rPr>
          <w:rFonts w:cs="Times New Roman"/>
          <w:szCs w:val="24"/>
          <w:lang w:val="fr-CA"/>
        </w:rPr>
        <w:t>elle est objective et matérielle, ce qui était certainement évident pour le juge du procès, qui la décrit en détail dans ses motifs.  La thèse de l</w:t>
      </w:r>
      <w:r>
        <w:rPr>
          <w:rFonts w:cs="Times New Roman"/>
          <w:szCs w:val="24"/>
          <w:lang w:val="fr-CA"/>
        </w:rPr>
        <w:t>’</w:t>
      </w:r>
      <w:r w:rsidRPr="00CA43DD">
        <w:rPr>
          <w:rFonts w:cs="Times New Roman"/>
          <w:szCs w:val="24"/>
          <w:lang w:val="fr-CA"/>
        </w:rPr>
        <w:t>intimée fait aussi abstraction de ce que le juge du procès se prononce avant l</w:t>
      </w:r>
      <w:r>
        <w:rPr>
          <w:rFonts w:cs="Times New Roman"/>
          <w:szCs w:val="24"/>
          <w:lang w:val="fr-CA"/>
        </w:rPr>
        <w:t>’</w:t>
      </w:r>
      <w:r w:rsidRPr="00CA43DD">
        <w:rPr>
          <w:rFonts w:cs="Times New Roman"/>
          <w:szCs w:val="24"/>
          <w:lang w:val="fr-CA"/>
        </w:rPr>
        <w:t xml:space="preserve">arrêt </w:t>
      </w:r>
      <w:r w:rsidRPr="00CA43DD">
        <w:rPr>
          <w:rFonts w:cs="Times New Roman"/>
          <w:i/>
          <w:iCs/>
          <w:szCs w:val="24"/>
          <w:lang w:val="fr-CA"/>
        </w:rPr>
        <w:t>Grant</w:t>
      </w:r>
      <w:r w:rsidRPr="00CA43DD">
        <w:rPr>
          <w:rFonts w:cs="Times New Roman"/>
          <w:szCs w:val="24"/>
          <w:lang w:val="fr-CA"/>
        </w:rPr>
        <w:t xml:space="preserve"> de notre Cour, de sorte qu</w:t>
      </w:r>
      <w:r>
        <w:rPr>
          <w:rFonts w:cs="Times New Roman"/>
          <w:szCs w:val="24"/>
          <w:lang w:val="fr-CA"/>
        </w:rPr>
        <w:t>’</w:t>
      </w:r>
      <w:r w:rsidRPr="00CA43DD">
        <w:rPr>
          <w:rFonts w:cs="Times New Roman"/>
          <w:szCs w:val="24"/>
          <w:lang w:val="fr-CA"/>
        </w:rPr>
        <w:t>il a pu s</w:t>
      </w:r>
      <w:r>
        <w:rPr>
          <w:rFonts w:cs="Times New Roman"/>
          <w:szCs w:val="24"/>
          <w:lang w:val="fr-CA"/>
        </w:rPr>
        <w:t>’</w:t>
      </w:r>
      <w:r w:rsidRPr="00CA43DD">
        <w:rPr>
          <w:rFonts w:cs="Times New Roman"/>
          <w:szCs w:val="24"/>
          <w:lang w:val="fr-CA"/>
        </w:rPr>
        <w:t>exprimer en des termes différents.  Je ne fais pas droit à la prétention de l</w:t>
      </w:r>
      <w:r>
        <w:rPr>
          <w:rFonts w:cs="Times New Roman"/>
          <w:szCs w:val="24"/>
          <w:lang w:val="fr-CA"/>
        </w:rPr>
        <w:t>’</w:t>
      </w:r>
      <w:r w:rsidRPr="00CA43DD">
        <w:rPr>
          <w:rFonts w:cs="Times New Roman"/>
          <w:szCs w:val="24"/>
          <w:lang w:val="fr-CA"/>
        </w:rPr>
        <w:t xml:space="preserve">intimée selon laquelle le juge du procès ne se serait pas penché sur la fiabilité de la preuve, ce qui aurait influé sur sa décision fondée sur le par. 24(2). </w:t>
      </w:r>
    </w:p>
    <w:p w:rsidR="00DC2386" w:rsidRPr="00CA43DD" w:rsidRDefault="00DC2386" w:rsidP="00DC2386">
      <w:pPr>
        <w:pStyle w:val="ParaNoNdepar-AltN"/>
        <w:rPr>
          <w:rFonts w:cs="Times New Roman"/>
          <w:szCs w:val="24"/>
          <w:lang w:val="fr-CA"/>
        </w:rPr>
      </w:pPr>
      <w:r w:rsidRPr="00CA43DD">
        <w:rPr>
          <w:rFonts w:cs="Times New Roman"/>
          <w:szCs w:val="24"/>
          <w:lang w:val="fr-CA"/>
        </w:rPr>
        <w:t>En conclusion, la Cour d</w:t>
      </w:r>
      <w:r>
        <w:rPr>
          <w:rFonts w:cs="Times New Roman"/>
          <w:szCs w:val="24"/>
          <w:lang w:val="fr-CA"/>
        </w:rPr>
        <w:t>’</w:t>
      </w:r>
      <w:r w:rsidRPr="00CA43DD">
        <w:rPr>
          <w:rFonts w:cs="Times New Roman"/>
          <w:szCs w:val="24"/>
          <w:lang w:val="fr-CA"/>
        </w:rPr>
        <w:t>appel a eu tort de modifier cette décision du juge du procès au motif que les policiers n</w:t>
      </w:r>
      <w:r>
        <w:rPr>
          <w:rFonts w:cs="Times New Roman"/>
          <w:szCs w:val="24"/>
          <w:lang w:val="fr-CA"/>
        </w:rPr>
        <w:t>’</w:t>
      </w:r>
      <w:r w:rsidRPr="00CA43DD">
        <w:rPr>
          <w:rFonts w:cs="Times New Roman"/>
          <w:szCs w:val="24"/>
          <w:lang w:val="fr-CA"/>
        </w:rPr>
        <w:t>avaient pas délibérément agi de manière abusive.  Ils ont agi de la sorte; c</w:t>
      </w:r>
      <w:r>
        <w:rPr>
          <w:rFonts w:cs="Times New Roman"/>
          <w:szCs w:val="24"/>
          <w:lang w:val="fr-CA"/>
        </w:rPr>
        <w:t>’</w:t>
      </w:r>
      <w:r w:rsidRPr="00CA43DD">
        <w:rPr>
          <w:rFonts w:cs="Times New Roman"/>
          <w:szCs w:val="24"/>
          <w:lang w:val="fr-CA"/>
        </w:rPr>
        <w:t>est ce que conclut le juge du procès.  Elle n</w:t>
      </w:r>
      <w:r>
        <w:rPr>
          <w:rFonts w:cs="Times New Roman"/>
          <w:szCs w:val="24"/>
          <w:lang w:val="fr-CA"/>
        </w:rPr>
        <w:t>’</w:t>
      </w:r>
      <w:r w:rsidRPr="00CA43DD">
        <w:rPr>
          <w:rFonts w:cs="Times New Roman"/>
          <w:szCs w:val="24"/>
          <w:lang w:val="fr-CA"/>
        </w:rPr>
        <w:t>aurait pas dû non plus modifier la décision en accordant une importance accrue à la gravité de l</w:t>
      </w:r>
      <w:r>
        <w:rPr>
          <w:rFonts w:cs="Times New Roman"/>
          <w:szCs w:val="24"/>
          <w:lang w:val="fr-CA"/>
        </w:rPr>
        <w:t>’</w:t>
      </w:r>
      <w:r w:rsidRPr="00CA43DD">
        <w:rPr>
          <w:rFonts w:cs="Times New Roman"/>
          <w:szCs w:val="24"/>
          <w:lang w:val="fr-CA"/>
        </w:rPr>
        <w:t xml:space="preserve">infraction alors que le juge du procès était parfaitement conscient de </w:t>
      </w:r>
      <w:proofErr w:type="spellStart"/>
      <w:r w:rsidRPr="00CA43DD">
        <w:rPr>
          <w:rFonts w:cs="Times New Roman"/>
          <w:szCs w:val="24"/>
          <w:lang w:val="fr-CA"/>
        </w:rPr>
        <w:t>celle</w:t>
      </w:r>
      <w:r w:rsidRPr="00CA43DD">
        <w:rPr>
          <w:rFonts w:cs="Times New Roman"/>
          <w:szCs w:val="24"/>
          <w:lang w:val="fr-CA"/>
        </w:rPr>
        <w:noBreakHyphen/>
        <w:t>ci</w:t>
      </w:r>
      <w:proofErr w:type="spellEnd"/>
      <w:r w:rsidRPr="00CA43DD">
        <w:rPr>
          <w:rFonts w:cs="Times New Roman"/>
          <w:szCs w:val="24"/>
          <w:lang w:val="fr-CA"/>
        </w:rPr>
        <w:t xml:space="preserve"> et qu</w:t>
      </w:r>
      <w:r>
        <w:rPr>
          <w:rFonts w:cs="Times New Roman"/>
          <w:szCs w:val="24"/>
          <w:lang w:val="fr-CA"/>
        </w:rPr>
        <w:t>’</w:t>
      </w:r>
      <w:r w:rsidRPr="00CA43DD">
        <w:rPr>
          <w:rFonts w:cs="Times New Roman"/>
          <w:szCs w:val="24"/>
          <w:lang w:val="fr-CA"/>
        </w:rPr>
        <w:t>il en a dûment tenu compte.  La Cour d</w:t>
      </w:r>
      <w:r>
        <w:rPr>
          <w:rFonts w:cs="Times New Roman"/>
          <w:szCs w:val="24"/>
          <w:lang w:val="fr-CA"/>
        </w:rPr>
        <w:t>’</w:t>
      </w:r>
      <w:r w:rsidRPr="00CA43DD">
        <w:rPr>
          <w:rFonts w:cs="Times New Roman"/>
          <w:szCs w:val="24"/>
          <w:lang w:val="fr-CA"/>
        </w:rPr>
        <w:t>appel n</w:t>
      </w:r>
      <w:r>
        <w:rPr>
          <w:rFonts w:cs="Times New Roman"/>
          <w:szCs w:val="24"/>
          <w:lang w:val="fr-CA"/>
        </w:rPr>
        <w:t>’</w:t>
      </w:r>
      <w:r w:rsidRPr="00CA43DD">
        <w:rPr>
          <w:rFonts w:cs="Times New Roman"/>
          <w:szCs w:val="24"/>
          <w:lang w:val="fr-CA"/>
        </w:rPr>
        <w:t xml:space="preserve">aurait pas dû substituer </w:t>
      </w:r>
      <w:r w:rsidRPr="00CA43DD">
        <w:rPr>
          <w:rFonts w:cs="Times New Roman"/>
          <w:szCs w:val="24"/>
          <w:lang w:val="fr-CA"/>
        </w:rPr>
        <w:lastRenderedPageBreak/>
        <w:t xml:space="preserve">simplement son appréciation de ces considérations à celle du juge du procès, qui les a clairement examinées en fonction des bons principes juridiques. </w:t>
      </w:r>
    </w:p>
    <w:p w:rsidR="00DC2386" w:rsidRPr="00CA43DD" w:rsidRDefault="00DC2386" w:rsidP="006E7471">
      <w:pPr>
        <w:pStyle w:val="TitleTitre-AltT"/>
        <w:keepNext/>
        <w:tabs>
          <w:tab w:val="clear" w:pos="360"/>
          <w:tab w:val="left" w:pos="720"/>
        </w:tabs>
        <w:spacing w:after="720"/>
        <w:ind w:left="720" w:hanging="720"/>
        <w:rPr>
          <w:rFonts w:cs="Times New Roman"/>
          <w:i/>
          <w:szCs w:val="24"/>
          <w:lang w:val="fr-CA"/>
        </w:rPr>
      </w:pPr>
      <w:r w:rsidRPr="00CA43DD">
        <w:rPr>
          <w:rFonts w:cs="Times New Roman"/>
          <w:szCs w:val="24"/>
          <w:lang w:val="fr-CA"/>
        </w:rPr>
        <w:t>D.</w:t>
      </w:r>
      <w:r w:rsidRPr="00CA43DD">
        <w:rPr>
          <w:rFonts w:cs="Times New Roman"/>
          <w:szCs w:val="24"/>
          <w:lang w:val="fr-CA"/>
        </w:rPr>
        <w:tab/>
      </w:r>
      <w:r w:rsidRPr="00CA43DD">
        <w:rPr>
          <w:rFonts w:cs="Times New Roman"/>
          <w:i/>
          <w:szCs w:val="24"/>
          <w:lang w:val="fr-CA"/>
        </w:rPr>
        <w:t>Deuxième question en litige</w:t>
      </w:r>
    </w:p>
    <w:p w:rsidR="00DC2386" w:rsidRPr="00200148" w:rsidRDefault="00DC2386" w:rsidP="00DC2386">
      <w:pPr>
        <w:pStyle w:val="ParaNoNdepar-AltN"/>
        <w:rPr>
          <w:szCs w:val="24"/>
          <w:lang w:val="fr-CA"/>
        </w:rPr>
      </w:pPr>
      <w:r w:rsidRPr="00200148">
        <w:rPr>
          <w:rFonts w:cs="Times New Roman"/>
          <w:szCs w:val="24"/>
          <w:lang w:val="fr-CA"/>
        </w:rPr>
        <w:t>Je passe maintenant à la seconde question en litige :</w:t>
      </w:r>
      <w:r w:rsidR="00200148">
        <w:rPr>
          <w:rFonts w:cs="Times New Roman"/>
          <w:szCs w:val="24"/>
          <w:lang w:val="fr-CA"/>
        </w:rPr>
        <w:t xml:space="preserve"> </w:t>
      </w:r>
      <w:r w:rsidRPr="00200148">
        <w:rPr>
          <w:szCs w:val="24"/>
          <w:lang w:val="fr-CA"/>
        </w:rPr>
        <w:t xml:space="preserve">La Cour d’appel </w:t>
      </w:r>
      <w:proofErr w:type="spellStart"/>
      <w:r w:rsidRPr="00200148">
        <w:rPr>
          <w:szCs w:val="24"/>
          <w:lang w:val="fr-CA"/>
        </w:rPr>
        <w:t>a</w:t>
      </w:r>
      <w:r w:rsidRPr="00200148">
        <w:rPr>
          <w:szCs w:val="24"/>
          <w:lang w:val="fr-CA"/>
        </w:rPr>
        <w:noBreakHyphen/>
        <w:t>t</w:t>
      </w:r>
      <w:r w:rsidRPr="00200148">
        <w:rPr>
          <w:szCs w:val="24"/>
          <w:lang w:val="fr-CA"/>
        </w:rPr>
        <w:noBreakHyphen/>
        <w:t>elle</w:t>
      </w:r>
      <w:proofErr w:type="spellEnd"/>
      <w:r w:rsidRPr="00200148">
        <w:rPr>
          <w:szCs w:val="24"/>
          <w:lang w:val="fr-CA"/>
        </w:rPr>
        <w:t xml:space="preserve"> eu tort d’intervenir sur le fondement de la « possibilité de découvrir » la preuve?</w:t>
      </w:r>
    </w:p>
    <w:p w:rsidR="00DC2386" w:rsidRPr="00CA43DD" w:rsidRDefault="00200148" w:rsidP="00200148">
      <w:pPr>
        <w:pStyle w:val="TitleTitre-AltT"/>
        <w:keepNext/>
        <w:tabs>
          <w:tab w:val="clear" w:pos="360"/>
          <w:tab w:val="left" w:pos="1170"/>
        </w:tabs>
        <w:spacing w:after="720"/>
        <w:ind w:left="1800" w:hanging="1800"/>
        <w:rPr>
          <w:rFonts w:cs="Times New Roman"/>
          <w:szCs w:val="24"/>
          <w:lang w:val="fr-CA"/>
        </w:rPr>
      </w:pPr>
      <w:r>
        <w:rPr>
          <w:rFonts w:cs="Times New Roman"/>
          <w:szCs w:val="24"/>
          <w:lang w:val="fr-CA"/>
        </w:rPr>
        <w:tab/>
      </w:r>
      <w:r w:rsidR="00DC2386" w:rsidRPr="00CA43DD">
        <w:rPr>
          <w:rFonts w:cs="Times New Roman"/>
          <w:szCs w:val="24"/>
          <w:lang w:val="fr-CA"/>
        </w:rPr>
        <w:t>(1)</w:t>
      </w:r>
      <w:r w:rsidR="00DC2386" w:rsidRPr="00CA43DD">
        <w:rPr>
          <w:rFonts w:cs="Times New Roman"/>
          <w:i/>
          <w:szCs w:val="24"/>
          <w:lang w:val="fr-CA"/>
        </w:rPr>
        <w:tab/>
      </w:r>
      <w:r w:rsidR="00DC2386" w:rsidRPr="00CA43DD">
        <w:rPr>
          <w:rFonts w:cs="Times New Roman"/>
          <w:szCs w:val="24"/>
          <w:u w:val="single"/>
          <w:lang w:val="fr-CA"/>
        </w:rPr>
        <w:t>Intervention de la Cour d</w:t>
      </w:r>
      <w:r w:rsidR="00DC2386">
        <w:rPr>
          <w:rFonts w:cs="Times New Roman"/>
          <w:szCs w:val="24"/>
          <w:u w:val="single"/>
          <w:lang w:val="fr-CA"/>
        </w:rPr>
        <w:t>’</w:t>
      </w:r>
      <w:r w:rsidR="00DC2386" w:rsidRPr="00CA43DD">
        <w:rPr>
          <w:rFonts w:cs="Times New Roman"/>
          <w:szCs w:val="24"/>
          <w:u w:val="single"/>
          <w:lang w:val="fr-CA"/>
        </w:rPr>
        <w:t>appel sur le fondement de la possibilité de découvrir la preuve</w:t>
      </w:r>
    </w:p>
    <w:p w:rsidR="00DC2386" w:rsidRPr="00CA43DD" w:rsidRDefault="00DC2386" w:rsidP="00DC2386">
      <w:pPr>
        <w:pStyle w:val="ParaNoNdepar-AltN"/>
        <w:rPr>
          <w:rFonts w:cs="Times New Roman"/>
          <w:szCs w:val="24"/>
          <w:lang w:val="fr-CA"/>
        </w:rPr>
      </w:pPr>
      <w:r w:rsidRPr="00CA43DD">
        <w:rPr>
          <w:rFonts w:cs="Times New Roman"/>
          <w:szCs w:val="24"/>
          <w:lang w:val="fr-CA"/>
        </w:rPr>
        <w:t>Comme je le mentionne précédemment, la Cour d</w:t>
      </w:r>
      <w:r>
        <w:rPr>
          <w:rFonts w:cs="Times New Roman"/>
          <w:szCs w:val="24"/>
          <w:lang w:val="fr-CA"/>
        </w:rPr>
        <w:t>’</w:t>
      </w:r>
      <w:r w:rsidRPr="00CA43DD">
        <w:rPr>
          <w:rFonts w:cs="Times New Roman"/>
          <w:szCs w:val="24"/>
          <w:lang w:val="fr-CA"/>
        </w:rPr>
        <w:t>appel se dit également convaincue que la preuve matérielle (qu</w:t>
      </w:r>
      <w:r>
        <w:rPr>
          <w:rFonts w:cs="Times New Roman"/>
          <w:szCs w:val="24"/>
          <w:lang w:val="fr-CA"/>
        </w:rPr>
        <w:t>’</w:t>
      </w:r>
      <w:r w:rsidRPr="00CA43DD">
        <w:rPr>
          <w:rFonts w:cs="Times New Roman"/>
          <w:szCs w:val="24"/>
          <w:lang w:val="fr-CA"/>
        </w:rPr>
        <w:t>elle qualifie entièrement de « preuve dérivée ») n</w:t>
      </w:r>
      <w:r>
        <w:rPr>
          <w:rFonts w:cs="Times New Roman"/>
          <w:szCs w:val="24"/>
          <w:lang w:val="fr-CA"/>
        </w:rPr>
        <w:t>’</w:t>
      </w:r>
      <w:r w:rsidRPr="00CA43DD">
        <w:rPr>
          <w:rFonts w:cs="Times New Roman"/>
          <w:szCs w:val="24"/>
          <w:lang w:val="fr-CA"/>
        </w:rPr>
        <w:t>aurait pas dû être écartée, car elle aurait pu être recueillie légalement avec un mandat, sans la participation de l</w:t>
      </w:r>
      <w:r>
        <w:rPr>
          <w:rFonts w:cs="Times New Roman"/>
          <w:szCs w:val="24"/>
          <w:lang w:val="fr-CA"/>
        </w:rPr>
        <w:t>’</w:t>
      </w:r>
      <w:r w:rsidRPr="00CA43DD">
        <w:rPr>
          <w:rFonts w:cs="Times New Roman"/>
          <w:szCs w:val="24"/>
          <w:lang w:val="fr-CA"/>
        </w:rPr>
        <w:t>appelante (par. 33).  Suivant mon interprétation de ses motifs, il s</w:t>
      </w:r>
      <w:r>
        <w:rPr>
          <w:rFonts w:cs="Times New Roman"/>
          <w:szCs w:val="24"/>
          <w:lang w:val="fr-CA"/>
        </w:rPr>
        <w:t>’</w:t>
      </w:r>
      <w:r w:rsidRPr="00CA43DD">
        <w:rPr>
          <w:rFonts w:cs="Times New Roman"/>
          <w:szCs w:val="24"/>
          <w:lang w:val="fr-CA"/>
        </w:rPr>
        <w:t>agit du principal fondement de son intervention.  L</w:t>
      </w:r>
      <w:r>
        <w:rPr>
          <w:rFonts w:cs="Times New Roman"/>
          <w:szCs w:val="24"/>
          <w:lang w:val="fr-CA"/>
        </w:rPr>
        <w:t>’</w:t>
      </w:r>
      <w:r w:rsidRPr="00CA43DD">
        <w:rPr>
          <w:rFonts w:cs="Times New Roman"/>
          <w:szCs w:val="24"/>
          <w:lang w:val="fr-CA"/>
        </w:rPr>
        <w:t>importance qu</w:t>
      </w:r>
      <w:r>
        <w:rPr>
          <w:rFonts w:cs="Times New Roman"/>
          <w:szCs w:val="24"/>
          <w:lang w:val="fr-CA"/>
        </w:rPr>
        <w:t>’</w:t>
      </w:r>
      <w:r w:rsidRPr="00CA43DD">
        <w:rPr>
          <w:rFonts w:cs="Times New Roman"/>
          <w:szCs w:val="24"/>
          <w:lang w:val="fr-CA"/>
        </w:rPr>
        <w:t>elle accorde à la possibilité de découvrir la preuve influe sur son appréciation des considérations à soupeser pour l</w:t>
      </w:r>
      <w:r>
        <w:rPr>
          <w:rFonts w:cs="Times New Roman"/>
          <w:szCs w:val="24"/>
          <w:lang w:val="fr-CA"/>
        </w:rPr>
        <w:t>’</w:t>
      </w:r>
      <w:r w:rsidRPr="00CA43DD">
        <w:rPr>
          <w:rFonts w:cs="Times New Roman"/>
          <w:szCs w:val="24"/>
          <w:lang w:val="fr-CA"/>
        </w:rPr>
        <w:t>application du par. 24(2), en particulier la deuxième : l</w:t>
      </w:r>
      <w:r>
        <w:rPr>
          <w:rFonts w:cs="Times New Roman"/>
          <w:szCs w:val="24"/>
          <w:lang w:val="fr-CA"/>
        </w:rPr>
        <w:t>’</w:t>
      </w:r>
      <w:r w:rsidRPr="00CA43DD">
        <w:rPr>
          <w:rFonts w:cs="Times New Roman"/>
          <w:szCs w:val="24"/>
          <w:lang w:val="fr-CA"/>
        </w:rPr>
        <w:t>incidence de la violation sur les droits de l</w:t>
      </w:r>
      <w:r>
        <w:rPr>
          <w:rFonts w:cs="Times New Roman"/>
          <w:szCs w:val="24"/>
          <w:lang w:val="fr-CA"/>
        </w:rPr>
        <w:t>’</w:t>
      </w:r>
      <w:r w:rsidRPr="00CA43DD">
        <w:rPr>
          <w:rFonts w:cs="Times New Roman"/>
          <w:szCs w:val="24"/>
          <w:lang w:val="fr-CA"/>
        </w:rPr>
        <w:t>accusé.  La Cour d</w:t>
      </w:r>
      <w:r>
        <w:rPr>
          <w:rFonts w:cs="Times New Roman"/>
          <w:szCs w:val="24"/>
          <w:lang w:val="fr-CA"/>
        </w:rPr>
        <w:t>’</w:t>
      </w:r>
      <w:r w:rsidRPr="00CA43DD">
        <w:rPr>
          <w:rFonts w:cs="Times New Roman"/>
          <w:szCs w:val="24"/>
          <w:lang w:val="fr-CA"/>
        </w:rPr>
        <w:t>appel estime que l</w:t>
      </w:r>
      <w:r>
        <w:rPr>
          <w:rFonts w:cs="Times New Roman"/>
          <w:szCs w:val="24"/>
          <w:lang w:val="fr-CA"/>
        </w:rPr>
        <w:t>’</w:t>
      </w:r>
      <w:r w:rsidRPr="00CA43DD">
        <w:rPr>
          <w:rFonts w:cs="Times New Roman"/>
          <w:szCs w:val="24"/>
          <w:lang w:val="fr-CA"/>
        </w:rPr>
        <w:t>effet des violations est atténué par le fait que la preuve aurait pu être obtenue légalement, de sorte que son utilisation n</w:t>
      </w:r>
      <w:r>
        <w:rPr>
          <w:rFonts w:cs="Times New Roman"/>
          <w:szCs w:val="24"/>
          <w:lang w:val="fr-CA"/>
        </w:rPr>
        <w:t>’</w:t>
      </w:r>
      <w:r w:rsidRPr="00CA43DD">
        <w:rPr>
          <w:rFonts w:cs="Times New Roman"/>
          <w:szCs w:val="24"/>
          <w:lang w:val="fr-CA"/>
        </w:rPr>
        <w:t>est pas susceptible de nuire à l</w:t>
      </w:r>
      <w:r>
        <w:rPr>
          <w:rFonts w:cs="Times New Roman"/>
          <w:szCs w:val="24"/>
          <w:lang w:val="fr-CA"/>
        </w:rPr>
        <w:t>’</w:t>
      </w:r>
      <w:r w:rsidRPr="00CA43DD">
        <w:rPr>
          <w:rFonts w:cs="Times New Roman"/>
          <w:szCs w:val="24"/>
          <w:lang w:val="fr-CA"/>
        </w:rPr>
        <w:t>équité du procès ni de déconsidérer l</w:t>
      </w:r>
      <w:r>
        <w:rPr>
          <w:rFonts w:cs="Times New Roman"/>
          <w:szCs w:val="24"/>
          <w:lang w:val="fr-CA"/>
        </w:rPr>
        <w:t>’</w:t>
      </w:r>
      <w:r w:rsidRPr="00CA43DD">
        <w:rPr>
          <w:rFonts w:cs="Times New Roman"/>
          <w:szCs w:val="24"/>
          <w:lang w:val="fr-CA"/>
        </w:rPr>
        <w:t>administration de la justice.</w:t>
      </w:r>
    </w:p>
    <w:p w:rsidR="00DC2386" w:rsidRPr="00CA43DD" w:rsidRDefault="00DC2386" w:rsidP="00DC2386">
      <w:pPr>
        <w:pStyle w:val="ParaNoNdepar-AltN"/>
        <w:rPr>
          <w:rFonts w:cs="Times New Roman"/>
          <w:szCs w:val="24"/>
          <w:lang w:val="fr-CA"/>
        </w:rPr>
      </w:pPr>
      <w:r w:rsidRPr="00CA43DD">
        <w:rPr>
          <w:rFonts w:cs="Times New Roman"/>
          <w:szCs w:val="24"/>
          <w:lang w:val="fr-CA"/>
        </w:rPr>
        <w:lastRenderedPageBreak/>
        <w:t>Conscient de cette réalité, le juge du procès fait observer au par. 347 de ses motifs qu</w:t>
      </w:r>
      <w:r>
        <w:rPr>
          <w:rFonts w:cs="Times New Roman"/>
          <w:szCs w:val="24"/>
          <w:lang w:val="fr-CA"/>
        </w:rPr>
        <w:t>’</w:t>
      </w:r>
      <w:r w:rsidRPr="00CA43DD">
        <w:rPr>
          <w:rFonts w:cs="Times New Roman"/>
          <w:szCs w:val="24"/>
          <w:lang w:val="fr-CA"/>
        </w:rPr>
        <w:t>il aurait été possible, voire probable, que les policiers poursuivent leur enquête de manière efficace et constitutionnelle s</w:t>
      </w:r>
      <w:r>
        <w:rPr>
          <w:rFonts w:cs="Times New Roman"/>
          <w:szCs w:val="24"/>
          <w:lang w:val="fr-CA"/>
        </w:rPr>
        <w:t>’</w:t>
      </w:r>
      <w:r w:rsidRPr="00CA43DD">
        <w:rPr>
          <w:rFonts w:cs="Times New Roman"/>
          <w:szCs w:val="24"/>
          <w:lang w:val="fr-CA"/>
        </w:rPr>
        <w:t>ils avaient respecté les principes simples et élémentaires applicables.</w:t>
      </w:r>
    </w:p>
    <w:p w:rsidR="00DC2386" w:rsidRPr="00CA43DD" w:rsidRDefault="00DC2386" w:rsidP="00200148">
      <w:pPr>
        <w:pStyle w:val="ParaNoNdepar-AltN"/>
        <w:spacing w:after="720"/>
        <w:rPr>
          <w:rFonts w:cs="Times New Roman"/>
          <w:szCs w:val="24"/>
          <w:lang w:val="fr-CA"/>
        </w:rPr>
      </w:pPr>
      <w:r w:rsidRPr="00CA43DD">
        <w:rPr>
          <w:rFonts w:cs="Times New Roman"/>
          <w:szCs w:val="24"/>
          <w:lang w:val="fr-CA"/>
        </w:rPr>
        <w:t>Pour analyser la manière dont la Cour d</w:t>
      </w:r>
      <w:r>
        <w:rPr>
          <w:rFonts w:cs="Times New Roman"/>
          <w:szCs w:val="24"/>
          <w:lang w:val="fr-CA"/>
        </w:rPr>
        <w:t>’</w:t>
      </w:r>
      <w:r w:rsidRPr="00CA43DD">
        <w:rPr>
          <w:rFonts w:cs="Times New Roman"/>
          <w:szCs w:val="24"/>
          <w:lang w:val="fr-CA"/>
        </w:rPr>
        <w:t>appel applique la notion de possibilité de découvrir la preuve, il faut répondre aux questions suivantes :</w:t>
      </w:r>
    </w:p>
    <w:p w:rsidR="00DC2386" w:rsidRPr="00CA43DD" w:rsidRDefault="00DC2386" w:rsidP="000D7D17">
      <w:pPr>
        <w:pStyle w:val="TitleTitre-AltT"/>
        <w:keepNext/>
        <w:tabs>
          <w:tab w:val="clear" w:pos="360"/>
          <w:tab w:val="left" w:pos="720"/>
        </w:tabs>
        <w:spacing w:after="720" w:line="480" w:lineRule="auto"/>
        <w:ind w:left="720" w:hanging="720"/>
        <w:rPr>
          <w:szCs w:val="24"/>
          <w:lang w:val="fr-CA"/>
        </w:rPr>
      </w:pPr>
      <w:r w:rsidRPr="00CA43DD">
        <w:rPr>
          <w:szCs w:val="24"/>
          <w:lang w:val="fr-CA"/>
        </w:rPr>
        <w:t>a)</w:t>
      </w:r>
      <w:r w:rsidRPr="00CA43DD">
        <w:rPr>
          <w:szCs w:val="24"/>
          <w:lang w:val="fr-CA"/>
        </w:rPr>
        <w:tab/>
        <w:t>L</w:t>
      </w:r>
      <w:r>
        <w:rPr>
          <w:szCs w:val="24"/>
          <w:lang w:val="fr-CA"/>
        </w:rPr>
        <w:t>’</w:t>
      </w:r>
      <w:r w:rsidRPr="00CA43DD">
        <w:rPr>
          <w:szCs w:val="24"/>
          <w:lang w:val="fr-CA"/>
        </w:rPr>
        <w:t xml:space="preserve">évolution du droit issue de </w:t>
      </w:r>
      <w:r w:rsidRPr="00CA43DD">
        <w:rPr>
          <w:i/>
          <w:szCs w:val="24"/>
          <w:lang w:val="fr-CA"/>
        </w:rPr>
        <w:t>Grant</w:t>
      </w:r>
      <w:r w:rsidRPr="00CA43DD">
        <w:rPr>
          <w:szCs w:val="24"/>
          <w:lang w:val="fr-CA"/>
        </w:rPr>
        <w:t xml:space="preserve"> et des arrêts connexes </w:t>
      </w:r>
      <w:proofErr w:type="spellStart"/>
      <w:r w:rsidRPr="00CA43DD">
        <w:rPr>
          <w:szCs w:val="24"/>
          <w:lang w:val="fr-CA"/>
        </w:rPr>
        <w:t>justifie</w:t>
      </w:r>
      <w:r w:rsidRPr="00CA43DD">
        <w:rPr>
          <w:szCs w:val="24"/>
          <w:lang w:val="fr-CA"/>
        </w:rPr>
        <w:noBreakHyphen/>
        <w:t>t</w:t>
      </w:r>
      <w:r w:rsidRPr="00CA43DD">
        <w:rPr>
          <w:szCs w:val="24"/>
          <w:lang w:val="fr-CA"/>
        </w:rPr>
        <w:noBreakHyphen/>
        <w:t>elle</w:t>
      </w:r>
      <w:proofErr w:type="spellEnd"/>
      <w:r w:rsidRPr="00CA43DD">
        <w:rPr>
          <w:szCs w:val="24"/>
          <w:lang w:val="fr-CA"/>
        </w:rPr>
        <w:t xml:space="preserve"> l</w:t>
      </w:r>
      <w:r>
        <w:rPr>
          <w:szCs w:val="24"/>
          <w:lang w:val="fr-CA"/>
        </w:rPr>
        <w:t>’</w:t>
      </w:r>
      <w:r w:rsidRPr="00CA43DD">
        <w:rPr>
          <w:szCs w:val="24"/>
          <w:lang w:val="fr-CA"/>
        </w:rPr>
        <w:t>intervention en appel?</w:t>
      </w:r>
    </w:p>
    <w:p w:rsidR="00DC2386" w:rsidRPr="00CA43DD" w:rsidRDefault="00DC2386" w:rsidP="000D7D17">
      <w:pPr>
        <w:pStyle w:val="TitleTitre-AltT"/>
        <w:keepNext/>
        <w:tabs>
          <w:tab w:val="clear" w:pos="360"/>
          <w:tab w:val="left" w:pos="720"/>
        </w:tabs>
        <w:spacing w:after="720" w:line="480" w:lineRule="auto"/>
        <w:ind w:left="720" w:hanging="720"/>
        <w:rPr>
          <w:szCs w:val="24"/>
          <w:lang w:val="fr-CA"/>
        </w:rPr>
      </w:pPr>
      <w:r w:rsidRPr="00CA43DD">
        <w:rPr>
          <w:szCs w:val="24"/>
          <w:lang w:val="fr-CA"/>
        </w:rPr>
        <w:t>b)</w:t>
      </w:r>
      <w:r w:rsidRPr="00CA43DD">
        <w:rPr>
          <w:szCs w:val="24"/>
          <w:lang w:val="fr-CA"/>
        </w:rPr>
        <w:tab/>
        <w:t xml:space="preserve">Que </w:t>
      </w:r>
      <w:proofErr w:type="spellStart"/>
      <w:r w:rsidRPr="00CA43DD">
        <w:rPr>
          <w:szCs w:val="24"/>
          <w:lang w:val="fr-CA"/>
        </w:rPr>
        <w:t>faut</w:t>
      </w:r>
      <w:r w:rsidRPr="00CA43DD">
        <w:rPr>
          <w:szCs w:val="24"/>
          <w:lang w:val="fr-CA"/>
        </w:rPr>
        <w:noBreakHyphen/>
        <w:t>il</w:t>
      </w:r>
      <w:proofErr w:type="spellEnd"/>
      <w:r w:rsidRPr="00CA43DD">
        <w:rPr>
          <w:szCs w:val="24"/>
          <w:lang w:val="fr-CA"/>
        </w:rPr>
        <w:t xml:space="preserve"> entendre par </w:t>
      </w:r>
      <w:r w:rsidR="007C7801">
        <w:rPr>
          <w:szCs w:val="24"/>
          <w:lang w:val="fr-CA"/>
        </w:rPr>
        <w:t xml:space="preserve">la </w:t>
      </w:r>
      <w:r w:rsidRPr="00CA43DD">
        <w:rPr>
          <w:szCs w:val="24"/>
          <w:lang w:val="fr-CA"/>
        </w:rPr>
        <w:t xml:space="preserve">possibilité de découvrir la preuve et en quoi cette notion </w:t>
      </w:r>
      <w:proofErr w:type="spellStart"/>
      <w:r w:rsidRPr="00CA43DD">
        <w:rPr>
          <w:szCs w:val="24"/>
          <w:lang w:val="fr-CA"/>
        </w:rPr>
        <w:t>influe</w:t>
      </w:r>
      <w:r w:rsidRPr="00CA43DD">
        <w:rPr>
          <w:szCs w:val="24"/>
          <w:lang w:val="fr-CA"/>
        </w:rPr>
        <w:noBreakHyphen/>
        <w:t>t</w:t>
      </w:r>
      <w:r w:rsidRPr="00CA43DD">
        <w:rPr>
          <w:szCs w:val="24"/>
          <w:lang w:val="fr-CA"/>
        </w:rPr>
        <w:noBreakHyphen/>
        <w:t>elle</w:t>
      </w:r>
      <w:proofErr w:type="spellEnd"/>
      <w:r w:rsidRPr="00CA43DD">
        <w:rPr>
          <w:szCs w:val="24"/>
          <w:lang w:val="fr-CA"/>
        </w:rPr>
        <w:t xml:space="preserve"> sur l</w:t>
      </w:r>
      <w:r>
        <w:rPr>
          <w:szCs w:val="24"/>
          <w:lang w:val="fr-CA"/>
        </w:rPr>
        <w:t>’</w:t>
      </w:r>
      <w:r w:rsidRPr="00CA43DD">
        <w:rPr>
          <w:szCs w:val="24"/>
          <w:lang w:val="fr-CA"/>
        </w:rPr>
        <w:t xml:space="preserve">analyse que commande le par. 24(2) suivant </w:t>
      </w:r>
      <w:r w:rsidRPr="00CA43DD">
        <w:rPr>
          <w:i/>
          <w:szCs w:val="24"/>
          <w:lang w:val="fr-CA"/>
        </w:rPr>
        <w:t>Grant</w:t>
      </w:r>
      <w:r w:rsidRPr="00CA43DD">
        <w:rPr>
          <w:szCs w:val="24"/>
          <w:lang w:val="fr-CA"/>
        </w:rPr>
        <w:t xml:space="preserve"> et les arrêts connexes?</w:t>
      </w:r>
    </w:p>
    <w:p w:rsidR="00DC2386" w:rsidRPr="00CA43DD" w:rsidRDefault="00DC2386" w:rsidP="000D7D17">
      <w:pPr>
        <w:pStyle w:val="TitleTitre-AltT"/>
        <w:keepNext/>
        <w:tabs>
          <w:tab w:val="clear" w:pos="360"/>
          <w:tab w:val="left" w:pos="720"/>
        </w:tabs>
        <w:spacing w:after="720" w:line="480" w:lineRule="auto"/>
        <w:ind w:left="720" w:hanging="720"/>
        <w:rPr>
          <w:szCs w:val="24"/>
          <w:lang w:val="fr-CA"/>
        </w:rPr>
      </w:pPr>
      <w:r w:rsidRPr="00CA43DD">
        <w:rPr>
          <w:szCs w:val="24"/>
          <w:lang w:val="fr-CA"/>
        </w:rPr>
        <w:t>c)</w:t>
      </w:r>
      <w:r w:rsidRPr="00CA43DD">
        <w:rPr>
          <w:szCs w:val="24"/>
          <w:lang w:val="fr-CA"/>
        </w:rPr>
        <w:tab/>
        <w:t>La Cour d</w:t>
      </w:r>
      <w:r>
        <w:rPr>
          <w:szCs w:val="24"/>
          <w:lang w:val="fr-CA"/>
        </w:rPr>
        <w:t>’</w:t>
      </w:r>
      <w:r w:rsidRPr="00CA43DD">
        <w:rPr>
          <w:szCs w:val="24"/>
          <w:lang w:val="fr-CA"/>
        </w:rPr>
        <w:t xml:space="preserve">appel </w:t>
      </w:r>
      <w:proofErr w:type="spellStart"/>
      <w:r w:rsidRPr="00CA43DD">
        <w:rPr>
          <w:szCs w:val="24"/>
          <w:lang w:val="fr-CA"/>
        </w:rPr>
        <w:t>a</w:t>
      </w:r>
      <w:r w:rsidRPr="00CA43DD">
        <w:rPr>
          <w:szCs w:val="24"/>
          <w:lang w:val="fr-CA"/>
        </w:rPr>
        <w:noBreakHyphen/>
        <w:t>t</w:t>
      </w:r>
      <w:r w:rsidRPr="00CA43DD">
        <w:rPr>
          <w:szCs w:val="24"/>
          <w:lang w:val="fr-CA"/>
        </w:rPr>
        <w:noBreakHyphen/>
        <w:t>elle</w:t>
      </w:r>
      <w:proofErr w:type="spellEnd"/>
      <w:r w:rsidRPr="00CA43DD">
        <w:rPr>
          <w:szCs w:val="24"/>
          <w:lang w:val="fr-CA"/>
        </w:rPr>
        <w:t xml:space="preserve"> appliqué erronément la notion de possibilité de découvrir la preuve lors de son analyse fondée sur le par. 24(2)?</w:t>
      </w:r>
    </w:p>
    <w:p w:rsidR="00DC2386" w:rsidRPr="00CA43DD" w:rsidRDefault="00DC2386" w:rsidP="00DC2386">
      <w:pPr>
        <w:pStyle w:val="ParaNoNdepar-AltN"/>
        <w:rPr>
          <w:rFonts w:cs="Times New Roman"/>
          <w:szCs w:val="24"/>
          <w:lang w:val="fr-CA"/>
        </w:rPr>
      </w:pPr>
      <w:r w:rsidRPr="00CA43DD">
        <w:rPr>
          <w:rFonts w:cs="Times New Roman"/>
          <w:szCs w:val="24"/>
          <w:lang w:val="fr-CA"/>
        </w:rPr>
        <w:t>J</w:t>
      </w:r>
      <w:r>
        <w:rPr>
          <w:rFonts w:cs="Times New Roman"/>
          <w:szCs w:val="24"/>
          <w:lang w:val="fr-CA"/>
        </w:rPr>
        <w:t>’</w:t>
      </w:r>
      <w:r w:rsidRPr="00CA43DD">
        <w:rPr>
          <w:rFonts w:cs="Times New Roman"/>
          <w:szCs w:val="24"/>
          <w:lang w:val="fr-CA"/>
        </w:rPr>
        <w:t>examine successivement chacune de ces questions.</w:t>
      </w:r>
    </w:p>
    <w:p w:rsidR="00DC2386" w:rsidRPr="00CA43DD" w:rsidRDefault="00DC2386" w:rsidP="00200148">
      <w:pPr>
        <w:pStyle w:val="TitleTitre-AltT"/>
        <w:keepNext/>
        <w:tabs>
          <w:tab w:val="clear" w:pos="360"/>
          <w:tab w:val="left" w:pos="1170"/>
        </w:tabs>
        <w:spacing w:after="720"/>
        <w:ind w:left="1800" w:hanging="1800"/>
        <w:rPr>
          <w:rFonts w:cs="Times New Roman"/>
          <w:szCs w:val="24"/>
          <w:lang w:val="fr-CA"/>
        </w:rPr>
      </w:pPr>
      <w:r w:rsidRPr="00CA43DD">
        <w:rPr>
          <w:rFonts w:cs="Times New Roman"/>
          <w:i/>
          <w:szCs w:val="24"/>
          <w:lang w:val="fr-CA"/>
        </w:rPr>
        <w:lastRenderedPageBreak/>
        <w:tab/>
      </w:r>
      <w:r w:rsidRPr="00CA43DD">
        <w:rPr>
          <w:rFonts w:cs="Times New Roman"/>
          <w:szCs w:val="24"/>
          <w:lang w:val="fr-CA"/>
        </w:rPr>
        <w:t>a)</w:t>
      </w:r>
      <w:r w:rsidRPr="00CA43DD">
        <w:rPr>
          <w:rFonts w:cs="Times New Roman"/>
          <w:i/>
          <w:szCs w:val="24"/>
          <w:lang w:val="fr-CA"/>
        </w:rPr>
        <w:tab/>
      </w:r>
      <w:r w:rsidRPr="00CA43DD">
        <w:rPr>
          <w:rFonts w:cs="Times New Roman"/>
          <w:i/>
          <w:iCs/>
          <w:szCs w:val="24"/>
          <w:lang w:val="fr-CA"/>
        </w:rPr>
        <w:t>L</w:t>
      </w:r>
      <w:r>
        <w:rPr>
          <w:rFonts w:cs="Times New Roman"/>
          <w:i/>
          <w:iCs/>
          <w:szCs w:val="24"/>
          <w:lang w:val="fr-CA"/>
        </w:rPr>
        <w:t>’</w:t>
      </w:r>
      <w:r w:rsidRPr="00CA43DD">
        <w:rPr>
          <w:rFonts w:cs="Times New Roman"/>
          <w:i/>
          <w:iCs/>
          <w:szCs w:val="24"/>
          <w:lang w:val="fr-CA"/>
        </w:rPr>
        <w:t>évolution</w:t>
      </w:r>
      <w:r w:rsidRPr="00CA43DD">
        <w:rPr>
          <w:rFonts w:cs="Times New Roman"/>
          <w:i/>
          <w:szCs w:val="24"/>
          <w:lang w:val="fr-CA"/>
        </w:rPr>
        <w:t xml:space="preserve"> du droit issue de </w:t>
      </w:r>
      <w:r w:rsidRPr="00CA43DD">
        <w:rPr>
          <w:rFonts w:cs="Times New Roman"/>
          <w:i/>
          <w:iCs/>
          <w:szCs w:val="24"/>
          <w:lang w:val="fr-CA"/>
        </w:rPr>
        <w:t>Grant</w:t>
      </w:r>
      <w:r w:rsidRPr="00CA43DD">
        <w:rPr>
          <w:rFonts w:cs="Times New Roman"/>
          <w:szCs w:val="24"/>
          <w:lang w:val="fr-CA"/>
        </w:rPr>
        <w:t xml:space="preserve"> </w:t>
      </w:r>
      <w:r w:rsidRPr="00CA43DD">
        <w:rPr>
          <w:rFonts w:cs="Times New Roman"/>
          <w:i/>
          <w:szCs w:val="24"/>
          <w:lang w:val="fr-CA"/>
        </w:rPr>
        <w:t xml:space="preserve">et des arrêts connexes </w:t>
      </w:r>
      <w:proofErr w:type="spellStart"/>
      <w:r w:rsidRPr="00CA43DD">
        <w:rPr>
          <w:rFonts w:cs="Times New Roman"/>
          <w:i/>
          <w:szCs w:val="24"/>
          <w:lang w:val="fr-CA"/>
        </w:rPr>
        <w:t>justifie</w:t>
      </w:r>
      <w:r w:rsidRPr="00CA43DD">
        <w:rPr>
          <w:rFonts w:cs="Times New Roman"/>
          <w:i/>
          <w:szCs w:val="24"/>
          <w:lang w:val="fr-CA"/>
        </w:rPr>
        <w:noBreakHyphen/>
        <w:t>t</w:t>
      </w:r>
      <w:r w:rsidRPr="00CA43DD">
        <w:rPr>
          <w:rFonts w:cs="Times New Roman"/>
          <w:i/>
          <w:szCs w:val="24"/>
          <w:lang w:val="fr-CA"/>
        </w:rPr>
        <w:noBreakHyphen/>
        <w:t>elle</w:t>
      </w:r>
      <w:proofErr w:type="spellEnd"/>
      <w:r w:rsidRPr="00CA43DD">
        <w:rPr>
          <w:rFonts w:cs="Times New Roman"/>
          <w:i/>
          <w:szCs w:val="24"/>
          <w:lang w:val="fr-CA"/>
        </w:rPr>
        <w:t xml:space="preserve"> l</w:t>
      </w:r>
      <w:r>
        <w:rPr>
          <w:rFonts w:cs="Times New Roman"/>
          <w:i/>
          <w:szCs w:val="24"/>
          <w:lang w:val="fr-CA"/>
        </w:rPr>
        <w:t>’</w:t>
      </w:r>
      <w:r w:rsidRPr="00CA43DD">
        <w:rPr>
          <w:rFonts w:cs="Times New Roman"/>
          <w:i/>
          <w:szCs w:val="24"/>
          <w:lang w:val="fr-CA"/>
        </w:rPr>
        <w:t>intervention en appel</w:t>
      </w:r>
      <w:r w:rsidRPr="00F66D35">
        <w:rPr>
          <w:rFonts w:cs="Times New Roman"/>
          <w:i/>
          <w:szCs w:val="24"/>
          <w:lang w:val="fr-CA"/>
        </w:rPr>
        <w:t>?</w:t>
      </w:r>
    </w:p>
    <w:p w:rsidR="00DC2386" w:rsidRPr="00CA43DD" w:rsidRDefault="00DC2386" w:rsidP="00DC2386">
      <w:pPr>
        <w:pStyle w:val="ParaNoNdepar-AltN"/>
        <w:rPr>
          <w:rFonts w:cs="Times New Roman"/>
          <w:szCs w:val="24"/>
          <w:lang w:val="fr-CA"/>
        </w:rPr>
      </w:pPr>
      <w:r w:rsidRPr="00CA43DD">
        <w:rPr>
          <w:rFonts w:cs="Times New Roman"/>
          <w:szCs w:val="24"/>
          <w:lang w:val="fr-CA"/>
        </w:rPr>
        <w:t>La Cour d</w:t>
      </w:r>
      <w:r>
        <w:rPr>
          <w:rFonts w:cs="Times New Roman"/>
          <w:szCs w:val="24"/>
          <w:lang w:val="fr-CA"/>
        </w:rPr>
        <w:t>’</w:t>
      </w:r>
      <w:r w:rsidRPr="00CA43DD">
        <w:rPr>
          <w:rFonts w:cs="Times New Roman"/>
          <w:szCs w:val="24"/>
          <w:lang w:val="fr-CA"/>
        </w:rPr>
        <w:t xml:space="preserve">appel estime que des arrêts postérieurs à la décision du juge du procès, dont </w:t>
      </w:r>
      <w:r w:rsidRPr="00CA43DD">
        <w:rPr>
          <w:rFonts w:cs="Times New Roman"/>
          <w:i/>
          <w:szCs w:val="24"/>
          <w:lang w:val="fr-CA"/>
        </w:rPr>
        <w:t>Grant</w:t>
      </w:r>
      <w:r w:rsidRPr="00CA43DD">
        <w:rPr>
          <w:rFonts w:cs="Times New Roman"/>
          <w:szCs w:val="24"/>
          <w:lang w:val="fr-CA"/>
        </w:rPr>
        <w:t>, ont modifié le droit relatif à l</w:t>
      </w:r>
      <w:r>
        <w:rPr>
          <w:rFonts w:cs="Times New Roman"/>
          <w:szCs w:val="24"/>
          <w:lang w:val="fr-CA"/>
        </w:rPr>
        <w:t>’</w:t>
      </w:r>
      <w:r w:rsidRPr="00CA43DD">
        <w:rPr>
          <w:rFonts w:cs="Times New Roman"/>
          <w:szCs w:val="24"/>
          <w:lang w:val="fr-CA"/>
        </w:rPr>
        <w:t>utilisat</w:t>
      </w:r>
      <w:r w:rsidR="007C7801">
        <w:rPr>
          <w:rFonts w:cs="Times New Roman"/>
          <w:szCs w:val="24"/>
          <w:lang w:val="fr-CA"/>
        </w:rPr>
        <w:t>ion de la preuve dérivée fiable</w:t>
      </w:r>
      <w:r w:rsidRPr="00CA43DD">
        <w:rPr>
          <w:rFonts w:cs="Times New Roman"/>
          <w:szCs w:val="24"/>
          <w:lang w:val="fr-CA"/>
        </w:rPr>
        <w:t>.  Elle entend par « preuve dérivée » la preuve matérielle découverte à la suite d</w:t>
      </w:r>
      <w:r>
        <w:rPr>
          <w:rFonts w:cs="Times New Roman"/>
          <w:szCs w:val="24"/>
          <w:lang w:val="fr-CA"/>
        </w:rPr>
        <w:t>’</w:t>
      </w:r>
      <w:r w:rsidRPr="00CA43DD">
        <w:rPr>
          <w:rFonts w:cs="Times New Roman"/>
          <w:szCs w:val="24"/>
          <w:lang w:val="fr-CA"/>
        </w:rPr>
        <w:t>une déclaration obtenue illégalement.  Au sens large, la preuve est « dérivée » lorsqu</w:t>
      </w:r>
      <w:r>
        <w:rPr>
          <w:rFonts w:cs="Times New Roman"/>
          <w:szCs w:val="24"/>
          <w:lang w:val="fr-CA"/>
        </w:rPr>
        <w:t>’</w:t>
      </w:r>
      <w:r w:rsidRPr="00CA43DD">
        <w:rPr>
          <w:rFonts w:cs="Times New Roman"/>
          <w:szCs w:val="24"/>
          <w:lang w:val="fr-CA"/>
        </w:rPr>
        <w:t>elle est découverte grâce à un autre élément de preuve obtenu de façon inconstitutionnelle.  Suivant le principe de l</w:t>
      </w:r>
      <w:r>
        <w:rPr>
          <w:rFonts w:cs="Times New Roman"/>
          <w:szCs w:val="24"/>
          <w:lang w:val="fr-CA"/>
        </w:rPr>
        <w:t>’</w:t>
      </w:r>
      <w:r w:rsidRPr="00CA43DD">
        <w:rPr>
          <w:rFonts w:cs="Times New Roman"/>
          <w:szCs w:val="24"/>
          <w:lang w:val="fr-CA"/>
        </w:rPr>
        <w:t xml:space="preserve">équité du procès dégagé dans </w:t>
      </w:r>
      <w:r w:rsidRPr="00CA43DD">
        <w:rPr>
          <w:rFonts w:cs="Times New Roman"/>
          <w:i/>
          <w:szCs w:val="24"/>
          <w:lang w:val="fr-CA"/>
        </w:rPr>
        <w:t xml:space="preserve">R. c. </w:t>
      </w:r>
      <w:r w:rsidRPr="00CA43DD">
        <w:rPr>
          <w:rFonts w:cs="Times New Roman"/>
          <w:i/>
          <w:iCs/>
          <w:szCs w:val="24"/>
          <w:lang w:val="fr-CA"/>
        </w:rPr>
        <w:t>Collins</w:t>
      </w:r>
      <w:r w:rsidRPr="00CA43DD">
        <w:rPr>
          <w:rFonts w:cs="Times New Roman"/>
          <w:szCs w:val="24"/>
          <w:lang w:val="fr-CA"/>
        </w:rPr>
        <w:t>, [1987] 1 R.C.S. 265, la preuve dérivée obtenue grâce à la mobilisation inconstitutionnelle de l</w:t>
      </w:r>
      <w:r>
        <w:rPr>
          <w:rFonts w:cs="Times New Roman"/>
          <w:szCs w:val="24"/>
          <w:lang w:val="fr-CA"/>
        </w:rPr>
        <w:t>’</w:t>
      </w:r>
      <w:r w:rsidRPr="00CA43DD">
        <w:rPr>
          <w:rFonts w:cs="Times New Roman"/>
          <w:szCs w:val="24"/>
          <w:lang w:val="fr-CA"/>
        </w:rPr>
        <w:t xml:space="preserve">accusé contre </w:t>
      </w:r>
      <w:proofErr w:type="spellStart"/>
      <w:r w:rsidRPr="00CA43DD">
        <w:rPr>
          <w:rFonts w:cs="Times New Roman"/>
          <w:szCs w:val="24"/>
          <w:lang w:val="fr-CA"/>
        </w:rPr>
        <w:t>lui</w:t>
      </w:r>
      <w:r w:rsidRPr="00CA43DD">
        <w:rPr>
          <w:rFonts w:cs="Times New Roman"/>
          <w:szCs w:val="24"/>
          <w:lang w:val="fr-CA"/>
        </w:rPr>
        <w:noBreakHyphen/>
        <w:t>même</w:t>
      </w:r>
      <w:proofErr w:type="spellEnd"/>
      <w:r w:rsidRPr="00CA43DD">
        <w:rPr>
          <w:rFonts w:cs="Times New Roman"/>
          <w:szCs w:val="24"/>
          <w:lang w:val="fr-CA"/>
        </w:rPr>
        <w:t>, c</w:t>
      </w:r>
      <w:r>
        <w:rPr>
          <w:rFonts w:cs="Times New Roman"/>
          <w:szCs w:val="24"/>
          <w:lang w:val="fr-CA"/>
        </w:rPr>
        <w:t>’</w:t>
      </w:r>
      <w:r w:rsidRPr="00CA43DD">
        <w:rPr>
          <w:rFonts w:cs="Times New Roman"/>
          <w:szCs w:val="24"/>
          <w:lang w:val="fr-CA"/>
        </w:rPr>
        <w:t>est</w:t>
      </w:r>
      <w:r w:rsidRPr="00CA43DD">
        <w:rPr>
          <w:rFonts w:cs="Times New Roman"/>
          <w:szCs w:val="24"/>
          <w:lang w:val="fr-CA"/>
        </w:rPr>
        <w:noBreakHyphen/>
      </w:r>
      <w:proofErr w:type="spellStart"/>
      <w:r w:rsidRPr="00CA43DD">
        <w:rPr>
          <w:rFonts w:cs="Times New Roman"/>
          <w:szCs w:val="24"/>
          <w:lang w:val="fr-CA"/>
        </w:rPr>
        <w:t>à</w:t>
      </w:r>
      <w:r w:rsidRPr="00CA43DD">
        <w:rPr>
          <w:rFonts w:cs="Times New Roman"/>
          <w:szCs w:val="24"/>
          <w:lang w:val="fr-CA"/>
        </w:rPr>
        <w:noBreakHyphen/>
        <w:t>dire</w:t>
      </w:r>
      <w:proofErr w:type="spellEnd"/>
      <w:r w:rsidRPr="00CA43DD">
        <w:rPr>
          <w:rFonts w:cs="Times New Roman"/>
          <w:szCs w:val="24"/>
          <w:lang w:val="fr-CA"/>
        </w:rPr>
        <w:t xml:space="preserve"> l</w:t>
      </w:r>
      <w:r>
        <w:rPr>
          <w:rFonts w:cs="Times New Roman"/>
          <w:szCs w:val="24"/>
          <w:lang w:val="fr-CA"/>
        </w:rPr>
        <w:t>’</w:t>
      </w:r>
      <w:proofErr w:type="spellStart"/>
      <w:r w:rsidRPr="00CA43DD">
        <w:rPr>
          <w:rFonts w:cs="Times New Roman"/>
          <w:szCs w:val="24"/>
          <w:lang w:val="fr-CA"/>
        </w:rPr>
        <w:t>auto</w:t>
      </w:r>
      <w:r w:rsidRPr="00CA43DD">
        <w:rPr>
          <w:rFonts w:cs="Times New Roman"/>
          <w:szCs w:val="24"/>
          <w:lang w:val="fr-CA"/>
        </w:rPr>
        <w:noBreakHyphen/>
        <w:t>incrimination</w:t>
      </w:r>
      <w:proofErr w:type="spellEnd"/>
      <w:r w:rsidRPr="00CA43DD">
        <w:rPr>
          <w:rFonts w:cs="Times New Roman"/>
          <w:szCs w:val="24"/>
          <w:lang w:val="fr-CA"/>
        </w:rPr>
        <w:t xml:space="preserve"> forcée sur l</w:t>
      </w:r>
      <w:r>
        <w:rPr>
          <w:rFonts w:cs="Times New Roman"/>
          <w:szCs w:val="24"/>
          <w:lang w:val="fr-CA"/>
        </w:rPr>
        <w:t>’</w:t>
      </w:r>
      <w:r w:rsidRPr="00CA43DD">
        <w:rPr>
          <w:rFonts w:cs="Times New Roman"/>
          <w:szCs w:val="24"/>
          <w:lang w:val="fr-CA"/>
        </w:rPr>
        <w:t>ordre de l</w:t>
      </w:r>
      <w:r>
        <w:rPr>
          <w:rFonts w:cs="Times New Roman"/>
          <w:szCs w:val="24"/>
          <w:lang w:val="fr-CA"/>
        </w:rPr>
        <w:t>’</w:t>
      </w:r>
      <w:r w:rsidRPr="00CA43DD">
        <w:rPr>
          <w:rFonts w:cs="Times New Roman"/>
          <w:szCs w:val="24"/>
          <w:lang w:val="fr-CA"/>
        </w:rPr>
        <w:t>État, est généralement écartée — en raison de son incidence présumée sur l</w:t>
      </w:r>
      <w:r>
        <w:rPr>
          <w:rFonts w:cs="Times New Roman"/>
          <w:szCs w:val="24"/>
          <w:lang w:val="fr-CA"/>
        </w:rPr>
        <w:t>’</w:t>
      </w:r>
      <w:r w:rsidRPr="00CA43DD">
        <w:rPr>
          <w:rFonts w:cs="Times New Roman"/>
          <w:szCs w:val="24"/>
          <w:lang w:val="fr-CA"/>
        </w:rPr>
        <w:t>équité du procès —, sauf si elle aurait pu être découverte de façon indépendante.  La Cour d</w:t>
      </w:r>
      <w:r>
        <w:rPr>
          <w:rFonts w:cs="Times New Roman"/>
          <w:szCs w:val="24"/>
          <w:lang w:val="fr-CA"/>
        </w:rPr>
        <w:t>’</w:t>
      </w:r>
      <w:r w:rsidRPr="00CA43DD">
        <w:rPr>
          <w:rFonts w:cs="Times New Roman"/>
          <w:szCs w:val="24"/>
          <w:lang w:val="fr-CA"/>
        </w:rPr>
        <w:t>appel opine qu</w:t>
      </w:r>
      <w:r>
        <w:rPr>
          <w:rFonts w:cs="Times New Roman"/>
          <w:szCs w:val="24"/>
          <w:lang w:val="fr-CA"/>
        </w:rPr>
        <w:t>’</w:t>
      </w:r>
      <w:r w:rsidRPr="00CA43DD">
        <w:rPr>
          <w:rFonts w:cs="Times New Roman"/>
          <w:szCs w:val="24"/>
          <w:lang w:val="fr-CA"/>
        </w:rPr>
        <w:t>en raison de l</w:t>
      </w:r>
      <w:r>
        <w:rPr>
          <w:rFonts w:cs="Times New Roman"/>
          <w:szCs w:val="24"/>
          <w:lang w:val="fr-CA"/>
        </w:rPr>
        <w:t>’</w:t>
      </w:r>
      <w:r w:rsidRPr="00CA43DD">
        <w:rPr>
          <w:rFonts w:cs="Times New Roman"/>
          <w:szCs w:val="24"/>
          <w:lang w:val="fr-CA"/>
        </w:rPr>
        <w:t xml:space="preserve">arrêt </w:t>
      </w:r>
      <w:r w:rsidRPr="00CA43DD">
        <w:rPr>
          <w:rFonts w:cs="Times New Roman"/>
          <w:i/>
          <w:szCs w:val="24"/>
          <w:lang w:val="fr-CA"/>
        </w:rPr>
        <w:t>Grant</w:t>
      </w:r>
      <w:r w:rsidRPr="00CA43DD">
        <w:rPr>
          <w:rFonts w:cs="Times New Roman"/>
          <w:szCs w:val="24"/>
          <w:lang w:val="fr-CA"/>
        </w:rPr>
        <w:t xml:space="preserve"> et des arrêts connexes, l</w:t>
      </w:r>
      <w:r>
        <w:rPr>
          <w:rFonts w:cs="Times New Roman"/>
          <w:szCs w:val="24"/>
          <w:lang w:val="fr-CA"/>
        </w:rPr>
        <w:t>’</w:t>
      </w:r>
      <w:r w:rsidRPr="00CA43DD">
        <w:rPr>
          <w:rFonts w:cs="Times New Roman"/>
          <w:szCs w:val="24"/>
          <w:lang w:val="fr-CA"/>
        </w:rPr>
        <w:t>admissibilité d</w:t>
      </w:r>
      <w:r>
        <w:rPr>
          <w:rFonts w:cs="Times New Roman"/>
          <w:szCs w:val="24"/>
          <w:lang w:val="fr-CA"/>
        </w:rPr>
        <w:t>’</w:t>
      </w:r>
      <w:r w:rsidRPr="00CA43DD">
        <w:rPr>
          <w:rFonts w:cs="Times New Roman"/>
          <w:szCs w:val="24"/>
          <w:lang w:val="fr-CA"/>
        </w:rPr>
        <w:t>une telle preuve doit désormais être déterminée comme celle de tout autre élément de preuve, soit en se demandant si son utilisation est susceptible de déconsidérer l</w:t>
      </w:r>
      <w:r>
        <w:rPr>
          <w:rFonts w:cs="Times New Roman"/>
          <w:szCs w:val="24"/>
          <w:lang w:val="fr-CA"/>
        </w:rPr>
        <w:t>’</w:t>
      </w:r>
      <w:r w:rsidRPr="00CA43DD">
        <w:rPr>
          <w:rFonts w:cs="Times New Roman"/>
          <w:szCs w:val="24"/>
          <w:lang w:val="fr-CA"/>
        </w:rPr>
        <w:t>administration de la justice.  Étant donné la probabilité accrue que la preuve dérivée obtenue par la mobilisation de l</w:t>
      </w:r>
      <w:r>
        <w:rPr>
          <w:rFonts w:cs="Times New Roman"/>
          <w:szCs w:val="24"/>
          <w:lang w:val="fr-CA"/>
        </w:rPr>
        <w:t>’</w:t>
      </w:r>
      <w:r w:rsidRPr="00CA43DD">
        <w:rPr>
          <w:rFonts w:cs="Times New Roman"/>
          <w:szCs w:val="24"/>
          <w:lang w:val="fr-CA"/>
        </w:rPr>
        <w:t xml:space="preserve">accusée contre </w:t>
      </w:r>
      <w:proofErr w:type="spellStart"/>
      <w:r w:rsidRPr="00CA43DD">
        <w:rPr>
          <w:rFonts w:cs="Times New Roman"/>
          <w:szCs w:val="24"/>
          <w:lang w:val="fr-CA"/>
        </w:rPr>
        <w:t>elle</w:t>
      </w:r>
      <w:r w:rsidRPr="00CA43DD">
        <w:rPr>
          <w:rFonts w:cs="Times New Roman"/>
          <w:szCs w:val="24"/>
          <w:lang w:val="fr-CA"/>
        </w:rPr>
        <w:noBreakHyphen/>
        <w:t>même</w:t>
      </w:r>
      <w:proofErr w:type="spellEnd"/>
      <w:r w:rsidRPr="00CA43DD">
        <w:rPr>
          <w:rFonts w:cs="Times New Roman"/>
          <w:szCs w:val="24"/>
          <w:lang w:val="fr-CA"/>
        </w:rPr>
        <w:t xml:space="preserve"> ait été écartée à l</w:t>
      </w:r>
      <w:r>
        <w:rPr>
          <w:rFonts w:cs="Times New Roman"/>
          <w:szCs w:val="24"/>
          <w:lang w:val="fr-CA"/>
        </w:rPr>
        <w:t>’</w:t>
      </w:r>
      <w:r w:rsidRPr="00CA43DD">
        <w:rPr>
          <w:rFonts w:cs="Times New Roman"/>
          <w:szCs w:val="24"/>
          <w:lang w:val="fr-CA"/>
        </w:rPr>
        <w:t>issue de l</w:t>
      </w:r>
      <w:r>
        <w:rPr>
          <w:rFonts w:cs="Times New Roman"/>
          <w:szCs w:val="24"/>
          <w:lang w:val="fr-CA"/>
        </w:rPr>
        <w:t>’</w:t>
      </w:r>
      <w:r w:rsidRPr="00CA43DD">
        <w:rPr>
          <w:rFonts w:cs="Times New Roman"/>
          <w:szCs w:val="24"/>
          <w:lang w:val="fr-CA"/>
        </w:rPr>
        <w:t>analyse qui avait cours avant l</w:t>
      </w:r>
      <w:r>
        <w:rPr>
          <w:rFonts w:cs="Times New Roman"/>
          <w:szCs w:val="24"/>
          <w:lang w:val="fr-CA"/>
        </w:rPr>
        <w:t>’</w:t>
      </w:r>
      <w:r w:rsidRPr="00CA43DD">
        <w:rPr>
          <w:rFonts w:cs="Times New Roman"/>
          <w:szCs w:val="24"/>
          <w:lang w:val="fr-CA"/>
        </w:rPr>
        <w:t xml:space="preserve">arrêt </w:t>
      </w:r>
      <w:r w:rsidRPr="00CA43DD">
        <w:rPr>
          <w:rFonts w:cs="Times New Roman"/>
          <w:i/>
          <w:szCs w:val="24"/>
          <w:lang w:val="fr-CA"/>
        </w:rPr>
        <w:t>Grant</w:t>
      </w:r>
      <w:r w:rsidRPr="00CA43DD">
        <w:rPr>
          <w:rFonts w:cs="Times New Roman"/>
          <w:szCs w:val="24"/>
          <w:lang w:val="fr-CA"/>
        </w:rPr>
        <w:t>, la Cour d</w:t>
      </w:r>
      <w:r>
        <w:rPr>
          <w:rFonts w:cs="Times New Roman"/>
          <w:szCs w:val="24"/>
          <w:lang w:val="fr-CA"/>
        </w:rPr>
        <w:t>’</w:t>
      </w:r>
      <w:r w:rsidRPr="00CA43DD">
        <w:rPr>
          <w:rFonts w:cs="Times New Roman"/>
          <w:szCs w:val="24"/>
          <w:lang w:val="fr-CA"/>
        </w:rPr>
        <w:t>appel paraît laisser entendre qu</w:t>
      </w:r>
      <w:r>
        <w:rPr>
          <w:rFonts w:cs="Times New Roman"/>
          <w:szCs w:val="24"/>
          <w:lang w:val="fr-CA"/>
        </w:rPr>
        <w:t>’</w:t>
      </w:r>
      <w:r w:rsidRPr="00CA43DD">
        <w:rPr>
          <w:rFonts w:cs="Times New Roman"/>
          <w:szCs w:val="24"/>
          <w:lang w:val="fr-CA"/>
        </w:rPr>
        <w:t>il faut reprendre l</w:t>
      </w:r>
      <w:r>
        <w:rPr>
          <w:rFonts w:cs="Times New Roman"/>
          <w:szCs w:val="24"/>
          <w:lang w:val="fr-CA"/>
        </w:rPr>
        <w:t>’</w:t>
      </w:r>
      <w:r w:rsidRPr="00CA43DD">
        <w:rPr>
          <w:rFonts w:cs="Times New Roman"/>
          <w:szCs w:val="24"/>
          <w:lang w:val="fr-CA"/>
        </w:rPr>
        <w:t>analyse fondée sur le par. 24(2) en suivant la nouvelle démarche prescrite dans l</w:t>
      </w:r>
      <w:r>
        <w:rPr>
          <w:rFonts w:cs="Times New Roman"/>
          <w:szCs w:val="24"/>
          <w:lang w:val="fr-CA"/>
        </w:rPr>
        <w:t>’</w:t>
      </w:r>
      <w:r w:rsidRPr="00CA43DD">
        <w:rPr>
          <w:rFonts w:cs="Times New Roman"/>
          <w:szCs w:val="24"/>
          <w:lang w:val="fr-CA"/>
        </w:rPr>
        <w:t xml:space="preserve">arrêt </w:t>
      </w:r>
      <w:r w:rsidRPr="00CA43DD">
        <w:rPr>
          <w:rFonts w:cs="Times New Roman"/>
          <w:i/>
          <w:iCs/>
          <w:szCs w:val="24"/>
          <w:lang w:val="fr-CA"/>
        </w:rPr>
        <w:t>Grant</w:t>
      </w:r>
      <w:r w:rsidRPr="00CA43DD">
        <w:rPr>
          <w:rFonts w:cs="Times New Roman"/>
          <w:szCs w:val="24"/>
          <w:lang w:val="fr-CA"/>
        </w:rPr>
        <w:t>.</w:t>
      </w:r>
    </w:p>
    <w:p w:rsidR="00DC2386" w:rsidRPr="00CA43DD" w:rsidRDefault="00DC2386" w:rsidP="00DC2386">
      <w:pPr>
        <w:pStyle w:val="ParaNoNdepar-AltN"/>
        <w:rPr>
          <w:rFonts w:cs="Times New Roman"/>
          <w:szCs w:val="24"/>
          <w:lang w:val="fr-CA"/>
        </w:rPr>
      </w:pPr>
      <w:r w:rsidRPr="00CA43DD">
        <w:rPr>
          <w:rFonts w:cs="Times New Roman"/>
          <w:szCs w:val="24"/>
          <w:lang w:val="fr-CA"/>
        </w:rPr>
        <w:lastRenderedPageBreak/>
        <w:t>À mon humble avis, le problème fondamental du raisonnement de la Cour d</w:t>
      </w:r>
      <w:r>
        <w:rPr>
          <w:rFonts w:cs="Times New Roman"/>
          <w:szCs w:val="24"/>
          <w:lang w:val="fr-CA"/>
        </w:rPr>
        <w:t>’</w:t>
      </w:r>
      <w:r w:rsidRPr="00CA43DD">
        <w:rPr>
          <w:rFonts w:cs="Times New Roman"/>
          <w:szCs w:val="24"/>
          <w:lang w:val="fr-CA"/>
        </w:rPr>
        <w:t>appel est le suivant.  Le juge du procès ne mentionne pas que la preuve a été obtenue en mobilisant l</w:t>
      </w:r>
      <w:r>
        <w:rPr>
          <w:rFonts w:cs="Times New Roman"/>
          <w:szCs w:val="24"/>
          <w:lang w:val="fr-CA"/>
        </w:rPr>
        <w:t>’</w:t>
      </w:r>
      <w:r w:rsidRPr="00CA43DD">
        <w:rPr>
          <w:rFonts w:cs="Times New Roman"/>
          <w:szCs w:val="24"/>
          <w:lang w:val="fr-CA"/>
        </w:rPr>
        <w:t xml:space="preserve">accusée contre </w:t>
      </w:r>
      <w:proofErr w:type="spellStart"/>
      <w:r w:rsidRPr="00CA43DD">
        <w:rPr>
          <w:rFonts w:cs="Times New Roman"/>
          <w:szCs w:val="24"/>
          <w:lang w:val="fr-CA"/>
        </w:rPr>
        <w:t>elle</w:t>
      </w:r>
      <w:r w:rsidRPr="00CA43DD">
        <w:rPr>
          <w:rFonts w:cs="Times New Roman"/>
          <w:szCs w:val="24"/>
          <w:lang w:val="fr-CA"/>
        </w:rPr>
        <w:noBreakHyphen/>
        <w:t>même</w:t>
      </w:r>
      <w:proofErr w:type="spellEnd"/>
      <w:r w:rsidRPr="00CA43DD">
        <w:rPr>
          <w:rFonts w:cs="Times New Roman"/>
          <w:szCs w:val="24"/>
          <w:lang w:val="fr-CA"/>
        </w:rPr>
        <w:t>, ni ne laisse entendre qu</w:t>
      </w:r>
      <w:r>
        <w:rPr>
          <w:rFonts w:cs="Times New Roman"/>
          <w:szCs w:val="24"/>
          <w:lang w:val="fr-CA"/>
        </w:rPr>
        <w:t>’</w:t>
      </w:r>
      <w:r w:rsidRPr="00CA43DD">
        <w:rPr>
          <w:rFonts w:cs="Times New Roman"/>
          <w:szCs w:val="24"/>
          <w:lang w:val="fr-CA"/>
        </w:rPr>
        <w:t>un tel mode d</w:t>
      </w:r>
      <w:r>
        <w:rPr>
          <w:rFonts w:cs="Times New Roman"/>
          <w:szCs w:val="24"/>
          <w:lang w:val="fr-CA"/>
        </w:rPr>
        <w:t>’</w:t>
      </w:r>
      <w:r w:rsidRPr="00CA43DD">
        <w:rPr>
          <w:rFonts w:cs="Times New Roman"/>
          <w:szCs w:val="24"/>
          <w:lang w:val="fr-CA"/>
        </w:rPr>
        <w:t xml:space="preserve">obtention ajoute au </w:t>
      </w:r>
      <w:proofErr w:type="spellStart"/>
      <w:r w:rsidRPr="00CA43DD">
        <w:rPr>
          <w:rFonts w:cs="Times New Roman"/>
          <w:szCs w:val="24"/>
          <w:lang w:val="fr-CA"/>
        </w:rPr>
        <w:t>bien</w:t>
      </w:r>
      <w:r w:rsidRPr="00CA43DD">
        <w:rPr>
          <w:rFonts w:cs="Times New Roman"/>
          <w:szCs w:val="24"/>
          <w:lang w:val="fr-CA"/>
        </w:rPr>
        <w:noBreakHyphen/>
        <w:t>fondé</w:t>
      </w:r>
      <w:proofErr w:type="spellEnd"/>
      <w:r w:rsidRPr="00CA43DD">
        <w:rPr>
          <w:rFonts w:cs="Times New Roman"/>
          <w:szCs w:val="24"/>
          <w:lang w:val="fr-CA"/>
        </w:rPr>
        <w:t xml:space="preserve"> de la décision d</w:t>
      </w:r>
      <w:r>
        <w:rPr>
          <w:rFonts w:cs="Times New Roman"/>
          <w:szCs w:val="24"/>
          <w:lang w:val="fr-CA"/>
        </w:rPr>
        <w:t>’</w:t>
      </w:r>
      <w:r w:rsidRPr="00CA43DD">
        <w:rPr>
          <w:rFonts w:cs="Times New Roman"/>
          <w:szCs w:val="24"/>
          <w:lang w:val="fr-CA"/>
        </w:rPr>
        <w:t>écarter la preuve.  Je vois donc difficilement comment le juge du procès a pu se soucier de la nécessité d</w:t>
      </w:r>
      <w:r>
        <w:rPr>
          <w:rFonts w:cs="Times New Roman"/>
          <w:szCs w:val="24"/>
          <w:lang w:val="fr-CA"/>
        </w:rPr>
        <w:t>’</w:t>
      </w:r>
      <w:r w:rsidRPr="00CA43DD">
        <w:rPr>
          <w:rFonts w:cs="Times New Roman"/>
          <w:szCs w:val="24"/>
          <w:lang w:val="fr-CA"/>
        </w:rPr>
        <w:t>écarter la preuve parce qu</w:t>
      </w:r>
      <w:r>
        <w:rPr>
          <w:rFonts w:cs="Times New Roman"/>
          <w:szCs w:val="24"/>
          <w:lang w:val="fr-CA"/>
        </w:rPr>
        <w:t>’</w:t>
      </w:r>
      <w:r w:rsidRPr="00CA43DD">
        <w:rPr>
          <w:rFonts w:cs="Times New Roman"/>
          <w:szCs w:val="24"/>
          <w:lang w:val="fr-CA"/>
        </w:rPr>
        <w:t>elle avait été obtenue en mobilisant l</w:t>
      </w:r>
      <w:r>
        <w:rPr>
          <w:rFonts w:cs="Times New Roman"/>
          <w:szCs w:val="24"/>
          <w:lang w:val="fr-CA"/>
        </w:rPr>
        <w:t>’</w:t>
      </w:r>
      <w:r w:rsidRPr="00CA43DD">
        <w:rPr>
          <w:rFonts w:cs="Times New Roman"/>
          <w:szCs w:val="24"/>
          <w:lang w:val="fr-CA"/>
        </w:rPr>
        <w:t xml:space="preserve">accusée contre </w:t>
      </w:r>
      <w:proofErr w:type="spellStart"/>
      <w:r w:rsidRPr="00CA43DD">
        <w:rPr>
          <w:rFonts w:cs="Times New Roman"/>
          <w:szCs w:val="24"/>
          <w:lang w:val="fr-CA"/>
        </w:rPr>
        <w:t>elle</w:t>
      </w:r>
      <w:r w:rsidRPr="00CA43DD">
        <w:rPr>
          <w:rFonts w:cs="Times New Roman"/>
          <w:szCs w:val="24"/>
          <w:lang w:val="fr-CA"/>
        </w:rPr>
        <w:noBreakHyphen/>
        <w:t>même</w:t>
      </w:r>
      <w:proofErr w:type="spellEnd"/>
      <w:r w:rsidRPr="00CA43DD">
        <w:rPr>
          <w:rFonts w:cs="Times New Roman"/>
          <w:szCs w:val="24"/>
          <w:lang w:val="fr-CA"/>
        </w:rPr>
        <w:t>.  Par conséquent, le juge du procès n</w:t>
      </w:r>
      <w:r>
        <w:rPr>
          <w:rFonts w:cs="Times New Roman"/>
          <w:szCs w:val="24"/>
          <w:lang w:val="fr-CA"/>
        </w:rPr>
        <w:t>’</w:t>
      </w:r>
      <w:r w:rsidRPr="00CA43DD">
        <w:rPr>
          <w:rFonts w:cs="Times New Roman"/>
          <w:szCs w:val="24"/>
          <w:lang w:val="fr-CA"/>
        </w:rPr>
        <w:t xml:space="preserve">a accordé aucune importance à la nature </w:t>
      </w:r>
      <w:proofErr w:type="spellStart"/>
      <w:r w:rsidRPr="00CA43DD">
        <w:rPr>
          <w:rFonts w:cs="Times New Roman"/>
          <w:szCs w:val="24"/>
          <w:lang w:val="fr-CA"/>
        </w:rPr>
        <w:t>auto</w:t>
      </w:r>
      <w:r w:rsidRPr="00CA43DD">
        <w:rPr>
          <w:rFonts w:cs="Times New Roman"/>
          <w:szCs w:val="24"/>
          <w:lang w:val="fr-CA"/>
        </w:rPr>
        <w:noBreakHyphen/>
        <w:t>incriminante</w:t>
      </w:r>
      <w:proofErr w:type="spellEnd"/>
      <w:r w:rsidRPr="00CA43DD">
        <w:rPr>
          <w:rFonts w:cs="Times New Roman"/>
          <w:szCs w:val="24"/>
          <w:lang w:val="fr-CA"/>
        </w:rPr>
        <w:t xml:space="preserve"> de la preuve, et son analyse ne paraît en faire aucun cas.  Quoi qu</w:t>
      </w:r>
      <w:r>
        <w:rPr>
          <w:rFonts w:cs="Times New Roman"/>
          <w:szCs w:val="24"/>
          <w:lang w:val="fr-CA"/>
        </w:rPr>
        <w:t>’</w:t>
      </w:r>
      <w:r w:rsidRPr="00CA43DD">
        <w:rPr>
          <w:rFonts w:cs="Times New Roman"/>
          <w:szCs w:val="24"/>
          <w:lang w:val="fr-CA"/>
        </w:rPr>
        <w:t>il en soit, la Cour d</w:t>
      </w:r>
      <w:r>
        <w:rPr>
          <w:rFonts w:cs="Times New Roman"/>
          <w:szCs w:val="24"/>
          <w:lang w:val="fr-CA"/>
        </w:rPr>
        <w:t>’</w:t>
      </w:r>
      <w:r w:rsidRPr="00CA43DD">
        <w:rPr>
          <w:rFonts w:cs="Times New Roman"/>
          <w:szCs w:val="24"/>
          <w:lang w:val="fr-CA"/>
        </w:rPr>
        <w:t>appel a tort de qualifier la preuve en entier de preuve dérivée d</w:t>
      </w:r>
      <w:r>
        <w:rPr>
          <w:rFonts w:cs="Times New Roman"/>
          <w:szCs w:val="24"/>
          <w:lang w:val="fr-CA"/>
        </w:rPr>
        <w:t>’</w:t>
      </w:r>
      <w:r w:rsidRPr="00CA43DD">
        <w:rPr>
          <w:rFonts w:cs="Times New Roman"/>
          <w:szCs w:val="24"/>
          <w:lang w:val="fr-CA"/>
        </w:rPr>
        <w:t>une déclaration obtenue illégalement, car dans les faits, une infime partie de la preuve était dérivée.  Seules les deux armes à feu pourraient constituer des éléments de preuve « dérivée » au sens strict précisé par la Cour d</w:t>
      </w:r>
      <w:r>
        <w:rPr>
          <w:rFonts w:cs="Times New Roman"/>
          <w:szCs w:val="24"/>
          <w:lang w:val="fr-CA"/>
        </w:rPr>
        <w:t>’</w:t>
      </w:r>
      <w:r w:rsidRPr="00CA43DD">
        <w:rPr>
          <w:rFonts w:cs="Times New Roman"/>
          <w:szCs w:val="24"/>
          <w:lang w:val="fr-CA"/>
        </w:rPr>
        <w:t>appel puisque l</w:t>
      </w:r>
      <w:r>
        <w:rPr>
          <w:rFonts w:cs="Times New Roman"/>
          <w:szCs w:val="24"/>
          <w:lang w:val="fr-CA"/>
        </w:rPr>
        <w:t>’</w:t>
      </w:r>
      <w:r w:rsidRPr="00CA43DD">
        <w:rPr>
          <w:rFonts w:cs="Times New Roman"/>
          <w:szCs w:val="24"/>
          <w:lang w:val="fr-CA"/>
        </w:rPr>
        <w:t>appelante avait informé les agents Tremblay et Mathieu de leur présence dans la maison.  Même si elle a seulement montré aux policiers l</w:t>
      </w:r>
      <w:r>
        <w:rPr>
          <w:rFonts w:cs="Times New Roman"/>
          <w:szCs w:val="24"/>
          <w:lang w:val="fr-CA"/>
        </w:rPr>
        <w:t>’</w:t>
      </w:r>
      <w:r w:rsidRPr="00CA43DD">
        <w:rPr>
          <w:rFonts w:cs="Times New Roman"/>
          <w:szCs w:val="24"/>
          <w:lang w:val="fr-CA"/>
        </w:rPr>
        <w:t>arme à feu qui se trouvait dans la chambre à coucher, elle leur a révélé qu</w:t>
      </w:r>
      <w:r>
        <w:rPr>
          <w:rFonts w:cs="Times New Roman"/>
          <w:szCs w:val="24"/>
          <w:lang w:val="fr-CA"/>
        </w:rPr>
        <w:t>’</w:t>
      </w:r>
      <w:r w:rsidRPr="00CA43DD">
        <w:rPr>
          <w:rFonts w:cs="Times New Roman"/>
          <w:szCs w:val="24"/>
          <w:lang w:val="fr-CA"/>
        </w:rPr>
        <w:t>il y en avait une deuxième.  Plus important encore, je suis d</w:t>
      </w:r>
      <w:r>
        <w:rPr>
          <w:rFonts w:cs="Times New Roman"/>
          <w:szCs w:val="24"/>
          <w:lang w:val="fr-CA"/>
        </w:rPr>
        <w:t>’</w:t>
      </w:r>
      <w:r w:rsidRPr="00CA43DD">
        <w:rPr>
          <w:rFonts w:cs="Times New Roman"/>
          <w:szCs w:val="24"/>
          <w:lang w:val="fr-CA"/>
        </w:rPr>
        <w:t>avis que, dans son analyse en l</w:t>
      </w:r>
      <w:r>
        <w:rPr>
          <w:rFonts w:cs="Times New Roman"/>
          <w:szCs w:val="24"/>
          <w:lang w:val="fr-CA"/>
        </w:rPr>
        <w:t>’</w:t>
      </w:r>
      <w:r w:rsidRPr="00CA43DD">
        <w:rPr>
          <w:rFonts w:cs="Times New Roman"/>
          <w:szCs w:val="24"/>
          <w:lang w:val="fr-CA"/>
        </w:rPr>
        <w:t>espèce, la Cour d</w:t>
      </w:r>
      <w:r>
        <w:rPr>
          <w:rFonts w:cs="Times New Roman"/>
          <w:szCs w:val="24"/>
          <w:lang w:val="fr-CA"/>
        </w:rPr>
        <w:t>’</w:t>
      </w:r>
      <w:r w:rsidRPr="00CA43DD">
        <w:rPr>
          <w:rFonts w:cs="Times New Roman"/>
          <w:szCs w:val="24"/>
          <w:lang w:val="fr-CA"/>
        </w:rPr>
        <w:t xml:space="preserve">appel applique erronément la notion de la possibilité de découvrir la preuve. </w:t>
      </w:r>
    </w:p>
    <w:p w:rsidR="00DC2386" w:rsidRPr="00CA43DD" w:rsidRDefault="00100DFF" w:rsidP="00200148">
      <w:pPr>
        <w:pStyle w:val="TitleTitre-AltT"/>
        <w:keepNext/>
        <w:tabs>
          <w:tab w:val="clear" w:pos="360"/>
          <w:tab w:val="left" w:pos="1170"/>
        </w:tabs>
        <w:spacing w:after="720"/>
        <w:ind w:left="1800" w:hanging="1800"/>
        <w:rPr>
          <w:rFonts w:cs="Times New Roman"/>
          <w:i/>
          <w:szCs w:val="24"/>
          <w:lang w:val="fr-CA"/>
        </w:rPr>
      </w:pPr>
      <w:r>
        <w:rPr>
          <w:rFonts w:cs="Times New Roman"/>
          <w:szCs w:val="24"/>
          <w:lang w:val="fr-CA"/>
        </w:rPr>
        <w:tab/>
      </w:r>
      <w:r w:rsidR="00DC2386" w:rsidRPr="00CA43DD">
        <w:rPr>
          <w:rFonts w:cs="Times New Roman"/>
          <w:szCs w:val="24"/>
          <w:lang w:val="fr-CA"/>
        </w:rPr>
        <w:t>b)</w:t>
      </w:r>
      <w:r w:rsidR="00DC2386" w:rsidRPr="00CA43DD">
        <w:rPr>
          <w:rFonts w:cs="Times New Roman"/>
          <w:szCs w:val="24"/>
          <w:lang w:val="fr-CA"/>
        </w:rPr>
        <w:tab/>
      </w:r>
      <w:r w:rsidR="00DC2386" w:rsidRPr="00CA43DD">
        <w:rPr>
          <w:rFonts w:cs="Times New Roman"/>
          <w:i/>
          <w:iCs/>
          <w:szCs w:val="24"/>
          <w:lang w:val="fr-CA"/>
        </w:rPr>
        <w:t xml:space="preserve">Que </w:t>
      </w:r>
      <w:proofErr w:type="spellStart"/>
      <w:r w:rsidR="00DC2386" w:rsidRPr="00CA43DD">
        <w:rPr>
          <w:rFonts w:cs="Times New Roman"/>
          <w:i/>
          <w:iCs/>
          <w:szCs w:val="24"/>
          <w:lang w:val="fr-CA"/>
        </w:rPr>
        <w:t>faut</w:t>
      </w:r>
      <w:r w:rsidR="00DC2386" w:rsidRPr="00CA43DD">
        <w:rPr>
          <w:rFonts w:cs="Times New Roman"/>
          <w:i/>
          <w:iCs/>
          <w:szCs w:val="24"/>
          <w:lang w:val="fr-CA"/>
        </w:rPr>
        <w:noBreakHyphen/>
        <w:t>il</w:t>
      </w:r>
      <w:proofErr w:type="spellEnd"/>
      <w:r w:rsidR="00DC2386" w:rsidRPr="00CA43DD">
        <w:rPr>
          <w:rFonts w:cs="Times New Roman"/>
          <w:i/>
          <w:iCs/>
          <w:szCs w:val="24"/>
          <w:lang w:val="fr-CA"/>
        </w:rPr>
        <w:t xml:space="preserve"> </w:t>
      </w:r>
      <w:r w:rsidR="00DC2386" w:rsidRPr="00CA43DD">
        <w:rPr>
          <w:rFonts w:cs="Times New Roman"/>
          <w:i/>
          <w:szCs w:val="24"/>
          <w:lang w:val="fr-CA"/>
        </w:rPr>
        <w:t>entendre</w:t>
      </w:r>
      <w:r w:rsidR="00DC2386" w:rsidRPr="00CA43DD">
        <w:rPr>
          <w:rFonts w:cs="Times New Roman"/>
          <w:i/>
          <w:iCs/>
          <w:szCs w:val="24"/>
          <w:lang w:val="fr-CA"/>
        </w:rPr>
        <w:t xml:space="preserve"> par possibilité de découvrir la preuve et en quoi cette notion </w:t>
      </w:r>
      <w:proofErr w:type="spellStart"/>
      <w:r w:rsidR="00DC2386" w:rsidRPr="00CA43DD">
        <w:rPr>
          <w:rFonts w:cs="Times New Roman"/>
          <w:i/>
          <w:iCs/>
          <w:szCs w:val="24"/>
          <w:lang w:val="fr-CA"/>
        </w:rPr>
        <w:t>influe</w:t>
      </w:r>
      <w:r w:rsidR="00DC2386" w:rsidRPr="00CA43DD">
        <w:rPr>
          <w:rFonts w:cs="Times New Roman"/>
          <w:i/>
          <w:iCs/>
          <w:szCs w:val="24"/>
          <w:lang w:val="fr-CA"/>
        </w:rPr>
        <w:noBreakHyphen/>
        <w:t>t</w:t>
      </w:r>
      <w:r w:rsidR="00DC2386" w:rsidRPr="00CA43DD">
        <w:rPr>
          <w:rFonts w:cs="Times New Roman"/>
          <w:i/>
          <w:iCs/>
          <w:szCs w:val="24"/>
          <w:lang w:val="fr-CA"/>
        </w:rPr>
        <w:noBreakHyphen/>
        <w:t>elle</w:t>
      </w:r>
      <w:proofErr w:type="spellEnd"/>
      <w:r w:rsidR="00DC2386" w:rsidRPr="00CA43DD">
        <w:rPr>
          <w:rFonts w:cs="Times New Roman"/>
          <w:i/>
          <w:iCs/>
          <w:szCs w:val="24"/>
          <w:lang w:val="fr-CA"/>
        </w:rPr>
        <w:t xml:space="preserve"> sur l</w:t>
      </w:r>
      <w:r w:rsidR="00DC2386">
        <w:rPr>
          <w:rFonts w:cs="Times New Roman"/>
          <w:i/>
          <w:iCs/>
          <w:szCs w:val="24"/>
          <w:lang w:val="fr-CA"/>
        </w:rPr>
        <w:t>’</w:t>
      </w:r>
      <w:r w:rsidR="00DC2386" w:rsidRPr="00CA43DD">
        <w:rPr>
          <w:rFonts w:cs="Times New Roman"/>
          <w:i/>
          <w:iCs/>
          <w:szCs w:val="24"/>
          <w:lang w:val="fr-CA"/>
        </w:rPr>
        <w:t>analyse que commande le par</w:t>
      </w:r>
      <w:r w:rsidR="0088336D">
        <w:rPr>
          <w:rFonts w:cs="Times New Roman"/>
          <w:i/>
          <w:iCs/>
          <w:szCs w:val="24"/>
          <w:lang w:val="fr-CA"/>
        </w:rPr>
        <w:t>.</w:t>
      </w:r>
      <w:r w:rsidR="00DC2386" w:rsidRPr="00CA43DD">
        <w:rPr>
          <w:rFonts w:cs="Times New Roman"/>
          <w:i/>
          <w:iCs/>
          <w:szCs w:val="24"/>
          <w:lang w:val="fr-CA"/>
        </w:rPr>
        <w:t> 24(2) suivant Grant et les arrêts connexes?</w:t>
      </w:r>
    </w:p>
    <w:p w:rsidR="00DC2386" w:rsidRPr="00CA43DD" w:rsidRDefault="00DC2386" w:rsidP="00DC2386">
      <w:pPr>
        <w:pStyle w:val="ParaNoNdepar-AltN"/>
        <w:rPr>
          <w:rFonts w:cs="Times New Roman"/>
          <w:szCs w:val="24"/>
          <w:lang w:val="fr-CA"/>
        </w:rPr>
      </w:pPr>
      <w:r w:rsidRPr="00CA43DD">
        <w:rPr>
          <w:rFonts w:cs="Times New Roman"/>
          <w:szCs w:val="24"/>
          <w:lang w:val="fr-CA"/>
        </w:rPr>
        <w:t>La possibilité de découvrir la preuve est une notion issue du cadre d</w:t>
      </w:r>
      <w:r>
        <w:rPr>
          <w:rFonts w:cs="Times New Roman"/>
          <w:szCs w:val="24"/>
          <w:lang w:val="fr-CA"/>
        </w:rPr>
        <w:t>’</w:t>
      </w:r>
      <w:r w:rsidRPr="00CA43DD">
        <w:rPr>
          <w:rFonts w:cs="Times New Roman"/>
          <w:szCs w:val="24"/>
          <w:lang w:val="fr-CA"/>
        </w:rPr>
        <w:t xml:space="preserve">analyse retenu dans les arrêts </w:t>
      </w:r>
      <w:r w:rsidRPr="00CA43DD">
        <w:rPr>
          <w:rFonts w:cs="Times New Roman"/>
          <w:i/>
          <w:iCs/>
          <w:szCs w:val="24"/>
          <w:lang w:val="fr-CA"/>
        </w:rPr>
        <w:t xml:space="preserve">Collins </w:t>
      </w:r>
      <w:r w:rsidRPr="00CA43DD">
        <w:rPr>
          <w:rFonts w:cs="Times New Roman"/>
          <w:iCs/>
          <w:szCs w:val="24"/>
          <w:lang w:val="fr-CA"/>
        </w:rPr>
        <w:t>et</w:t>
      </w:r>
      <w:r w:rsidRPr="00CA43DD">
        <w:rPr>
          <w:rFonts w:cs="Times New Roman"/>
          <w:i/>
          <w:iCs/>
          <w:szCs w:val="24"/>
          <w:lang w:val="fr-CA"/>
        </w:rPr>
        <w:t xml:space="preserve"> R. c. </w:t>
      </w:r>
      <w:proofErr w:type="spellStart"/>
      <w:r w:rsidRPr="00CA43DD">
        <w:rPr>
          <w:rFonts w:cs="Times New Roman"/>
          <w:i/>
          <w:iCs/>
          <w:szCs w:val="24"/>
          <w:lang w:val="fr-CA"/>
        </w:rPr>
        <w:t>Stillman</w:t>
      </w:r>
      <w:proofErr w:type="spellEnd"/>
      <w:r w:rsidRPr="00CA43DD">
        <w:rPr>
          <w:rFonts w:cs="Times New Roman"/>
          <w:iCs/>
          <w:szCs w:val="24"/>
          <w:lang w:val="fr-CA"/>
        </w:rPr>
        <w:t>,</w:t>
      </w:r>
      <w:r w:rsidRPr="00CA43DD">
        <w:rPr>
          <w:rFonts w:cs="Times New Roman"/>
          <w:szCs w:val="24"/>
          <w:lang w:val="fr-CA"/>
        </w:rPr>
        <w:t xml:space="preserve"> [1997] 1 R.C.S. 607.  </w:t>
      </w:r>
      <w:r w:rsidRPr="00CA43DD">
        <w:rPr>
          <w:rFonts w:cs="Times New Roman"/>
          <w:szCs w:val="24"/>
          <w:lang w:val="fr-CA"/>
        </w:rPr>
        <w:lastRenderedPageBreak/>
        <w:t>Traditionnellement, on l</w:t>
      </w:r>
      <w:r>
        <w:rPr>
          <w:rFonts w:cs="Times New Roman"/>
          <w:szCs w:val="24"/>
          <w:lang w:val="fr-CA"/>
        </w:rPr>
        <w:t>’</w:t>
      </w:r>
      <w:r w:rsidRPr="00CA43DD">
        <w:rPr>
          <w:rFonts w:cs="Times New Roman"/>
          <w:szCs w:val="24"/>
          <w:lang w:val="fr-CA"/>
        </w:rPr>
        <w:t>applique à la preuve dérivée obtenue par suite de la violation du droit de l</w:t>
      </w:r>
      <w:r>
        <w:rPr>
          <w:rFonts w:cs="Times New Roman"/>
          <w:szCs w:val="24"/>
          <w:lang w:val="fr-CA"/>
        </w:rPr>
        <w:t>’</w:t>
      </w:r>
      <w:r w:rsidRPr="00CA43DD">
        <w:rPr>
          <w:rFonts w:cs="Times New Roman"/>
          <w:szCs w:val="24"/>
          <w:lang w:val="fr-CA"/>
        </w:rPr>
        <w:t>accusé à la protection contre l</w:t>
      </w:r>
      <w:r>
        <w:rPr>
          <w:rFonts w:cs="Times New Roman"/>
          <w:szCs w:val="24"/>
          <w:lang w:val="fr-CA"/>
        </w:rPr>
        <w:t>’</w:t>
      </w:r>
      <w:proofErr w:type="spellStart"/>
      <w:r w:rsidRPr="00CA43DD">
        <w:rPr>
          <w:rFonts w:cs="Times New Roman"/>
          <w:szCs w:val="24"/>
          <w:lang w:val="fr-CA"/>
        </w:rPr>
        <w:t>auto</w:t>
      </w:r>
      <w:r w:rsidRPr="00CA43DD">
        <w:rPr>
          <w:rFonts w:cs="Times New Roman"/>
          <w:szCs w:val="24"/>
          <w:lang w:val="fr-CA"/>
        </w:rPr>
        <w:noBreakHyphen/>
        <w:t>incrimination</w:t>
      </w:r>
      <w:proofErr w:type="spellEnd"/>
      <w:r w:rsidRPr="00CA43DD">
        <w:rPr>
          <w:rFonts w:cs="Times New Roman"/>
          <w:szCs w:val="24"/>
          <w:lang w:val="fr-CA"/>
        </w:rPr>
        <w:t>.  Suivant la notion d</w:t>
      </w:r>
      <w:r>
        <w:rPr>
          <w:rFonts w:cs="Times New Roman"/>
          <w:szCs w:val="24"/>
          <w:lang w:val="fr-CA"/>
        </w:rPr>
        <w:t>’</w:t>
      </w:r>
      <w:r w:rsidRPr="00CA43DD">
        <w:rPr>
          <w:rFonts w:cs="Times New Roman"/>
          <w:szCs w:val="24"/>
          <w:lang w:val="fr-CA"/>
        </w:rPr>
        <w:t xml:space="preserve">équité du procès retenue dans </w:t>
      </w:r>
      <w:r w:rsidRPr="00CA43DD">
        <w:rPr>
          <w:rFonts w:cs="Times New Roman"/>
          <w:i/>
          <w:iCs/>
          <w:szCs w:val="24"/>
          <w:lang w:val="fr-CA"/>
        </w:rPr>
        <w:t>Collins</w:t>
      </w:r>
      <w:r w:rsidRPr="00CA43DD">
        <w:rPr>
          <w:rFonts w:cs="Times New Roman"/>
          <w:szCs w:val="24"/>
          <w:lang w:val="fr-CA"/>
        </w:rPr>
        <w:t>, non seulement l</w:t>
      </w:r>
      <w:r>
        <w:rPr>
          <w:rFonts w:cs="Times New Roman"/>
          <w:szCs w:val="24"/>
          <w:lang w:val="fr-CA"/>
        </w:rPr>
        <w:t>’</w:t>
      </w:r>
      <w:r w:rsidRPr="00CA43DD">
        <w:rPr>
          <w:rFonts w:cs="Times New Roman"/>
          <w:szCs w:val="24"/>
          <w:lang w:val="fr-CA"/>
        </w:rPr>
        <w:t>utilisation d</w:t>
      </w:r>
      <w:r>
        <w:rPr>
          <w:rFonts w:cs="Times New Roman"/>
          <w:szCs w:val="24"/>
          <w:lang w:val="fr-CA"/>
        </w:rPr>
        <w:t>’</w:t>
      </w:r>
      <w:r w:rsidRPr="00CA43DD">
        <w:rPr>
          <w:rFonts w:cs="Times New Roman"/>
          <w:szCs w:val="24"/>
          <w:lang w:val="fr-CA"/>
        </w:rPr>
        <w:t xml:space="preserve">un élément de preuve </w:t>
      </w:r>
      <w:proofErr w:type="spellStart"/>
      <w:r w:rsidRPr="00CA43DD">
        <w:rPr>
          <w:rFonts w:cs="Times New Roman"/>
          <w:szCs w:val="24"/>
          <w:lang w:val="fr-CA"/>
        </w:rPr>
        <w:t>auto</w:t>
      </w:r>
      <w:r w:rsidRPr="00CA43DD">
        <w:rPr>
          <w:rFonts w:cs="Times New Roman"/>
          <w:szCs w:val="24"/>
          <w:lang w:val="fr-CA"/>
        </w:rPr>
        <w:noBreakHyphen/>
        <w:t>incriminant</w:t>
      </w:r>
      <w:proofErr w:type="spellEnd"/>
      <w:r w:rsidRPr="00CA43DD">
        <w:rPr>
          <w:rFonts w:cs="Times New Roman"/>
          <w:szCs w:val="24"/>
          <w:lang w:val="fr-CA"/>
        </w:rPr>
        <w:t xml:space="preserve"> accroît la mise à mal du droit de l</w:t>
      </w:r>
      <w:r>
        <w:rPr>
          <w:rFonts w:cs="Times New Roman"/>
          <w:szCs w:val="24"/>
          <w:lang w:val="fr-CA"/>
        </w:rPr>
        <w:t>’</w:t>
      </w:r>
      <w:r w:rsidRPr="00CA43DD">
        <w:rPr>
          <w:rFonts w:cs="Times New Roman"/>
          <w:szCs w:val="24"/>
          <w:lang w:val="fr-CA"/>
        </w:rPr>
        <w:t xml:space="preserve">accusé de ne pas être mobilisé contre </w:t>
      </w:r>
      <w:proofErr w:type="spellStart"/>
      <w:r w:rsidRPr="00CA43DD">
        <w:rPr>
          <w:rFonts w:cs="Times New Roman"/>
          <w:szCs w:val="24"/>
          <w:lang w:val="fr-CA"/>
        </w:rPr>
        <w:t>lui</w:t>
      </w:r>
      <w:r w:rsidRPr="00CA43DD">
        <w:rPr>
          <w:rFonts w:cs="Times New Roman"/>
          <w:szCs w:val="24"/>
          <w:lang w:val="fr-CA"/>
        </w:rPr>
        <w:noBreakHyphen/>
        <w:t>même</w:t>
      </w:r>
      <w:proofErr w:type="spellEnd"/>
      <w:r w:rsidRPr="00CA43DD">
        <w:rPr>
          <w:rFonts w:cs="Times New Roman"/>
          <w:szCs w:val="24"/>
          <w:lang w:val="fr-CA"/>
        </w:rPr>
        <w:t>, mais on peut aussi considérer qu</w:t>
      </w:r>
      <w:r>
        <w:rPr>
          <w:rFonts w:cs="Times New Roman"/>
          <w:szCs w:val="24"/>
          <w:lang w:val="fr-CA"/>
        </w:rPr>
        <w:t>’</w:t>
      </w:r>
      <w:r w:rsidRPr="00CA43DD">
        <w:rPr>
          <w:rFonts w:cs="Times New Roman"/>
          <w:szCs w:val="24"/>
          <w:lang w:val="fr-CA"/>
        </w:rPr>
        <w:t>elle mine l</w:t>
      </w:r>
      <w:r>
        <w:rPr>
          <w:rFonts w:cs="Times New Roman"/>
          <w:szCs w:val="24"/>
          <w:lang w:val="fr-CA"/>
        </w:rPr>
        <w:t>’</w:t>
      </w:r>
      <w:r w:rsidRPr="00CA43DD">
        <w:rPr>
          <w:rFonts w:cs="Times New Roman"/>
          <w:szCs w:val="24"/>
          <w:lang w:val="fr-CA"/>
        </w:rPr>
        <w:t>équité du procès au cours duquel l</w:t>
      </w:r>
      <w:r>
        <w:rPr>
          <w:rFonts w:cs="Times New Roman"/>
          <w:szCs w:val="24"/>
          <w:lang w:val="fr-CA"/>
        </w:rPr>
        <w:t>’</w:t>
      </w:r>
      <w:r w:rsidRPr="00CA43DD">
        <w:rPr>
          <w:rFonts w:cs="Times New Roman"/>
          <w:szCs w:val="24"/>
          <w:lang w:val="fr-CA"/>
        </w:rPr>
        <w:t>accusé est évidemment présumé innocent et n</w:t>
      </w:r>
      <w:r>
        <w:rPr>
          <w:rFonts w:cs="Times New Roman"/>
          <w:szCs w:val="24"/>
          <w:lang w:val="fr-CA"/>
        </w:rPr>
        <w:t>’</w:t>
      </w:r>
      <w:r w:rsidRPr="00CA43DD">
        <w:rPr>
          <w:rFonts w:cs="Times New Roman"/>
          <w:szCs w:val="24"/>
          <w:lang w:val="fr-CA"/>
        </w:rPr>
        <w:t>est pas un témoin contraignable.  Le fait que la preuve aurait pu être découverte sans la participation de l</w:t>
      </w:r>
      <w:r>
        <w:rPr>
          <w:rFonts w:cs="Times New Roman"/>
          <w:szCs w:val="24"/>
          <w:lang w:val="fr-CA"/>
        </w:rPr>
        <w:t>’</w:t>
      </w:r>
      <w:r w:rsidRPr="00CA43DD">
        <w:rPr>
          <w:rFonts w:cs="Times New Roman"/>
          <w:szCs w:val="24"/>
          <w:lang w:val="fr-CA"/>
        </w:rPr>
        <w:t>accusé — en d</w:t>
      </w:r>
      <w:r>
        <w:rPr>
          <w:rFonts w:cs="Times New Roman"/>
          <w:szCs w:val="24"/>
          <w:lang w:val="fr-CA"/>
        </w:rPr>
        <w:t>’</w:t>
      </w:r>
      <w:r w:rsidRPr="00CA43DD">
        <w:rPr>
          <w:rFonts w:cs="Times New Roman"/>
          <w:szCs w:val="24"/>
          <w:lang w:val="fr-CA"/>
        </w:rPr>
        <w:t>autres termes, la possibilité de sa découverte — a été jugé pertinent et souvent déterminant aux fins de l</w:t>
      </w:r>
      <w:r>
        <w:rPr>
          <w:rFonts w:cs="Times New Roman"/>
          <w:szCs w:val="24"/>
          <w:lang w:val="fr-CA"/>
        </w:rPr>
        <w:t>’</w:t>
      </w:r>
      <w:r w:rsidRPr="00CA43DD">
        <w:rPr>
          <w:rFonts w:cs="Times New Roman"/>
          <w:szCs w:val="24"/>
          <w:lang w:val="fr-CA"/>
        </w:rPr>
        <w:t>analyse que requiert le par. 24(2) parce qu</w:t>
      </w:r>
      <w:r>
        <w:rPr>
          <w:rFonts w:cs="Times New Roman"/>
          <w:szCs w:val="24"/>
          <w:lang w:val="fr-CA"/>
        </w:rPr>
        <w:t>’</w:t>
      </w:r>
      <w:r w:rsidRPr="00CA43DD">
        <w:rPr>
          <w:rFonts w:cs="Times New Roman"/>
          <w:szCs w:val="24"/>
          <w:lang w:val="fr-CA"/>
        </w:rPr>
        <w:t>il atténue l</w:t>
      </w:r>
      <w:r>
        <w:rPr>
          <w:rFonts w:cs="Times New Roman"/>
          <w:szCs w:val="24"/>
          <w:lang w:val="fr-CA"/>
        </w:rPr>
        <w:t>’</w:t>
      </w:r>
      <w:r w:rsidRPr="00CA43DD">
        <w:rPr>
          <w:rFonts w:cs="Times New Roman"/>
          <w:szCs w:val="24"/>
          <w:lang w:val="fr-CA"/>
        </w:rPr>
        <w:t>incidence des mesures inconstitutionnelles sur le droit de l</w:t>
      </w:r>
      <w:r>
        <w:rPr>
          <w:rFonts w:cs="Times New Roman"/>
          <w:szCs w:val="24"/>
          <w:lang w:val="fr-CA"/>
        </w:rPr>
        <w:t>’</w:t>
      </w:r>
      <w:r w:rsidRPr="00CA43DD">
        <w:rPr>
          <w:rFonts w:cs="Times New Roman"/>
          <w:szCs w:val="24"/>
          <w:lang w:val="fr-CA"/>
        </w:rPr>
        <w:t>accusé à la protection contre l</w:t>
      </w:r>
      <w:r>
        <w:rPr>
          <w:rFonts w:cs="Times New Roman"/>
          <w:szCs w:val="24"/>
          <w:lang w:val="fr-CA"/>
        </w:rPr>
        <w:t>’</w:t>
      </w:r>
      <w:proofErr w:type="spellStart"/>
      <w:r w:rsidRPr="00CA43DD">
        <w:rPr>
          <w:rFonts w:cs="Times New Roman"/>
          <w:szCs w:val="24"/>
          <w:lang w:val="fr-CA"/>
        </w:rPr>
        <w:t>auto</w:t>
      </w:r>
      <w:r w:rsidRPr="00CA43DD">
        <w:rPr>
          <w:rFonts w:cs="Times New Roman"/>
          <w:szCs w:val="24"/>
          <w:lang w:val="fr-CA"/>
        </w:rPr>
        <w:noBreakHyphen/>
        <w:t>incrimination</w:t>
      </w:r>
      <w:proofErr w:type="spellEnd"/>
      <w:r w:rsidRPr="00CA43DD">
        <w:rPr>
          <w:rFonts w:cs="Times New Roman"/>
          <w:szCs w:val="24"/>
          <w:lang w:val="fr-CA"/>
        </w:rPr>
        <w:t xml:space="preserve"> et son droit à un procès équitable.  L</w:t>
      </w:r>
      <w:r>
        <w:rPr>
          <w:rFonts w:cs="Times New Roman"/>
          <w:szCs w:val="24"/>
          <w:lang w:val="fr-CA"/>
        </w:rPr>
        <w:t>’</w:t>
      </w:r>
      <w:r w:rsidRPr="00CA43DD">
        <w:rPr>
          <w:rFonts w:cs="Times New Roman"/>
          <w:szCs w:val="24"/>
          <w:lang w:val="fr-CA"/>
        </w:rPr>
        <w:t>État aurait pu recueillir la preuve sans le concours de l</w:t>
      </w:r>
      <w:r>
        <w:rPr>
          <w:rFonts w:cs="Times New Roman"/>
          <w:szCs w:val="24"/>
          <w:lang w:val="fr-CA"/>
        </w:rPr>
        <w:t>’accusé</w:t>
      </w:r>
      <w:r w:rsidRPr="00CA43DD">
        <w:rPr>
          <w:rFonts w:cs="Times New Roman"/>
          <w:szCs w:val="24"/>
          <w:lang w:val="fr-CA"/>
        </w:rPr>
        <w:t>, et le fait que la preuve aurait pu être découverte sans porter atteinte au droit de l</w:t>
      </w:r>
      <w:r>
        <w:rPr>
          <w:rFonts w:cs="Times New Roman"/>
          <w:szCs w:val="24"/>
          <w:lang w:val="fr-CA"/>
        </w:rPr>
        <w:t>’accusé</w:t>
      </w:r>
      <w:r w:rsidRPr="00CA43DD">
        <w:rPr>
          <w:rFonts w:cs="Times New Roman"/>
          <w:szCs w:val="24"/>
          <w:lang w:val="fr-CA"/>
        </w:rPr>
        <w:t xml:space="preserve"> de ne pas s</w:t>
      </w:r>
      <w:r>
        <w:rPr>
          <w:rFonts w:cs="Times New Roman"/>
          <w:szCs w:val="24"/>
          <w:lang w:val="fr-CA"/>
        </w:rPr>
        <w:t>’</w:t>
      </w:r>
      <w:r w:rsidRPr="00CA43DD">
        <w:rPr>
          <w:rFonts w:cs="Times New Roman"/>
          <w:szCs w:val="24"/>
          <w:lang w:val="fr-CA"/>
        </w:rPr>
        <w:t xml:space="preserve">incriminer affaiblit le lien de causalité entre la violation de la </w:t>
      </w:r>
      <w:r w:rsidRPr="00CA43DD">
        <w:rPr>
          <w:rFonts w:cs="Times New Roman"/>
          <w:i/>
          <w:iCs/>
          <w:szCs w:val="24"/>
          <w:lang w:val="fr-CA"/>
        </w:rPr>
        <w:t>Charte</w:t>
      </w:r>
      <w:r w:rsidRPr="00CA43DD">
        <w:rPr>
          <w:rFonts w:cs="Times New Roman"/>
          <w:szCs w:val="24"/>
          <w:lang w:val="fr-CA"/>
        </w:rPr>
        <w:t xml:space="preserve"> et l</w:t>
      </w:r>
      <w:r>
        <w:rPr>
          <w:rFonts w:cs="Times New Roman"/>
          <w:szCs w:val="24"/>
          <w:lang w:val="fr-CA"/>
        </w:rPr>
        <w:t>’</w:t>
      </w:r>
      <w:r w:rsidRPr="00CA43DD">
        <w:rPr>
          <w:rFonts w:cs="Times New Roman"/>
          <w:szCs w:val="24"/>
          <w:lang w:val="fr-CA"/>
        </w:rPr>
        <w:t xml:space="preserve">obtention de la preuve. </w:t>
      </w:r>
    </w:p>
    <w:p w:rsidR="00DC2386" w:rsidRPr="00CA43DD" w:rsidRDefault="00DC2386" w:rsidP="00DC2386">
      <w:pPr>
        <w:pStyle w:val="ParaNoNdepar-AltN"/>
        <w:rPr>
          <w:rFonts w:cs="Times New Roman"/>
          <w:szCs w:val="24"/>
          <w:lang w:val="fr-CA"/>
        </w:rPr>
      </w:pPr>
      <w:r w:rsidRPr="00CA43DD">
        <w:rPr>
          <w:rFonts w:cs="Times New Roman"/>
          <w:szCs w:val="24"/>
          <w:lang w:val="fr-CA"/>
        </w:rPr>
        <w:t xml:space="preserve">Dans </w:t>
      </w:r>
      <w:r w:rsidRPr="00CA43DD">
        <w:rPr>
          <w:rFonts w:cs="Times New Roman"/>
          <w:i/>
          <w:iCs/>
          <w:szCs w:val="24"/>
          <w:lang w:val="fr-CA"/>
        </w:rPr>
        <w:t>Grant</w:t>
      </w:r>
      <w:r w:rsidRPr="00CA43DD">
        <w:rPr>
          <w:rFonts w:cs="Times New Roman"/>
          <w:szCs w:val="24"/>
          <w:lang w:val="fr-CA"/>
        </w:rPr>
        <w:t>, la Cour assouplit la démarche susceptible de mener à l</w:t>
      </w:r>
      <w:r>
        <w:rPr>
          <w:rFonts w:cs="Times New Roman"/>
          <w:szCs w:val="24"/>
          <w:lang w:val="fr-CA"/>
        </w:rPr>
        <w:t>’</w:t>
      </w:r>
      <w:r w:rsidRPr="00CA43DD">
        <w:rPr>
          <w:rFonts w:cs="Times New Roman"/>
          <w:iCs/>
          <w:szCs w:val="24"/>
          <w:lang w:val="fr-CA"/>
        </w:rPr>
        <w:t>exclusion de la preuve sur le fondement du par. </w:t>
      </w:r>
      <w:r w:rsidRPr="00CA43DD">
        <w:rPr>
          <w:rFonts w:cs="Times New Roman"/>
          <w:szCs w:val="24"/>
          <w:lang w:val="fr-CA"/>
        </w:rPr>
        <w:t xml:space="preserve">24(2) et elle la rend </w:t>
      </w:r>
      <w:r w:rsidRPr="00CA43DD">
        <w:rPr>
          <w:rFonts w:cs="Times New Roman"/>
          <w:iCs/>
          <w:szCs w:val="24"/>
          <w:lang w:val="fr-CA"/>
        </w:rPr>
        <w:t>multifactorielle</w:t>
      </w:r>
      <w:r w:rsidRPr="00CA43DD">
        <w:rPr>
          <w:rFonts w:cs="Times New Roman"/>
          <w:szCs w:val="24"/>
          <w:lang w:val="fr-CA"/>
        </w:rPr>
        <w:t>.  On reprochait au cadre d</w:t>
      </w:r>
      <w:r>
        <w:rPr>
          <w:rFonts w:cs="Times New Roman"/>
          <w:szCs w:val="24"/>
          <w:lang w:val="fr-CA"/>
        </w:rPr>
        <w:t>’</w:t>
      </w:r>
      <w:r w:rsidRPr="00CA43DD">
        <w:rPr>
          <w:rFonts w:cs="Times New Roman"/>
          <w:szCs w:val="24"/>
          <w:lang w:val="fr-CA"/>
        </w:rPr>
        <w:t xml:space="preserve">analyse issu des arrêts antérieurs </w:t>
      </w:r>
      <w:r w:rsidRPr="00CA43DD">
        <w:rPr>
          <w:rFonts w:cs="Times New Roman"/>
          <w:i/>
          <w:szCs w:val="24"/>
          <w:lang w:val="fr-CA"/>
        </w:rPr>
        <w:t xml:space="preserve">Collins </w:t>
      </w:r>
      <w:r w:rsidRPr="00CA43DD">
        <w:rPr>
          <w:rFonts w:cs="Times New Roman"/>
          <w:szCs w:val="24"/>
          <w:lang w:val="fr-CA"/>
        </w:rPr>
        <w:t>et</w:t>
      </w:r>
      <w:r w:rsidRPr="00CA43DD">
        <w:rPr>
          <w:rFonts w:cs="Times New Roman"/>
          <w:i/>
          <w:szCs w:val="24"/>
          <w:lang w:val="fr-CA"/>
        </w:rPr>
        <w:t xml:space="preserve"> </w:t>
      </w:r>
      <w:proofErr w:type="spellStart"/>
      <w:r w:rsidRPr="00CA43DD">
        <w:rPr>
          <w:rFonts w:cs="Times New Roman"/>
          <w:i/>
          <w:szCs w:val="24"/>
          <w:lang w:val="fr-CA"/>
        </w:rPr>
        <w:t>Stillman</w:t>
      </w:r>
      <w:proofErr w:type="spellEnd"/>
      <w:r w:rsidRPr="00CA43DD">
        <w:rPr>
          <w:rFonts w:cs="Times New Roman"/>
          <w:i/>
          <w:szCs w:val="24"/>
          <w:lang w:val="fr-CA"/>
        </w:rPr>
        <w:t xml:space="preserve"> </w:t>
      </w:r>
      <w:r w:rsidRPr="00CA43DD">
        <w:rPr>
          <w:rFonts w:cs="Times New Roman"/>
          <w:szCs w:val="24"/>
          <w:lang w:val="fr-CA"/>
        </w:rPr>
        <w:t>d</w:t>
      </w:r>
      <w:r>
        <w:rPr>
          <w:rFonts w:cs="Times New Roman"/>
          <w:szCs w:val="24"/>
          <w:lang w:val="fr-CA"/>
        </w:rPr>
        <w:t>’</w:t>
      </w:r>
      <w:r w:rsidRPr="00CA43DD">
        <w:rPr>
          <w:rFonts w:cs="Times New Roman"/>
          <w:szCs w:val="24"/>
          <w:lang w:val="fr-CA"/>
        </w:rPr>
        <w:t>être trop strict; l</w:t>
      </w:r>
      <w:r>
        <w:rPr>
          <w:rFonts w:cs="Times New Roman"/>
          <w:szCs w:val="24"/>
          <w:lang w:val="fr-CA"/>
        </w:rPr>
        <w:t>’</w:t>
      </w:r>
      <w:r w:rsidRPr="00CA43DD">
        <w:rPr>
          <w:rFonts w:cs="Times New Roman"/>
          <w:szCs w:val="24"/>
          <w:lang w:val="fr-CA"/>
        </w:rPr>
        <w:t>exclusion de la preuve allait pratiquement de soi s</w:t>
      </w:r>
      <w:r>
        <w:rPr>
          <w:rFonts w:cs="Times New Roman"/>
          <w:szCs w:val="24"/>
          <w:lang w:val="fr-CA"/>
        </w:rPr>
        <w:t>’</w:t>
      </w:r>
      <w:r w:rsidRPr="00CA43DD">
        <w:rPr>
          <w:rFonts w:cs="Times New Roman"/>
          <w:szCs w:val="24"/>
          <w:lang w:val="fr-CA"/>
        </w:rPr>
        <w:t>il était établi qu</w:t>
      </w:r>
      <w:r>
        <w:rPr>
          <w:rFonts w:cs="Times New Roman"/>
          <w:szCs w:val="24"/>
          <w:lang w:val="fr-CA"/>
        </w:rPr>
        <w:t>’</w:t>
      </w:r>
      <w:r w:rsidRPr="00CA43DD">
        <w:rPr>
          <w:rFonts w:cs="Times New Roman"/>
          <w:szCs w:val="24"/>
          <w:lang w:val="fr-CA"/>
        </w:rPr>
        <w:t>elle avait été obtenue en mobilisant l</w:t>
      </w:r>
      <w:r>
        <w:rPr>
          <w:rFonts w:cs="Times New Roman"/>
          <w:szCs w:val="24"/>
          <w:lang w:val="fr-CA"/>
        </w:rPr>
        <w:t>’</w:t>
      </w:r>
      <w:r w:rsidRPr="00CA43DD">
        <w:rPr>
          <w:rFonts w:cs="Times New Roman"/>
          <w:szCs w:val="24"/>
          <w:lang w:val="fr-CA"/>
        </w:rPr>
        <w:t xml:space="preserve">accusé contre </w:t>
      </w:r>
      <w:proofErr w:type="spellStart"/>
      <w:r w:rsidRPr="00CA43DD">
        <w:rPr>
          <w:rFonts w:cs="Times New Roman"/>
          <w:szCs w:val="24"/>
          <w:lang w:val="fr-CA"/>
        </w:rPr>
        <w:t>lui</w:t>
      </w:r>
      <w:r w:rsidRPr="00CA43DD">
        <w:rPr>
          <w:rFonts w:cs="Times New Roman"/>
          <w:szCs w:val="24"/>
          <w:lang w:val="fr-CA"/>
        </w:rPr>
        <w:noBreakHyphen/>
        <w:t>même</w:t>
      </w:r>
      <w:proofErr w:type="spellEnd"/>
      <w:r w:rsidRPr="00CA43DD">
        <w:rPr>
          <w:rFonts w:cs="Times New Roman"/>
          <w:szCs w:val="24"/>
          <w:lang w:val="fr-CA"/>
        </w:rPr>
        <w:t xml:space="preserve"> et qu</w:t>
      </w:r>
      <w:r>
        <w:rPr>
          <w:rFonts w:cs="Times New Roman"/>
          <w:szCs w:val="24"/>
          <w:lang w:val="fr-CA"/>
        </w:rPr>
        <w:t>’</w:t>
      </w:r>
      <w:r w:rsidRPr="00CA43DD">
        <w:rPr>
          <w:rFonts w:cs="Times New Roman"/>
          <w:szCs w:val="24"/>
          <w:lang w:val="fr-CA"/>
        </w:rPr>
        <w:t>elle n</w:t>
      </w:r>
      <w:r>
        <w:rPr>
          <w:rFonts w:cs="Times New Roman"/>
          <w:szCs w:val="24"/>
          <w:lang w:val="fr-CA"/>
        </w:rPr>
        <w:t>’</w:t>
      </w:r>
      <w:r w:rsidRPr="00CA43DD">
        <w:rPr>
          <w:rFonts w:cs="Times New Roman"/>
          <w:szCs w:val="24"/>
          <w:lang w:val="fr-CA"/>
        </w:rPr>
        <w:t>aurait pu être découverte autrement.  La Cour confirme toutefois que la possibilité de découvrir la preuve demeure pertinente aux fins de l</w:t>
      </w:r>
      <w:r>
        <w:rPr>
          <w:rFonts w:cs="Times New Roman"/>
          <w:szCs w:val="24"/>
          <w:lang w:val="fr-CA"/>
        </w:rPr>
        <w:t>’</w:t>
      </w:r>
      <w:r w:rsidRPr="00CA43DD">
        <w:rPr>
          <w:rFonts w:cs="Times New Roman"/>
          <w:szCs w:val="24"/>
          <w:lang w:val="fr-CA"/>
        </w:rPr>
        <w:t>analyse fondée sur le par. 24(2) :</w:t>
      </w:r>
    </w:p>
    <w:p w:rsidR="00DC2386" w:rsidRPr="00CA43DD" w:rsidRDefault="00DC2386" w:rsidP="00DC2386">
      <w:pPr>
        <w:pStyle w:val="Citation-AltC"/>
        <w:tabs>
          <w:tab w:val="left" w:pos="1530"/>
        </w:tabs>
        <w:ind w:hanging="1166"/>
        <w:rPr>
          <w:szCs w:val="24"/>
          <w:lang w:val="fr-CA"/>
        </w:rPr>
      </w:pPr>
      <w:r w:rsidRPr="00CA43DD">
        <w:rPr>
          <w:szCs w:val="24"/>
          <w:lang w:val="fr-CA"/>
        </w:rPr>
        <w:lastRenderedPageBreak/>
        <w:tab/>
      </w:r>
      <w:r w:rsidRPr="00CA43DD">
        <w:rPr>
          <w:szCs w:val="24"/>
          <w:lang w:val="fr-CA"/>
        </w:rPr>
        <w:tab/>
        <w:t>La possibilité de découvrir reste toutefois utile pour évaluer l</w:t>
      </w:r>
      <w:r>
        <w:rPr>
          <w:szCs w:val="24"/>
          <w:lang w:val="fr-CA"/>
        </w:rPr>
        <w:t>’</w:t>
      </w:r>
      <w:r w:rsidRPr="00CA43DD">
        <w:rPr>
          <w:szCs w:val="24"/>
          <w:lang w:val="fr-CA"/>
        </w:rPr>
        <w:t>impact réel de la violation sur les intérêts protégés de l</w:t>
      </w:r>
      <w:r>
        <w:rPr>
          <w:szCs w:val="24"/>
          <w:lang w:val="fr-CA"/>
        </w:rPr>
        <w:t>’</w:t>
      </w:r>
      <w:r w:rsidRPr="00CA43DD">
        <w:rPr>
          <w:szCs w:val="24"/>
          <w:lang w:val="fr-CA"/>
        </w:rPr>
        <w:t>accusé.  En effet, ce critère permet au tribunal d</w:t>
      </w:r>
      <w:r>
        <w:rPr>
          <w:szCs w:val="24"/>
          <w:lang w:val="fr-CA"/>
        </w:rPr>
        <w:t>’</w:t>
      </w:r>
      <w:r w:rsidRPr="00CA43DD">
        <w:rPr>
          <w:szCs w:val="24"/>
          <w:lang w:val="fr-CA"/>
        </w:rPr>
        <w:t>évaluer la force du lien de causalité entre l</w:t>
      </w:r>
      <w:r>
        <w:rPr>
          <w:szCs w:val="24"/>
          <w:lang w:val="fr-CA"/>
        </w:rPr>
        <w:t>’</w:t>
      </w:r>
      <w:proofErr w:type="spellStart"/>
      <w:r w:rsidRPr="00CA43DD">
        <w:rPr>
          <w:szCs w:val="24"/>
          <w:lang w:val="fr-CA"/>
        </w:rPr>
        <w:t>auto</w:t>
      </w:r>
      <w:r w:rsidRPr="00CA43DD">
        <w:rPr>
          <w:szCs w:val="24"/>
          <w:lang w:val="fr-CA"/>
        </w:rPr>
        <w:noBreakHyphen/>
        <w:t>incrimination</w:t>
      </w:r>
      <w:proofErr w:type="spellEnd"/>
      <w:r w:rsidRPr="00CA43DD">
        <w:rPr>
          <w:szCs w:val="24"/>
          <w:lang w:val="fr-CA"/>
        </w:rPr>
        <w:t xml:space="preserve"> contraire à la </w:t>
      </w:r>
      <w:r w:rsidRPr="007C7801">
        <w:rPr>
          <w:i/>
          <w:szCs w:val="24"/>
          <w:lang w:val="fr-CA"/>
        </w:rPr>
        <w:t>Charte</w:t>
      </w:r>
      <w:r w:rsidRPr="00CA43DD">
        <w:rPr>
          <w:szCs w:val="24"/>
          <w:lang w:val="fr-CA"/>
        </w:rPr>
        <w:t xml:space="preserve"> et les éléments de preuve qui en ont découlé.  Plus il est probable que ces derniers auraient été obtenus même sans la déclaration, moins les incidences de la violation sur l</w:t>
      </w:r>
      <w:r>
        <w:rPr>
          <w:szCs w:val="24"/>
          <w:lang w:val="fr-CA"/>
        </w:rPr>
        <w:t>’</w:t>
      </w:r>
      <w:r w:rsidRPr="00CA43DD">
        <w:rPr>
          <w:szCs w:val="24"/>
          <w:lang w:val="fr-CA"/>
        </w:rPr>
        <w:t xml:space="preserve">intérêt </w:t>
      </w:r>
      <w:proofErr w:type="spellStart"/>
      <w:r w:rsidRPr="00CA43DD">
        <w:rPr>
          <w:szCs w:val="24"/>
          <w:lang w:val="fr-CA"/>
        </w:rPr>
        <w:t>sous</w:t>
      </w:r>
      <w:r w:rsidRPr="00CA43DD">
        <w:rPr>
          <w:szCs w:val="24"/>
          <w:lang w:val="fr-CA"/>
        </w:rPr>
        <w:noBreakHyphen/>
        <w:t>jacent</w:t>
      </w:r>
      <w:proofErr w:type="spellEnd"/>
      <w:r w:rsidRPr="00CA43DD">
        <w:rPr>
          <w:szCs w:val="24"/>
          <w:lang w:val="fr-CA"/>
        </w:rPr>
        <w:t xml:space="preserve"> de l</w:t>
      </w:r>
      <w:r>
        <w:rPr>
          <w:szCs w:val="24"/>
          <w:lang w:val="fr-CA"/>
        </w:rPr>
        <w:t>’</w:t>
      </w:r>
      <w:r w:rsidRPr="00CA43DD">
        <w:rPr>
          <w:szCs w:val="24"/>
          <w:lang w:val="fr-CA"/>
        </w:rPr>
        <w:t>accusé de ne pas s</w:t>
      </w:r>
      <w:r>
        <w:rPr>
          <w:szCs w:val="24"/>
          <w:lang w:val="fr-CA"/>
        </w:rPr>
        <w:t>’</w:t>
      </w:r>
      <w:r w:rsidRPr="00CA43DD">
        <w:rPr>
          <w:szCs w:val="24"/>
          <w:lang w:val="fr-CA"/>
        </w:rPr>
        <w:t>incriminer ont d</w:t>
      </w:r>
      <w:r>
        <w:rPr>
          <w:szCs w:val="24"/>
          <w:lang w:val="fr-CA"/>
        </w:rPr>
        <w:t>’</w:t>
      </w:r>
      <w:r w:rsidRPr="00CA43DD">
        <w:rPr>
          <w:szCs w:val="24"/>
          <w:lang w:val="fr-CA"/>
        </w:rPr>
        <w:t>importance. Bien entendu, l</w:t>
      </w:r>
      <w:r>
        <w:rPr>
          <w:szCs w:val="24"/>
          <w:lang w:val="fr-CA"/>
        </w:rPr>
        <w:t>’</w:t>
      </w:r>
      <w:r w:rsidRPr="00CA43DD">
        <w:rPr>
          <w:szCs w:val="24"/>
          <w:lang w:val="fr-CA"/>
        </w:rPr>
        <w:t>inverse est également vrai.  Par ailleurs, lorsqu</w:t>
      </w:r>
      <w:r>
        <w:rPr>
          <w:szCs w:val="24"/>
          <w:lang w:val="fr-CA"/>
        </w:rPr>
        <w:t>’</w:t>
      </w:r>
      <w:r w:rsidRPr="00CA43DD">
        <w:rPr>
          <w:szCs w:val="24"/>
          <w:lang w:val="fr-CA"/>
        </w:rPr>
        <w:t xml:space="preserve">il est </w:t>
      </w:r>
      <w:r w:rsidR="007F75A6">
        <w:rPr>
          <w:szCs w:val="24"/>
          <w:lang w:val="fr-CA"/>
        </w:rPr>
        <w:t>im</w:t>
      </w:r>
      <w:r w:rsidRPr="00CA43DD">
        <w:rPr>
          <w:szCs w:val="24"/>
          <w:lang w:val="fr-CA"/>
        </w:rPr>
        <w:t>possible d</w:t>
      </w:r>
      <w:r>
        <w:rPr>
          <w:szCs w:val="24"/>
          <w:lang w:val="fr-CA"/>
        </w:rPr>
        <w:t>’</w:t>
      </w:r>
      <w:r w:rsidRPr="00CA43DD">
        <w:rPr>
          <w:szCs w:val="24"/>
          <w:lang w:val="fr-CA"/>
        </w:rPr>
        <w:t>établir avec certitude si les éléments de preuve auraient été découverts sans la déclaration, la possibilité de découvrir n</w:t>
      </w:r>
      <w:r>
        <w:rPr>
          <w:szCs w:val="24"/>
          <w:lang w:val="fr-CA"/>
        </w:rPr>
        <w:t>’</w:t>
      </w:r>
      <w:r w:rsidRPr="00CA43DD">
        <w:rPr>
          <w:szCs w:val="24"/>
          <w:lang w:val="fr-CA"/>
        </w:rPr>
        <w:t>influera pas sur l</w:t>
      </w:r>
      <w:r>
        <w:rPr>
          <w:szCs w:val="24"/>
          <w:lang w:val="fr-CA"/>
        </w:rPr>
        <w:t>’</w:t>
      </w:r>
      <w:r w:rsidRPr="00CA43DD">
        <w:rPr>
          <w:szCs w:val="24"/>
          <w:lang w:val="fr-CA"/>
        </w:rPr>
        <w:t>analyse requise par le par. 24(2).  [</w:t>
      </w:r>
      <w:proofErr w:type="gramStart"/>
      <w:r w:rsidRPr="00CA43DD">
        <w:rPr>
          <w:szCs w:val="24"/>
          <w:lang w:val="fr-CA"/>
        </w:rPr>
        <w:t>par</w:t>
      </w:r>
      <w:proofErr w:type="gramEnd"/>
      <w:r w:rsidRPr="00CA43DD">
        <w:rPr>
          <w:szCs w:val="24"/>
          <w:lang w:val="fr-CA"/>
        </w:rPr>
        <w:t>. 122]</w:t>
      </w:r>
    </w:p>
    <w:p w:rsidR="00DC2386" w:rsidRPr="00CA43DD" w:rsidRDefault="00DC2386" w:rsidP="00DC2386">
      <w:pPr>
        <w:pStyle w:val="ParaNoNdepar-AltN"/>
        <w:rPr>
          <w:rFonts w:cs="Times New Roman"/>
          <w:szCs w:val="24"/>
          <w:lang w:val="fr-CA"/>
        </w:rPr>
      </w:pPr>
      <w:r w:rsidRPr="00CA43DD">
        <w:rPr>
          <w:rFonts w:cs="Times New Roman"/>
          <w:szCs w:val="24"/>
          <w:lang w:val="fr-CA"/>
        </w:rPr>
        <w:t>On a eu recours à la notion de possibilité de découvrir une preuve dérivée dans le cas où les policiers auraient pu mettre la main sur la preuve sans mobiliser l</w:t>
      </w:r>
      <w:r>
        <w:rPr>
          <w:rFonts w:cs="Times New Roman"/>
          <w:szCs w:val="24"/>
          <w:lang w:val="fr-CA"/>
        </w:rPr>
        <w:t>’</w:t>
      </w:r>
      <w:r w:rsidRPr="00CA43DD">
        <w:rPr>
          <w:rFonts w:cs="Times New Roman"/>
          <w:szCs w:val="24"/>
          <w:lang w:val="fr-CA"/>
        </w:rPr>
        <w:t xml:space="preserve">accusé contre </w:t>
      </w:r>
      <w:proofErr w:type="spellStart"/>
      <w:r w:rsidRPr="00CA43DD">
        <w:rPr>
          <w:rFonts w:cs="Times New Roman"/>
          <w:szCs w:val="24"/>
          <w:lang w:val="fr-CA"/>
        </w:rPr>
        <w:t>lui</w:t>
      </w:r>
      <w:r w:rsidRPr="00CA43DD">
        <w:rPr>
          <w:rFonts w:cs="Times New Roman"/>
          <w:szCs w:val="24"/>
          <w:lang w:val="fr-CA"/>
        </w:rPr>
        <w:noBreakHyphen/>
        <w:t>même</w:t>
      </w:r>
      <w:proofErr w:type="spellEnd"/>
      <w:r w:rsidRPr="00CA43DD">
        <w:rPr>
          <w:rFonts w:cs="Times New Roman"/>
          <w:szCs w:val="24"/>
          <w:lang w:val="fr-CA"/>
        </w:rPr>
        <w:t xml:space="preserve"> au mépris de la Constitution ou que la preuve aurait été inévitablement découverte même sans cette mobilisation : </w:t>
      </w:r>
      <w:proofErr w:type="spellStart"/>
      <w:r w:rsidRPr="00CA43DD">
        <w:rPr>
          <w:rFonts w:cs="Times New Roman"/>
          <w:i/>
          <w:szCs w:val="24"/>
          <w:lang w:val="fr-CA"/>
        </w:rPr>
        <w:t>Stillman</w:t>
      </w:r>
      <w:proofErr w:type="spellEnd"/>
      <w:r w:rsidRPr="00CA43DD">
        <w:rPr>
          <w:rFonts w:cs="Times New Roman"/>
          <w:szCs w:val="24"/>
          <w:lang w:val="fr-CA"/>
        </w:rPr>
        <w:t xml:space="preserve">, par. 107; </w:t>
      </w:r>
      <w:r w:rsidRPr="00CA43DD">
        <w:rPr>
          <w:rFonts w:cs="Times New Roman"/>
          <w:i/>
          <w:szCs w:val="24"/>
          <w:lang w:val="fr-CA"/>
        </w:rPr>
        <w:t xml:space="preserve">R. c. </w:t>
      </w:r>
      <w:proofErr w:type="spellStart"/>
      <w:r w:rsidRPr="00CA43DD">
        <w:rPr>
          <w:rFonts w:cs="Times New Roman"/>
          <w:i/>
          <w:szCs w:val="24"/>
          <w:lang w:val="fr-CA"/>
        </w:rPr>
        <w:t>Colarusso</w:t>
      </w:r>
      <w:proofErr w:type="spellEnd"/>
      <w:r w:rsidRPr="00CA43DD">
        <w:rPr>
          <w:rFonts w:cs="Times New Roman"/>
          <w:szCs w:val="24"/>
          <w:lang w:val="fr-CA"/>
        </w:rPr>
        <w:t>, [1994] 1 R.C.S. 20, p. 77.  Cependant, j</w:t>
      </w:r>
      <w:r>
        <w:rPr>
          <w:rFonts w:cs="Times New Roman"/>
          <w:szCs w:val="24"/>
          <w:lang w:val="fr-CA"/>
        </w:rPr>
        <w:t>’</w:t>
      </w:r>
      <w:r w:rsidRPr="00CA43DD">
        <w:rPr>
          <w:rFonts w:cs="Times New Roman"/>
          <w:szCs w:val="24"/>
          <w:lang w:val="fr-CA"/>
        </w:rPr>
        <w:t>associe la « possibilité de découvrir » à la situation où une preuve, quelle qu</w:t>
      </w:r>
      <w:r>
        <w:rPr>
          <w:rFonts w:cs="Times New Roman"/>
          <w:szCs w:val="24"/>
          <w:lang w:val="fr-CA"/>
        </w:rPr>
        <w:t>’</w:t>
      </w:r>
      <w:r w:rsidRPr="00CA43DD">
        <w:rPr>
          <w:rFonts w:cs="Times New Roman"/>
          <w:szCs w:val="24"/>
          <w:lang w:val="fr-CA"/>
        </w:rPr>
        <w:t>elle soit, obtenue de manière inconstitutionnelle, aurait pu être recueillie en toute légalité si les policiers s</w:t>
      </w:r>
      <w:r>
        <w:rPr>
          <w:rFonts w:cs="Times New Roman"/>
          <w:szCs w:val="24"/>
          <w:lang w:val="fr-CA"/>
        </w:rPr>
        <w:t>’</w:t>
      </w:r>
      <w:r w:rsidRPr="00CA43DD">
        <w:rPr>
          <w:rFonts w:cs="Times New Roman"/>
          <w:szCs w:val="24"/>
          <w:lang w:val="fr-CA"/>
        </w:rPr>
        <w:t>en étaient donné la peine.  Dans cette optique, la possibilité de découvrir la preuve constitue, si les circonstances s</w:t>
      </w:r>
      <w:r>
        <w:rPr>
          <w:rFonts w:cs="Times New Roman"/>
          <w:szCs w:val="24"/>
          <w:lang w:val="fr-CA"/>
        </w:rPr>
        <w:t>’</w:t>
      </w:r>
      <w:r w:rsidRPr="00CA43DD">
        <w:rPr>
          <w:rFonts w:cs="Times New Roman"/>
          <w:szCs w:val="24"/>
          <w:lang w:val="fr-CA"/>
        </w:rPr>
        <w:t>y prêtent, une considération pertinente dans l</w:t>
      </w:r>
      <w:r>
        <w:rPr>
          <w:rFonts w:cs="Times New Roman"/>
          <w:szCs w:val="24"/>
          <w:lang w:val="fr-CA"/>
        </w:rPr>
        <w:t>’</w:t>
      </w:r>
      <w:r w:rsidRPr="00CA43DD">
        <w:rPr>
          <w:rFonts w:cs="Times New Roman"/>
          <w:szCs w:val="24"/>
          <w:lang w:val="fr-CA"/>
        </w:rPr>
        <w:t>analyse que commande le par. 24(2) lorsqu</w:t>
      </w:r>
      <w:r>
        <w:rPr>
          <w:rFonts w:cs="Times New Roman"/>
          <w:szCs w:val="24"/>
          <w:lang w:val="fr-CA"/>
        </w:rPr>
        <w:t>’</w:t>
      </w:r>
      <w:r w:rsidRPr="00CA43DD">
        <w:rPr>
          <w:rFonts w:cs="Times New Roman"/>
          <w:szCs w:val="24"/>
          <w:lang w:val="fr-CA"/>
        </w:rPr>
        <w:t>un autre droit que celui à la protection contre l</w:t>
      </w:r>
      <w:r>
        <w:rPr>
          <w:rFonts w:cs="Times New Roman"/>
          <w:szCs w:val="24"/>
          <w:lang w:val="fr-CA"/>
        </w:rPr>
        <w:t>’</w:t>
      </w:r>
      <w:proofErr w:type="spellStart"/>
      <w:r w:rsidRPr="00CA43DD">
        <w:rPr>
          <w:rFonts w:cs="Times New Roman"/>
          <w:szCs w:val="24"/>
          <w:lang w:val="fr-CA"/>
        </w:rPr>
        <w:t>auto</w:t>
      </w:r>
      <w:r w:rsidRPr="00CA43DD">
        <w:rPr>
          <w:rFonts w:cs="Times New Roman"/>
          <w:szCs w:val="24"/>
          <w:lang w:val="fr-CA"/>
        </w:rPr>
        <w:noBreakHyphen/>
        <w:t>incrimination</w:t>
      </w:r>
      <w:proofErr w:type="spellEnd"/>
      <w:r w:rsidRPr="00CA43DD">
        <w:rPr>
          <w:rFonts w:cs="Times New Roman"/>
          <w:szCs w:val="24"/>
          <w:lang w:val="fr-CA"/>
        </w:rPr>
        <w:t xml:space="preserve"> est en jeu.</w:t>
      </w:r>
    </w:p>
    <w:p w:rsidR="00DC2386" w:rsidRPr="00CA43DD" w:rsidRDefault="00DC2386" w:rsidP="00DC2386">
      <w:pPr>
        <w:pStyle w:val="ParaNoNdepar-AltN"/>
        <w:rPr>
          <w:rFonts w:cs="Times New Roman"/>
          <w:szCs w:val="24"/>
          <w:lang w:val="fr-CA"/>
        </w:rPr>
      </w:pPr>
      <w:r w:rsidRPr="00CA43DD">
        <w:rPr>
          <w:rFonts w:cs="Times New Roman"/>
          <w:szCs w:val="24"/>
          <w:lang w:val="fr-CA"/>
        </w:rPr>
        <w:t>Dans la jurisprudence antérieure à l</w:t>
      </w:r>
      <w:r>
        <w:rPr>
          <w:rFonts w:cs="Times New Roman"/>
          <w:szCs w:val="24"/>
          <w:lang w:val="fr-CA"/>
        </w:rPr>
        <w:t>’</w:t>
      </w:r>
      <w:r w:rsidRPr="00CA43DD">
        <w:rPr>
          <w:rFonts w:cs="Times New Roman"/>
          <w:szCs w:val="24"/>
          <w:lang w:val="fr-CA"/>
        </w:rPr>
        <w:t xml:space="preserve">arrêt </w:t>
      </w:r>
      <w:r w:rsidRPr="00CA43DD">
        <w:rPr>
          <w:rFonts w:cs="Times New Roman"/>
          <w:i/>
          <w:szCs w:val="24"/>
          <w:lang w:val="fr-CA"/>
        </w:rPr>
        <w:t>Grant</w:t>
      </w:r>
      <w:r w:rsidRPr="00CA43DD">
        <w:rPr>
          <w:rFonts w:cs="Times New Roman"/>
          <w:szCs w:val="24"/>
          <w:lang w:val="fr-CA"/>
        </w:rPr>
        <w:t>,</w:t>
      </w:r>
      <w:r w:rsidRPr="00CA43DD">
        <w:rPr>
          <w:rFonts w:cs="Times New Roman"/>
          <w:i/>
          <w:szCs w:val="24"/>
          <w:lang w:val="fr-CA"/>
        </w:rPr>
        <w:t xml:space="preserve"> </w:t>
      </w:r>
      <w:r w:rsidRPr="00CA43DD">
        <w:rPr>
          <w:rFonts w:cs="Times New Roman"/>
          <w:szCs w:val="24"/>
          <w:lang w:val="fr-CA"/>
        </w:rPr>
        <w:t>le fait que la preuve obtenue de façon inconstitutionnelle, même sans mobilisation de l</w:t>
      </w:r>
      <w:r>
        <w:rPr>
          <w:rFonts w:cs="Times New Roman"/>
          <w:szCs w:val="24"/>
          <w:lang w:val="fr-CA"/>
        </w:rPr>
        <w:t>’</w:t>
      </w:r>
      <w:r w:rsidRPr="00CA43DD">
        <w:rPr>
          <w:rFonts w:cs="Times New Roman"/>
          <w:szCs w:val="24"/>
          <w:lang w:val="fr-CA"/>
        </w:rPr>
        <w:t xml:space="preserve">accusé contre </w:t>
      </w:r>
      <w:proofErr w:type="spellStart"/>
      <w:r w:rsidRPr="00CA43DD">
        <w:rPr>
          <w:rFonts w:cs="Times New Roman"/>
          <w:szCs w:val="24"/>
          <w:lang w:val="fr-CA"/>
        </w:rPr>
        <w:t>lui</w:t>
      </w:r>
      <w:r w:rsidRPr="00CA43DD">
        <w:rPr>
          <w:rFonts w:cs="Times New Roman"/>
          <w:szCs w:val="24"/>
          <w:lang w:val="fr-CA"/>
        </w:rPr>
        <w:noBreakHyphen/>
        <w:t>même</w:t>
      </w:r>
      <w:proofErr w:type="spellEnd"/>
      <w:r w:rsidRPr="00CA43DD">
        <w:rPr>
          <w:rFonts w:cs="Times New Roman"/>
          <w:szCs w:val="24"/>
          <w:lang w:val="fr-CA"/>
        </w:rPr>
        <w:t>, aurait pu être découverte par des moyens constitutionnels était pris en considération dans l</w:t>
      </w:r>
      <w:r>
        <w:rPr>
          <w:rFonts w:cs="Times New Roman"/>
          <w:szCs w:val="24"/>
          <w:lang w:val="fr-CA"/>
        </w:rPr>
        <w:t>’</w:t>
      </w:r>
      <w:r w:rsidRPr="00CA43DD">
        <w:rPr>
          <w:rFonts w:cs="Times New Roman"/>
          <w:szCs w:val="24"/>
          <w:lang w:val="fr-CA"/>
        </w:rPr>
        <w:t xml:space="preserve">analyse fondée sur le par. 24(2).  La notion de possibilité de </w:t>
      </w:r>
      <w:r w:rsidRPr="00CA43DD">
        <w:rPr>
          <w:rFonts w:cs="Times New Roman"/>
          <w:szCs w:val="24"/>
          <w:lang w:val="fr-CA"/>
        </w:rPr>
        <w:lastRenderedPageBreak/>
        <w:t>découvrir la preuve avait deux conséquences principales sur l</w:t>
      </w:r>
      <w:r>
        <w:rPr>
          <w:rFonts w:cs="Times New Roman"/>
          <w:szCs w:val="24"/>
          <w:lang w:val="fr-CA"/>
        </w:rPr>
        <w:t>’</w:t>
      </w:r>
      <w:r w:rsidRPr="00CA43DD">
        <w:rPr>
          <w:rFonts w:cs="Times New Roman"/>
          <w:szCs w:val="24"/>
          <w:lang w:val="fr-CA"/>
        </w:rPr>
        <w:t xml:space="preserve">analyse : premièrement, dans certaines circonstances, le fait que la preuve aurait pu être obtenue régulièrement aggravait en général la violation des droits garantis par la </w:t>
      </w:r>
      <w:r w:rsidRPr="00CA43DD">
        <w:rPr>
          <w:rFonts w:cs="Times New Roman"/>
          <w:i/>
          <w:szCs w:val="24"/>
          <w:lang w:val="fr-CA"/>
        </w:rPr>
        <w:t>Charte</w:t>
      </w:r>
      <w:r w:rsidRPr="00CA43DD">
        <w:rPr>
          <w:rFonts w:cs="Times New Roman"/>
          <w:szCs w:val="24"/>
          <w:lang w:val="fr-CA"/>
        </w:rPr>
        <w:t>, notamment lorsque les policiers se dérobaient simplement à leur obligation d</w:t>
      </w:r>
      <w:r>
        <w:rPr>
          <w:rFonts w:cs="Times New Roman"/>
          <w:szCs w:val="24"/>
          <w:lang w:val="fr-CA"/>
        </w:rPr>
        <w:t>’</w:t>
      </w:r>
      <w:r w:rsidRPr="00CA43DD">
        <w:rPr>
          <w:rFonts w:cs="Times New Roman"/>
          <w:szCs w:val="24"/>
          <w:lang w:val="fr-CA"/>
        </w:rPr>
        <w:t>obtenir une autorisation avant la perquisition ou la fouille.  En revanche, dans d</w:t>
      </w:r>
      <w:r>
        <w:rPr>
          <w:rFonts w:cs="Times New Roman"/>
          <w:szCs w:val="24"/>
          <w:lang w:val="fr-CA"/>
        </w:rPr>
        <w:t>’</w:t>
      </w:r>
      <w:r w:rsidRPr="00CA43DD">
        <w:rPr>
          <w:rFonts w:cs="Times New Roman"/>
          <w:szCs w:val="24"/>
          <w:lang w:val="fr-CA"/>
        </w:rPr>
        <w:t>autres circonstances, le fait que les policiers avaient véritablement des motifs raisonnables et probables d</w:t>
      </w:r>
      <w:r>
        <w:rPr>
          <w:rFonts w:cs="Times New Roman"/>
          <w:szCs w:val="24"/>
          <w:lang w:val="fr-CA"/>
        </w:rPr>
        <w:t>’</w:t>
      </w:r>
      <w:r w:rsidRPr="00CA43DD">
        <w:rPr>
          <w:rFonts w:cs="Times New Roman"/>
          <w:szCs w:val="24"/>
          <w:lang w:val="fr-CA"/>
        </w:rPr>
        <w:t>effectuer la perquisition ou la fouille, même s</w:t>
      </w:r>
      <w:r>
        <w:rPr>
          <w:rFonts w:cs="Times New Roman"/>
          <w:szCs w:val="24"/>
          <w:lang w:val="fr-CA"/>
        </w:rPr>
        <w:t>’</w:t>
      </w:r>
      <w:r w:rsidRPr="00CA43DD">
        <w:rPr>
          <w:rFonts w:cs="Times New Roman"/>
          <w:szCs w:val="24"/>
          <w:lang w:val="fr-CA"/>
        </w:rPr>
        <w:t>ils n</w:t>
      </w:r>
      <w:r>
        <w:rPr>
          <w:rFonts w:cs="Times New Roman"/>
          <w:szCs w:val="24"/>
          <w:lang w:val="fr-CA"/>
        </w:rPr>
        <w:t>’</w:t>
      </w:r>
      <w:r w:rsidRPr="00CA43DD">
        <w:rPr>
          <w:rFonts w:cs="Times New Roman"/>
          <w:szCs w:val="24"/>
          <w:lang w:val="fr-CA"/>
        </w:rPr>
        <w:t xml:space="preserve">avaient pas obtenu de mandat, amoindrissait généralement la gravité de la violation. </w:t>
      </w:r>
    </w:p>
    <w:p w:rsidR="00DC2386" w:rsidRPr="00CA43DD" w:rsidRDefault="00DC2386" w:rsidP="00DC2386">
      <w:pPr>
        <w:pStyle w:val="ParaNoNdepar-AltN"/>
        <w:rPr>
          <w:rFonts w:cs="Times New Roman"/>
          <w:szCs w:val="24"/>
          <w:lang w:val="fr-CA"/>
        </w:rPr>
      </w:pPr>
      <w:r w:rsidRPr="00CA43DD">
        <w:rPr>
          <w:rFonts w:cs="Times New Roman"/>
          <w:szCs w:val="24"/>
          <w:lang w:val="fr-CA"/>
        </w:rPr>
        <w:t>L</w:t>
      </w:r>
      <w:r>
        <w:rPr>
          <w:rFonts w:cs="Times New Roman"/>
          <w:szCs w:val="24"/>
          <w:lang w:val="fr-CA"/>
        </w:rPr>
        <w:t>’</w:t>
      </w:r>
      <w:r w:rsidRPr="00CA43DD">
        <w:rPr>
          <w:rFonts w:cs="Times New Roman"/>
          <w:szCs w:val="24"/>
          <w:lang w:val="fr-CA"/>
        </w:rPr>
        <w:t xml:space="preserve">arrêt </w:t>
      </w:r>
      <w:r w:rsidRPr="00CA43DD">
        <w:rPr>
          <w:rFonts w:cs="Times New Roman"/>
          <w:i/>
          <w:szCs w:val="24"/>
          <w:lang w:val="fr-CA"/>
        </w:rPr>
        <w:t xml:space="preserve">R. c. </w:t>
      </w:r>
      <w:proofErr w:type="spellStart"/>
      <w:r w:rsidRPr="00CA43DD">
        <w:rPr>
          <w:rFonts w:cs="Times New Roman"/>
          <w:i/>
          <w:szCs w:val="24"/>
          <w:lang w:val="fr-CA"/>
        </w:rPr>
        <w:t>Buhay</w:t>
      </w:r>
      <w:proofErr w:type="spellEnd"/>
      <w:r w:rsidRPr="00CA43DD">
        <w:rPr>
          <w:rFonts w:cs="Times New Roman"/>
          <w:szCs w:val="24"/>
          <w:lang w:val="fr-CA"/>
        </w:rPr>
        <w:t>, 2003 CSC 30, [2003] 1 R.C.S. 631</w:t>
      </w:r>
      <w:r w:rsidR="007C7801">
        <w:rPr>
          <w:rFonts w:cs="Times New Roman"/>
          <w:szCs w:val="24"/>
          <w:lang w:val="fr-CA"/>
        </w:rPr>
        <w:t>,</w:t>
      </w:r>
      <w:r w:rsidRPr="00CA43DD">
        <w:rPr>
          <w:rFonts w:cs="Times New Roman"/>
          <w:szCs w:val="24"/>
          <w:lang w:val="fr-CA"/>
        </w:rPr>
        <w:t xml:space="preserve"> montre bien que la possibilité de découvrir la preuve peut en quelque sorte jouer dans les deux sens.  Dans cette affaire, les policiers avaient fouillé un casier.  L</w:t>
      </w:r>
      <w:r>
        <w:rPr>
          <w:rFonts w:cs="Times New Roman"/>
          <w:szCs w:val="24"/>
          <w:lang w:val="fr-CA"/>
        </w:rPr>
        <w:t>’</w:t>
      </w:r>
      <w:r w:rsidRPr="00CA43DD">
        <w:rPr>
          <w:rFonts w:cs="Times New Roman"/>
          <w:szCs w:val="24"/>
          <w:lang w:val="fr-CA"/>
        </w:rPr>
        <w:t>un a affirmé que l</w:t>
      </w:r>
      <w:r>
        <w:rPr>
          <w:rFonts w:cs="Times New Roman"/>
          <w:szCs w:val="24"/>
          <w:lang w:val="fr-CA"/>
        </w:rPr>
        <w:t>’</w:t>
      </w:r>
      <w:r w:rsidRPr="00CA43DD">
        <w:rPr>
          <w:rFonts w:cs="Times New Roman"/>
          <w:szCs w:val="24"/>
          <w:lang w:val="fr-CA"/>
        </w:rPr>
        <w:t>idée d</w:t>
      </w:r>
      <w:r>
        <w:rPr>
          <w:rFonts w:cs="Times New Roman"/>
          <w:szCs w:val="24"/>
          <w:lang w:val="fr-CA"/>
        </w:rPr>
        <w:t>’</w:t>
      </w:r>
      <w:r w:rsidRPr="00CA43DD">
        <w:rPr>
          <w:rFonts w:cs="Times New Roman"/>
          <w:szCs w:val="24"/>
          <w:lang w:val="fr-CA"/>
        </w:rPr>
        <w:t>obtenir un mandat ne lui avait même pas traversé l</w:t>
      </w:r>
      <w:r>
        <w:rPr>
          <w:rFonts w:cs="Times New Roman"/>
          <w:szCs w:val="24"/>
          <w:lang w:val="fr-CA"/>
        </w:rPr>
        <w:t>’</w:t>
      </w:r>
      <w:r w:rsidRPr="00CA43DD">
        <w:rPr>
          <w:rFonts w:cs="Times New Roman"/>
          <w:szCs w:val="24"/>
          <w:lang w:val="fr-CA"/>
        </w:rPr>
        <w:t>esprit, alors que l</w:t>
      </w:r>
      <w:r>
        <w:rPr>
          <w:rFonts w:cs="Times New Roman"/>
          <w:szCs w:val="24"/>
          <w:lang w:val="fr-CA"/>
        </w:rPr>
        <w:t>’</w:t>
      </w:r>
      <w:r w:rsidRPr="00CA43DD">
        <w:rPr>
          <w:rFonts w:cs="Times New Roman"/>
          <w:szCs w:val="24"/>
          <w:lang w:val="fr-CA"/>
        </w:rPr>
        <w:t>autre a dit ne pas avoir pensé à en obtenir un parce qu</w:t>
      </w:r>
      <w:r>
        <w:rPr>
          <w:rFonts w:cs="Times New Roman"/>
          <w:szCs w:val="24"/>
          <w:lang w:val="fr-CA"/>
        </w:rPr>
        <w:t>’</w:t>
      </w:r>
      <w:r w:rsidRPr="00CA43DD">
        <w:rPr>
          <w:rFonts w:cs="Times New Roman"/>
          <w:szCs w:val="24"/>
          <w:lang w:val="fr-CA"/>
        </w:rPr>
        <w:t>il ne croyait pas avoir de motifs suffisants.  La Cour convient avec le juge du procès que l</w:t>
      </w:r>
      <w:r>
        <w:rPr>
          <w:rFonts w:cs="Times New Roman"/>
          <w:szCs w:val="24"/>
          <w:lang w:val="fr-CA"/>
        </w:rPr>
        <w:t>’</w:t>
      </w:r>
      <w:r w:rsidRPr="00CA43DD">
        <w:rPr>
          <w:rFonts w:cs="Times New Roman"/>
          <w:szCs w:val="24"/>
          <w:lang w:val="fr-CA"/>
        </w:rPr>
        <w:t>agent qui n</w:t>
      </w:r>
      <w:r>
        <w:rPr>
          <w:rFonts w:cs="Times New Roman"/>
          <w:szCs w:val="24"/>
          <w:lang w:val="fr-CA"/>
        </w:rPr>
        <w:t>’</w:t>
      </w:r>
      <w:r w:rsidRPr="00CA43DD">
        <w:rPr>
          <w:rFonts w:cs="Times New Roman"/>
          <w:szCs w:val="24"/>
          <w:lang w:val="fr-CA"/>
        </w:rPr>
        <w:t>a même pas pensé à obtenir un mandat a agi avec une « certaine désinvolture » envers les droits constitutionnels de l</w:t>
      </w:r>
      <w:r>
        <w:rPr>
          <w:rFonts w:cs="Times New Roman"/>
          <w:szCs w:val="24"/>
          <w:lang w:val="fr-CA"/>
        </w:rPr>
        <w:t>’</w:t>
      </w:r>
      <w:r w:rsidRPr="00CA43DD">
        <w:rPr>
          <w:rFonts w:cs="Times New Roman"/>
          <w:szCs w:val="24"/>
          <w:lang w:val="fr-CA"/>
        </w:rPr>
        <w:t>accusé et que la décision de l</w:t>
      </w:r>
      <w:r>
        <w:rPr>
          <w:rFonts w:cs="Times New Roman"/>
          <w:szCs w:val="24"/>
          <w:lang w:val="fr-CA"/>
        </w:rPr>
        <w:t>’</w:t>
      </w:r>
      <w:r w:rsidRPr="00CA43DD">
        <w:rPr>
          <w:rFonts w:cs="Times New Roman"/>
          <w:szCs w:val="24"/>
          <w:lang w:val="fr-CA"/>
        </w:rPr>
        <w:t>autre agent d</w:t>
      </w:r>
      <w:r>
        <w:rPr>
          <w:rFonts w:cs="Times New Roman"/>
          <w:szCs w:val="24"/>
          <w:lang w:val="fr-CA"/>
        </w:rPr>
        <w:t>’</w:t>
      </w:r>
      <w:r w:rsidRPr="00CA43DD">
        <w:rPr>
          <w:rFonts w:cs="Times New Roman"/>
          <w:szCs w:val="24"/>
          <w:lang w:val="fr-CA"/>
        </w:rPr>
        <w:t>effectuer la fouille parce qu</w:t>
      </w:r>
      <w:r>
        <w:rPr>
          <w:rFonts w:cs="Times New Roman"/>
          <w:szCs w:val="24"/>
          <w:lang w:val="fr-CA"/>
        </w:rPr>
        <w:t>’</w:t>
      </w:r>
      <w:r w:rsidRPr="00CA43DD">
        <w:rPr>
          <w:rFonts w:cs="Times New Roman"/>
          <w:szCs w:val="24"/>
          <w:lang w:val="fr-CA"/>
        </w:rPr>
        <w:t>il estimait ne pas avoir de motifs suffisants pour obtenir un mandat traduisait un mépris flagrant des droits de l</w:t>
      </w:r>
      <w:r>
        <w:rPr>
          <w:rFonts w:cs="Times New Roman"/>
          <w:szCs w:val="24"/>
          <w:lang w:val="fr-CA"/>
        </w:rPr>
        <w:t>’</w:t>
      </w:r>
      <w:r w:rsidRPr="00CA43DD">
        <w:rPr>
          <w:rFonts w:cs="Times New Roman"/>
          <w:szCs w:val="24"/>
          <w:lang w:val="fr-CA"/>
        </w:rPr>
        <w:t>accusé, ce qui réfutait toute allégation de bonne foi (par. 60-61).  En revanche, la Cour reconnaît que l</w:t>
      </w:r>
      <w:r>
        <w:rPr>
          <w:rFonts w:cs="Times New Roman"/>
          <w:szCs w:val="24"/>
          <w:lang w:val="fr-CA"/>
        </w:rPr>
        <w:t>’</w:t>
      </w:r>
      <w:r w:rsidRPr="00CA43DD">
        <w:rPr>
          <w:rFonts w:cs="Times New Roman"/>
          <w:szCs w:val="24"/>
          <w:lang w:val="fr-CA"/>
        </w:rPr>
        <w:t>agent avait probablement des motifs suffisants pour obtenir un mandat et qu</w:t>
      </w:r>
      <w:r>
        <w:rPr>
          <w:rFonts w:cs="Times New Roman"/>
          <w:szCs w:val="24"/>
          <w:lang w:val="fr-CA"/>
        </w:rPr>
        <w:t>’</w:t>
      </w:r>
      <w:r w:rsidRPr="00CA43DD">
        <w:rPr>
          <w:rFonts w:cs="Times New Roman"/>
          <w:szCs w:val="24"/>
          <w:lang w:val="fr-CA"/>
        </w:rPr>
        <w:t>on a maintes fois considéré que l</w:t>
      </w:r>
      <w:r>
        <w:rPr>
          <w:rFonts w:cs="Times New Roman"/>
          <w:szCs w:val="24"/>
          <w:lang w:val="fr-CA"/>
        </w:rPr>
        <w:t>’</w:t>
      </w:r>
      <w:r w:rsidRPr="00CA43DD">
        <w:rPr>
          <w:rFonts w:cs="Times New Roman"/>
          <w:szCs w:val="24"/>
          <w:lang w:val="fr-CA"/>
        </w:rPr>
        <w:t>existence de motifs raisonnables et probables atténuait la gravité d</w:t>
      </w:r>
      <w:r>
        <w:rPr>
          <w:rFonts w:cs="Times New Roman"/>
          <w:szCs w:val="24"/>
          <w:lang w:val="fr-CA"/>
        </w:rPr>
        <w:t>’</w:t>
      </w:r>
      <w:r w:rsidRPr="00CA43DD">
        <w:rPr>
          <w:rFonts w:cs="Times New Roman"/>
          <w:szCs w:val="24"/>
          <w:lang w:val="fr-CA"/>
        </w:rPr>
        <w:t xml:space="preserve">une violation.  En fin de compte, la Cour estime que le juge du procès a raisonnablement conclu à la gravité de </w:t>
      </w:r>
      <w:r w:rsidRPr="00CA43DD">
        <w:rPr>
          <w:rFonts w:cs="Times New Roman"/>
          <w:szCs w:val="24"/>
          <w:lang w:val="fr-CA"/>
        </w:rPr>
        <w:lastRenderedPageBreak/>
        <w:t>la violation et qu</w:t>
      </w:r>
      <w:r>
        <w:rPr>
          <w:rFonts w:cs="Times New Roman"/>
          <w:szCs w:val="24"/>
          <w:lang w:val="fr-CA"/>
        </w:rPr>
        <w:t>’</w:t>
      </w:r>
      <w:r w:rsidRPr="00CA43DD">
        <w:rPr>
          <w:rFonts w:cs="Times New Roman"/>
          <w:szCs w:val="24"/>
          <w:lang w:val="fr-CA"/>
        </w:rPr>
        <w:t>il n</w:t>
      </w:r>
      <w:r>
        <w:rPr>
          <w:rFonts w:cs="Times New Roman"/>
          <w:szCs w:val="24"/>
          <w:lang w:val="fr-CA"/>
        </w:rPr>
        <w:t>’</w:t>
      </w:r>
      <w:r w:rsidRPr="00CA43DD">
        <w:rPr>
          <w:rFonts w:cs="Times New Roman"/>
          <w:szCs w:val="24"/>
          <w:lang w:val="fr-CA"/>
        </w:rPr>
        <w:t>y avait pas lieu de modifier sa décision en appel :</w:t>
      </w:r>
      <w:r w:rsidR="007C7801">
        <w:rPr>
          <w:rFonts w:cs="Times New Roman"/>
          <w:szCs w:val="24"/>
          <w:lang w:val="fr-CA"/>
        </w:rPr>
        <w:t xml:space="preserve"> voir généralement les par. 52-</w:t>
      </w:r>
      <w:r w:rsidRPr="00CA43DD">
        <w:rPr>
          <w:rFonts w:cs="Times New Roman"/>
          <w:szCs w:val="24"/>
          <w:lang w:val="fr-CA"/>
        </w:rPr>
        <w:t>56.</w:t>
      </w:r>
    </w:p>
    <w:p w:rsidR="00DC2386" w:rsidRPr="00CA43DD" w:rsidRDefault="00DC2386" w:rsidP="00DC2386">
      <w:pPr>
        <w:pStyle w:val="ParaNoNdepar-AltN"/>
        <w:rPr>
          <w:rFonts w:cs="Times New Roman"/>
          <w:szCs w:val="24"/>
          <w:lang w:val="fr-CA"/>
        </w:rPr>
      </w:pPr>
      <w:r w:rsidRPr="00CA43DD">
        <w:rPr>
          <w:rFonts w:cs="Times New Roman"/>
          <w:szCs w:val="24"/>
          <w:lang w:val="fr-CA"/>
        </w:rPr>
        <w:t>Comme le montre l</w:t>
      </w:r>
      <w:r>
        <w:rPr>
          <w:rFonts w:cs="Times New Roman"/>
          <w:szCs w:val="24"/>
          <w:lang w:val="fr-CA"/>
        </w:rPr>
        <w:t>’</w:t>
      </w:r>
      <w:r w:rsidRPr="00CA43DD">
        <w:rPr>
          <w:rFonts w:cs="Times New Roman"/>
          <w:szCs w:val="24"/>
          <w:lang w:val="fr-CA"/>
        </w:rPr>
        <w:t xml:space="preserve">arrêt </w:t>
      </w:r>
      <w:r w:rsidRPr="00CA43DD">
        <w:rPr>
          <w:rFonts w:cs="Times New Roman"/>
          <w:i/>
          <w:szCs w:val="24"/>
          <w:lang w:val="fr-CA"/>
        </w:rPr>
        <w:t xml:space="preserve">R. c. </w:t>
      </w:r>
      <w:proofErr w:type="spellStart"/>
      <w:r w:rsidRPr="00CA43DD">
        <w:rPr>
          <w:rFonts w:cs="Times New Roman"/>
          <w:i/>
          <w:szCs w:val="24"/>
          <w:lang w:val="fr-CA"/>
        </w:rPr>
        <w:t>Nolet</w:t>
      </w:r>
      <w:proofErr w:type="spellEnd"/>
      <w:r w:rsidRPr="00CA43DD">
        <w:rPr>
          <w:rFonts w:cs="Times New Roman"/>
          <w:szCs w:val="24"/>
          <w:lang w:val="fr-CA"/>
        </w:rPr>
        <w:t>, 2010 CSC 24, [2010] 1 R.C.S. 851, la possibilité de découvrir la preuve demeure pertinente dans l</w:t>
      </w:r>
      <w:r>
        <w:rPr>
          <w:rFonts w:cs="Times New Roman"/>
          <w:szCs w:val="24"/>
          <w:lang w:val="fr-CA"/>
        </w:rPr>
        <w:t>’</w:t>
      </w:r>
      <w:r w:rsidRPr="00CA43DD">
        <w:rPr>
          <w:rFonts w:cs="Times New Roman"/>
          <w:szCs w:val="24"/>
          <w:lang w:val="fr-CA"/>
        </w:rPr>
        <w:t xml:space="preserve">analyse actuelle que commande le par. 24(2).  Selon le juge </w:t>
      </w:r>
      <w:proofErr w:type="spellStart"/>
      <w:r w:rsidRPr="00CA43DD">
        <w:rPr>
          <w:rFonts w:cs="Times New Roman"/>
          <w:szCs w:val="24"/>
          <w:lang w:val="fr-CA"/>
        </w:rPr>
        <w:t>Binnie</w:t>
      </w:r>
      <w:proofErr w:type="spellEnd"/>
      <w:r w:rsidRPr="00CA43DD">
        <w:rPr>
          <w:rFonts w:cs="Times New Roman"/>
          <w:szCs w:val="24"/>
          <w:lang w:val="fr-CA"/>
        </w:rPr>
        <w:t>, qui s</w:t>
      </w:r>
      <w:r>
        <w:rPr>
          <w:rFonts w:cs="Times New Roman"/>
          <w:szCs w:val="24"/>
          <w:lang w:val="fr-CA"/>
        </w:rPr>
        <w:t>’</w:t>
      </w:r>
      <w:r w:rsidRPr="00CA43DD">
        <w:rPr>
          <w:rFonts w:cs="Times New Roman"/>
          <w:szCs w:val="24"/>
          <w:lang w:val="fr-CA"/>
        </w:rPr>
        <w:t>exprime au nom de la Cour, le fait que la preuve matérielle non corporelle obtenue en violation du droit garanti à l</w:t>
      </w:r>
      <w:r>
        <w:rPr>
          <w:rFonts w:cs="Times New Roman"/>
          <w:szCs w:val="24"/>
          <w:lang w:val="fr-CA"/>
        </w:rPr>
        <w:t>’</w:t>
      </w:r>
      <w:r w:rsidRPr="00CA43DD">
        <w:rPr>
          <w:rFonts w:cs="Times New Roman"/>
          <w:szCs w:val="24"/>
          <w:lang w:val="fr-CA"/>
        </w:rPr>
        <w:t>accusé par l</w:t>
      </w:r>
      <w:r>
        <w:rPr>
          <w:rFonts w:cs="Times New Roman"/>
          <w:szCs w:val="24"/>
          <w:lang w:val="fr-CA"/>
        </w:rPr>
        <w:t>’</w:t>
      </w:r>
      <w:r w:rsidRPr="00CA43DD">
        <w:rPr>
          <w:rFonts w:cs="Times New Roman"/>
          <w:szCs w:val="24"/>
          <w:lang w:val="fr-CA"/>
        </w:rPr>
        <w:t xml:space="preserve">art. 8 de la </w:t>
      </w:r>
      <w:r w:rsidRPr="00CA43DD">
        <w:rPr>
          <w:rFonts w:cs="Times New Roman"/>
          <w:i/>
          <w:szCs w:val="24"/>
          <w:lang w:val="fr-CA"/>
        </w:rPr>
        <w:t>Charte</w:t>
      </w:r>
      <w:r w:rsidRPr="00CA43DD">
        <w:rPr>
          <w:rFonts w:cs="Times New Roman"/>
          <w:szCs w:val="24"/>
          <w:lang w:val="fr-CA"/>
        </w:rPr>
        <w:t xml:space="preserve"> aurait été découverte autrement était l</w:t>
      </w:r>
      <w:r>
        <w:rPr>
          <w:rFonts w:cs="Times New Roman"/>
          <w:szCs w:val="24"/>
          <w:lang w:val="fr-CA"/>
        </w:rPr>
        <w:t>’</w:t>
      </w:r>
      <w:r w:rsidRPr="00CA43DD">
        <w:rPr>
          <w:rFonts w:cs="Times New Roman"/>
          <w:szCs w:val="24"/>
          <w:lang w:val="fr-CA"/>
        </w:rPr>
        <w:t>un des éléments qui militaient en faveur de l</w:t>
      </w:r>
      <w:r>
        <w:rPr>
          <w:rFonts w:cs="Times New Roman"/>
          <w:szCs w:val="24"/>
          <w:lang w:val="fr-CA"/>
        </w:rPr>
        <w:t>’</w:t>
      </w:r>
      <w:r w:rsidRPr="00CA43DD">
        <w:rPr>
          <w:rFonts w:cs="Times New Roman"/>
          <w:szCs w:val="24"/>
          <w:lang w:val="fr-CA"/>
        </w:rPr>
        <w:t>utilisation de la preuve au lieu de son exclusion.</w:t>
      </w:r>
      <w:r w:rsidRPr="00CA43DD" w:rsidDel="0073461D">
        <w:rPr>
          <w:rFonts w:cs="Times New Roman"/>
          <w:szCs w:val="24"/>
          <w:lang w:val="fr-CA"/>
        </w:rPr>
        <w:t xml:space="preserve"> </w:t>
      </w:r>
    </w:p>
    <w:p w:rsidR="00DC2386" w:rsidRPr="00CA43DD" w:rsidRDefault="00DC2386" w:rsidP="00DC2386">
      <w:pPr>
        <w:pStyle w:val="ParaNoNdepar-AltN"/>
        <w:rPr>
          <w:rFonts w:cs="Times New Roman"/>
          <w:szCs w:val="24"/>
          <w:lang w:val="fr-CA"/>
        </w:rPr>
      </w:pPr>
      <w:r w:rsidRPr="00CA43DD">
        <w:rPr>
          <w:rFonts w:cs="Times New Roman"/>
          <w:szCs w:val="24"/>
          <w:lang w:val="fr-CA"/>
        </w:rPr>
        <w:t>La possibilité de découvrir la preuve joue encore un rôle important dans l</w:t>
      </w:r>
      <w:r>
        <w:rPr>
          <w:rFonts w:cs="Times New Roman"/>
          <w:szCs w:val="24"/>
          <w:lang w:val="fr-CA"/>
        </w:rPr>
        <w:t>’</w:t>
      </w:r>
      <w:r w:rsidRPr="00CA43DD">
        <w:rPr>
          <w:rFonts w:cs="Times New Roman"/>
          <w:szCs w:val="24"/>
          <w:lang w:val="fr-CA"/>
        </w:rPr>
        <w:t>analyse requise au par. 24(2), mais elle n</w:t>
      </w:r>
      <w:r>
        <w:rPr>
          <w:rFonts w:cs="Times New Roman"/>
          <w:szCs w:val="24"/>
          <w:lang w:val="fr-CA"/>
        </w:rPr>
        <w:t>’</w:t>
      </w:r>
      <w:r w:rsidRPr="00CA43DD">
        <w:rPr>
          <w:rFonts w:cs="Times New Roman"/>
          <w:szCs w:val="24"/>
          <w:lang w:val="fr-CA"/>
        </w:rPr>
        <w:t>est pas déterminante.  La conclusion selon laquelle la preuve aurait pu être découverte n</w:t>
      </w:r>
      <w:r>
        <w:rPr>
          <w:rFonts w:cs="Times New Roman"/>
          <w:szCs w:val="24"/>
          <w:lang w:val="fr-CA"/>
        </w:rPr>
        <w:t>’</w:t>
      </w:r>
      <w:r w:rsidRPr="00CA43DD">
        <w:rPr>
          <w:rFonts w:cs="Times New Roman"/>
          <w:szCs w:val="24"/>
          <w:lang w:val="fr-CA"/>
        </w:rPr>
        <w:t>emporte pas nécessairement que l</w:t>
      </w:r>
      <w:r>
        <w:rPr>
          <w:rFonts w:cs="Times New Roman"/>
          <w:szCs w:val="24"/>
          <w:lang w:val="fr-CA"/>
        </w:rPr>
        <w:t>’</w:t>
      </w:r>
      <w:r w:rsidRPr="00CA43DD">
        <w:rPr>
          <w:rFonts w:cs="Times New Roman"/>
          <w:szCs w:val="24"/>
          <w:lang w:val="fr-CA"/>
        </w:rPr>
        <w:t xml:space="preserve">on doive permettre son utilisation au procès.  Le tribunal ne doit pas non plus se livrer à des conjectures.  Comme le dit la Cour dans </w:t>
      </w:r>
      <w:r w:rsidRPr="00CA43DD">
        <w:rPr>
          <w:rFonts w:cs="Times New Roman"/>
          <w:i/>
          <w:iCs/>
          <w:szCs w:val="24"/>
          <w:lang w:val="fr-CA"/>
        </w:rPr>
        <w:t>Grant</w:t>
      </w:r>
      <w:r w:rsidRPr="00CA43DD">
        <w:rPr>
          <w:rFonts w:cs="Times New Roman"/>
          <w:szCs w:val="24"/>
          <w:lang w:val="fr-CA"/>
        </w:rPr>
        <w:t>, lorsqu</w:t>
      </w:r>
      <w:r>
        <w:rPr>
          <w:rFonts w:cs="Times New Roman"/>
          <w:szCs w:val="24"/>
          <w:lang w:val="fr-CA"/>
        </w:rPr>
        <w:t>’</w:t>
      </w:r>
      <w:r w:rsidRPr="00CA43DD">
        <w:rPr>
          <w:rFonts w:cs="Times New Roman"/>
          <w:szCs w:val="24"/>
          <w:lang w:val="fr-CA"/>
        </w:rPr>
        <w:t>on ne peut déterminer avec certitude que la preuve aurait été découverte même sans l</w:t>
      </w:r>
      <w:r>
        <w:rPr>
          <w:rFonts w:cs="Times New Roman"/>
          <w:szCs w:val="24"/>
          <w:lang w:val="fr-CA"/>
        </w:rPr>
        <w:t>’</w:t>
      </w:r>
      <w:r w:rsidRPr="00CA43DD">
        <w:rPr>
          <w:rFonts w:cs="Times New Roman"/>
          <w:szCs w:val="24"/>
          <w:lang w:val="fr-CA"/>
        </w:rPr>
        <w:t xml:space="preserve">atteinte à la </w:t>
      </w:r>
      <w:r w:rsidRPr="00CA43DD">
        <w:rPr>
          <w:rFonts w:cs="Times New Roman"/>
          <w:i/>
          <w:iCs/>
          <w:szCs w:val="24"/>
          <w:lang w:val="fr-CA"/>
        </w:rPr>
        <w:t>Charte</w:t>
      </w:r>
      <w:r w:rsidRPr="00CA43DD">
        <w:rPr>
          <w:rFonts w:cs="Times New Roman"/>
          <w:szCs w:val="24"/>
          <w:lang w:val="fr-CA"/>
        </w:rPr>
        <w:t>, la possibilité de découvrir la preuve n</w:t>
      </w:r>
      <w:r>
        <w:rPr>
          <w:rFonts w:cs="Times New Roman"/>
          <w:szCs w:val="24"/>
          <w:lang w:val="fr-CA"/>
        </w:rPr>
        <w:t>’</w:t>
      </w:r>
      <w:r w:rsidRPr="00CA43DD">
        <w:rPr>
          <w:rFonts w:cs="Times New Roman"/>
          <w:szCs w:val="24"/>
          <w:lang w:val="fr-CA"/>
        </w:rPr>
        <w:t>a aucune incidence sur l</w:t>
      </w:r>
      <w:r>
        <w:rPr>
          <w:rFonts w:cs="Times New Roman"/>
          <w:szCs w:val="24"/>
          <w:lang w:val="fr-CA"/>
        </w:rPr>
        <w:t>’</w:t>
      </w:r>
      <w:r w:rsidRPr="00CA43DD">
        <w:rPr>
          <w:rFonts w:cs="Times New Roman"/>
          <w:szCs w:val="24"/>
          <w:lang w:val="fr-CA"/>
        </w:rPr>
        <w:t>analyse que requiert le par. 24(2).  Il convient maintenant d</w:t>
      </w:r>
      <w:r>
        <w:rPr>
          <w:rFonts w:cs="Times New Roman"/>
          <w:szCs w:val="24"/>
          <w:lang w:val="fr-CA"/>
        </w:rPr>
        <w:t>’</w:t>
      </w:r>
      <w:r w:rsidRPr="00CA43DD">
        <w:rPr>
          <w:rFonts w:cs="Times New Roman"/>
          <w:szCs w:val="24"/>
          <w:lang w:val="fr-CA"/>
        </w:rPr>
        <w:t>expliquer en quoi, dans les cas qui s</w:t>
      </w:r>
      <w:r>
        <w:rPr>
          <w:rFonts w:cs="Times New Roman"/>
          <w:szCs w:val="24"/>
          <w:lang w:val="fr-CA"/>
        </w:rPr>
        <w:t>’</w:t>
      </w:r>
      <w:r w:rsidRPr="00CA43DD">
        <w:rPr>
          <w:rFonts w:cs="Times New Roman"/>
          <w:szCs w:val="24"/>
          <w:lang w:val="fr-CA"/>
        </w:rPr>
        <w:t>y prêtent, la possibilité de découvrir la preuve peut jouer dans l</w:t>
      </w:r>
      <w:r>
        <w:rPr>
          <w:rFonts w:cs="Times New Roman"/>
          <w:szCs w:val="24"/>
          <w:lang w:val="fr-CA"/>
        </w:rPr>
        <w:t>’</w:t>
      </w:r>
      <w:r w:rsidRPr="00CA43DD">
        <w:rPr>
          <w:rFonts w:cs="Times New Roman"/>
          <w:szCs w:val="24"/>
          <w:lang w:val="fr-CA"/>
        </w:rPr>
        <w:t>application des deux premiers volets de la grille d</w:t>
      </w:r>
      <w:r>
        <w:rPr>
          <w:rFonts w:cs="Times New Roman"/>
          <w:szCs w:val="24"/>
          <w:lang w:val="fr-CA"/>
        </w:rPr>
        <w:t>’</w:t>
      </w:r>
      <w:r w:rsidRPr="00CA43DD">
        <w:rPr>
          <w:rFonts w:cs="Times New Roman"/>
          <w:szCs w:val="24"/>
          <w:lang w:val="fr-CA"/>
        </w:rPr>
        <w:t>analyse de l</w:t>
      </w:r>
      <w:r>
        <w:rPr>
          <w:rFonts w:cs="Times New Roman"/>
          <w:szCs w:val="24"/>
          <w:lang w:val="fr-CA"/>
        </w:rPr>
        <w:t>’</w:t>
      </w:r>
      <w:r w:rsidRPr="00CA43DD">
        <w:rPr>
          <w:rFonts w:cs="Times New Roman"/>
          <w:szCs w:val="24"/>
          <w:lang w:val="fr-CA"/>
        </w:rPr>
        <w:t xml:space="preserve">arrêt </w:t>
      </w:r>
      <w:r w:rsidRPr="00CA43DD">
        <w:rPr>
          <w:rFonts w:cs="Times New Roman"/>
          <w:i/>
          <w:szCs w:val="24"/>
          <w:lang w:val="fr-CA"/>
        </w:rPr>
        <w:t>Grant</w:t>
      </w:r>
      <w:r w:rsidRPr="00CA43DD">
        <w:rPr>
          <w:rFonts w:cs="Times New Roman"/>
          <w:szCs w:val="24"/>
          <w:lang w:val="fr-CA"/>
        </w:rPr>
        <w:t>.</w:t>
      </w:r>
    </w:p>
    <w:p w:rsidR="00DC2386" w:rsidRPr="00CA43DD" w:rsidRDefault="00DC2386" w:rsidP="00DC2386">
      <w:pPr>
        <w:pStyle w:val="ParaNoNdepar-AltN"/>
        <w:rPr>
          <w:rFonts w:cs="Times New Roman"/>
          <w:szCs w:val="24"/>
          <w:lang w:val="fr-CA"/>
        </w:rPr>
      </w:pPr>
      <w:r w:rsidRPr="00CA43DD">
        <w:rPr>
          <w:rFonts w:cs="Times New Roman"/>
          <w:szCs w:val="24"/>
          <w:lang w:val="fr-CA"/>
        </w:rPr>
        <w:t>Examinons d</w:t>
      </w:r>
      <w:r>
        <w:rPr>
          <w:rFonts w:cs="Times New Roman"/>
          <w:szCs w:val="24"/>
          <w:lang w:val="fr-CA"/>
        </w:rPr>
        <w:t>’</w:t>
      </w:r>
      <w:r w:rsidRPr="00CA43DD">
        <w:rPr>
          <w:rFonts w:cs="Times New Roman"/>
          <w:szCs w:val="24"/>
          <w:lang w:val="fr-CA"/>
        </w:rPr>
        <w:t>abord le premier volet</w:t>
      </w:r>
      <w:r w:rsidRPr="00CA43DD">
        <w:rPr>
          <w:rFonts w:cs="Times New Roman"/>
          <w:iCs/>
          <w:szCs w:val="24"/>
          <w:lang w:val="fr-CA"/>
        </w:rPr>
        <w:t>, à savoir la gravité de la conduite attentatoire de l</w:t>
      </w:r>
      <w:r>
        <w:rPr>
          <w:rFonts w:cs="Times New Roman"/>
          <w:iCs/>
          <w:szCs w:val="24"/>
          <w:lang w:val="fr-CA"/>
        </w:rPr>
        <w:t>’</w:t>
      </w:r>
      <w:r w:rsidRPr="00CA43DD">
        <w:rPr>
          <w:rFonts w:cs="Times New Roman"/>
          <w:iCs/>
          <w:szCs w:val="24"/>
          <w:lang w:val="fr-CA"/>
        </w:rPr>
        <w:t xml:space="preserve">État. </w:t>
      </w:r>
      <w:r w:rsidRPr="00CA43DD">
        <w:rPr>
          <w:rFonts w:cs="Times New Roman"/>
          <w:szCs w:val="24"/>
          <w:lang w:val="fr-CA"/>
        </w:rPr>
        <w:t xml:space="preserve"> Le fait que les policiers auraient pu effectuer la fouille </w:t>
      </w:r>
      <w:r w:rsidRPr="00CA43DD">
        <w:rPr>
          <w:rFonts w:cs="Times New Roman"/>
          <w:szCs w:val="24"/>
          <w:lang w:val="fr-CA"/>
        </w:rPr>
        <w:lastRenderedPageBreak/>
        <w:t>légalement, mais qu</w:t>
      </w:r>
      <w:r>
        <w:rPr>
          <w:rFonts w:cs="Times New Roman"/>
          <w:szCs w:val="24"/>
          <w:lang w:val="fr-CA"/>
        </w:rPr>
        <w:t>’</w:t>
      </w:r>
      <w:r w:rsidRPr="00CA43DD">
        <w:rPr>
          <w:rFonts w:cs="Times New Roman"/>
          <w:szCs w:val="24"/>
          <w:lang w:val="fr-CA"/>
        </w:rPr>
        <w:t>ils n</w:t>
      </w:r>
      <w:r>
        <w:rPr>
          <w:rFonts w:cs="Times New Roman"/>
          <w:szCs w:val="24"/>
          <w:lang w:val="fr-CA"/>
        </w:rPr>
        <w:t>’</w:t>
      </w:r>
      <w:r w:rsidRPr="00CA43DD">
        <w:rPr>
          <w:rFonts w:cs="Times New Roman"/>
          <w:szCs w:val="24"/>
          <w:lang w:val="fr-CA"/>
        </w:rPr>
        <w:t>ont pas songé à obtenir un mandat ou qu</w:t>
      </w:r>
      <w:r>
        <w:rPr>
          <w:rFonts w:cs="Times New Roman"/>
          <w:szCs w:val="24"/>
          <w:lang w:val="fr-CA"/>
        </w:rPr>
        <w:t>’</w:t>
      </w:r>
      <w:r w:rsidRPr="00CA43DD">
        <w:rPr>
          <w:rFonts w:cs="Times New Roman"/>
          <w:szCs w:val="24"/>
          <w:lang w:val="fr-CA"/>
        </w:rPr>
        <w:t>ils ont pensé ne pas être en mesure de convaincre un officier de justice qu</w:t>
      </w:r>
      <w:r>
        <w:rPr>
          <w:rFonts w:cs="Times New Roman"/>
          <w:szCs w:val="24"/>
          <w:lang w:val="fr-CA"/>
        </w:rPr>
        <w:t>’</w:t>
      </w:r>
      <w:r w:rsidRPr="00CA43DD">
        <w:rPr>
          <w:rFonts w:cs="Times New Roman"/>
          <w:szCs w:val="24"/>
          <w:lang w:val="fr-CA"/>
        </w:rPr>
        <w:t>ils avaient les motifs raisonnables et probables requis ajoute à la gravité de la conduite de l</w:t>
      </w:r>
      <w:r>
        <w:rPr>
          <w:rFonts w:cs="Times New Roman"/>
          <w:szCs w:val="24"/>
          <w:lang w:val="fr-CA"/>
        </w:rPr>
        <w:t>’</w:t>
      </w:r>
      <w:r w:rsidRPr="00CA43DD">
        <w:rPr>
          <w:rFonts w:cs="Times New Roman"/>
          <w:szCs w:val="24"/>
          <w:lang w:val="fr-CA"/>
        </w:rPr>
        <w:t xml:space="preserve">État.  Comme dans </w:t>
      </w:r>
      <w:proofErr w:type="spellStart"/>
      <w:r w:rsidRPr="00CA43DD">
        <w:rPr>
          <w:rFonts w:cs="Times New Roman"/>
          <w:i/>
          <w:szCs w:val="24"/>
          <w:lang w:val="fr-CA"/>
        </w:rPr>
        <w:t>Buhay</w:t>
      </w:r>
      <w:proofErr w:type="spellEnd"/>
      <w:r w:rsidRPr="00CA43DD">
        <w:rPr>
          <w:rFonts w:cs="Times New Roman"/>
          <w:szCs w:val="24"/>
          <w:lang w:val="fr-CA"/>
        </w:rPr>
        <w:t xml:space="preserve">, la désinvolture envers des droits garantis par la </w:t>
      </w:r>
      <w:r w:rsidRPr="00CA43DD">
        <w:rPr>
          <w:rFonts w:cs="Times New Roman"/>
          <w:i/>
          <w:iCs/>
          <w:szCs w:val="24"/>
          <w:lang w:val="fr-CA"/>
        </w:rPr>
        <w:t>Charte</w:t>
      </w:r>
      <w:r w:rsidRPr="00CA43DD">
        <w:rPr>
          <w:rFonts w:cs="Times New Roman"/>
          <w:szCs w:val="24"/>
          <w:lang w:val="fr-CA"/>
        </w:rPr>
        <w:t xml:space="preserve"> ou le mépris délibéré accroît généralement la gravité de la conduite attentatoire de l</w:t>
      </w:r>
      <w:r>
        <w:rPr>
          <w:rFonts w:cs="Times New Roman"/>
          <w:szCs w:val="24"/>
          <w:lang w:val="fr-CA"/>
        </w:rPr>
        <w:t>’</w:t>
      </w:r>
      <w:r w:rsidRPr="00CA43DD">
        <w:rPr>
          <w:rFonts w:cs="Times New Roman"/>
          <w:szCs w:val="24"/>
          <w:lang w:val="fr-CA"/>
        </w:rPr>
        <w:t>État.  Par contre, la bonne foi du policier ou l</w:t>
      </w:r>
      <w:r>
        <w:rPr>
          <w:rFonts w:cs="Times New Roman"/>
          <w:szCs w:val="24"/>
          <w:lang w:val="fr-CA"/>
        </w:rPr>
        <w:t>’</w:t>
      </w:r>
      <w:r w:rsidRPr="00CA43DD">
        <w:rPr>
          <w:rFonts w:cs="Times New Roman"/>
          <w:szCs w:val="24"/>
          <w:lang w:val="fr-CA"/>
        </w:rPr>
        <w:t>existence d</w:t>
      </w:r>
      <w:r>
        <w:rPr>
          <w:rFonts w:cs="Times New Roman"/>
          <w:szCs w:val="24"/>
          <w:lang w:val="fr-CA"/>
        </w:rPr>
        <w:t>’</w:t>
      </w:r>
      <w:r w:rsidRPr="00CA43DD">
        <w:rPr>
          <w:rFonts w:cs="Times New Roman"/>
          <w:szCs w:val="24"/>
          <w:lang w:val="fr-CA"/>
        </w:rPr>
        <w:t>un motif légitime de ne pas demander une autorisation judiciaire avant d</w:t>
      </w:r>
      <w:r>
        <w:rPr>
          <w:rFonts w:cs="Times New Roman"/>
          <w:szCs w:val="24"/>
          <w:lang w:val="fr-CA"/>
        </w:rPr>
        <w:t>’</w:t>
      </w:r>
      <w:r w:rsidRPr="00CA43DD">
        <w:rPr>
          <w:rFonts w:cs="Times New Roman"/>
          <w:szCs w:val="24"/>
          <w:lang w:val="fr-CA"/>
        </w:rPr>
        <w:t xml:space="preserve">effectuer la fouille ou la perquisition devrait généralement atténuer la gravité de cette conduite.  </w:t>
      </w:r>
    </w:p>
    <w:p w:rsidR="00DC2386" w:rsidRPr="00CA43DD" w:rsidRDefault="00DC2386" w:rsidP="00DC2386">
      <w:pPr>
        <w:pStyle w:val="ParaNoNdepar-AltN"/>
        <w:rPr>
          <w:rFonts w:cs="Times New Roman"/>
          <w:szCs w:val="24"/>
          <w:lang w:val="fr-CA"/>
        </w:rPr>
      </w:pPr>
      <w:r w:rsidRPr="00CA43DD">
        <w:rPr>
          <w:rFonts w:cs="Times New Roman"/>
          <w:szCs w:val="24"/>
          <w:lang w:val="fr-CA"/>
        </w:rPr>
        <w:t>Passons maintenant à l</w:t>
      </w:r>
      <w:r>
        <w:rPr>
          <w:rFonts w:cs="Times New Roman"/>
          <w:szCs w:val="24"/>
          <w:lang w:val="fr-CA"/>
        </w:rPr>
        <w:t>’</w:t>
      </w:r>
      <w:r w:rsidRPr="00CA43DD">
        <w:rPr>
          <w:rFonts w:cs="Times New Roman"/>
          <w:szCs w:val="24"/>
          <w:lang w:val="fr-CA"/>
        </w:rPr>
        <w:t>effet de la possibilité de découvrir la preuve sur le deuxième volet du test de l</w:t>
      </w:r>
      <w:r>
        <w:rPr>
          <w:rFonts w:cs="Times New Roman"/>
          <w:szCs w:val="24"/>
          <w:lang w:val="fr-CA"/>
        </w:rPr>
        <w:t>’</w:t>
      </w:r>
      <w:r w:rsidRPr="00CA43DD">
        <w:rPr>
          <w:rFonts w:cs="Times New Roman"/>
          <w:szCs w:val="24"/>
          <w:lang w:val="fr-CA"/>
        </w:rPr>
        <w:t xml:space="preserve">arrêt </w:t>
      </w:r>
      <w:r w:rsidRPr="00CA43DD">
        <w:rPr>
          <w:rFonts w:cs="Times New Roman"/>
          <w:i/>
          <w:szCs w:val="24"/>
          <w:lang w:val="fr-CA"/>
        </w:rPr>
        <w:t>Grant</w:t>
      </w:r>
      <w:r w:rsidRPr="00CA43DD">
        <w:rPr>
          <w:rFonts w:cs="Times New Roman"/>
          <w:szCs w:val="24"/>
          <w:lang w:val="fr-CA"/>
        </w:rPr>
        <w:t>, à savoir l</w:t>
      </w:r>
      <w:r>
        <w:rPr>
          <w:rFonts w:cs="Times New Roman"/>
          <w:szCs w:val="24"/>
          <w:lang w:val="fr-CA"/>
        </w:rPr>
        <w:t>’</w:t>
      </w:r>
      <w:r w:rsidRPr="00CA43DD">
        <w:rPr>
          <w:rFonts w:cs="Times New Roman"/>
          <w:szCs w:val="24"/>
          <w:lang w:val="fr-CA"/>
        </w:rPr>
        <w:t>incidence de la violation sur les droits constitutionnels de l</w:t>
      </w:r>
      <w:r>
        <w:rPr>
          <w:rFonts w:cs="Times New Roman"/>
          <w:szCs w:val="24"/>
          <w:lang w:val="fr-CA"/>
        </w:rPr>
        <w:t>’</w:t>
      </w:r>
      <w:r w:rsidRPr="00CA43DD">
        <w:rPr>
          <w:rFonts w:cs="Times New Roman"/>
          <w:szCs w:val="24"/>
          <w:lang w:val="fr-CA"/>
        </w:rPr>
        <w:t>accusé.  L</w:t>
      </w:r>
      <w:r>
        <w:rPr>
          <w:rFonts w:cs="Times New Roman"/>
          <w:szCs w:val="24"/>
          <w:lang w:val="fr-CA"/>
        </w:rPr>
        <w:t>’</w:t>
      </w:r>
      <w:r w:rsidRPr="00CA43DD">
        <w:rPr>
          <w:rFonts w:cs="Times New Roman"/>
          <w:szCs w:val="24"/>
          <w:lang w:val="fr-CA"/>
        </w:rPr>
        <w:t xml:space="preserve">article 8 de la </w:t>
      </w:r>
      <w:r w:rsidRPr="00CA43DD">
        <w:rPr>
          <w:rFonts w:cs="Times New Roman"/>
          <w:i/>
          <w:szCs w:val="24"/>
          <w:lang w:val="fr-CA"/>
        </w:rPr>
        <w:t>Charte</w:t>
      </w:r>
      <w:r w:rsidRPr="00CA43DD">
        <w:rPr>
          <w:rFonts w:cs="Times New Roman"/>
          <w:szCs w:val="24"/>
          <w:lang w:val="fr-CA"/>
        </w:rPr>
        <w:t xml:space="preserve"> protège l</w:t>
      </w:r>
      <w:r>
        <w:rPr>
          <w:rFonts w:cs="Times New Roman"/>
          <w:szCs w:val="24"/>
          <w:lang w:val="fr-CA"/>
        </w:rPr>
        <w:t>’</w:t>
      </w:r>
      <w:r w:rsidRPr="00CA43DD">
        <w:rPr>
          <w:rFonts w:cs="Times New Roman"/>
          <w:szCs w:val="24"/>
          <w:lang w:val="fr-CA"/>
        </w:rPr>
        <w:t>attente raisonnable qu</w:t>
      </w:r>
      <w:r>
        <w:rPr>
          <w:rFonts w:cs="Times New Roman"/>
          <w:szCs w:val="24"/>
          <w:lang w:val="fr-CA"/>
        </w:rPr>
        <w:t>’</w:t>
      </w:r>
      <w:r w:rsidRPr="00CA43DD">
        <w:rPr>
          <w:rFonts w:cs="Times New Roman"/>
          <w:szCs w:val="24"/>
          <w:lang w:val="fr-CA"/>
        </w:rPr>
        <w:t>une personne peut avoir en matière de vie privée.  Malgré cette attente, une fouille ou une perquisition demeure possible lorsqu</w:t>
      </w:r>
      <w:r>
        <w:rPr>
          <w:rFonts w:cs="Times New Roman"/>
          <w:szCs w:val="24"/>
          <w:lang w:val="fr-CA"/>
        </w:rPr>
        <w:t>’</w:t>
      </w:r>
      <w:r w:rsidRPr="00CA43DD">
        <w:rPr>
          <w:rFonts w:cs="Times New Roman"/>
          <w:szCs w:val="24"/>
          <w:lang w:val="fr-CA"/>
        </w:rPr>
        <w:t>un officier de justice est convaincu qu</w:t>
      </w:r>
      <w:r>
        <w:rPr>
          <w:rFonts w:cs="Times New Roman"/>
          <w:szCs w:val="24"/>
          <w:lang w:val="fr-CA"/>
        </w:rPr>
        <w:t>’</w:t>
      </w:r>
      <w:r w:rsidRPr="00CA43DD">
        <w:rPr>
          <w:rFonts w:cs="Times New Roman"/>
          <w:szCs w:val="24"/>
          <w:lang w:val="fr-CA"/>
        </w:rPr>
        <w:t>il existe des motifs raisonnables et probables de recourir à la mesure et qu</w:t>
      </w:r>
      <w:r>
        <w:rPr>
          <w:rFonts w:cs="Times New Roman"/>
          <w:szCs w:val="24"/>
          <w:lang w:val="fr-CA"/>
        </w:rPr>
        <w:t>’</w:t>
      </w:r>
      <w:r w:rsidRPr="00CA43DD">
        <w:rPr>
          <w:rFonts w:cs="Times New Roman"/>
          <w:szCs w:val="24"/>
          <w:lang w:val="fr-CA"/>
        </w:rPr>
        <w:t>il l</w:t>
      </w:r>
      <w:r>
        <w:rPr>
          <w:rFonts w:cs="Times New Roman"/>
          <w:szCs w:val="24"/>
          <w:lang w:val="fr-CA"/>
        </w:rPr>
        <w:t>’</w:t>
      </w:r>
      <w:r w:rsidRPr="00CA43DD">
        <w:rPr>
          <w:rFonts w:cs="Times New Roman"/>
          <w:szCs w:val="24"/>
          <w:lang w:val="fr-CA"/>
        </w:rPr>
        <w:t>autorise au préalable.  Lorsque la fouille ou la perquisition n</w:t>
      </w:r>
      <w:r>
        <w:rPr>
          <w:rFonts w:cs="Times New Roman"/>
          <w:szCs w:val="24"/>
          <w:lang w:val="fr-CA"/>
        </w:rPr>
        <w:t>’</w:t>
      </w:r>
      <w:r w:rsidRPr="00CA43DD">
        <w:rPr>
          <w:rFonts w:cs="Times New Roman"/>
          <w:szCs w:val="24"/>
          <w:lang w:val="fr-CA"/>
        </w:rPr>
        <w:t>aurait pu avoir lieu légalement, il y a empiètement accru sur l</w:t>
      </w:r>
      <w:r>
        <w:rPr>
          <w:rFonts w:cs="Times New Roman"/>
          <w:szCs w:val="24"/>
          <w:lang w:val="fr-CA"/>
        </w:rPr>
        <w:t>’</w:t>
      </w:r>
      <w:r w:rsidRPr="00CA43DD">
        <w:rPr>
          <w:rFonts w:cs="Times New Roman"/>
          <w:szCs w:val="24"/>
          <w:lang w:val="fr-CA"/>
        </w:rPr>
        <w:t>attente raisonnable en matière de vie privée.  Par contre, le fait que les policiers auraient pu convaincre l</w:t>
      </w:r>
      <w:r>
        <w:rPr>
          <w:rFonts w:cs="Times New Roman"/>
          <w:szCs w:val="24"/>
          <w:lang w:val="fr-CA"/>
        </w:rPr>
        <w:t>’</w:t>
      </w:r>
      <w:r w:rsidRPr="00CA43DD">
        <w:rPr>
          <w:rFonts w:cs="Times New Roman"/>
          <w:szCs w:val="24"/>
          <w:lang w:val="fr-CA"/>
        </w:rPr>
        <w:t>officier de justice qu</w:t>
      </w:r>
      <w:r>
        <w:rPr>
          <w:rFonts w:cs="Times New Roman"/>
          <w:szCs w:val="24"/>
          <w:lang w:val="fr-CA"/>
        </w:rPr>
        <w:t>’</w:t>
      </w:r>
      <w:r w:rsidRPr="00CA43DD">
        <w:rPr>
          <w:rFonts w:cs="Times New Roman"/>
          <w:szCs w:val="24"/>
          <w:lang w:val="fr-CA"/>
        </w:rPr>
        <w:t>ils avaient des motifs raisonnables et probables de croire qu</w:t>
      </w:r>
      <w:r>
        <w:rPr>
          <w:rFonts w:cs="Times New Roman"/>
          <w:szCs w:val="24"/>
          <w:lang w:val="fr-CA"/>
        </w:rPr>
        <w:t>’</w:t>
      </w:r>
      <w:r w:rsidRPr="00CA43DD">
        <w:rPr>
          <w:rFonts w:cs="Times New Roman"/>
          <w:szCs w:val="24"/>
          <w:lang w:val="fr-CA"/>
        </w:rPr>
        <w:t>une infraction avait été commise et que des éléments de preuve se trouvaient à l</w:t>
      </w:r>
      <w:r>
        <w:rPr>
          <w:rFonts w:cs="Times New Roman"/>
          <w:szCs w:val="24"/>
          <w:lang w:val="fr-CA"/>
        </w:rPr>
        <w:t>’</w:t>
      </w:r>
      <w:r w:rsidRPr="00CA43DD">
        <w:rPr>
          <w:rFonts w:cs="Times New Roman"/>
          <w:szCs w:val="24"/>
          <w:lang w:val="fr-CA"/>
        </w:rPr>
        <w:t>endroit visé diminue généralement l</w:t>
      </w:r>
      <w:r>
        <w:rPr>
          <w:rFonts w:cs="Times New Roman"/>
          <w:szCs w:val="24"/>
          <w:lang w:val="fr-CA"/>
        </w:rPr>
        <w:t>’</w:t>
      </w:r>
      <w:r w:rsidRPr="00CA43DD">
        <w:rPr>
          <w:rFonts w:cs="Times New Roman"/>
          <w:szCs w:val="24"/>
          <w:lang w:val="fr-CA"/>
        </w:rPr>
        <w:t xml:space="preserve">incidence de la mesure illégale sur le droit à la dignité et le droit à la vie privée que garantit la </w:t>
      </w:r>
      <w:r w:rsidRPr="00CA43DD">
        <w:rPr>
          <w:rFonts w:cs="Times New Roman"/>
          <w:i/>
          <w:iCs/>
          <w:szCs w:val="24"/>
          <w:lang w:val="fr-CA"/>
        </w:rPr>
        <w:t>Charte</w:t>
      </w:r>
      <w:r w:rsidRPr="00CA43DD">
        <w:rPr>
          <w:rFonts w:cs="Times New Roman"/>
          <w:iCs/>
          <w:szCs w:val="24"/>
          <w:lang w:val="fr-CA"/>
        </w:rPr>
        <w:t xml:space="preserve"> à l</w:t>
      </w:r>
      <w:r>
        <w:rPr>
          <w:rFonts w:cs="Times New Roman"/>
          <w:iCs/>
          <w:szCs w:val="24"/>
          <w:lang w:val="fr-CA"/>
        </w:rPr>
        <w:t>’</w:t>
      </w:r>
      <w:r w:rsidRPr="00CA43DD">
        <w:rPr>
          <w:rFonts w:cs="Times New Roman"/>
          <w:iCs/>
          <w:szCs w:val="24"/>
          <w:lang w:val="fr-CA"/>
        </w:rPr>
        <w:t>accusé</w:t>
      </w:r>
      <w:r w:rsidRPr="00CA43DD">
        <w:rPr>
          <w:rFonts w:cs="Times New Roman"/>
          <w:szCs w:val="24"/>
          <w:lang w:val="fr-CA"/>
        </w:rPr>
        <w:t>.</w:t>
      </w:r>
    </w:p>
    <w:p w:rsidR="00DC2386" w:rsidRPr="00CA43DD" w:rsidRDefault="00DC2386" w:rsidP="00DC2386">
      <w:pPr>
        <w:pStyle w:val="ParaNoNdepar-AltN"/>
        <w:rPr>
          <w:rFonts w:cs="Times New Roman"/>
          <w:szCs w:val="24"/>
          <w:lang w:val="fr-CA"/>
        </w:rPr>
      </w:pPr>
      <w:r w:rsidRPr="00CA43DD">
        <w:rPr>
          <w:rFonts w:cs="Times New Roman"/>
          <w:szCs w:val="24"/>
          <w:lang w:val="fr-CA"/>
        </w:rPr>
        <w:lastRenderedPageBreak/>
        <w:t>On ne saurait toutefois conclure qu</w:t>
      </w:r>
      <w:r>
        <w:rPr>
          <w:rFonts w:cs="Times New Roman"/>
          <w:szCs w:val="24"/>
          <w:lang w:val="fr-CA"/>
        </w:rPr>
        <w:t>’</w:t>
      </w:r>
      <w:r w:rsidRPr="00CA43DD">
        <w:rPr>
          <w:rFonts w:cs="Times New Roman"/>
          <w:szCs w:val="24"/>
          <w:lang w:val="fr-CA"/>
        </w:rPr>
        <w:t>il n</w:t>
      </w:r>
      <w:r>
        <w:rPr>
          <w:rFonts w:cs="Times New Roman"/>
          <w:szCs w:val="24"/>
          <w:lang w:val="fr-CA"/>
        </w:rPr>
        <w:t>’</w:t>
      </w:r>
      <w:r w:rsidRPr="00CA43DD">
        <w:rPr>
          <w:rFonts w:cs="Times New Roman"/>
          <w:szCs w:val="24"/>
          <w:lang w:val="fr-CA"/>
        </w:rPr>
        <w:t>y a alors aucune atteinte au droit à la vie privée.  L</w:t>
      </w:r>
      <w:r>
        <w:rPr>
          <w:rFonts w:cs="Times New Roman"/>
          <w:szCs w:val="24"/>
          <w:lang w:val="fr-CA"/>
        </w:rPr>
        <w:t>’</w:t>
      </w:r>
      <w:r w:rsidRPr="00CA43DD">
        <w:rPr>
          <w:rFonts w:cs="Times New Roman"/>
          <w:szCs w:val="24"/>
          <w:lang w:val="fr-CA"/>
        </w:rPr>
        <w:t>attente raisonnable en la matière que protège l</w:t>
      </w:r>
      <w:r>
        <w:rPr>
          <w:rFonts w:cs="Times New Roman"/>
          <w:szCs w:val="24"/>
          <w:lang w:val="fr-CA"/>
        </w:rPr>
        <w:t>’</w:t>
      </w:r>
      <w:r w:rsidRPr="00CA43DD">
        <w:rPr>
          <w:rFonts w:cs="Times New Roman"/>
          <w:szCs w:val="24"/>
          <w:lang w:val="fr-CA"/>
        </w:rPr>
        <w:t xml:space="preserve">art. 8 de la </w:t>
      </w:r>
      <w:r w:rsidRPr="00CA43DD">
        <w:rPr>
          <w:rFonts w:cs="Times New Roman"/>
          <w:i/>
          <w:iCs/>
          <w:szCs w:val="24"/>
          <w:lang w:val="fr-CA"/>
        </w:rPr>
        <w:t>Charte</w:t>
      </w:r>
      <w:r w:rsidRPr="00CA43DD">
        <w:rPr>
          <w:rFonts w:cs="Times New Roman"/>
          <w:szCs w:val="24"/>
          <w:lang w:val="fr-CA"/>
        </w:rPr>
        <w:t xml:space="preserve"> suppose non seulement l</w:t>
      </w:r>
      <w:r>
        <w:rPr>
          <w:rFonts w:cs="Times New Roman"/>
          <w:szCs w:val="24"/>
          <w:lang w:val="fr-CA"/>
        </w:rPr>
        <w:t>’</w:t>
      </w:r>
      <w:r w:rsidRPr="00CA43DD">
        <w:rPr>
          <w:rFonts w:cs="Times New Roman"/>
          <w:szCs w:val="24"/>
          <w:lang w:val="fr-CA"/>
        </w:rPr>
        <w:t>existence de motifs valables, mais aussi l</w:t>
      </w:r>
      <w:r>
        <w:rPr>
          <w:rFonts w:cs="Times New Roman"/>
          <w:szCs w:val="24"/>
          <w:lang w:val="fr-CA"/>
        </w:rPr>
        <w:t>’</w:t>
      </w:r>
      <w:r w:rsidRPr="00CA43DD">
        <w:rPr>
          <w:rFonts w:cs="Times New Roman"/>
          <w:szCs w:val="24"/>
          <w:lang w:val="fr-CA"/>
        </w:rPr>
        <w:t>obtention au préalable d</w:t>
      </w:r>
      <w:r>
        <w:rPr>
          <w:rFonts w:cs="Times New Roman"/>
          <w:szCs w:val="24"/>
          <w:lang w:val="fr-CA"/>
        </w:rPr>
        <w:t>’</w:t>
      </w:r>
      <w:r w:rsidRPr="00CA43DD">
        <w:rPr>
          <w:rFonts w:cs="Times New Roman"/>
          <w:szCs w:val="24"/>
          <w:lang w:val="fr-CA"/>
        </w:rPr>
        <w:t>une autorisation judiciaire.  Par conséquent, l</w:t>
      </w:r>
      <w:r>
        <w:rPr>
          <w:rFonts w:cs="Times New Roman"/>
          <w:szCs w:val="24"/>
          <w:lang w:val="fr-CA"/>
        </w:rPr>
        <w:t>’</w:t>
      </w:r>
      <w:r w:rsidRPr="00CA43DD">
        <w:rPr>
          <w:rFonts w:cs="Times New Roman"/>
          <w:szCs w:val="24"/>
          <w:lang w:val="fr-CA"/>
        </w:rPr>
        <w:t>absence du mandat légalement requis constitue une violation du droit à la vie privée.  L</w:t>
      </w:r>
      <w:r>
        <w:rPr>
          <w:rFonts w:cs="Times New Roman"/>
          <w:szCs w:val="24"/>
          <w:lang w:val="fr-CA"/>
        </w:rPr>
        <w:t>’</w:t>
      </w:r>
      <w:r w:rsidRPr="00CA43DD">
        <w:rPr>
          <w:rFonts w:cs="Times New Roman"/>
          <w:szCs w:val="24"/>
          <w:lang w:val="fr-CA"/>
        </w:rPr>
        <w:t>empiètement d</w:t>
      </w:r>
      <w:r>
        <w:rPr>
          <w:rFonts w:cs="Times New Roman"/>
          <w:szCs w:val="24"/>
          <w:lang w:val="fr-CA"/>
        </w:rPr>
        <w:t>’</w:t>
      </w:r>
      <w:r w:rsidRPr="00CA43DD">
        <w:rPr>
          <w:rFonts w:cs="Times New Roman"/>
          <w:szCs w:val="24"/>
          <w:lang w:val="fr-CA"/>
        </w:rPr>
        <w:t>une perquisition non autorisée doit être déterminé en fonction de l</w:t>
      </w:r>
      <w:r>
        <w:rPr>
          <w:rFonts w:cs="Times New Roman"/>
          <w:szCs w:val="24"/>
          <w:lang w:val="fr-CA"/>
        </w:rPr>
        <w:t>’</w:t>
      </w:r>
      <w:r w:rsidRPr="00CA43DD">
        <w:rPr>
          <w:rFonts w:cs="Times New Roman"/>
          <w:szCs w:val="24"/>
          <w:lang w:val="fr-CA"/>
        </w:rPr>
        <w:t>attente en matière de vie privée que la personne pouvait raisonnablement avoir dans certaines circonstances.  Plus l</w:t>
      </w:r>
      <w:r>
        <w:rPr>
          <w:rFonts w:cs="Times New Roman"/>
          <w:szCs w:val="24"/>
          <w:lang w:val="fr-CA"/>
        </w:rPr>
        <w:t>’</w:t>
      </w:r>
      <w:r w:rsidRPr="00CA43DD">
        <w:rPr>
          <w:rFonts w:cs="Times New Roman"/>
          <w:szCs w:val="24"/>
          <w:lang w:val="fr-CA"/>
        </w:rPr>
        <w:t>attente est grande, plus la mesure non autorisée empiète. Le degré de gravité de l</w:t>
      </w:r>
      <w:r>
        <w:rPr>
          <w:rFonts w:cs="Times New Roman"/>
          <w:szCs w:val="24"/>
          <w:lang w:val="fr-CA"/>
        </w:rPr>
        <w:t>’</w:t>
      </w:r>
      <w:r w:rsidRPr="00CA43DD">
        <w:rPr>
          <w:rFonts w:cs="Times New Roman"/>
          <w:szCs w:val="24"/>
          <w:lang w:val="fr-CA"/>
        </w:rPr>
        <w:t>incidence sur les droits constitutionnels de l</w:t>
      </w:r>
      <w:r>
        <w:rPr>
          <w:rFonts w:cs="Times New Roman"/>
          <w:szCs w:val="24"/>
          <w:lang w:val="fr-CA"/>
        </w:rPr>
        <w:t>’</w:t>
      </w:r>
      <w:r w:rsidRPr="00CA43DD">
        <w:rPr>
          <w:rFonts w:cs="Times New Roman"/>
          <w:szCs w:val="24"/>
          <w:lang w:val="fr-CA"/>
        </w:rPr>
        <w:t>accusé ne correspond pas toujours à celui de la violation, à savoir la conduite attentatoire de l</w:t>
      </w:r>
      <w:r>
        <w:rPr>
          <w:rFonts w:cs="Times New Roman"/>
          <w:szCs w:val="24"/>
          <w:lang w:val="fr-CA"/>
        </w:rPr>
        <w:t>’</w:t>
      </w:r>
      <w:r w:rsidRPr="00CA43DD">
        <w:rPr>
          <w:rFonts w:cs="Times New Roman"/>
          <w:szCs w:val="24"/>
          <w:lang w:val="fr-CA"/>
        </w:rPr>
        <w:t>État.  Par exemple, lorsque les policiers ont obtenu de bonne foi un mandat dont il est déterminé par la suite qu</w:t>
      </w:r>
      <w:r>
        <w:rPr>
          <w:rFonts w:cs="Times New Roman"/>
          <w:szCs w:val="24"/>
          <w:lang w:val="fr-CA"/>
        </w:rPr>
        <w:t>’</w:t>
      </w:r>
      <w:r w:rsidRPr="00CA43DD">
        <w:rPr>
          <w:rFonts w:cs="Times New Roman"/>
          <w:szCs w:val="24"/>
          <w:lang w:val="fr-CA"/>
        </w:rPr>
        <w:t>il ne reposait sur aucun motif raisonnable et probable de croire qu</w:t>
      </w:r>
      <w:r>
        <w:rPr>
          <w:rFonts w:cs="Times New Roman"/>
          <w:szCs w:val="24"/>
          <w:lang w:val="fr-CA"/>
        </w:rPr>
        <w:t>’</w:t>
      </w:r>
      <w:r w:rsidRPr="00CA43DD">
        <w:rPr>
          <w:rFonts w:cs="Times New Roman"/>
          <w:szCs w:val="24"/>
          <w:lang w:val="fr-CA"/>
        </w:rPr>
        <w:t>un crime avait été commis et que des éléments de preuve se trouvaient sur les lieux visés, la gravité de la conduite attentatoire de l</w:t>
      </w:r>
      <w:r>
        <w:rPr>
          <w:rFonts w:cs="Times New Roman"/>
          <w:szCs w:val="24"/>
          <w:lang w:val="fr-CA"/>
        </w:rPr>
        <w:t>’</w:t>
      </w:r>
      <w:r w:rsidRPr="00CA43DD">
        <w:rPr>
          <w:rFonts w:cs="Times New Roman"/>
          <w:szCs w:val="24"/>
          <w:lang w:val="fr-CA"/>
        </w:rPr>
        <w:t>État est amoindrie, mais l</w:t>
      </w:r>
      <w:r>
        <w:rPr>
          <w:rFonts w:cs="Times New Roman"/>
          <w:szCs w:val="24"/>
          <w:lang w:val="fr-CA"/>
        </w:rPr>
        <w:t>’</w:t>
      </w:r>
      <w:r w:rsidRPr="00CA43DD">
        <w:rPr>
          <w:rFonts w:cs="Times New Roman"/>
          <w:szCs w:val="24"/>
          <w:lang w:val="fr-CA"/>
        </w:rPr>
        <w:t>incidence de la perquisition sur les droits de l</w:t>
      </w:r>
      <w:r>
        <w:rPr>
          <w:rFonts w:cs="Times New Roman"/>
          <w:szCs w:val="24"/>
          <w:lang w:val="fr-CA"/>
        </w:rPr>
        <w:t>’</w:t>
      </w:r>
      <w:r w:rsidRPr="00CA43DD">
        <w:rPr>
          <w:rFonts w:cs="Times New Roman"/>
          <w:szCs w:val="24"/>
          <w:lang w:val="fr-CA"/>
        </w:rPr>
        <w:t xml:space="preserve">accusé garantis par la </w:t>
      </w:r>
      <w:r w:rsidRPr="00CA43DD">
        <w:rPr>
          <w:rFonts w:cs="Times New Roman"/>
          <w:i/>
          <w:iCs/>
          <w:szCs w:val="24"/>
          <w:lang w:val="fr-CA"/>
        </w:rPr>
        <w:t>Charte</w:t>
      </w:r>
      <w:r w:rsidRPr="00CA43DD">
        <w:rPr>
          <w:rFonts w:cs="Times New Roman"/>
          <w:szCs w:val="24"/>
          <w:lang w:val="fr-CA"/>
        </w:rPr>
        <w:t xml:space="preserve"> est accrue par le fait que cette mesure n</w:t>
      </w:r>
      <w:r>
        <w:rPr>
          <w:rFonts w:cs="Times New Roman"/>
          <w:szCs w:val="24"/>
          <w:lang w:val="fr-CA"/>
        </w:rPr>
        <w:t>’</w:t>
      </w:r>
      <w:r w:rsidRPr="00CA43DD">
        <w:rPr>
          <w:rFonts w:cs="Times New Roman"/>
          <w:szCs w:val="24"/>
          <w:lang w:val="fr-CA"/>
        </w:rPr>
        <w:t>aurait pu intervenir s</w:t>
      </w:r>
      <w:r>
        <w:rPr>
          <w:rFonts w:cs="Times New Roman"/>
          <w:szCs w:val="24"/>
          <w:lang w:val="fr-CA"/>
        </w:rPr>
        <w:t>’</w:t>
      </w:r>
      <w:r w:rsidRPr="00CA43DD">
        <w:rPr>
          <w:rFonts w:cs="Times New Roman"/>
          <w:szCs w:val="24"/>
          <w:lang w:val="fr-CA"/>
        </w:rPr>
        <w:t xml:space="preserve">il y avait eu respect de la loi.  </w:t>
      </w:r>
    </w:p>
    <w:p w:rsidR="00DC2386" w:rsidRPr="00CA43DD" w:rsidRDefault="00DC2386" w:rsidP="00DC2386">
      <w:pPr>
        <w:pStyle w:val="ParaNoNdepar-AltN"/>
        <w:rPr>
          <w:rFonts w:cs="Times New Roman"/>
          <w:szCs w:val="24"/>
          <w:lang w:val="fr-CA"/>
        </w:rPr>
      </w:pPr>
      <w:r w:rsidRPr="00CA43DD">
        <w:rPr>
          <w:rFonts w:cs="Times New Roman"/>
          <w:szCs w:val="24"/>
          <w:lang w:val="fr-CA"/>
        </w:rPr>
        <w:t>La possibilité de la découvrir légalement peut donc constituer une considération valable lorsque le tribunal doit décider s</w:t>
      </w:r>
      <w:r>
        <w:rPr>
          <w:rFonts w:cs="Times New Roman"/>
          <w:szCs w:val="24"/>
          <w:lang w:val="fr-CA"/>
        </w:rPr>
        <w:t>’</w:t>
      </w:r>
      <w:r w:rsidRPr="00CA43DD">
        <w:rPr>
          <w:rFonts w:cs="Times New Roman"/>
          <w:szCs w:val="24"/>
          <w:lang w:val="fr-CA"/>
        </w:rPr>
        <w:t>il y a lieu d</w:t>
      </w:r>
      <w:r>
        <w:rPr>
          <w:rFonts w:cs="Times New Roman"/>
          <w:szCs w:val="24"/>
          <w:lang w:val="fr-CA"/>
        </w:rPr>
        <w:t>’</w:t>
      </w:r>
      <w:r w:rsidRPr="00CA43DD">
        <w:rPr>
          <w:rFonts w:cs="Times New Roman"/>
          <w:szCs w:val="24"/>
          <w:lang w:val="fr-CA"/>
        </w:rPr>
        <w:t xml:space="preserve">écarter la preuve suivant le par. 24(2) de la </w:t>
      </w:r>
      <w:r w:rsidRPr="00CA43DD">
        <w:rPr>
          <w:rFonts w:cs="Times New Roman"/>
          <w:i/>
          <w:iCs/>
          <w:szCs w:val="24"/>
          <w:lang w:val="fr-CA"/>
        </w:rPr>
        <w:t>Charte</w:t>
      </w:r>
      <w:r w:rsidRPr="00CA43DD">
        <w:rPr>
          <w:rFonts w:cs="Times New Roman"/>
          <w:szCs w:val="24"/>
          <w:lang w:val="fr-CA"/>
        </w:rPr>
        <w:t>.  Lorsqu</w:t>
      </w:r>
      <w:r>
        <w:rPr>
          <w:rFonts w:cs="Times New Roman"/>
          <w:szCs w:val="24"/>
          <w:lang w:val="fr-CA"/>
        </w:rPr>
        <w:t>’</w:t>
      </w:r>
      <w:r w:rsidRPr="00CA43DD">
        <w:rPr>
          <w:rFonts w:cs="Times New Roman"/>
          <w:szCs w:val="24"/>
          <w:lang w:val="fr-CA"/>
        </w:rPr>
        <w:t>indiqué, il convient d</w:t>
      </w:r>
      <w:r>
        <w:rPr>
          <w:rFonts w:cs="Times New Roman"/>
          <w:szCs w:val="24"/>
          <w:lang w:val="fr-CA"/>
        </w:rPr>
        <w:t>’</w:t>
      </w:r>
      <w:r w:rsidRPr="00CA43DD">
        <w:rPr>
          <w:rFonts w:cs="Times New Roman"/>
          <w:szCs w:val="24"/>
          <w:lang w:val="fr-CA"/>
        </w:rPr>
        <w:t>évaluer son incidence en fonction des deux premiers volets de la grille d</w:t>
      </w:r>
      <w:r>
        <w:rPr>
          <w:rFonts w:cs="Times New Roman"/>
          <w:szCs w:val="24"/>
          <w:lang w:val="fr-CA"/>
        </w:rPr>
        <w:t>’</w:t>
      </w:r>
      <w:r w:rsidRPr="00CA43DD">
        <w:rPr>
          <w:rFonts w:cs="Times New Roman"/>
          <w:szCs w:val="24"/>
          <w:lang w:val="fr-CA"/>
        </w:rPr>
        <w:t>analyse de l</w:t>
      </w:r>
      <w:r>
        <w:rPr>
          <w:rFonts w:cs="Times New Roman"/>
          <w:szCs w:val="24"/>
          <w:lang w:val="fr-CA"/>
        </w:rPr>
        <w:t>’</w:t>
      </w:r>
      <w:r w:rsidRPr="00CA43DD">
        <w:rPr>
          <w:rFonts w:cs="Times New Roman"/>
          <w:szCs w:val="24"/>
          <w:lang w:val="fr-CA"/>
        </w:rPr>
        <w:t xml:space="preserve">arrêt </w:t>
      </w:r>
      <w:r w:rsidRPr="00CA43DD">
        <w:rPr>
          <w:rFonts w:cs="Times New Roman"/>
          <w:i/>
          <w:szCs w:val="24"/>
          <w:lang w:val="fr-CA"/>
        </w:rPr>
        <w:t>Grant</w:t>
      </w:r>
      <w:r w:rsidRPr="00CA43DD">
        <w:rPr>
          <w:rFonts w:cs="Times New Roman"/>
          <w:szCs w:val="24"/>
          <w:lang w:val="fr-CA"/>
        </w:rPr>
        <w:t>,</w:t>
      </w:r>
      <w:r w:rsidRPr="00CA43DD">
        <w:rPr>
          <w:rFonts w:cs="Times New Roman"/>
          <w:i/>
          <w:szCs w:val="24"/>
          <w:lang w:val="fr-CA"/>
        </w:rPr>
        <w:t xml:space="preserve"> </w:t>
      </w:r>
      <w:r w:rsidRPr="00CA43DD">
        <w:rPr>
          <w:rFonts w:cs="Times New Roman"/>
          <w:iCs/>
          <w:szCs w:val="24"/>
          <w:lang w:val="fr-CA"/>
        </w:rPr>
        <w:t>compte tenu d</w:t>
      </w:r>
      <w:r w:rsidRPr="00CA43DD">
        <w:rPr>
          <w:rFonts w:cs="Times New Roman"/>
          <w:szCs w:val="24"/>
          <w:lang w:val="fr-CA"/>
        </w:rPr>
        <w:t>es circonstances.</w:t>
      </w:r>
    </w:p>
    <w:p w:rsidR="00DC2386" w:rsidRPr="00CA43DD" w:rsidRDefault="00100DFF" w:rsidP="00A21688">
      <w:pPr>
        <w:pStyle w:val="TitleTitre-AltT"/>
        <w:keepNext/>
        <w:tabs>
          <w:tab w:val="clear" w:pos="360"/>
          <w:tab w:val="left" w:pos="1170"/>
        </w:tabs>
        <w:spacing w:after="720"/>
        <w:ind w:left="1800" w:hanging="1800"/>
        <w:rPr>
          <w:rFonts w:cs="Times New Roman"/>
          <w:i/>
          <w:szCs w:val="24"/>
          <w:lang w:val="fr-CA"/>
        </w:rPr>
      </w:pPr>
      <w:r>
        <w:rPr>
          <w:rFonts w:cs="Times New Roman"/>
          <w:szCs w:val="24"/>
          <w:lang w:val="fr-CA"/>
        </w:rPr>
        <w:lastRenderedPageBreak/>
        <w:tab/>
      </w:r>
      <w:r w:rsidR="00DC2386" w:rsidRPr="00CA43DD">
        <w:rPr>
          <w:rFonts w:cs="Times New Roman"/>
          <w:szCs w:val="24"/>
          <w:lang w:val="fr-CA"/>
        </w:rPr>
        <w:t>c)</w:t>
      </w:r>
      <w:r w:rsidR="00DC2386" w:rsidRPr="00CA43DD">
        <w:rPr>
          <w:rFonts w:cs="Times New Roman"/>
          <w:szCs w:val="24"/>
          <w:lang w:val="fr-CA"/>
        </w:rPr>
        <w:tab/>
      </w:r>
      <w:r w:rsidR="00DC2386" w:rsidRPr="00CA43DD">
        <w:rPr>
          <w:rFonts w:cs="Times New Roman"/>
          <w:i/>
          <w:iCs/>
          <w:szCs w:val="24"/>
          <w:lang w:val="fr-CA"/>
        </w:rPr>
        <w:t>La Cour d</w:t>
      </w:r>
      <w:r w:rsidR="00DC2386">
        <w:rPr>
          <w:rFonts w:cs="Times New Roman"/>
          <w:i/>
          <w:iCs/>
          <w:szCs w:val="24"/>
          <w:lang w:val="fr-CA"/>
        </w:rPr>
        <w:t>’</w:t>
      </w:r>
      <w:r w:rsidR="00DC2386" w:rsidRPr="00CA43DD">
        <w:rPr>
          <w:rFonts w:cs="Times New Roman"/>
          <w:i/>
          <w:iCs/>
          <w:szCs w:val="24"/>
          <w:lang w:val="fr-CA"/>
        </w:rPr>
        <w:t xml:space="preserve">appel </w:t>
      </w:r>
      <w:proofErr w:type="spellStart"/>
      <w:r w:rsidR="00DC2386" w:rsidRPr="00CA43DD">
        <w:rPr>
          <w:rFonts w:cs="Times New Roman"/>
          <w:i/>
          <w:iCs/>
          <w:szCs w:val="24"/>
          <w:lang w:val="fr-CA"/>
        </w:rPr>
        <w:t>a</w:t>
      </w:r>
      <w:r w:rsidR="00DC2386" w:rsidRPr="00CA43DD">
        <w:rPr>
          <w:rFonts w:cs="Times New Roman"/>
          <w:i/>
          <w:iCs/>
          <w:szCs w:val="24"/>
          <w:lang w:val="fr-CA"/>
        </w:rPr>
        <w:noBreakHyphen/>
        <w:t>t</w:t>
      </w:r>
      <w:r w:rsidR="00DC2386" w:rsidRPr="00CA43DD">
        <w:rPr>
          <w:rFonts w:cs="Times New Roman"/>
          <w:i/>
          <w:iCs/>
          <w:szCs w:val="24"/>
          <w:lang w:val="fr-CA"/>
        </w:rPr>
        <w:noBreakHyphen/>
        <w:t>elle</w:t>
      </w:r>
      <w:proofErr w:type="spellEnd"/>
      <w:r w:rsidR="00DC2386" w:rsidRPr="00CA43DD">
        <w:rPr>
          <w:rFonts w:cs="Times New Roman"/>
          <w:i/>
          <w:iCs/>
          <w:szCs w:val="24"/>
          <w:lang w:val="fr-CA"/>
        </w:rPr>
        <w:t xml:space="preserve"> appliqué erronément la notion de possibilité de découvrir la preuve lors de son analyse fondée sur le par</w:t>
      </w:r>
      <w:r>
        <w:rPr>
          <w:rFonts w:cs="Times New Roman"/>
          <w:i/>
          <w:iCs/>
          <w:szCs w:val="24"/>
          <w:lang w:val="fr-CA"/>
        </w:rPr>
        <w:t>.</w:t>
      </w:r>
      <w:r w:rsidR="00DC2386" w:rsidRPr="00CA43DD">
        <w:rPr>
          <w:rFonts w:cs="Times New Roman"/>
          <w:i/>
          <w:iCs/>
          <w:szCs w:val="24"/>
          <w:lang w:val="fr-CA"/>
        </w:rPr>
        <w:t> 24(2)?</w:t>
      </w:r>
    </w:p>
    <w:p w:rsidR="00DC2386" w:rsidRPr="00CA43DD" w:rsidRDefault="00DC2386" w:rsidP="00DC2386">
      <w:pPr>
        <w:pStyle w:val="ParaNoNdepar-AltN"/>
        <w:rPr>
          <w:rFonts w:cs="Times New Roman"/>
          <w:szCs w:val="24"/>
          <w:lang w:val="fr-CA"/>
        </w:rPr>
      </w:pPr>
      <w:r w:rsidRPr="00CA43DD">
        <w:rPr>
          <w:rFonts w:cs="Times New Roman"/>
          <w:szCs w:val="24"/>
          <w:lang w:val="fr-CA"/>
        </w:rPr>
        <w:t>La Cour d</w:t>
      </w:r>
      <w:r>
        <w:rPr>
          <w:rFonts w:cs="Times New Roman"/>
          <w:szCs w:val="24"/>
          <w:lang w:val="fr-CA"/>
        </w:rPr>
        <w:t>’</w:t>
      </w:r>
      <w:r w:rsidRPr="00CA43DD">
        <w:rPr>
          <w:rFonts w:cs="Times New Roman"/>
          <w:szCs w:val="24"/>
          <w:lang w:val="fr-CA"/>
        </w:rPr>
        <w:t>appel conclut que l</w:t>
      </w:r>
      <w:r>
        <w:rPr>
          <w:rFonts w:cs="Times New Roman"/>
          <w:szCs w:val="24"/>
          <w:lang w:val="fr-CA"/>
        </w:rPr>
        <w:t>’</w:t>
      </w:r>
      <w:r w:rsidRPr="00CA43DD">
        <w:rPr>
          <w:rFonts w:cs="Times New Roman"/>
          <w:szCs w:val="24"/>
          <w:lang w:val="fr-CA"/>
        </w:rPr>
        <w:t xml:space="preserve">ensemble de la preuve matérielle recueillie sur les lieux, dont la perforation de la moustiquaire du </w:t>
      </w:r>
      <w:proofErr w:type="spellStart"/>
      <w:r w:rsidRPr="00CA43DD">
        <w:rPr>
          <w:rFonts w:cs="Times New Roman"/>
          <w:szCs w:val="24"/>
          <w:lang w:val="fr-CA"/>
        </w:rPr>
        <w:t>gazebo</w:t>
      </w:r>
      <w:proofErr w:type="spellEnd"/>
      <w:r w:rsidRPr="00CA43DD">
        <w:rPr>
          <w:rFonts w:cs="Times New Roman"/>
          <w:szCs w:val="24"/>
          <w:lang w:val="fr-CA"/>
        </w:rPr>
        <w:t xml:space="preserve"> et de la fenêtre du solarium, la présence de résidus de tir sur </w:t>
      </w:r>
      <w:proofErr w:type="spellStart"/>
      <w:r w:rsidRPr="00CA43DD">
        <w:rPr>
          <w:rFonts w:cs="Times New Roman"/>
          <w:szCs w:val="24"/>
          <w:lang w:val="fr-CA"/>
        </w:rPr>
        <w:t>celle</w:t>
      </w:r>
      <w:r w:rsidRPr="00CA43DD">
        <w:rPr>
          <w:rFonts w:cs="Times New Roman"/>
          <w:szCs w:val="24"/>
          <w:lang w:val="fr-CA"/>
        </w:rPr>
        <w:noBreakHyphen/>
        <w:t>ci</w:t>
      </w:r>
      <w:proofErr w:type="spellEnd"/>
      <w:r>
        <w:rPr>
          <w:rFonts w:cs="Times New Roman"/>
          <w:szCs w:val="24"/>
          <w:lang w:val="fr-CA"/>
        </w:rPr>
        <w:t xml:space="preserve"> et </w:t>
      </w:r>
      <w:r w:rsidRPr="00CA43DD">
        <w:rPr>
          <w:rFonts w:cs="Times New Roman"/>
          <w:szCs w:val="24"/>
          <w:lang w:val="fr-CA"/>
        </w:rPr>
        <w:t>l</w:t>
      </w:r>
      <w:r>
        <w:rPr>
          <w:rFonts w:cs="Times New Roman"/>
          <w:szCs w:val="24"/>
          <w:lang w:val="fr-CA"/>
        </w:rPr>
        <w:t>’</w:t>
      </w:r>
      <w:r w:rsidRPr="00CA43DD">
        <w:rPr>
          <w:rFonts w:cs="Times New Roman"/>
          <w:szCs w:val="24"/>
          <w:lang w:val="fr-CA"/>
        </w:rPr>
        <w:t>arme enregistrée au nom de la victime, aurait été découverte sans l</w:t>
      </w:r>
      <w:r>
        <w:rPr>
          <w:rFonts w:cs="Times New Roman"/>
          <w:szCs w:val="24"/>
          <w:lang w:val="fr-CA"/>
        </w:rPr>
        <w:t>’</w:t>
      </w:r>
      <w:r w:rsidRPr="00CA43DD">
        <w:rPr>
          <w:rFonts w:cs="Times New Roman"/>
          <w:szCs w:val="24"/>
          <w:lang w:val="fr-CA"/>
        </w:rPr>
        <w:t>aide de l</w:t>
      </w:r>
      <w:r>
        <w:rPr>
          <w:rFonts w:cs="Times New Roman"/>
          <w:szCs w:val="24"/>
          <w:lang w:val="fr-CA"/>
        </w:rPr>
        <w:t>’</w:t>
      </w:r>
      <w:r w:rsidRPr="00CA43DD">
        <w:rPr>
          <w:rFonts w:cs="Times New Roman"/>
          <w:szCs w:val="24"/>
          <w:lang w:val="fr-CA"/>
        </w:rPr>
        <w:t xml:space="preserve">appelante.  La juge Duval </w:t>
      </w:r>
      <w:proofErr w:type="spellStart"/>
      <w:r w:rsidRPr="00CA43DD">
        <w:rPr>
          <w:rFonts w:cs="Times New Roman"/>
          <w:szCs w:val="24"/>
          <w:lang w:val="fr-CA"/>
        </w:rPr>
        <w:t>Hesler</w:t>
      </w:r>
      <w:proofErr w:type="spellEnd"/>
      <w:r w:rsidRPr="00CA43DD">
        <w:rPr>
          <w:rFonts w:cs="Times New Roman"/>
          <w:szCs w:val="24"/>
          <w:lang w:val="fr-CA"/>
        </w:rPr>
        <w:t xml:space="preserve"> est d</w:t>
      </w:r>
      <w:r>
        <w:rPr>
          <w:rFonts w:cs="Times New Roman"/>
          <w:szCs w:val="24"/>
          <w:lang w:val="fr-CA"/>
        </w:rPr>
        <w:t>’</w:t>
      </w:r>
      <w:r w:rsidRPr="00CA43DD">
        <w:rPr>
          <w:rFonts w:cs="Times New Roman"/>
          <w:szCs w:val="24"/>
          <w:lang w:val="fr-CA"/>
        </w:rPr>
        <w:t>avis que l</w:t>
      </w:r>
      <w:r>
        <w:rPr>
          <w:rFonts w:cs="Times New Roman"/>
          <w:szCs w:val="24"/>
          <w:lang w:val="fr-CA"/>
        </w:rPr>
        <w:t>’</w:t>
      </w:r>
      <w:r w:rsidRPr="00CA43DD">
        <w:rPr>
          <w:rFonts w:cs="Times New Roman"/>
          <w:szCs w:val="24"/>
          <w:lang w:val="fr-CA"/>
        </w:rPr>
        <w:t>appel au 9</w:t>
      </w:r>
      <w:r w:rsidRPr="00CA43DD">
        <w:rPr>
          <w:rFonts w:cs="Times New Roman"/>
          <w:szCs w:val="24"/>
          <w:lang w:val="fr-CA"/>
        </w:rPr>
        <w:noBreakHyphen/>
        <w:t>1</w:t>
      </w:r>
      <w:r w:rsidRPr="00CA43DD">
        <w:rPr>
          <w:rFonts w:cs="Times New Roman"/>
          <w:szCs w:val="24"/>
          <w:lang w:val="fr-CA"/>
        </w:rPr>
        <w:noBreakHyphen/>
        <w:t>1 et la découverte dans la tête de la victime d</w:t>
      </w:r>
      <w:r>
        <w:rPr>
          <w:rFonts w:cs="Times New Roman"/>
          <w:szCs w:val="24"/>
          <w:lang w:val="fr-CA"/>
        </w:rPr>
        <w:t>’</w:t>
      </w:r>
      <w:r w:rsidRPr="00CA43DD">
        <w:rPr>
          <w:rFonts w:cs="Times New Roman"/>
          <w:szCs w:val="24"/>
          <w:lang w:val="fr-CA"/>
        </w:rPr>
        <w:t>éclats d</w:t>
      </w:r>
      <w:r>
        <w:rPr>
          <w:rFonts w:cs="Times New Roman"/>
          <w:szCs w:val="24"/>
          <w:lang w:val="fr-CA"/>
        </w:rPr>
        <w:t>’</w:t>
      </w:r>
      <w:r w:rsidRPr="00CA43DD">
        <w:rPr>
          <w:rFonts w:cs="Times New Roman"/>
          <w:szCs w:val="24"/>
          <w:lang w:val="fr-CA"/>
        </w:rPr>
        <w:t>un projectile ayant pénétré par l</w:t>
      </w:r>
      <w:r>
        <w:rPr>
          <w:rFonts w:cs="Times New Roman"/>
          <w:szCs w:val="24"/>
          <w:lang w:val="fr-CA"/>
        </w:rPr>
        <w:t>’</w:t>
      </w:r>
      <w:r w:rsidRPr="00CA43DD">
        <w:rPr>
          <w:rFonts w:cs="Times New Roman"/>
          <w:szCs w:val="24"/>
          <w:lang w:val="fr-CA"/>
        </w:rPr>
        <w:t>arrière auraient suffi pour l</w:t>
      </w:r>
      <w:r>
        <w:rPr>
          <w:rFonts w:cs="Times New Roman"/>
          <w:szCs w:val="24"/>
          <w:lang w:val="fr-CA"/>
        </w:rPr>
        <w:t>’</w:t>
      </w:r>
      <w:r w:rsidRPr="00CA43DD">
        <w:rPr>
          <w:rFonts w:cs="Times New Roman"/>
          <w:szCs w:val="24"/>
          <w:lang w:val="fr-CA"/>
        </w:rPr>
        <w:t>obtention d</w:t>
      </w:r>
      <w:r>
        <w:rPr>
          <w:rFonts w:cs="Times New Roman"/>
          <w:szCs w:val="24"/>
          <w:lang w:val="fr-CA"/>
        </w:rPr>
        <w:t>’</w:t>
      </w:r>
      <w:r w:rsidRPr="00CA43DD">
        <w:rPr>
          <w:rFonts w:cs="Times New Roman"/>
          <w:szCs w:val="24"/>
          <w:lang w:val="fr-CA"/>
        </w:rPr>
        <w:t>un mandat de perquisition valide, même avant la première fouille périphérique sans mandat.  S</w:t>
      </w:r>
      <w:r>
        <w:rPr>
          <w:rFonts w:cs="Times New Roman"/>
          <w:szCs w:val="24"/>
          <w:lang w:val="fr-CA"/>
        </w:rPr>
        <w:t>’</w:t>
      </w:r>
      <w:r w:rsidRPr="00CA43DD">
        <w:rPr>
          <w:rFonts w:cs="Times New Roman"/>
          <w:szCs w:val="24"/>
          <w:lang w:val="fr-CA"/>
        </w:rPr>
        <w:t>appuyant sur</w:t>
      </w:r>
      <w:r w:rsidRPr="00CA43DD">
        <w:rPr>
          <w:rFonts w:cs="Times New Roman"/>
          <w:i/>
          <w:szCs w:val="24"/>
          <w:lang w:val="fr-CA"/>
        </w:rPr>
        <w:t xml:space="preserve"> Grant</w:t>
      </w:r>
      <w:r w:rsidRPr="00CA43DD">
        <w:rPr>
          <w:rFonts w:cs="Times New Roman"/>
          <w:szCs w:val="24"/>
          <w:lang w:val="fr-CA"/>
        </w:rPr>
        <w:t>, elle déclare que dans la mesure où la preuve dérivée aurait pu être découverte de manière indépendante, l</w:t>
      </w:r>
      <w:r>
        <w:rPr>
          <w:rFonts w:cs="Times New Roman"/>
          <w:szCs w:val="24"/>
          <w:lang w:val="fr-CA"/>
        </w:rPr>
        <w:t>’</w:t>
      </w:r>
      <w:r w:rsidRPr="00CA43DD">
        <w:rPr>
          <w:rFonts w:cs="Times New Roman"/>
          <w:szCs w:val="24"/>
          <w:lang w:val="fr-CA"/>
        </w:rPr>
        <w:t>incidence de la violation sur les droits de l</w:t>
      </w:r>
      <w:r>
        <w:rPr>
          <w:rFonts w:cs="Times New Roman"/>
          <w:szCs w:val="24"/>
          <w:lang w:val="fr-CA"/>
        </w:rPr>
        <w:t>’</w:t>
      </w:r>
      <w:r w:rsidRPr="00CA43DD">
        <w:rPr>
          <w:rFonts w:cs="Times New Roman"/>
          <w:szCs w:val="24"/>
          <w:lang w:val="fr-CA"/>
        </w:rPr>
        <w:t>accusée était amoindrie, ce qui se répercutait sur le deuxième élément de l</w:t>
      </w:r>
      <w:r>
        <w:rPr>
          <w:rFonts w:cs="Times New Roman"/>
          <w:szCs w:val="24"/>
          <w:lang w:val="fr-CA"/>
        </w:rPr>
        <w:t>’</w:t>
      </w:r>
      <w:r w:rsidRPr="00CA43DD">
        <w:rPr>
          <w:rFonts w:cs="Times New Roman"/>
          <w:szCs w:val="24"/>
          <w:lang w:val="fr-CA"/>
        </w:rPr>
        <w:t>analyse que commande le par. 24(2).  Elle invoque ensuite en partie la possibilité de découvrir la preuve pour justifier sa conclusion selon laquelle écarter la preuve dans la présente affaire était susceptible de déconsidérer l</w:t>
      </w:r>
      <w:r>
        <w:rPr>
          <w:rFonts w:cs="Times New Roman"/>
          <w:szCs w:val="24"/>
          <w:lang w:val="fr-CA"/>
        </w:rPr>
        <w:t>’</w:t>
      </w:r>
      <w:r w:rsidRPr="00CA43DD">
        <w:rPr>
          <w:rFonts w:cs="Times New Roman"/>
          <w:szCs w:val="24"/>
          <w:lang w:val="fr-CA"/>
        </w:rPr>
        <w:t>administration de la justice.</w:t>
      </w:r>
    </w:p>
    <w:p w:rsidR="00DC2386" w:rsidRPr="00CA43DD" w:rsidRDefault="00DC2386" w:rsidP="00DC2386">
      <w:pPr>
        <w:pStyle w:val="ParaNoNdepar-AltN"/>
        <w:rPr>
          <w:rFonts w:cs="Times New Roman"/>
          <w:szCs w:val="24"/>
          <w:lang w:val="fr-CA"/>
        </w:rPr>
      </w:pPr>
      <w:r w:rsidRPr="00CA43DD">
        <w:rPr>
          <w:rFonts w:cs="Times New Roman"/>
          <w:szCs w:val="24"/>
          <w:lang w:val="fr-CA"/>
        </w:rPr>
        <w:t>La conclusion voulant qu</w:t>
      </w:r>
      <w:r>
        <w:rPr>
          <w:rFonts w:cs="Times New Roman"/>
          <w:szCs w:val="24"/>
          <w:lang w:val="fr-CA"/>
        </w:rPr>
        <w:t>’</w:t>
      </w:r>
      <w:r w:rsidRPr="00CA43DD">
        <w:rPr>
          <w:rFonts w:cs="Times New Roman"/>
          <w:szCs w:val="24"/>
          <w:lang w:val="fr-CA"/>
        </w:rPr>
        <w:t>il ait été possible de découvrir la preuve en l</w:t>
      </w:r>
      <w:r>
        <w:rPr>
          <w:rFonts w:cs="Times New Roman"/>
          <w:szCs w:val="24"/>
          <w:lang w:val="fr-CA"/>
        </w:rPr>
        <w:t>’</w:t>
      </w:r>
      <w:r w:rsidRPr="00CA43DD">
        <w:rPr>
          <w:rFonts w:cs="Times New Roman"/>
          <w:szCs w:val="24"/>
          <w:lang w:val="fr-CA"/>
        </w:rPr>
        <w:t>espèce repose sur l</w:t>
      </w:r>
      <w:r>
        <w:rPr>
          <w:rFonts w:cs="Times New Roman"/>
          <w:szCs w:val="24"/>
          <w:lang w:val="fr-CA"/>
        </w:rPr>
        <w:t>’</w:t>
      </w:r>
      <w:r w:rsidRPr="00CA43DD">
        <w:rPr>
          <w:rFonts w:cs="Times New Roman"/>
          <w:szCs w:val="24"/>
          <w:lang w:val="fr-CA"/>
        </w:rPr>
        <w:t>avis de la Cour d</w:t>
      </w:r>
      <w:r>
        <w:rPr>
          <w:rFonts w:cs="Times New Roman"/>
          <w:szCs w:val="24"/>
          <w:lang w:val="fr-CA"/>
        </w:rPr>
        <w:t>’</w:t>
      </w:r>
      <w:r w:rsidRPr="00CA43DD">
        <w:rPr>
          <w:rFonts w:cs="Times New Roman"/>
          <w:szCs w:val="24"/>
          <w:lang w:val="fr-CA"/>
        </w:rPr>
        <w:t>appel selon lequel les policiers auraient pu obtenir un mandat au tout début de l</w:t>
      </w:r>
      <w:r>
        <w:rPr>
          <w:rFonts w:cs="Times New Roman"/>
          <w:szCs w:val="24"/>
          <w:lang w:val="fr-CA"/>
        </w:rPr>
        <w:t>’</w:t>
      </w:r>
      <w:r w:rsidRPr="00CA43DD">
        <w:rPr>
          <w:rFonts w:cs="Times New Roman"/>
          <w:szCs w:val="24"/>
          <w:lang w:val="fr-CA"/>
        </w:rPr>
        <w:t>enquête en invoquant la découverte de M. </w:t>
      </w:r>
      <w:proofErr w:type="spellStart"/>
      <w:r w:rsidRPr="00CA43DD">
        <w:rPr>
          <w:rFonts w:cs="Times New Roman"/>
          <w:szCs w:val="24"/>
          <w:lang w:val="fr-CA"/>
        </w:rPr>
        <w:t>Hogue</w:t>
      </w:r>
      <w:proofErr w:type="spellEnd"/>
      <w:r w:rsidRPr="00CA43DD">
        <w:rPr>
          <w:rFonts w:cs="Times New Roman"/>
          <w:szCs w:val="24"/>
          <w:lang w:val="fr-CA"/>
        </w:rPr>
        <w:t xml:space="preserve"> à sa résidence, apparemment atteint d</w:t>
      </w:r>
      <w:r>
        <w:rPr>
          <w:rFonts w:cs="Times New Roman"/>
          <w:szCs w:val="24"/>
          <w:lang w:val="fr-CA"/>
        </w:rPr>
        <w:t>’</w:t>
      </w:r>
      <w:r w:rsidRPr="00CA43DD">
        <w:rPr>
          <w:rFonts w:cs="Times New Roman"/>
          <w:szCs w:val="24"/>
          <w:lang w:val="fr-CA"/>
        </w:rPr>
        <w:t>une balle à la tête, et l</w:t>
      </w:r>
      <w:r>
        <w:rPr>
          <w:rFonts w:cs="Times New Roman"/>
          <w:szCs w:val="24"/>
          <w:lang w:val="fr-CA"/>
        </w:rPr>
        <w:t>’</w:t>
      </w:r>
      <w:r w:rsidRPr="00CA43DD">
        <w:rPr>
          <w:rFonts w:cs="Times New Roman"/>
          <w:szCs w:val="24"/>
          <w:lang w:val="fr-CA"/>
        </w:rPr>
        <w:t>appel passé au 9</w:t>
      </w:r>
      <w:r w:rsidRPr="00CA43DD">
        <w:rPr>
          <w:rFonts w:cs="Times New Roman"/>
          <w:szCs w:val="24"/>
          <w:lang w:val="fr-CA"/>
        </w:rPr>
        <w:noBreakHyphen/>
        <w:t>1</w:t>
      </w:r>
      <w:r w:rsidRPr="00CA43DD">
        <w:rPr>
          <w:rFonts w:cs="Times New Roman"/>
          <w:szCs w:val="24"/>
          <w:lang w:val="fr-CA"/>
        </w:rPr>
        <w:noBreakHyphen/>
        <w:t>1</w:t>
      </w:r>
      <w:r>
        <w:rPr>
          <w:rFonts w:cs="Times New Roman"/>
          <w:szCs w:val="24"/>
          <w:lang w:val="fr-CA"/>
        </w:rPr>
        <w:t xml:space="preserve"> </w:t>
      </w:r>
      <w:r w:rsidRPr="00CA43DD">
        <w:rPr>
          <w:rFonts w:cs="Times New Roman"/>
          <w:szCs w:val="24"/>
          <w:lang w:val="fr-CA"/>
        </w:rPr>
        <w:t xml:space="preserve">de chez lui.  Bien que </w:t>
      </w:r>
      <w:r>
        <w:rPr>
          <w:rFonts w:cs="Times New Roman"/>
          <w:szCs w:val="24"/>
          <w:lang w:val="fr-CA"/>
        </w:rPr>
        <w:t xml:space="preserve">je </w:t>
      </w:r>
      <w:r w:rsidRPr="00CA43DD">
        <w:rPr>
          <w:rFonts w:cs="Times New Roman"/>
          <w:szCs w:val="24"/>
          <w:lang w:val="fr-CA"/>
        </w:rPr>
        <w:t xml:space="preserve">souscrive à cette conclusion, je suis en désaccord avec </w:t>
      </w:r>
      <w:r w:rsidRPr="00CA43DD">
        <w:rPr>
          <w:rFonts w:cs="Times New Roman"/>
          <w:szCs w:val="24"/>
          <w:lang w:val="fr-CA"/>
        </w:rPr>
        <w:lastRenderedPageBreak/>
        <w:t>l</w:t>
      </w:r>
      <w:r>
        <w:rPr>
          <w:rFonts w:cs="Times New Roman"/>
          <w:szCs w:val="24"/>
          <w:lang w:val="fr-CA"/>
        </w:rPr>
        <w:t>’</w:t>
      </w:r>
      <w:r w:rsidRPr="00CA43DD">
        <w:rPr>
          <w:rFonts w:cs="Times New Roman"/>
          <w:szCs w:val="24"/>
          <w:lang w:val="fr-CA"/>
        </w:rPr>
        <w:t>importance que la Cour d</w:t>
      </w:r>
      <w:r>
        <w:rPr>
          <w:rFonts w:cs="Times New Roman"/>
          <w:szCs w:val="24"/>
          <w:lang w:val="fr-CA"/>
        </w:rPr>
        <w:t>’</w:t>
      </w:r>
      <w:r w:rsidRPr="00CA43DD">
        <w:rPr>
          <w:rFonts w:cs="Times New Roman"/>
          <w:szCs w:val="24"/>
          <w:lang w:val="fr-CA"/>
        </w:rPr>
        <w:t>appel lui attribue pour les besoins de l</w:t>
      </w:r>
      <w:r>
        <w:rPr>
          <w:rFonts w:cs="Times New Roman"/>
          <w:szCs w:val="24"/>
          <w:lang w:val="fr-CA"/>
        </w:rPr>
        <w:t>’</w:t>
      </w:r>
      <w:r w:rsidRPr="00CA43DD">
        <w:rPr>
          <w:rFonts w:cs="Times New Roman"/>
          <w:szCs w:val="24"/>
          <w:lang w:val="fr-CA"/>
        </w:rPr>
        <w:t>analyse fondée sur le par. 24(2).</w:t>
      </w:r>
    </w:p>
    <w:p w:rsidR="00DC2386" w:rsidRPr="00CA43DD" w:rsidRDefault="00DC2386" w:rsidP="00DC2386">
      <w:pPr>
        <w:pStyle w:val="ParaNoNdepar-AltN"/>
        <w:rPr>
          <w:rFonts w:cs="Times New Roman"/>
          <w:szCs w:val="24"/>
          <w:lang w:val="fr-CA"/>
        </w:rPr>
      </w:pPr>
      <w:r w:rsidRPr="00CA43DD">
        <w:rPr>
          <w:rFonts w:cs="Times New Roman"/>
          <w:szCs w:val="24"/>
          <w:lang w:val="fr-CA"/>
        </w:rPr>
        <w:t>Avant de passer à la question de la possibilité de découvrir la preuve en l</w:t>
      </w:r>
      <w:r>
        <w:rPr>
          <w:rFonts w:cs="Times New Roman"/>
          <w:szCs w:val="24"/>
          <w:lang w:val="fr-CA"/>
        </w:rPr>
        <w:t>’</w:t>
      </w:r>
      <w:r w:rsidRPr="00CA43DD">
        <w:rPr>
          <w:rFonts w:cs="Times New Roman"/>
          <w:szCs w:val="24"/>
          <w:lang w:val="fr-CA"/>
        </w:rPr>
        <w:t>espèce, je me penche brièvement sur le rôle qu</w:t>
      </w:r>
      <w:r>
        <w:rPr>
          <w:rFonts w:cs="Times New Roman"/>
          <w:szCs w:val="24"/>
          <w:lang w:val="fr-CA"/>
        </w:rPr>
        <w:t>’</w:t>
      </w:r>
      <w:r w:rsidRPr="00CA43DD">
        <w:rPr>
          <w:rFonts w:cs="Times New Roman"/>
          <w:szCs w:val="24"/>
          <w:lang w:val="fr-CA"/>
        </w:rPr>
        <w:t>a joué, le cas échéant, la validité ou l</w:t>
      </w:r>
      <w:r>
        <w:rPr>
          <w:rFonts w:cs="Times New Roman"/>
          <w:szCs w:val="24"/>
          <w:lang w:val="fr-CA"/>
        </w:rPr>
        <w:t>’</w:t>
      </w:r>
      <w:r w:rsidRPr="00CA43DD">
        <w:rPr>
          <w:rFonts w:cs="Times New Roman"/>
          <w:szCs w:val="24"/>
          <w:lang w:val="fr-CA"/>
        </w:rPr>
        <w:t xml:space="preserve">invalidité des </w:t>
      </w:r>
      <w:proofErr w:type="spellStart"/>
      <w:r w:rsidRPr="00CA43DD">
        <w:rPr>
          <w:rFonts w:cs="Times New Roman"/>
          <w:szCs w:val="24"/>
          <w:lang w:val="fr-CA"/>
        </w:rPr>
        <w:t>télémandats</w:t>
      </w:r>
      <w:proofErr w:type="spellEnd"/>
      <w:r w:rsidRPr="00CA43DD">
        <w:rPr>
          <w:rFonts w:cs="Times New Roman"/>
          <w:szCs w:val="24"/>
          <w:lang w:val="fr-CA"/>
        </w:rPr>
        <w:t xml:space="preserve"> décernés aux policiers dans l</w:t>
      </w:r>
      <w:r>
        <w:rPr>
          <w:rFonts w:cs="Times New Roman"/>
          <w:szCs w:val="24"/>
          <w:lang w:val="fr-CA"/>
        </w:rPr>
        <w:t>’</w:t>
      </w:r>
      <w:r w:rsidRPr="00CA43DD">
        <w:rPr>
          <w:rFonts w:cs="Times New Roman"/>
          <w:szCs w:val="24"/>
          <w:lang w:val="fr-CA"/>
        </w:rPr>
        <w:t>analyse à laquelle se livre le juge du procès sur le fondement du par. 24(2).  À mon sens, que ces mandats aient été valides ou non importe peu, ou n</w:t>
      </w:r>
      <w:r>
        <w:rPr>
          <w:rFonts w:cs="Times New Roman"/>
          <w:szCs w:val="24"/>
          <w:lang w:val="fr-CA"/>
        </w:rPr>
        <w:t>’</w:t>
      </w:r>
      <w:r w:rsidRPr="00CA43DD">
        <w:rPr>
          <w:rFonts w:cs="Times New Roman"/>
          <w:szCs w:val="24"/>
          <w:lang w:val="fr-CA"/>
        </w:rPr>
        <w:t>importe pas, aux fins de cette analyse.</w:t>
      </w:r>
    </w:p>
    <w:p w:rsidR="00DC2386" w:rsidRPr="00CA43DD" w:rsidRDefault="00DC2386" w:rsidP="00DC2386">
      <w:pPr>
        <w:pStyle w:val="ParaNoNdepar-AltN"/>
        <w:rPr>
          <w:rFonts w:cs="Times New Roman"/>
          <w:szCs w:val="24"/>
          <w:lang w:val="fr-CA"/>
        </w:rPr>
      </w:pPr>
      <w:r w:rsidRPr="00CA43DD">
        <w:rPr>
          <w:rFonts w:cs="Times New Roman"/>
          <w:szCs w:val="24"/>
          <w:lang w:val="fr-CA"/>
        </w:rPr>
        <w:t>Le juge du procès conclut que les mandats finalement obtenus par les policiers étaient illégaux.  À son avis, une fois retranchés de la dénonciation les renseignements obtenus de façon inconstitutionnelle, les éléments restants étaient insuffisants.  La Cour d</w:t>
      </w:r>
      <w:r>
        <w:rPr>
          <w:rFonts w:cs="Times New Roman"/>
          <w:szCs w:val="24"/>
          <w:lang w:val="fr-CA"/>
        </w:rPr>
        <w:t>’</w:t>
      </w:r>
      <w:r w:rsidRPr="00CA43DD">
        <w:rPr>
          <w:rFonts w:cs="Times New Roman"/>
          <w:szCs w:val="24"/>
          <w:lang w:val="fr-CA"/>
        </w:rPr>
        <w:t>appel ne fait pas directement état de cette conclusion, mais signale seulement que les motifs permettant d</w:t>
      </w:r>
      <w:r>
        <w:rPr>
          <w:rFonts w:cs="Times New Roman"/>
          <w:szCs w:val="24"/>
          <w:lang w:val="fr-CA"/>
        </w:rPr>
        <w:t>’</w:t>
      </w:r>
      <w:r w:rsidRPr="00CA43DD">
        <w:rPr>
          <w:rFonts w:cs="Times New Roman"/>
          <w:szCs w:val="24"/>
          <w:lang w:val="fr-CA"/>
        </w:rPr>
        <w:t>obtenir un mandat existaient bien avant, de sorte que les policiers auraient pu faire leurs constatations et recueillir la preuve matérielle en toute légalité.  Le ministère public soutient devant notre Cour que la décision du juge du procès quant à la validité des mandats est erronée.  Or, même si les mandats étaient valides, cela n</w:t>
      </w:r>
      <w:r>
        <w:rPr>
          <w:rFonts w:cs="Times New Roman"/>
          <w:szCs w:val="24"/>
          <w:lang w:val="fr-CA"/>
        </w:rPr>
        <w:t>’</w:t>
      </w:r>
      <w:r w:rsidRPr="00CA43DD">
        <w:rPr>
          <w:rFonts w:cs="Times New Roman"/>
          <w:szCs w:val="24"/>
          <w:lang w:val="fr-CA"/>
        </w:rPr>
        <w:t>aurait guère d</w:t>
      </w:r>
      <w:r>
        <w:rPr>
          <w:rFonts w:cs="Times New Roman"/>
          <w:szCs w:val="24"/>
          <w:lang w:val="fr-CA"/>
        </w:rPr>
        <w:t>’</w:t>
      </w:r>
      <w:r w:rsidRPr="00CA43DD">
        <w:rPr>
          <w:rFonts w:cs="Times New Roman"/>
          <w:szCs w:val="24"/>
          <w:lang w:val="fr-CA"/>
        </w:rPr>
        <w:t>effet, voire aucun, sur la décision d</w:t>
      </w:r>
      <w:r>
        <w:rPr>
          <w:rFonts w:cs="Times New Roman"/>
          <w:szCs w:val="24"/>
          <w:lang w:val="fr-CA"/>
        </w:rPr>
        <w:t>’</w:t>
      </w:r>
      <w:r w:rsidRPr="00CA43DD">
        <w:rPr>
          <w:rFonts w:cs="Times New Roman"/>
          <w:szCs w:val="24"/>
          <w:lang w:val="fr-CA"/>
        </w:rPr>
        <w:t>écarter la preuve matérielle.  Comme le dit le juge du procès, le processus de perquisition en entier est vicié par les mesures inconstitutionnelles qui ont précédé la délivrance des mandats.</w:t>
      </w:r>
    </w:p>
    <w:p w:rsidR="00DC2386" w:rsidRPr="00CA43DD" w:rsidRDefault="00DC2386" w:rsidP="00DC2386">
      <w:pPr>
        <w:pStyle w:val="ParaNoNdepar-AltN"/>
        <w:rPr>
          <w:rFonts w:cs="Times New Roman"/>
          <w:szCs w:val="24"/>
          <w:lang w:val="fr-CA"/>
        </w:rPr>
      </w:pPr>
      <w:r w:rsidRPr="00CA43DD">
        <w:rPr>
          <w:rFonts w:cs="Times New Roman"/>
          <w:szCs w:val="24"/>
          <w:lang w:val="fr-CA"/>
        </w:rPr>
        <w:lastRenderedPageBreak/>
        <w:t>Cette conclusion s</w:t>
      </w:r>
      <w:r>
        <w:rPr>
          <w:rFonts w:cs="Times New Roman"/>
          <w:szCs w:val="24"/>
          <w:lang w:val="fr-CA"/>
        </w:rPr>
        <w:t>’</w:t>
      </w:r>
      <w:r w:rsidRPr="00CA43DD">
        <w:rPr>
          <w:rFonts w:cs="Times New Roman"/>
          <w:szCs w:val="24"/>
          <w:lang w:val="fr-CA"/>
        </w:rPr>
        <w:t>inscrit dans une jurisprudence constante.  L</w:t>
      </w:r>
      <w:r>
        <w:rPr>
          <w:rFonts w:cs="Times New Roman"/>
          <w:szCs w:val="24"/>
          <w:lang w:val="fr-CA"/>
        </w:rPr>
        <w:t>’</w:t>
      </w:r>
      <w:r w:rsidRPr="00CA43DD">
        <w:rPr>
          <w:rFonts w:cs="Times New Roman"/>
          <w:szCs w:val="24"/>
          <w:lang w:val="fr-CA"/>
        </w:rPr>
        <w:t xml:space="preserve">affaire </w:t>
      </w:r>
      <w:r w:rsidRPr="00CA43DD">
        <w:rPr>
          <w:rFonts w:cs="Times New Roman"/>
          <w:i/>
          <w:szCs w:val="24"/>
          <w:lang w:val="fr-CA"/>
        </w:rPr>
        <w:t>Grant</w:t>
      </w:r>
      <w:r w:rsidRPr="00CA43DD">
        <w:rPr>
          <w:rFonts w:cs="Times New Roman"/>
          <w:szCs w:val="24"/>
          <w:lang w:val="fr-CA"/>
        </w:rPr>
        <w:t xml:space="preserve"> </w:t>
      </w:r>
      <w:r w:rsidRPr="00CA43DD">
        <w:rPr>
          <w:rFonts w:cs="Times New Roman"/>
          <w:i/>
          <w:szCs w:val="24"/>
          <w:lang w:val="fr-CA"/>
        </w:rPr>
        <w:t>1993</w:t>
      </w:r>
      <w:r w:rsidRPr="00CA43DD">
        <w:rPr>
          <w:rFonts w:cs="Times New Roman"/>
          <w:szCs w:val="24"/>
          <w:lang w:val="fr-CA"/>
        </w:rPr>
        <w:t xml:space="preserve"> illustre bien comment une perquisition illégale sans mandat peut vicier une perquisition subséquente par ailleurs légale.  Dans cette affaire, les renseignements recueillis au cours de la perquisition périphérique sans mandat avaient servi de fondement à la demande de mandats de perquisition présentée par les policiers.  La Cour conclut qu</w:t>
      </w:r>
      <w:r>
        <w:rPr>
          <w:rFonts w:cs="Times New Roman"/>
          <w:szCs w:val="24"/>
          <w:lang w:val="fr-CA"/>
        </w:rPr>
        <w:t>’</w:t>
      </w:r>
      <w:r w:rsidRPr="00CA43DD">
        <w:rPr>
          <w:rFonts w:cs="Times New Roman"/>
          <w:szCs w:val="24"/>
          <w:lang w:val="fr-CA"/>
        </w:rPr>
        <w:t>une fois les renseignements obtenus illégalement retranchés des affidavits présentés au juge, les données restantes justifiaient la délivrance des mandats.  La Cour statue que les mandats sont valides, mais elle affirme que les perquisitions illégales « font néanmoins partie intégrante d</w:t>
      </w:r>
      <w:r>
        <w:rPr>
          <w:rFonts w:cs="Times New Roman"/>
          <w:szCs w:val="24"/>
          <w:lang w:val="fr-CA"/>
        </w:rPr>
        <w:t>’</w:t>
      </w:r>
      <w:r w:rsidRPr="00CA43DD">
        <w:rPr>
          <w:rFonts w:cs="Times New Roman"/>
          <w:szCs w:val="24"/>
          <w:lang w:val="fr-CA"/>
        </w:rPr>
        <w:t>une série de tactiques d</w:t>
      </w:r>
      <w:r>
        <w:rPr>
          <w:rFonts w:cs="Times New Roman"/>
          <w:szCs w:val="24"/>
          <w:lang w:val="fr-CA"/>
        </w:rPr>
        <w:t>’</w:t>
      </w:r>
      <w:r w:rsidRPr="00CA43DD">
        <w:rPr>
          <w:rFonts w:cs="Times New Roman"/>
          <w:szCs w:val="24"/>
          <w:lang w:val="fr-CA"/>
        </w:rPr>
        <w:t>enquête qui ont abouti à la découverte des éléments de preuve en question ».  Il n</w:t>
      </w:r>
      <w:r>
        <w:rPr>
          <w:rFonts w:cs="Times New Roman"/>
          <w:szCs w:val="24"/>
          <w:lang w:val="fr-CA"/>
        </w:rPr>
        <w:t>’</w:t>
      </w:r>
      <w:r w:rsidRPr="00CA43DD">
        <w:rPr>
          <w:rFonts w:cs="Times New Roman"/>
          <w:szCs w:val="24"/>
          <w:lang w:val="fr-CA"/>
        </w:rPr>
        <w:t>est donc « pas réaliste de considérer que les perquisitions périphériques sont dissociables de tout le processus d</w:t>
      </w:r>
      <w:r>
        <w:rPr>
          <w:rFonts w:cs="Times New Roman"/>
          <w:szCs w:val="24"/>
          <w:lang w:val="fr-CA"/>
        </w:rPr>
        <w:t>’</w:t>
      </w:r>
      <w:r w:rsidRPr="00CA43DD">
        <w:rPr>
          <w:rFonts w:cs="Times New Roman"/>
          <w:szCs w:val="24"/>
          <w:lang w:val="fr-CA"/>
        </w:rPr>
        <w:t>enquête qui a abouti à la découverte des éléments de preuve contestés » (p. 255).  De même, en l</w:t>
      </w:r>
      <w:r>
        <w:rPr>
          <w:rFonts w:cs="Times New Roman"/>
          <w:szCs w:val="24"/>
          <w:lang w:val="fr-CA"/>
        </w:rPr>
        <w:t>’</w:t>
      </w:r>
      <w:r w:rsidRPr="00CA43DD">
        <w:rPr>
          <w:rFonts w:cs="Times New Roman"/>
          <w:szCs w:val="24"/>
          <w:lang w:val="fr-CA"/>
        </w:rPr>
        <w:t>espèce, étant donné la conclusion de fait du juge du procès selon laquelle la conduite répréhensible des policiers a été constante et systématique dès l</w:t>
      </w:r>
      <w:r>
        <w:rPr>
          <w:rFonts w:cs="Times New Roman"/>
          <w:szCs w:val="24"/>
          <w:lang w:val="fr-CA"/>
        </w:rPr>
        <w:t>’</w:t>
      </w:r>
      <w:r w:rsidRPr="00CA43DD">
        <w:rPr>
          <w:rFonts w:cs="Times New Roman"/>
          <w:szCs w:val="24"/>
          <w:lang w:val="fr-CA"/>
        </w:rPr>
        <w:t>ouverture de l</w:t>
      </w:r>
      <w:r>
        <w:rPr>
          <w:rFonts w:cs="Times New Roman"/>
          <w:szCs w:val="24"/>
          <w:lang w:val="fr-CA"/>
        </w:rPr>
        <w:t>’</w:t>
      </w:r>
      <w:r w:rsidRPr="00CA43DD">
        <w:rPr>
          <w:rFonts w:cs="Times New Roman"/>
          <w:szCs w:val="24"/>
          <w:lang w:val="fr-CA"/>
        </w:rPr>
        <w:t>enquête, la question de l</w:t>
      </w:r>
      <w:r>
        <w:rPr>
          <w:rFonts w:cs="Times New Roman"/>
          <w:szCs w:val="24"/>
          <w:lang w:val="fr-CA"/>
        </w:rPr>
        <w:t>’</w:t>
      </w:r>
      <w:r w:rsidRPr="00CA43DD">
        <w:rPr>
          <w:rFonts w:cs="Times New Roman"/>
          <w:szCs w:val="24"/>
          <w:lang w:val="fr-CA"/>
        </w:rPr>
        <w:t>opportunité d</w:t>
      </w:r>
      <w:r>
        <w:rPr>
          <w:rFonts w:cs="Times New Roman"/>
          <w:szCs w:val="24"/>
          <w:lang w:val="fr-CA"/>
        </w:rPr>
        <w:t>’</w:t>
      </w:r>
      <w:r w:rsidRPr="00CA43DD">
        <w:rPr>
          <w:rFonts w:cs="Times New Roman"/>
          <w:szCs w:val="24"/>
          <w:lang w:val="fr-CA"/>
        </w:rPr>
        <w:t>écarter la preuve ne doit pas être abordée de manière compartimentée.</w:t>
      </w:r>
    </w:p>
    <w:p w:rsidR="00DC2386" w:rsidRPr="00CA43DD" w:rsidRDefault="00DC2386" w:rsidP="00DC2386">
      <w:pPr>
        <w:pStyle w:val="ParaNoNdepar-AltN"/>
        <w:rPr>
          <w:rFonts w:cs="Times New Roman"/>
          <w:szCs w:val="24"/>
          <w:lang w:val="fr-CA"/>
        </w:rPr>
      </w:pPr>
      <w:r w:rsidRPr="00CA43DD">
        <w:rPr>
          <w:rFonts w:cs="Times New Roman"/>
          <w:szCs w:val="24"/>
          <w:lang w:val="fr-CA"/>
        </w:rPr>
        <w:t>Je passe maintenant à l</w:t>
      </w:r>
      <w:r>
        <w:rPr>
          <w:rFonts w:cs="Times New Roman"/>
          <w:szCs w:val="24"/>
          <w:lang w:val="fr-CA"/>
        </w:rPr>
        <w:t>’</w:t>
      </w:r>
      <w:r w:rsidRPr="00CA43DD">
        <w:rPr>
          <w:rFonts w:cs="Times New Roman"/>
          <w:szCs w:val="24"/>
          <w:lang w:val="fr-CA"/>
        </w:rPr>
        <w:t>incidence de la possibilité de découvrir la preuve sur l</w:t>
      </w:r>
      <w:r>
        <w:rPr>
          <w:rFonts w:cs="Times New Roman"/>
          <w:szCs w:val="24"/>
          <w:lang w:val="fr-CA"/>
        </w:rPr>
        <w:t>’</w:t>
      </w:r>
      <w:r w:rsidRPr="00CA43DD">
        <w:rPr>
          <w:rFonts w:cs="Times New Roman"/>
          <w:szCs w:val="24"/>
          <w:lang w:val="fr-CA"/>
        </w:rPr>
        <w:t>opportunité d</w:t>
      </w:r>
      <w:r>
        <w:rPr>
          <w:rFonts w:cs="Times New Roman"/>
          <w:szCs w:val="24"/>
          <w:lang w:val="fr-CA"/>
        </w:rPr>
        <w:t>’</w:t>
      </w:r>
      <w:r w:rsidRPr="00CA43DD">
        <w:rPr>
          <w:rFonts w:cs="Times New Roman"/>
          <w:szCs w:val="24"/>
          <w:lang w:val="fr-CA"/>
        </w:rPr>
        <w:t xml:space="preserve">écarter </w:t>
      </w:r>
      <w:proofErr w:type="spellStart"/>
      <w:r w:rsidRPr="00CA43DD">
        <w:rPr>
          <w:rFonts w:cs="Times New Roman"/>
          <w:szCs w:val="24"/>
          <w:lang w:val="fr-CA"/>
        </w:rPr>
        <w:t>celle</w:t>
      </w:r>
      <w:r w:rsidRPr="00CA43DD">
        <w:rPr>
          <w:rFonts w:cs="Times New Roman"/>
          <w:szCs w:val="24"/>
          <w:lang w:val="fr-CA"/>
        </w:rPr>
        <w:noBreakHyphen/>
        <w:t>ci</w:t>
      </w:r>
      <w:proofErr w:type="spellEnd"/>
      <w:r w:rsidRPr="00CA43DD">
        <w:rPr>
          <w:rFonts w:cs="Times New Roman"/>
          <w:szCs w:val="24"/>
          <w:lang w:val="fr-CA"/>
        </w:rPr>
        <w:t xml:space="preserve"> en l</w:t>
      </w:r>
      <w:r>
        <w:rPr>
          <w:rFonts w:cs="Times New Roman"/>
          <w:szCs w:val="24"/>
          <w:lang w:val="fr-CA"/>
        </w:rPr>
        <w:t>’</w:t>
      </w:r>
      <w:r w:rsidRPr="00CA43DD">
        <w:rPr>
          <w:rFonts w:cs="Times New Roman"/>
          <w:szCs w:val="24"/>
          <w:lang w:val="fr-CA"/>
        </w:rPr>
        <w:t>espèce.</w:t>
      </w:r>
    </w:p>
    <w:p w:rsidR="00DC2386" w:rsidRPr="00CA43DD" w:rsidRDefault="00DC2386" w:rsidP="00DC2386">
      <w:pPr>
        <w:pStyle w:val="ParaNoNdepar-AltN"/>
        <w:rPr>
          <w:rFonts w:cs="Times New Roman"/>
          <w:szCs w:val="24"/>
          <w:lang w:val="fr-CA"/>
        </w:rPr>
      </w:pPr>
      <w:r w:rsidRPr="00CA43DD">
        <w:rPr>
          <w:rFonts w:cs="Times New Roman"/>
          <w:szCs w:val="24"/>
          <w:lang w:val="fr-CA"/>
        </w:rPr>
        <w:t>En ce qui concerne le premier volet de l</w:t>
      </w:r>
      <w:r>
        <w:rPr>
          <w:rFonts w:cs="Times New Roman"/>
          <w:szCs w:val="24"/>
          <w:lang w:val="fr-CA"/>
        </w:rPr>
        <w:t>’</w:t>
      </w:r>
      <w:r w:rsidRPr="00CA43DD">
        <w:rPr>
          <w:rFonts w:cs="Times New Roman"/>
          <w:szCs w:val="24"/>
          <w:lang w:val="fr-CA"/>
        </w:rPr>
        <w:t xml:space="preserve">analyse, il est clair que pour le juge du procès, les actes reprochés aux policiers étaient très graves.  Comme dans </w:t>
      </w:r>
      <w:r w:rsidRPr="00CA43DD">
        <w:rPr>
          <w:rFonts w:cs="Times New Roman"/>
          <w:szCs w:val="24"/>
          <w:lang w:val="fr-CA"/>
        </w:rPr>
        <w:lastRenderedPageBreak/>
        <w:t>l</w:t>
      </w:r>
      <w:r>
        <w:rPr>
          <w:rFonts w:cs="Times New Roman"/>
          <w:szCs w:val="24"/>
          <w:lang w:val="fr-CA"/>
        </w:rPr>
        <w:t>’</w:t>
      </w:r>
      <w:r w:rsidRPr="00CA43DD">
        <w:rPr>
          <w:rFonts w:cs="Times New Roman"/>
          <w:szCs w:val="24"/>
          <w:lang w:val="fr-CA"/>
        </w:rPr>
        <w:t xml:space="preserve">affaire </w:t>
      </w:r>
      <w:r w:rsidRPr="00CA43DD">
        <w:rPr>
          <w:rFonts w:cs="Times New Roman"/>
          <w:i/>
          <w:szCs w:val="24"/>
          <w:lang w:val="fr-CA"/>
        </w:rPr>
        <w:t>Grant</w:t>
      </w:r>
      <w:r w:rsidRPr="00CA43DD">
        <w:rPr>
          <w:rFonts w:cs="Times New Roman"/>
          <w:szCs w:val="24"/>
          <w:lang w:val="fr-CA"/>
        </w:rPr>
        <w:t xml:space="preserve"> </w:t>
      </w:r>
      <w:r w:rsidRPr="00CA43DD">
        <w:rPr>
          <w:rFonts w:cs="Times New Roman"/>
          <w:i/>
          <w:szCs w:val="24"/>
          <w:lang w:val="fr-CA"/>
        </w:rPr>
        <w:t>1993</w:t>
      </w:r>
      <w:r w:rsidRPr="00CA43DD">
        <w:rPr>
          <w:rFonts w:cs="Times New Roman"/>
          <w:szCs w:val="24"/>
          <w:lang w:val="fr-CA"/>
        </w:rPr>
        <w:t>, la collecte des éléments de preuve en l</w:t>
      </w:r>
      <w:r>
        <w:rPr>
          <w:rFonts w:cs="Times New Roman"/>
          <w:szCs w:val="24"/>
          <w:lang w:val="fr-CA"/>
        </w:rPr>
        <w:t>’</w:t>
      </w:r>
      <w:r w:rsidRPr="00CA43DD">
        <w:rPr>
          <w:rFonts w:cs="Times New Roman"/>
          <w:szCs w:val="24"/>
          <w:lang w:val="fr-CA"/>
        </w:rPr>
        <w:t>espèce était le simple prolongement des fouilles antérieures effectuées sans mandat par les agents Tremblay, Mathieu et Fortier; il existait nettement un lien entre les violations antérieures et la preuve obtenue grâce aux mandats.  De plus, avant que les mandats ne soient décernés, les droits de l</w:t>
      </w:r>
      <w:r>
        <w:rPr>
          <w:rFonts w:cs="Times New Roman"/>
          <w:szCs w:val="24"/>
          <w:lang w:val="fr-CA"/>
        </w:rPr>
        <w:t>’</w:t>
      </w:r>
      <w:r w:rsidRPr="00CA43DD">
        <w:rPr>
          <w:rFonts w:cs="Times New Roman"/>
          <w:szCs w:val="24"/>
          <w:lang w:val="fr-CA"/>
        </w:rPr>
        <w:t>appelante avaient fait l</w:t>
      </w:r>
      <w:r>
        <w:rPr>
          <w:rFonts w:cs="Times New Roman"/>
          <w:szCs w:val="24"/>
          <w:lang w:val="fr-CA"/>
        </w:rPr>
        <w:t>’</w:t>
      </w:r>
      <w:r w:rsidRPr="00CA43DD">
        <w:rPr>
          <w:rFonts w:cs="Times New Roman"/>
          <w:szCs w:val="24"/>
          <w:lang w:val="fr-CA"/>
        </w:rPr>
        <w:t>objet d</w:t>
      </w:r>
      <w:r>
        <w:rPr>
          <w:rFonts w:cs="Times New Roman"/>
          <w:szCs w:val="24"/>
          <w:lang w:val="fr-CA"/>
        </w:rPr>
        <w:t>’</w:t>
      </w:r>
      <w:r w:rsidRPr="00CA43DD">
        <w:rPr>
          <w:rFonts w:cs="Times New Roman"/>
          <w:szCs w:val="24"/>
          <w:lang w:val="fr-CA"/>
        </w:rPr>
        <w:t>atteintes multiples, graves et délibérées.  Comme il est mentionné précédemment, le juge du procès trouve étonnant que les policiers n</w:t>
      </w:r>
      <w:r>
        <w:rPr>
          <w:rFonts w:cs="Times New Roman"/>
          <w:szCs w:val="24"/>
          <w:lang w:val="fr-CA"/>
        </w:rPr>
        <w:t>’</w:t>
      </w:r>
      <w:r w:rsidRPr="00CA43DD">
        <w:rPr>
          <w:rFonts w:cs="Times New Roman"/>
          <w:szCs w:val="24"/>
          <w:lang w:val="fr-CA"/>
        </w:rPr>
        <w:t>aient pas demandé un mandat de perquisition plus tôt dans la soirée ni tenté d</w:t>
      </w:r>
      <w:r>
        <w:rPr>
          <w:rFonts w:cs="Times New Roman"/>
          <w:szCs w:val="24"/>
          <w:lang w:val="fr-CA"/>
        </w:rPr>
        <w:t>’</w:t>
      </w:r>
      <w:r w:rsidRPr="00CA43DD">
        <w:rPr>
          <w:rFonts w:cs="Times New Roman"/>
          <w:szCs w:val="24"/>
          <w:lang w:val="fr-CA"/>
        </w:rPr>
        <w:t>obtenir le consentement libre et éclairé de l</w:t>
      </w:r>
      <w:r>
        <w:rPr>
          <w:rFonts w:cs="Times New Roman"/>
          <w:szCs w:val="24"/>
          <w:lang w:val="fr-CA"/>
        </w:rPr>
        <w:t>’</w:t>
      </w:r>
      <w:r w:rsidRPr="00CA43DD">
        <w:rPr>
          <w:rFonts w:cs="Times New Roman"/>
          <w:szCs w:val="24"/>
          <w:lang w:val="fr-CA"/>
        </w:rPr>
        <w:t>appelante à leur entrée dans le domicile.  Il juge aussi inconcevable que les policiers aient constamment minimisé la situation juridique de l</w:t>
      </w:r>
      <w:r>
        <w:rPr>
          <w:rFonts w:cs="Times New Roman"/>
          <w:szCs w:val="24"/>
          <w:lang w:val="fr-CA"/>
        </w:rPr>
        <w:t>’</w:t>
      </w:r>
      <w:r w:rsidRPr="00CA43DD">
        <w:rPr>
          <w:rFonts w:cs="Times New Roman"/>
          <w:szCs w:val="24"/>
          <w:lang w:val="fr-CA"/>
        </w:rPr>
        <w:t>appelante et il conclut que ce mépris des droits garantis à l</w:t>
      </w:r>
      <w:r>
        <w:rPr>
          <w:rFonts w:cs="Times New Roman"/>
          <w:szCs w:val="24"/>
          <w:lang w:val="fr-CA"/>
        </w:rPr>
        <w:t>’</w:t>
      </w:r>
      <w:r w:rsidRPr="00CA43DD">
        <w:rPr>
          <w:rFonts w:cs="Times New Roman"/>
          <w:szCs w:val="24"/>
          <w:lang w:val="fr-CA"/>
        </w:rPr>
        <w:t xml:space="preserve">intéressée par la </w:t>
      </w:r>
      <w:r w:rsidRPr="00CA43DD">
        <w:rPr>
          <w:rFonts w:cs="Times New Roman"/>
          <w:i/>
          <w:szCs w:val="24"/>
          <w:lang w:val="fr-CA"/>
        </w:rPr>
        <w:t xml:space="preserve">Charte </w:t>
      </w:r>
      <w:r w:rsidRPr="00CA43DD">
        <w:rPr>
          <w:rFonts w:cs="Times New Roman"/>
          <w:szCs w:val="24"/>
          <w:lang w:val="fr-CA"/>
        </w:rPr>
        <w:t>a été constant et systématique tout au long de leurs échanges avec M</w:t>
      </w:r>
      <w:r w:rsidRPr="00CA43DD">
        <w:rPr>
          <w:rFonts w:cs="Times New Roman"/>
          <w:szCs w:val="24"/>
          <w:vertAlign w:val="superscript"/>
          <w:lang w:val="fr-CA"/>
        </w:rPr>
        <w:t>me</w:t>
      </w:r>
      <w:r w:rsidRPr="00CA43DD">
        <w:rPr>
          <w:rFonts w:cs="Times New Roman"/>
          <w:szCs w:val="24"/>
          <w:lang w:val="fr-CA"/>
        </w:rPr>
        <w:t> Côté.  Il estime par ailleurs que l</w:t>
      </w:r>
      <w:r>
        <w:rPr>
          <w:rFonts w:cs="Times New Roman"/>
          <w:szCs w:val="24"/>
          <w:lang w:val="fr-CA"/>
        </w:rPr>
        <w:t>’</w:t>
      </w:r>
      <w:r w:rsidRPr="00CA43DD">
        <w:rPr>
          <w:rFonts w:cs="Times New Roman"/>
          <w:szCs w:val="24"/>
          <w:lang w:val="fr-CA"/>
        </w:rPr>
        <w:t>obtention d</w:t>
      </w:r>
      <w:r>
        <w:rPr>
          <w:rFonts w:cs="Times New Roman"/>
          <w:szCs w:val="24"/>
          <w:lang w:val="fr-CA"/>
        </w:rPr>
        <w:t>’</w:t>
      </w:r>
      <w:r w:rsidRPr="00CA43DD">
        <w:rPr>
          <w:rFonts w:cs="Times New Roman"/>
          <w:szCs w:val="24"/>
          <w:lang w:val="fr-CA"/>
        </w:rPr>
        <w:t>éléments de preuve lors des perquisitions effectuées avec mandat résulte d</w:t>
      </w:r>
      <w:r>
        <w:rPr>
          <w:rFonts w:cs="Times New Roman"/>
          <w:szCs w:val="24"/>
          <w:lang w:val="fr-CA"/>
        </w:rPr>
        <w:t>’</w:t>
      </w:r>
      <w:r w:rsidRPr="00CA43DD">
        <w:rPr>
          <w:rFonts w:cs="Times New Roman"/>
          <w:szCs w:val="24"/>
          <w:lang w:val="fr-CA"/>
        </w:rPr>
        <w:t>un mépris systématique des droits constitutionnels de M</w:t>
      </w:r>
      <w:r w:rsidRPr="00CA43DD">
        <w:rPr>
          <w:rFonts w:cs="Times New Roman"/>
          <w:szCs w:val="24"/>
          <w:vertAlign w:val="superscript"/>
          <w:lang w:val="fr-CA"/>
        </w:rPr>
        <w:t>me</w:t>
      </w:r>
      <w:r w:rsidRPr="00CA43DD">
        <w:rPr>
          <w:rFonts w:cs="Times New Roman"/>
          <w:szCs w:val="24"/>
          <w:lang w:val="fr-CA"/>
        </w:rPr>
        <w:t xml:space="preserve"> Côté.  Comme cette preuve était viciée par les violations antérieures de la </w:t>
      </w:r>
      <w:r w:rsidRPr="00CA43DD">
        <w:rPr>
          <w:rFonts w:cs="Times New Roman"/>
          <w:i/>
          <w:szCs w:val="24"/>
          <w:lang w:val="fr-CA"/>
        </w:rPr>
        <w:t xml:space="preserve">Charte </w:t>
      </w:r>
      <w:r w:rsidRPr="00CA43DD">
        <w:rPr>
          <w:rFonts w:cs="Times New Roman"/>
          <w:szCs w:val="24"/>
          <w:lang w:val="fr-CA"/>
        </w:rPr>
        <w:t>auxquelles avaient donné lieu les actes répréhensibles graves des policiers, l</w:t>
      </w:r>
      <w:r>
        <w:rPr>
          <w:rFonts w:cs="Times New Roman"/>
          <w:szCs w:val="24"/>
          <w:lang w:val="fr-CA"/>
        </w:rPr>
        <w:t>’</w:t>
      </w:r>
      <w:r w:rsidRPr="00CA43DD">
        <w:rPr>
          <w:rFonts w:cs="Times New Roman"/>
          <w:szCs w:val="24"/>
          <w:lang w:val="fr-CA"/>
        </w:rPr>
        <w:t>issue de l</w:t>
      </w:r>
      <w:r>
        <w:rPr>
          <w:rFonts w:cs="Times New Roman"/>
          <w:szCs w:val="24"/>
          <w:lang w:val="fr-CA"/>
        </w:rPr>
        <w:t>’</w:t>
      </w:r>
      <w:r w:rsidRPr="00CA43DD">
        <w:rPr>
          <w:rFonts w:cs="Times New Roman"/>
          <w:szCs w:val="24"/>
          <w:lang w:val="fr-CA"/>
        </w:rPr>
        <w:t>affaire ne dépendait manifestement pas de l</w:t>
      </w:r>
      <w:r>
        <w:rPr>
          <w:rFonts w:cs="Times New Roman"/>
          <w:szCs w:val="24"/>
          <w:lang w:val="fr-CA"/>
        </w:rPr>
        <w:t>’</w:t>
      </w:r>
      <w:r w:rsidRPr="00CA43DD">
        <w:rPr>
          <w:rFonts w:cs="Times New Roman"/>
          <w:szCs w:val="24"/>
          <w:lang w:val="fr-CA"/>
        </w:rPr>
        <w:t>opinion du juge du procès sur la validité des mandats.</w:t>
      </w:r>
    </w:p>
    <w:p w:rsidR="00DC2386" w:rsidRPr="00CA43DD" w:rsidRDefault="00DC2386" w:rsidP="00DC2386">
      <w:pPr>
        <w:pStyle w:val="ParaNoNdepar-AltN"/>
        <w:rPr>
          <w:rFonts w:cs="Times New Roman"/>
          <w:szCs w:val="24"/>
          <w:lang w:val="fr-CA"/>
        </w:rPr>
      </w:pPr>
      <w:r w:rsidRPr="00CA43DD">
        <w:rPr>
          <w:rFonts w:cs="Times New Roman"/>
          <w:szCs w:val="24"/>
          <w:lang w:val="fr-CA"/>
        </w:rPr>
        <w:t>Le fait que les policiers auraient pu convaincre un officier de justice qu</w:t>
      </w:r>
      <w:r>
        <w:rPr>
          <w:rFonts w:cs="Times New Roman"/>
          <w:szCs w:val="24"/>
          <w:lang w:val="fr-CA"/>
        </w:rPr>
        <w:t>’</w:t>
      </w:r>
      <w:r w:rsidRPr="00CA43DD">
        <w:rPr>
          <w:rFonts w:cs="Times New Roman"/>
          <w:szCs w:val="24"/>
          <w:lang w:val="fr-CA"/>
        </w:rPr>
        <w:t>ils avaient des motifs raisonnables et probables de croire qu</w:t>
      </w:r>
      <w:r>
        <w:rPr>
          <w:rFonts w:cs="Times New Roman"/>
          <w:szCs w:val="24"/>
          <w:lang w:val="fr-CA"/>
        </w:rPr>
        <w:t>’</w:t>
      </w:r>
      <w:r w:rsidRPr="00CA43DD">
        <w:rPr>
          <w:rFonts w:cs="Times New Roman"/>
          <w:szCs w:val="24"/>
          <w:lang w:val="fr-CA"/>
        </w:rPr>
        <w:t>une infraction avait été commise et que des éléments de preuve se trouvaient sur les lieux visés par la perquisition, mais qu</w:t>
      </w:r>
      <w:r>
        <w:rPr>
          <w:rFonts w:cs="Times New Roman"/>
          <w:szCs w:val="24"/>
          <w:lang w:val="fr-CA"/>
        </w:rPr>
        <w:t>’</w:t>
      </w:r>
      <w:r w:rsidRPr="00CA43DD">
        <w:rPr>
          <w:rFonts w:cs="Times New Roman"/>
          <w:szCs w:val="24"/>
          <w:lang w:val="fr-CA"/>
        </w:rPr>
        <w:t>ils n</w:t>
      </w:r>
      <w:r>
        <w:rPr>
          <w:rFonts w:cs="Times New Roman"/>
          <w:szCs w:val="24"/>
          <w:lang w:val="fr-CA"/>
        </w:rPr>
        <w:t>’</w:t>
      </w:r>
      <w:r w:rsidRPr="00CA43DD">
        <w:rPr>
          <w:rFonts w:cs="Times New Roman"/>
          <w:szCs w:val="24"/>
          <w:lang w:val="fr-CA"/>
        </w:rPr>
        <w:t>ont pas tenté de le faire, accroît sensiblement, dans les circonstances de l</w:t>
      </w:r>
      <w:r>
        <w:rPr>
          <w:rFonts w:cs="Times New Roman"/>
          <w:szCs w:val="24"/>
          <w:lang w:val="fr-CA"/>
        </w:rPr>
        <w:t>’</w:t>
      </w:r>
      <w:r w:rsidRPr="00CA43DD">
        <w:rPr>
          <w:rFonts w:cs="Times New Roman"/>
          <w:szCs w:val="24"/>
          <w:lang w:val="fr-CA"/>
        </w:rPr>
        <w:t xml:space="preserve">espèce, la gravité de leurs actes.  Le juge du procès conclut </w:t>
      </w:r>
      <w:r w:rsidRPr="00CA43DD">
        <w:rPr>
          <w:rFonts w:cs="Times New Roman"/>
          <w:szCs w:val="24"/>
          <w:lang w:val="fr-CA"/>
        </w:rPr>
        <w:lastRenderedPageBreak/>
        <w:t>qu</w:t>
      </w:r>
      <w:r>
        <w:rPr>
          <w:rFonts w:cs="Times New Roman"/>
          <w:szCs w:val="24"/>
          <w:lang w:val="fr-CA"/>
        </w:rPr>
        <w:t>’</w:t>
      </w:r>
      <w:r w:rsidRPr="00CA43DD">
        <w:rPr>
          <w:rFonts w:cs="Times New Roman"/>
          <w:szCs w:val="24"/>
          <w:lang w:val="fr-CA"/>
        </w:rPr>
        <w:t>aucun des policiers n</w:t>
      </w:r>
      <w:r>
        <w:rPr>
          <w:rFonts w:cs="Times New Roman"/>
          <w:szCs w:val="24"/>
          <w:lang w:val="fr-CA"/>
        </w:rPr>
        <w:t>’</w:t>
      </w:r>
      <w:r w:rsidRPr="00CA43DD">
        <w:rPr>
          <w:rFonts w:cs="Times New Roman"/>
          <w:szCs w:val="24"/>
          <w:lang w:val="fr-CA"/>
        </w:rPr>
        <w:t>a paru s</w:t>
      </w:r>
      <w:r>
        <w:rPr>
          <w:rFonts w:cs="Times New Roman"/>
          <w:szCs w:val="24"/>
          <w:lang w:val="fr-CA"/>
        </w:rPr>
        <w:t>’</w:t>
      </w:r>
      <w:r w:rsidRPr="00CA43DD">
        <w:rPr>
          <w:rFonts w:cs="Times New Roman"/>
          <w:szCs w:val="24"/>
          <w:lang w:val="fr-CA"/>
        </w:rPr>
        <w:t>inquiéter de l</w:t>
      </w:r>
      <w:r>
        <w:rPr>
          <w:rFonts w:cs="Times New Roman"/>
          <w:szCs w:val="24"/>
          <w:lang w:val="fr-CA"/>
        </w:rPr>
        <w:t>’</w:t>
      </w:r>
      <w:r w:rsidRPr="00CA43DD">
        <w:rPr>
          <w:rFonts w:cs="Times New Roman"/>
          <w:szCs w:val="24"/>
          <w:lang w:val="fr-CA"/>
        </w:rPr>
        <w:t>absence d</w:t>
      </w:r>
      <w:r>
        <w:rPr>
          <w:rFonts w:cs="Times New Roman"/>
          <w:szCs w:val="24"/>
          <w:lang w:val="fr-CA"/>
        </w:rPr>
        <w:t>’</w:t>
      </w:r>
      <w:r w:rsidRPr="00CA43DD">
        <w:rPr>
          <w:rFonts w:cs="Times New Roman"/>
          <w:szCs w:val="24"/>
          <w:lang w:val="fr-CA"/>
        </w:rPr>
        <w:t>un mandat de perquisition (aucune demande n</w:t>
      </w:r>
      <w:r>
        <w:rPr>
          <w:rFonts w:cs="Times New Roman"/>
          <w:szCs w:val="24"/>
          <w:lang w:val="fr-CA"/>
        </w:rPr>
        <w:t>’</w:t>
      </w:r>
      <w:r w:rsidRPr="00CA43DD">
        <w:rPr>
          <w:rFonts w:cs="Times New Roman"/>
          <w:szCs w:val="24"/>
          <w:lang w:val="fr-CA"/>
        </w:rPr>
        <w:t>ayant encore été présentée plus de cinq heures après l</w:t>
      </w:r>
      <w:r>
        <w:rPr>
          <w:rFonts w:cs="Times New Roman"/>
          <w:szCs w:val="24"/>
          <w:lang w:val="fr-CA"/>
        </w:rPr>
        <w:t>’</w:t>
      </w:r>
      <w:r w:rsidRPr="00CA43DD">
        <w:rPr>
          <w:rFonts w:cs="Times New Roman"/>
          <w:szCs w:val="24"/>
          <w:lang w:val="fr-CA"/>
        </w:rPr>
        <w:t>intervention policière initiale) ou se soucier des limites inhérentes au pouvoir d</w:t>
      </w:r>
      <w:r>
        <w:rPr>
          <w:rFonts w:cs="Times New Roman"/>
          <w:szCs w:val="24"/>
          <w:lang w:val="fr-CA"/>
        </w:rPr>
        <w:t>’</w:t>
      </w:r>
      <w:r w:rsidRPr="00CA43DD">
        <w:rPr>
          <w:rFonts w:cs="Times New Roman"/>
          <w:szCs w:val="24"/>
          <w:lang w:val="fr-CA"/>
        </w:rPr>
        <w:t>agir sans mandat reconnu par la jurisprudence.  Le juge du procès est particulièrement déconcerté par le fait que la perquisition s</w:t>
      </w:r>
      <w:r>
        <w:rPr>
          <w:rFonts w:cs="Times New Roman"/>
          <w:szCs w:val="24"/>
          <w:lang w:val="fr-CA"/>
        </w:rPr>
        <w:t>’</w:t>
      </w:r>
      <w:r w:rsidRPr="00CA43DD">
        <w:rPr>
          <w:rFonts w:cs="Times New Roman"/>
          <w:szCs w:val="24"/>
          <w:lang w:val="fr-CA"/>
        </w:rPr>
        <w:t>est déroulée très tard dans la nuit, dans une maison d</w:t>
      </w:r>
      <w:r>
        <w:rPr>
          <w:rFonts w:cs="Times New Roman"/>
          <w:szCs w:val="24"/>
          <w:lang w:val="fr-CA"/>
        </w:rPr>
        <w:t>’</w:t>
      </w:r>
      <w:r w:rsidRPr="00CA43DD">
        <w:rPr>
          <w:rFonts w:cs="Times New Roman"/>
          <w:szCs w:val="24"/>
          <w:lang w:val="fr-CA"/>
        </w:rPr>
        <w:t>habitation, l</w:t>
      </w:r>
      <w:r>
        <w:rPr>
          <w:rFonts w:cs="Times New Roman"/>
          <w:szCs w:val="24"/>
          <w:lang w:val="fr-CA"/>
        </w:rPr>
        <w:t>’</w:t>
      </w:r>
      <w:r w:rsidRPr="00CA43DD">
        <w:rPr>
          <w:rFonts w:cs="Times New Roman"/>
          <w:szCs w:val="24"/>
          <w:lang w:val="fr-CA"/>
        </w:rPr>
        <w:t>endroit où l</w:t>
      </w:r>
      <w:r>
        <w:rPr>
          <w:rFonts w:cs="Times New Roman"/>
          <w:szCs w:val="24"/>
          <w:lang w:val="fr-CA"/>
        </w:rPr>
        <w:t>’</w:t>
      </w:r>
      <w:r w:rsidRPr="00CA43DD">
        <w:rPr>
          <w:rFonts w:cs="Times New Roman"/>
          <w:szCs w:val="24"/>
          <w:lang w:val="fr-CA"/>
        </w:rPr>
        <w:t>attente en matière de vie privée est habituellement la plus grande.</w:t>
      </w:r>
    </w:p>
    <w:p w:rsidR="00DC2386" w:rsidRPr="00CA43DD" w:rsidRDefault="00DC2386" w:rsidP="00DC2386">
      <w:pPr>
        <w:pStyle w:val="ParaNoNdepar-AltN"/>
        <w:rPr>
          <w:rFonts w:cs="Times New Roman"/>
          <w:szCs w:val="24"/>
          <w:lang w:val="fr-CA"/>
        </w:rPr>
      </w:pPr>
      <w:r w:rsidRPr="00CA43DD">
        <w:rPr>
          <w:rFonts w:cs="Times New Roman"/>
          <w:szCs w:val="24"/>
          <w:lang w:val="fr-CA"/>
        </w:rPr>
        <w:t>La conduite répréhensible des policiers dans l</w:t>
      </w:r>
      <w:r>
        <w:rPr>
          <w:rFonts w:cs="Times New Roman"/>
          <w:szCs w:val="24"/>
          <w:lang w:val="fr-CA"/>
        </w:rPr>
        <w:t>’</w:t>
      </w:r>
      <w:r w:rsidRPr="00CA43DD">
        <w:rPr>
          <w:rFonts w:cs="Times New Roman"/>
          <w:szCs w:val="24"/>
          <w:lang w:val="fr-CA"/>
        </w:rPr>
        <w:t>obtention des mandats n</w:t>
      </w:r>
      <w:r>
        <w:rPr>
          <w:rFonts w:cs="Times New Roman"/>
          <w:szCs w:val="24"/>
          <w:lang w:val="fr-CA"/>
        </w:rPr>
        <w:t>’</w:t>
      </w:r>
      <w:r w:rsidRPr="00CA43DD">
        <w:rPr>
          <w:rFonts w:cs="Times New Roman"/>
          <w:szCs w:val="24"/>
          <w:lang w:val="fr-CA"/>
        </w:rPr>
        <w:t>a fait qu</w:t>
      </w:r>
      <w:r>
        <w:rPr>
          <w:rFonts w:cs="Times New Roman"/>
          <w:szCs w:val="24"/>
          <w:lang w:val="fr-CA"/>
        </w:rPr>
        <w:t>’</w:t>
      </w:r>
      <w:r w:rsidRPr="00CA43DD">
        <w:rPr>
          <w:rFonts w:cs="Times New Roman"/>
          <w:szCs w:val="24"/>
          <w:lang w:val="fr-CA"/>
        </w:rPr>
        <w:t>aggraver la conduite attentatoire de l</w:t>
      </w:r>
      <w:r>
        <w:rPr>
          <w:rFonts w:cs="Times New Roman"/>
          <w:szCs w:val="24"/>
          <w:lang w:val="fr-CA"/>
        </w:rPr>
        <w:t>’</w:t>
      </w:r>
      <w:r w:rsidRPr="00CA43DD">
        <w:rPr>
          <w:rFonts w:cs="Times New Roman"/>
          <w:szCs w:val="24"/>
          <w:lang w:val="fr-CA"/>
        </w:rPr>
        <w:t>État.  Selon le juge du procès, les mandats ont été demandés dans le cadre d</w:t>
      </w:r>
      <w:r>
        <w:rPr>
          <w:rFonts w:cs="Times New Roman"/>
          <w:szCs w:val="24"/>
          <w:lang w:val="fr-CA"/>
        </w:rPr>
        <w:t>’</w:t>
      </w:r>
      <w:r w:rsidRPr="00CA43DD">
        <w:rPr>
          <w:rFonts w:cs="Times New Roman"/>
          <w:szCs w:val="24"/>
          <w:lang w:val="fr-CA"/>
        </w:rPr>
        <w:t>une tentative maladroite de remédier à l</w:t>
      </w:r>
      <w:r>
        <w:rPr>
          <w:rFonts w:cs="Times New Roman"/>
          <w:szCs w:val="24"/>
          <w:lang w:val="fr-CA"/>
        </w:rPr>
        <w:t>’</w:t>
      </w:r>
      <w:r w:rsidRPr="00CA43DD">
        <w:rPr>
          <w:rFonts w:cs="Times New Roman"/>
          <w:szCs w:val="24"/>
          <w:lang w:val="fr-CA"/>
        </w:rPr>
        <w:t>inconstitutionnalité des fouilles antérieures et les policiers ont induit l</w:t>
      </w:r>
      <w:r>
        <w:rPr>
          <w:rFonts w:cs="Times New Roman"/>
          <w:szCs w:val="24"/>
          <w:lang w:val="fr-CA"/>
        </w:rPr>
        <w:t>’</w:t>
      </w:r>
      <w:r w:rsidRPr="00CA43DD">
        <w:rPr>
          <w:rFonts w:cs="Times New Roman"/>
          <w:szCs w:val="24"/>
          <w:lang w:val="fr-CA"/>
        </w:rPr>
        <w:t xml:space="preserve">officier de justice en erreur en omettant de faire état de manière complète et sincère de leurs actes inconstitutionnels antérieurs.  </w:t>
      </w:r>
    </w:p>
    <w:p w:rsidR="00DC2386" w:rsidRPr="00CA43DD" w:rsidRDefault="00DC2386" w:rsidP="00DC2386">
      <w:pPr>
        <w:pStyle w:val="ParaNoNdepar-AltN"/>
        <w:rPr>
          <w:rFonts w:cs="Times New Roman"/>
          <w:szCs w:val="24"/>
          <w:lang w:val="fr-CA"/>
        </w:rPr>
      </w:pPr>
      <w:r w:rsidRPr="00CA43DD">
        <w:rPr>
          <w:rFonts w:cs="Times New Roman"/>
          <w:szCs w:val="24"/>
          <w:lang w:val="fr-CA"/>
        </w:rPr>
        <w:t>Le fait que les policiers auraient pu convaincre un officier de justice qu</w:t>
      </w:r>
      <w:r>
        <w:rPr>
          <w:rFonts w:cs="Times New Roman"/>
          <w:szCs w:val="24"/>
          <w:lang w:val="fr-CA"/>
        </w:rPr>
        <w:t>’</w:t>
      </w:r>
      <w:r w:rsidRPr="00CA43DD">
        <w:rPr>
          <w:rFonts w:cs="Times New Roman"/>
          <w:szCs w:val="24"/>
          <w:lang w:val="fr-CA"/>
        </w:rPr>
        <w:t>ils avaient des motifs raisonnables et probables de croire qu</w:t>
      </w:r>
      <w:r>
        <w:rPr>
          <w:rFonts w:cs="Times New Roman"/>
          <w:szCs w:val="24"/>
          <w:lang w:val="fr-CA"/>
        </w:rPr>
        <w:t>’</w:t>
      </w:r>
      <w:r w:rsidRPr="00CA43DD">
        <w:rPr>
          <w:rFonts w:cs="Times New Roman"/>
          <w:szCs w:val="24"/>
          <w:lang w:val="fr-CA"/>
        </w:rPr>
        <w:t>une infraction avait été commise et que des éléments de preuve se trouvaient dans les lieux visés par la perquisition joue également sur l</w:t>
      </w:r>
      <w:r>
        <w:rPr>
          <w:rFonts w:cs="Times New Roman"/>
          <w:szCs w:val="24"/>
          <w:lang w:val="fr-CA"/>
        </w:rPr>
        <w:t>’</w:t>
      </w:r>
      <w:r w:rsidRPr="00CA43DD">
        <w:rPr>
          <w:rFonts w:cs="Times New Roman"/>
          <w:szCs w:val="24"/>
          <w:lang w:val="fr-CA"/>
        </w:rPr>
        <w:t>incidence de la violation des droits constitutionnels de l</w:t>
      </w:r>
      <w:r>
        <w:rPr>
          <w:rFonts w:cs="Times New Roman"/>
          <w:szCs w:val="24"/>
          <w:lang w:val="fr-CA"/>
        </w:rPr>
        <w:t>’</w:t>
      </w:r>
      <w:r w:rsidRPr="00CA43DD">
        <w:rPr>
          <w:rFonts w:cs="Times New Roman"/>
          <w:szCs w:val="24"/>
          <w:lang w:val="fr-CA"/>
        </w:rPr>
        <w:t>accusée.  Dans la mesure où un mandat aurait pu avoir été valablement décerné au moment de la perquisition (abstraction faite de la question de savoir si elle a été effectuée convenablement), l</w:t>
      </w:r>
      <w:r>
        <w:rPr>
          <w:rFonts w:cs="Times New Roman"/>
          <w:szCs w:val="24"/>
          <w:lang w:val="fr-CA"/>
        </w:rPr>
        <w:t>’</w:t>
      </w:r>
      <w:r w:rsidRPr="00CA43DD">
        <w:rPr>
          <w:rFonts w:cs="Times New Roman"/>
          <w:szCs w:val="24"/>
          <w:lang w:val="fr-CA"/>
        </w:rPr>
        <w:t>atteinte de la mesure illégale au droit à la vie privée tient au fait qu</w:t>
      </w:r>
      <w:r>
        <w:rPr>
          <w:rFonts w:cs="Times New Roman"/>
          <w:szCs w:val="24"/>
          <w:lang w:val="fr-CA"/>
        </w:rPr>
        <w:t>’</w:t>
      </w:r>
      <w:r w:rsidRPr="00CA43DD">
        <w:rPr>
          <w:rFonts w:cs="Times New Roman"/>
          <w:szCs w:val="24"/>
          <w:lang w:val="fr-CA"/>
        </w:rPr>
        <w:t>il n</w:t>
      </w:r>
      <w:r>
        <w:rPr>
          <w:rFonts w:cs="Times New Roman"/>
          <w:szCs w:val="24"/>
          <w:lang w:val="fr-CA"/>
        </w:rPr>
        <w:t>’</w:t>
      </w:r>
      <w:r w:rsidRPr="00CA43DD">
        <w:rPr>
          <w:rFonts w:cs="Times New Roman"/>
          <w:szCs w:val="24"/>
          <w:lang w:val="fr-CA"/>
        </w:rPr>
        <w:t>y a pas eu d</w:t>
      </w:r>
      <w:r>
        <w:rPr>
          <w:rFonts w:cs="Times New Roman"/>
          <w:szCs w:val="24"/>
          <w:lang w:val="fr-CA"/>
        </w:rPr>
        <w:t>’</w:t>
      </w:r>
      <w:r w:rsidRPr="00CA43DD">
        <w:rPr>
          <w:rFonts w:cs="Times New Roman"/>
          <w:szCs w:val="24"/>
          <w:lang w:val="fr-CA"/>
        </w:rPr>
        <w:t xml:space="preserve">autorisation préalable par un officier de justice. Ce </w:t>
      </w:r>
      <w:r w:rsidRPr="00CA43DD">
        <w:rPr>
          <w:rFonts w:cs="Times New Roman"/>
          <w:szCs w:val="24"/>
          <w:lang w:val="fr-CA"/>
        </w:rPr>
        <w:lastRenderedPageBreak/>
        <w:t>seul élément tend à réduire l</w:t>
      </w:r>
      <w:r>
        <w:rPr>
          <w:rFonts w:cs="Times New Roman"/>
          <w:szCs w:val="24"/>
          <w:lang w:val="fr-CA"/>
        </w:rPr>
        <w:t>’</w:t>
      </w:r>
      <w:r w:rsidRPr="00CA43DD">
        <w:rPr>
          <w:rFonts w:cs="Times New Roman"/>
          <w:szCs w:val="24"/>
          <w:lang w:val="fr-CA"/>
        </w:rPr>
        <w:t>incidence de l</w:t>
      </w:r>
      <w:r>
        <w:rPr>
          <w:rFonts w:cs="Times New Roman"/>
          <w:szCs w:val="24"/>
          <w:lang w:val="fr-CA"/>
        </w:rPr>
        <w:t>’</w:t>
      </w:r>
      <w:r w:rsidRPr="00CA43DD">
        <w:rPr>
          <w:rFonts w:cs="Times New Roman"/>
          <w:szCs w:val="24"/>
          <w:lang w:val="fr-CA"/>
        </w:rPr>
        <w:t>empiètement sur l</w:t>
      </w:r>
      <w:r>
        <w:rPr>
          <w:rFonts w:cs="Times New Roman"/>
          <w:szCs w:val="24"/>
          <w:lang w:val="fr-CA"/>
        </w:rPr>
        <w:t>’</w:t>
      </w:r>
      <w:r w:rsidRPr="00CA43DD">
        <w:rPr>
          <w:rFonts w:cs="Times New Roman"/>
          <w:szCs w:val="24"/>
          <w:lang w:val="fr-CA"/>
        </w:rPr>
        <w:t>attente raisonnable de l</w:t>
      </w:r>
      <w:r>
        <w:rPr>
          <w:rFonts w:cs="Times New Roman"/>
          <w:szCs w:val="24"/>
          <w:lang w:val="fr-CA"/>
        </w:rPr>
        <w:t>’</w:t>
      </w:r>
      <w:r w:rsidRPr="00CA43DD">
        <w:rPr>
          <w:rFonts w:cs="Times New Roman"/>
          <w:szCs w:val="24"/>
          <w:lang w:val="fr-CA"/>
        </w:rPr>
        <w:t xml:space="preserve">appelante en matière de vie privée que protège la </w:t>
      </w:r>
      <w:r w:rsidRPr="00CA43DD">
        <w:rPr>
          <w:rFonts w:cs="Times New Roman"/>
          <w:i/>
          <w:iCs/>
          <w:szCs w:val="24"/>
          <w:lang w:val="fr-CA"/>
        </w:rPr>
        <w:t>Charte</w:t>
      </w:r>
      <w:r w:rsidRPr="00CA43DD">
        <w:rPr>
          <w:rFonts w:cs="Times New Roman"/>
          <w:iCs/>
          <w:szCs w:val="24"/>
          <w:lang w:val="fr-CA"/>
        </w:rPr>
        <w:t>.  Cependant</w:t>
      </w:r>
      <w:r w:rsidRPr="00CA43DD">
        <w:rPr>
          <w:rFonts w:cs="Times New Roman"/>
          <w:szCs w:val="24"/>
          <w:lang w:val="fr-CA"/>
        </w:rPr>
        <w:t>, l</w:t>
      </w:r>
      <w:r>
        <w:rPr>
          <w:rFonts w:cs="Times New Roman"/>
          <w:szCs w:val="24"/>
          <w:lang w:val="fr-CA"/>
        </w:rPr>
        <w:t>’</w:t>
      </w:r>
      <w:r w:rsidRPr="00CA43DD">
        <w:rPr>
          <w:rFonts w:cs="Times New Roman"/>
          <w:szCs w:val="24"/>
          <w:lang w:val="fr-CA"/>
        </w:rPr>
        <w:t>absence d</w:t>
      </w:r>
      <w:r>
        <w:rPr>
          <w:rFonts w:cs="Times New Roman"/>
          <w:szCs w:val="24"/>
          <w:lang w:val="fr-CA"/>
        </w:rPr>
        <w:t>’</w:t>
      </w:r>
      <w:r w:rsidRPr="00CA43DD">
        <w:rPr>
          <w:rFonts w:cs="Times New Roman"/>
          <w:szCs w:val="24"/>
          <w:lang w:val="fr-CA"/>
        </w:rPr>
        <w:t>une autorisation judiciaire préalable constitue tout de même une atteinte grave à la vie privée.  Il faut en effet se garder d</w:t>
      </w:r>
      <w:r>
        <w:rPr>
          <w:rFonts w:cs="Times New Roman"/>
          <w:szCs w:val="24"/>
          <w:lang w:val="fr-CA"/>
        </w:rPr>
        <w:t>’</w:t>
      </w:r>
      <w:r w:rsidRPr="00CA43DD">
        <w:rPr>
          <w:rFonts w:cs="Times New Roman"/>
          <w:szCs w:val="24"/>
          <w:lang w:val="fr-CA"/>
        </w:rPr>
        <w:t>oublier que l</w:t>
      </w:r>
      <w:r>
        <w:rPr>
          <w:rFonts w:cs="Times New Roman"/>
          <w:szCs w:val="24"/>
          <w:lang w:val="fr-CA"/>
        </w:rPr>
        <w:t>’</w:t>
      </w:r>
      <w:r w:rsidRPr="00CA43DD">
        <w:rPr>
          <w:rFonts w:cs="Times New Roman"/>
          <w:szCs w:val="24"/>
          <w:lang w:val="fr-CA"/>
        </w:rPr>
        <w:t>objet de la garantie constitutionnelle contre les fouilles et les perquisitions abusives est de faire obstacle à ces dernières, et non de les distinguer d</w:t>
      </w:r>
      <w:r>
        <w:rPr>
          <w:rFonts w:cs="Times New Roman"/>
          <w:szCs w:val="24"/>
          <w:lang w:val="fr-CA"/>
        </w:rPr>
        <w:t>’</w:t>
      </w:r>
      <w:r w:rsidRPr="00CA43DD">
        <w:rPr>
          <w:rFonts w:cs="Times New Roman"/>
          <w:szCs w:val="24"/>
          <w:lang w:val="fr-CA"/>
        </w:rPr>
        <w:t>atteintes non abusives dans le cadre d</w:t>
      </w:r>
      <w:r>
        <w:rPr>
          <w:rFonts w:cs="Times New Roman"/>
          <w:szCs w:val="24"/>
          <w:lang w:val="fr-CA"/>
        </w:rPr>
        <w:t>’</w:t>
      </w:r>
      <w:r w:rsidRPr="00CA43DD">
        <w:rPr>
          <w:rFonts w:cs="Times New Roman"/>
          <w:szCs w:val="24"/>
          <w:lang w:val="fr-CA"/>
        </w:rPr>
        <w:t xml:space="preserve">une analyse </w:t>
      </w:r>
      <w:r w:rsidRPr="0051708C">
        <w:rPr>
          <w:rFonts w:cs="Times New Roman"/>
          <w:i/>
          <w:szCs w:val="24"/>
          <w:lang w:val="fr-CA"/>
        </w:rPr>
        <w:t>ex post facto</w:t>
      </w:r>
      <w:r w:rsidRPr="00CA43DD">
        <w:rPr>
          <w:rFonts w:cs="Times New Roman"/>
          <w:szCs w:val="24"/>
          <w:lang w:val="fr-CA"/>
        </w:rPr>
        <w:t xml:space="preserve"> : </w:t>
      </w:r>
      <w:r w:rsidRPr="00CA43DD">
        <w:rPr>
          <w:rFonts w:cs="Times New Roman"/>
          <w:i/>
          <w:szCs w:val="24"/>
          <w:lang w:val="fr-CA"/>
        </w:rPr>
        <w:t xml:space="preserve">R. c. </w:t>
      </w:r>
      <w:proofErr w:type="spellStart"/>
      <w:r w:rsidRPr="00CA43DD">
        <w:rPr>
          <w:rFonts w:cs="Times New Roman"/>
          <w:i/>
          <w:szCs w:val="24"/>
          <w:lang w:val="fr-CA"/>
        </w:rPr>
        <w:t>Feeney</w:t>
      </w:r>
      <w:proofErr w:type="spellEnd"/>
      <w:r w:rsidRPr="00CA43DD">
        <w:rPr>
          <w:rFonts w:cs="Times New Roman"/>
          <w:szCs w:val="24"/>
          <w:lang w:val="fr-CA"/>
        </w:rPr>
        <w:t>, [1997] 2 R.C.S. 13, par. 45.  L</w:t>
      </w:r>
      <w:r>
        <w:rPr>
          <w:rFonts w:cs="Times New Roman"/>
          <w:szCs w:val="24"/>
          <w:lang w:val="fr-CA"/>
        </w:rPr>
        <w:t>’</w:t>
      </w:r>
      <w:r w:rsidRPr="00CA43DD">
        <w:rPr>
          <w:rFonts w:cs="Times New Roman"/>
          <w:szCs w:val="24"/>
          <w:lang w:val="fr-CA"/>
        </w:rPr>
        <w:t>autorisation préalable est donc directement liée à l</w:t>
      </w:r>
      <w:r>
        <w:rPr>
          <w:rFonts w:cs="Times New Roman"/>
          <w:szCs w:val="24"/>
          <w:lang w:val="fr-CA"/>
        </w:rPr>
        <w:t>’</w:t>
      </w:r>
      <w:r w:rsidRPr="00CA43DD">
        <w:rPr>
          <w:rFonts w:cs="Times New Roman"/>
          <w:szCs w:val="24"/>
          <w:lang w:val="fr-CA"/>
        </w:rPr>
        <w:t>attente raisonnable d</w:t>
      </w:r>
      <w:r>
        <w:rPr>
          <w:rFonts w:cs="Times New Roman"/>
          <w:szCs w:val="24"/>
          <w:lang w:val="fr-CA"/>
        </w:rPr>
        <w:t>’</w:t>
      </w:r>
      <w:r w:rsidRPr="00CA43DD">
        <w:rPr>
          <w:rFonts w:cs="Times New Roman"/>
          <w:szCs w:val="24"/>
          <w:lang w:val="fr-CA"/>
        </w:rPr>
        <w:t>une personne en matière de vie privée et elle en fait partie intégrante.</w:t>
      </w:r>
    </w:p>
    <w:p w:rsidR="00DC2386" w:rsidRPr="00CA43DD" w:rsidRDefault="00DC2386" w:rsidP="00DC2386">
      <w:pPr>
        <w:pStyle w:val="ParaNoNdepar-AltN"/>
        <w:rPr>
          <w:rFonts w:cs="Times New Roman"/>
          <w:szCs w:val="24"/>
          <w:lang w:val="fr-CA"/>
        </w:rPr>
      </w:pPr>
      <w:r w:rsidRPr="00CA43DD">
        <w:rPr>
          <w:rFonts w:cs="Times New Roman"/>
          <w:szCs w:val="24"/>
          <w:lang w:val="fr-CA"/>
        </w:rPr>
        <w:t>Compte tenu de l</w:t>
      </w:r>
      <w:r>
        <w:rPr>
          <w:rFonts w:cs="Times New Roman"/>
          <w:szCs w:val="24"/>
          <w:lang w:val="fr-CA"/>
        </w:rPr>
        <w:t>’</w:t>
      </w:r>
      <w:r w:rsidRPr="00CA43DD">
        <w:rPr>
          <w:rFonts w:cs="Times New Roman"/>
          <w:szCs w:val="24"/>
          <w:lang w:val="fr-CA"/>
        </w:rPr>
        <w:t>ensemble des circonstances, l</w:t>
      </w:r>
      <w:r>
        <w:rPr>
          <w:rFonts w:cs="Times New Roman"/>
          <w:szCs w:val="24"/>
          <w:lang w:val="fr-CA"/>
        </w:rPr>
        <w:t>’</w:t>
      </w:r>
      <w:r w:rsidRPr="00CA43DD">
        <w:rPr>
          <w:rFonts w:cs="Times New Roman"/>
          <w:szCs w:val="24"/>
          <w:lang w:val="fr-CA"/>
        </w:rPr>
        <w:t>incidence de la conduite répréhensible des policiers sur le droit de l</w:t>
      </w:r>
      <w:r>
        <w:rPr>
          <w:rFonts w:cs="Times New Roman"/>
          <w:szCs w:val="24"/>
          <w:lang w:val="fr-CA"/>
        </w:rPr>
        <w:t>’</w:t>
      </w:r>
      <w:r w:rsidRPr="00CA43DD">
        <w:rPr>
          <w:rFonts w:cs="Times New Roman"/>
          <w:szCs w:val="24"/>
          <w:lang w:val="fr-CA"/>
        </w:rPr>
        <w:t>appelante à la vie privée demeure grave : la perquisition non autorisée a eu lieu dans sa maison, un endroit où l</w:t>
      </w:r>
      <w:r>
        <w:rPr>
          <w:rFonts w:cs="Times New Roman"/>
          <w:szCs w:val="24"/>
          <w:lang w:val="fr-CA"/>
        </w:rPr>
        <w:t>’</w:t>
      </w:r>
      <w:r w:rsidRPr="00CA43DD">
        <w:rPr>
          <w:rFonts w:cs="Times New Roman"/>
          <w:szCs w:val="24"/>
          <w:lang w:val="fr-CA"/>
        </w:rPr>
        <w:t>attente du citoyen en matière de vie privée est très grande, et elle n</w:t>
      </w:r>
      <w:r>
        <w:rPr>
          <w:rFonts w:cs="Times New Roman"/>
          <w:szCs w:val="24"/>
          <w:lang w:val="fr-CA"/>
        </w:rPr>
        <w:t>’</w:t>
      </w:r>
      <w:r w:rsidRPr="00CA43DD">
        <w:rPr>
          <w:rFonts w:cs="Times New Roman"/>
          <w:szCs w:val="24"/>
          <w:lang w:val="fr-CA"/>
        </w:rPr>
        <w:t>a pas été de courte durée (</w:t>
      </w:r>
      <w:r w:rsidRPr="00CA43DD">
        <w:rPr>
          <w:rFonts w:cs="Times New Roman"/>
          <w:i/>
          <w:szCs w:val="24"/>
          <w:lang w:val="fr-CA"/>
        </w:rPr>
        <w:t>Grant</w:t>
      </w:r>
      <w:r w:rsidRPr="00CA43DD">
        <w:rPr>
          <w:rFonts w:cs="Times New Roman"/>
          <w:iCs/>
          <w:szCs w:val="24"/>
          <w:lang w:val="fr-CA"/>
        </w:rPr>
        <w:t>,</w:t>
      </w:r>
      <w:r w:rsidRPr="00CA43DD">
        <w:rPr>
          <w:rFonts w:cs="Times New Roman"/>
          <w:i/>
          <w:szCs w:val="24"/>
          <w:lang w:val="fr-CA"/>
        </w:rPr>
        <w:t xml:space="preserve"> </w:t>
      </w:r>
      <w:r w:rsidRPr="00CA43DD">
        <w:rPr>
          <w:rFonts w:cs="Times New Roman"/>
          <w:szCs w:val="24"/>
          <w:lang w:val="fr-CA"/>
        </w:rPr>
        <w:t>par. 113).  Les agents sont arrivés chez l</w:t>
      </w:r>
      <w:r>
        <w:rPr>
          <w:rFonts w:cs="Times New Roman"/>
          <w:szCs w:val="24"/>
          <w:lang w:val="fr-CA"/>
        </w:rPr>
        <w:t>’</w:t>
      </w:r>
      <w:r w:rsidRPr="00CA43DD">
        <w:rPr>
          <w:rFonts w:cs="Times New Roman"/>
          <w:szCs w:val="24"/>
          <w:lang w:val="fr-CA"/>
        </w:rPr>
        <w:t xml:space="preserve">appelante à 0 h 13 et </w:t>
      </w:r>
      <w:proofErr w:type="spellStart"/>
      <w:r w:rsidRPr="00CA43DD">
        <w:rPr>
          <w:rFonts w:cs="Times New Roman"/>
          <w:szCs w:val="24"/>
          <w:lang w:val="fr-CA"/>
        </w:rPr>
        <w:t>celle</w:t>
      </w:r>
      <w:r w:rsidRPr="00CA43DD">
        <w:rPr>
          <w:rFonts w:cs="Times New Roman"/>
          <w:szCs w:val="24"/>
          <w:lang w:val="fr-CA"/>
        </w:rPr>
        <w:noBreakHyphen/>
        <w:t>ci</w:t>
      </w:r>
      <w:proofErr w:type="spellEnd"/>
      <w:r w:rsidRPr="00CA43DD">
        <w:rPr>
          <w:rFonts w:cs="Times New Roman"/>
          <w:szCs w:val="24"/>
          <w:lang w:val="fr-CA"/>
        </w:rPr>
        <w:t xml:space="preserve"> n</w:t>
      </w:r>
      <w:r>
        <w:rPr>
          <w:rFonts w:cs="Times New Roman"/>
          <w:szCs w:val="24"/>
          <w:lang w:val="fr-CA"/>
        </w:rPr>
        <w:t>’</w:t>
      </w:r>
      <w:r w:rsidRPr="00CA43DD">
        <w:rPr>
          <w:rFonts w:cs="Times New Roman"/>
          <w:szCs w:val="24"/>
          <w:lang w:val="fr-CA"/>
        </w:rPr>
        <w:t xml:space="preserve">a quitté </w:t>
      </w:r>
      <w:r>
        <w:rPr>
          <w:rFonts w:cs="Times New Roman"/>
          <w:szCs w:val="24"/>
          <w:lang w:val="fr-CA"/>
        </w:rPr>
        <w:t xml:space="preserve">pour </w:t>
      </w:r>
      <w:r w:rsidRPr="00CA43DD">
        <w:rPr>
          <w:rFonts w:cs="Times New Roman"/>
          <w:szCs w:val="24"/>
          <w:lang w:val="fr-CA"/>
        </w:rPr>
        <w:t>le poste de police qu</w:t>
      </w:r>
      <w:r>
        <w:rPr>
          <w:rFonts w:cs="Times New Roman"/>
          <w:szCs w:val="24"/>
          <w:lang w:val="fr-CA"/>
        </w:rPr>
        <w:t>’</w:t>
      </w:r>
      <w:r w:rsidRPr="00CA43DD">
        <w:rPr>
          <w:rFonts w:cs="Times New Roman"/>
          <w:szCs w:val="24"/>
          <w:lang w:val="fr-CA"/>
        </w:rPr>
        <w:t>à 2 h 34.  Vêtue d</w:t>
      </w:r>
      <w:r>
        <w:rPr>
          <w:rFonts w:cs="Times New Roman"/>
          <w:szCs w:val="24"/>
          <w:lang w:val="fr-CA"/>
        </w:rPr>
        <w:t>’</w:t>
      </w:r>
      <w:r w:rsidRPr="00CA43DD">
        <w:rPr>
          <w:rFonts w:cs="Times New Roman"/>
          <w:szCs w:val="24"/>
          <w:lang w:val="fr-CA"/>
        </w:rPr>
        <w:t>un pyjama, l</w:t>
      </w:r>
      <w:r>
        <w:rPr>
          <w:rFonts w:cs="Times New Roman"/>
          <w:szCs w:val="24"/>
          <w:lang w:val="fr-CA"/>
        </w:rPr>
        <w:t>’</w:t>
      </w:r>
      <w:r w:rsidRPr="00CA43DD">
        <w:rPr>
          <w:rFonts w:cs="Times New Roman"/>
          <w:szCs w:val="24"/>
          <w:lang w:val="fr-CA"/>
        </w:rPr>
        <w:t>appelante a suivi les policiers lorsqu</w:t>
      </w:r>
      <w:r>
        <w:rPr>
          <w:rFonts w:cs="Times New Roman"/>
          <w:szCs w:val="24"/>
          <w:lang w:val="fr-CA"/>
        </w:rPr>
        <w:t>’</w:t>
      </w:r>
      <w:r w:rsidRPr="00CA43DD">
        <w:rPr>
          <w:rFonts w:cs="Times New Roman"/>
          <w:szCs w:val="24"/>
          <w:lang w:val="fr-CA"/>
        </w:rPr>
        <w:t>ils ont fouillé illégalement l</w:t>
      </w:r>
      <w:r>
        <w:rPr>
          <w:rFonts w:cs="Times New Roman"/>
          <w:szCs w:val="24"/>
          <w:lang w:val="fr-CA"/>
        </w:rPr>
        <w:t>’</w:t>
      </w:r>
      <w:r w:rsidRPr="00CA43DD">
        <w:rPr>
          <w:rFonts w:cs="Times New Roman"/>
          <w:szCs w:val="24"/>
          <w:lang w:val="fr-CA"/>
        </w:rPr>
        <w:t>intérieur et l</w:t>
      </w:r>
      <w:r>
        <w:rPr>
          <w:rFonts w:cs="Times New Roman"/>
          <w:szCs w:val="24"/>
          <w:lang w:val="fr-CA"/>
        </w:rPr>
        <w:t>’</w:t>
      </w:r>
      <w:r w:rsidRPr="00CA43DD">
        <w:rPr>
          <w:rFonts w:cs="Times New Roman"/>
          <w:szCs w:val="24"/>
          <w:lang w:val="fr-CA"/>
        </w:rPr>
        <w:t>extérieur de sa maison au milieu de la nuit, et ce, pendant une période assez longue où elle a été détenue sans interruption.  La violation n</w:t>
      </w:r>
      <w:r>
        <w:rPr>
          <w:rFonts w:cs="Times New Roman"/>
          <w:szCs w:val="24"/>
          <w:lang w:val="fr-CA"/>
        </w:rPr>
        <w:t>’</w:t>
      </w:r>
      <w:r w:rsidRPr="00CA43DD">
        <w:rPr>
          <w:rFonts w:cs="Times New Roman"/>
          <w:szCs w:val="24"/>
          <w:lang w:val="fr-CA"/>
        </w:rPr>
        <w:t>a donc pas été « passagère ou anodine » et elle a touché les droits de l</w:t>
      </w:r>
      <w:r>
        <w:rPr>
          <w:rFonts w:cs="Times New Roman"/>
          <w:szCs w:val="24"/>
          <w:lang w:val="fr-CA"/>
        </w:rPr>
        <w:t>’</w:t>
      </w:r>
      <w:r w:rsidRPr="00CA43DD">
        <w:rPr>
          <w:rFonts w:cs="Times New Roman"/>
          <w:szCs w:val="24"/>
          <w:lang w:val="fr-CA"/>
        </w:rPr>
        <w:t>appelante à la liberté, à la dignité et à la vie privée (</w:t>
      </w:r>
      <w:r w:rsidRPr="00CA43DD">
        <w:rPr>
          <w:rFonts w:cs="Times New Roman"/>
          <w:i/>
          <w:szCs w:val="24"/>
          <w:lang w:val="fr-CA"/>
        </w:rPr>
        <w:t>Harrison</w:t>
      </w:r>
      <w:r w:rsidRPr="00CA43DD">
        <w:rPr>
          <w:rFonts w:cs="Times New Roman"/>
          <w:iCs/>
          <w:szCs w:val="24"/>
          <w:lang w:val="fr-CA"/>
        </w:rPr>
        <w:t>,</w:t>
      </w:r>
      <w:r w:rsidRPr="00CA43DD">
        <w:rPr>
          <w:rFonts w:cs="Times New Roman"/>
          <w:i/>
          <w:szCs w:val="24"/>
          <w:lang w:val="fr-CA"/>
        </w:rPr>
        <w:t xml:space="preserve"> </w:t>
      </w:r>
      <w:r w:rsidRPr="00CA43DD">
        <w:rPr>
          <w:rFonts w:cs="Times New Roman"/>
          <w:szCs w:val="24"/>
          <w:lang w:val="fr-CA"/>
        </w:rPr>
        <w:t xml:space="preserve">par. 28; </w:t>
      </w:r>
      <w:r w:rsidRPr="00CA43DD">
        <w:rPr>
          <w:rFonts w:cs="Times New Roman"/>
          <w:i/>
          <w:szCs w:val="24"/>
          <w:lang w:val="fr-CA"/>
        </w:rPr>
        <w:t>Grant</w:t>
      </w:r>
      <w:r w:rsidRPr="00CA43DD">
        <w:rPr>
          <w:rFonts w:cs="Times New Roman"/>
          <w:iCs/>
          <w:szCs w:val="24"/>
          <w:lang w:val="fr-CA"/>
        </w:rPr>
        <w:t>,</w:t>
      </w:r>
      <w:r w:rsidRPr="00CA43DD">
        <w:rPr>
          <w:rFonts w:cs="Times New Roman"/>
          <w:i/>
          <w:szCs w:val="24"/>
          <w:lang w:val="fr-CA"/>
        </w:rPr>
        <w:t xml:space="preserve"> </w:t>
      </w:r>
      <w:r w:rsidRPr="00CA43DD">
        <w:rPr>
          <w:rFonts w:cs="Times New Roman"/>
          <w:szCs w:val="24"/>
          <w:lang w:val="fr-CA"/>
        </w:rPr>
        <w:t>par. 113).  L</w:t>
      </w:r>
      <w:r>
        <w:rPr>
          <w:rFonts w:cs="Times New Roman"/>
          <w:szCs w:val="24"/>
          <w:lang w:val="fr-CA"/>
        </w:rPr>
        <w:t>’</w:t>
      </w:r>
      <w:r w:rsidRPr="00CA43DD">
        <w:rPr>
          <w:rFonts w:cs="Times New Roman"/>
          <w:szCs w:val="24"/>
          <w:lang w:val="fr-CA"/>
        </w:rPr>
        <w:t>appelante pouvait certainement s</w:t>
      </w:r>
      <w:r>
        <w:rPr>
          <w:rFonts w:cs="Times New Roman"/>
          <w:szCs w:val="24"/>
          <w:lang w:val="fr-CA"/>
        </w:rPr>
        <w:t>’</w:t>
      </w:r>
      <w:r w:rsidRPr="00CA43DD">
        <w:rPr>
          <w:rFonts w:cs="Times New Roman"/>
          <w:szCs w:val="24"/>
          <w:lang w:val="fr-CA"/>
        </w:rPr>
        <w:t>attendre à bon droit à ne pas faire l</w:t>
      </w:r>
      <w:r>
        <w:rPr>
          <w:rFonts w:cs="Times New Roman"/>
          <w:szCs w:val="24"/>
          <w:lang w:val="fr-CA"/>
        </w:rPr>
        <w:t>’</w:t>
      </w:r>
      <w:r w:rsidRPr="00CA43DD">
        <w:rPr>
          <w:rFonts w:cs="Times New Roman"/>
          <w:szCs w:val="24"/>
          <w:lang w:val="fr-CA"/>
        </w:rPr>
        <w:t>objet d</w:t>
      </w:r>
      <w:r>
        <w:rPr>
          <w:rFonts w:cs="Times New Roman"/>
          <w:szCs w:val="24"/>
          <w:lang w:val="fr-CA"/>
        </w:rPr>
        <w:t>’</w:t>
      </w:r>
      <w:r w:rsidRPr="00CA43DD">
        <w:rPr>
          <w:rFonts w:cs="Times New Roman"/>
          <w:szCs w:val="24"/>
          <w:lang w:val="fr-CA"/>
        </w:rPr>
        <w:t xml:space="preserve">un tel empiètement sur ses droits, à savoir une fouille sans autorisation valable effectuée au milieu de la nuit, plusieurs heures après le transport de son </w:t>
      </w:r>
      <w:r w:rsidRPr="00CA43DD">
        <w:rPr>
          <w:rFonts w:cs="Times New Roman"/>
          <w:szCs w:val="24"/>
          <w:lang w:val="fr-CA"/>
        </w:rPr>
        <w:lastRenderedPageBreak/>
        <w:t>conjoint à l</w:t>
      </w:r>
      <w:r>
        <w:rPr>
          <w:rFonts w:cs="Times New Roman"/>
          <w:szCs w:val="24"/>
          <w:lang w:val="fr-CA"/>
        </w:rPr>
        <w:t>’</w:t>
      </w:r>
      <w:r w:rsidRPr="00CA43DD">
        <w:rPr>
          <w:rFonts w:cs="Times New Roman"/>
          <w:szCs w:val="24"/>
          <w:lang w:val="fr-CA"/>
        </w:rPr>
        <w:t>hôpital.  Partant, l</w:t>
      </w:r>
      <w:r>
        <w:rPr>
          <w:rFonts w:cs="Times New Roman"/>
          <w:szCs w:val="24"/>
          <w:lang w:val="fr-CA"/>
        </w:rPr>
        <w:t>’</w:t>
      </w:r>
      <w:r w:rsidRPr="00CA43DD">
        <w:rPr>
          <w:rFonts w:cs="Times New Roman"/>
          <w:szCs w:val="24"/>
          <w:lang w:val="fr-CA"/>
        </w:rPr>
        <w:t>absence d</w:t>
      </w:r>
      <w:r>
        <w:rPr>
          <w:rFonts w:cs="Times New Roman"/>
          <w:szCs w:val="24"/>
          <w:lang w:val="fr-CA"/>
        </w:rPr>
        <w:t>’</w:t>
      </w:r>
      <w:r w:rsidRPr="00CA43DD">
        <w:rPr>
          <w:rFonts w:cs="Times New Roman"/>
          <w:szCs w:val="24"/>
          <w:lang w:val="fr-CA"/>
        </w:rPr>
        <w:t>autorisation préalable d</w:t>
      </w:r>
      <w:r>
        <w:rPr>
          <w:rFonts w:cs="Times New Roman"/>
          <w:szCs w:val="24"/>
          <w:lang w:val="fr-CA"/>
        </w:rPr>
        <w:t>’</w:t>
      </w:r>
      <w:r w:rsidRPr="00CA43DD">
        <w:rPr>
          <w:rFonts w:cs="Times New Roman"/>
          <w:szCs w:val="24"/>
          <w:lang w:val="fr-CA"/>
        </w:rPr>
        <w:t>une fouille de cette nature bafouait gravement son attente raisonnable en matière de vie privée.</w:t>
      </w:r>
    </w:p>
    <w:p w:rsidR="00DC2386" w:rsidRPr="00CA43DD" w:rsidRDefault="00DC2386" w:rsidP="00DC2386">
      <w:pPr>
        <w:pStyle w:val="ParaNoNdepar-AltN"/>
        <w:rPr>
          <w:rFonts w:cs="Times New Roman"/>
          <w:szCs w:val="24"/>
          <w:lang w:val="fr-CA"/>
        </w:rPr>
      </w:pPr>
      <w:r w:rsidRPr="00CA43DD">
        <w:rPr>
          <w:rFonts w:cs="Times New Roman"/>
          <w:szCs w:val="24"/>
          <w:lang w:val="fr-CA"/>
        </w:rPr>
        <w:t>À mon humble avis, la Cour d</w:t>
      </w:r>
      <w:r>
        <w:rPr>
          <w:rFonts w:cs="Times New Roman"/>
          <w:szCs w:val="24"/>
          <w:lang w:val="fr-CA"/>
        </w:rPr>
        <w:t>’</w:t>
      </w:r>
      <w:r w:rsidRPr="00CA43DD">
        <w:rPr>
          <w:rFonts w:cs="Times New Roman"/>
          <w:szCs w:val="24"/>
          <w:lang w:val="fr-CA"/>
        </w:rPr>
        <w:t>appel a tort de conclure que le juge du procès a mal apprécié la gravité de l</w:t>
      </w:r>
      <w:r>
        <w:rPr>
          <w:rFonts w:cs="Times New Roman"/>
          <w:szCs w:val="24"/>
          <w:lang w:val="fr-CA"/>
        </w:rPr>
        <w:t>’</w:t>
      </w:r>
      <w:r w:rsidRPr="00CA43DD">
        <w:rPr>
          <w:rFonts w:cs="Times New Roman"/>
          <w:szCs w:val="24"/>
          <w:lang w:val="fr-CA"/>
        </w:rPr>
        <w:t>incidence de la violation sur les droits de l</w:t>
      </w:r>
      <w:r>
        <w:rPr>
          <w:rFonts w:cs="Times New Roman"/>
          <w:szCs w:val="24"/>
          <w:lang w:val="fr-CA"/>
        </w:rPr>
        <w:t>’</w:t>
      </w:r>
      <w:r w:rsidRPr="00CA43DD">
        <w:rPr>
          <w:rFonts w:cs="Times New Roman"/>
          <w:szCs w:val="24"/>
          <w:lang w:val="fr-CA"/>
        </w:rPr>
        <w:t xml:space="preserve">accusée protégés par la </w:t>
      </w:r>
      <w:r w:rsidRPr="00CA43DD">
        <w:rPr>
          <w:rFonts w:cs="Times New Roman"/>
          <w:i/>
          <w:iCs/>
          <w:szCs w:val="24"/>
          <w:lang w:val="fr-CA"/>
        </w:rPr>
        <w:t>Charte</w:t>
      </w:r>
      <w:r w:rsidRPr="00CA43DD">
        <w:rPr>
          <w:rFonts w:cs="Times New Roman"/>
          <w:szCs w:val="24"/>
          <w:lang w:val="fr-CA"/>
        </w:rPr>
        <w:t>.  Même si les perquisitions auraient pu être effectuées légalement, le deuxième volet de la grille d</w:t>
      </w:r>
      <w:r>
        <w:rPr>
          <w:rFonts w:cs="Times New Roman"/>
          <w:szCs w:val="24"/>
          <w:lang w:val="fr-CA"/>
        </w:rPr>
        <w:t>’</w:t>
      </w:r>
      <w:r w:rsidRPr="00CA43DD">
        <w:rPr>
          <w:rFonts w:cs="Times New Roman"/>
          <w:szCs w:val="24"/>
          <w:lang w:val="fr-CA"/>
        </w:rPr>
        <w:t>analyse de l</w:t>
      </w:r>
      <w:r>
        <w:rPr>
          <w:rFonts w:cs="Times New Roman"/>
          <w:szCs w:val="24"/>
          <w:lang w:val="fr-CA"/>
        </w:rPr>
        <w:t>’</w:t>
      </w:r>
      <w:r w:rsidRPr="00CA43DD">
        <w:rPr>
          <w:rFonts w:cs="Times New Roman"/>
          <w:szCs w:val="24"/>
          <w:lang w:val="fr-CA"/>
        </w:rPr>
        <w:t xml:space="preserve">arrêt </w:t>
      </w:r>
      <w:r w:rsidRPr="00CA43DD">
        <w:rPr>
          <w:rFonts w:cs="Times New Roman"/>
          <w:i/>
          <w:szCs w:val="24"/>
          <w:lang w:val="fr-CA"/>
        </w:rPr>
        <w:t>Grant</w:t>
      </w:r>
      <w:r w:rsidRPr="00CA43DD">
        <w:rPr>
          <w:rFonts w:cs="Times New Roman"/>
          <w:szCs w:val="24"/>
          <w:lang w:val="fr-CA"/>
        </w:rPr>
        <w:t xml:space="preserve"> continue de militer en faveur de l</w:t>
      </w:r>
      <w:r>
        <w:rPr>
          <w:rFonts w:cs="Times New Roman"/>
          <w:szCs w:val="24"/>
          <w:lang w:val="fr-CA"/>
        </w:rPr>
        <w:t>’</w:t>
      </w:r>
      <w:r w:rsidRPr="00CA43DD">
        <w:rPr>
          <w:rFonts w:cs="Times New Roman"/>
          <w:szCs w:val="24"/>
          <w:lang w:val="fr-CA"/>
        </w:rPr>
        <w:t>exclusion, vu les nombreux autres éléments qui font ressortir la grande incidence de l</w:t>
      </w:r>
      <w:r>
        <w:rPr>
          <w:rFonts w:cs="Times New Roman"/>
          <w:szCs w:val="24"/>
          <w:lang w:val="fr-CA"/>
        </w:rPr>
        <w:t>’</w:t>
      </w:r>
      <w:r w:rsidRPr="00CA43DD">
        <w:rPr>
          <w:rFonts w:cs="Times New Roman"/>
          <w:szCs w:val="24"/>
          <w:lang w:val="fr-CA"/>
        </w:rPr>
        <w:t>atteinte sur les droits à la vie privée et à la dignité de l</w:t>
      </w:r>
      <w:r>
        <w:rPr>
          <w:rFonts w:cs="Times New Roman"/>
          <w:szCs w:val="24"/>
          <w:lang w:val="fr-CA"/>
        </w:rPr>
        <w:t>’</w:t>
      </w:r>
      <w:r w:rsidRPr="00CA43DD">
        <w:rPr>
          <w:rFonts w:cs="Times New Roman"/>
          <w:szCs w:val="24"/>
          <w:lang w:val="fr-CA"/>
        </w:rPr>
        <w:t>appelante.</w:t>
      </w:r>
    </w:p>
    <w:p w:rsidR="00DC2386" w:rsidRPr="00CA43DD" w:rsidRDefault="00DC2386" w:rsidP="00DC2386">
      <w:pPr>
        <w:pStyle w:val="ParaNoNdepar-AltN"/>
        <w:rPr>
          <w:rFonts w:cs="Times New Roman"/>
          <w:szCs w:val="24"/>
          <w:lang w:val="fr-CA"/>
        </w:rPr>
      </w:pPr>
      <w:r w:rsidRPr="00CA43DD">
        <w:rPr>
          <w:rFonts w:cs="Times New Roman"/>
          <w:szCs w:val="24"/>
          <w:lang w:val="fr-CA"/>
        </w:rPr>
        <w:t>Par conséquent, la Cour d</w:t>
      </w:r>
      <w:r>
        <w:rPr>
          <w:rFonts w:cs="Times New Roman"/>
          <w:szCs w:val="24"/>
          <w:lang w:val="fr-CA"/>
        </w:rPr>
        <w:t>’</w:t>
      </w:r>
      <w:r w:rsidRPr="00CA43DD">
        <w:rPr>
          <w:rFonts w:cs="Times New Roman"/>
          <w:szCs w:val="24"/>
          <w:lang w:val="fr-CA"/>
        </w:rPr>
        <w:t xml:space="preserve">appel </w:t>
      </w:r>
      <w:proofErr w:type="gramStart"/>
      <w:r w:rsidRPr="00CA43DD">
        <w:rPr>
          <w:rFonts w:cs="Times New Roman"/>
          <w:szCs w:val="24"/>
          <w:lang w:val="fr-CA"/>
        </w:rPr>
        <w:t>a</w:t>
      </w:r>
      <w:proofErr w:type="gramEnd"/>
      <w:r w:rsidRPr="00CA43DD">
        <w:rPr>
          <w:rFonts w:cs="Times New Roman"/>
          <w:szCs w:val="24"/>
          <w:lang w:val="fr-CA"/>
        </w:rPr>
        <w:t xml:space="preserve"> tort d</w:t>
      </w:r>
      <w:r>
        <w:rPr>
          <w:rFonts w:cs="Times New Roman"/>
          <w:szCs w:val="24"/>
          <w:lang w:val="fr-CA"/>
        </w:rPr>
        <w:t>’</w:t>
      </w:r>
      <w:r w:rsidRPr="00CA43DD">
        <w:rPr>
          <w:rFonts w:cs="Times New Roman"/>
          <w:szCs w:val="24"/>
          <w:lang w:val="fr-CA"/>
        </w:rPr>
        <w:t>accorder beaucoup d</w:t>
      </w:r>
      <w:r>
        <w:rPr>
          <w:rFonts w:cs="Times New Roman"/>
          <w:szCs w:val="24"/>
          <w:lang w:val="fr-CA"/>
        </w:rPr>
        <w:t>’</w:t>
      </w:r>
      <w:r w:rsidRPr="00CA43DD">
        <w:rPr>
          <w:rFonts w:cs="Times New Roman"/>
          <w:szCs w:val="24"/>
          <w:lang w:val="fr-CA"/>
        </w:rPr>
        <w:t>importance au fait que la preuve pouvait être découverte puisqu</w:t>
      </w:r>
      <w:r>
        <w:rPr>
          <w:rFonts w:cs="Times New Roman"/>
          <w:szCs w:val="24"/>
          <w:lang w:val="fr-CA"/>
        </w:rPr>
        <w:t>’</w:t>
      </w:r>
      <w:r w:rsidRPr="00CA43DD">
        <w:rPr>
          <w:rFonts w:cs="Times New Roman"/>
          <w:szCs w:val="24"/>
          <w:lang w:val="fr-CA"/>
        </w:rPr>
        <w:t>elle aurait pu être obtenue légalement.  J</w:t>
      </w:r>
      <w:r>
        <w:rPr>
          <w:rFonts w:cs="Times New Roman"/>
          <w:szCs w:val="24"/>
          <w:lang w:val="fr-CA"/>
        </w:rPr>
        <w:t>’</w:t>
      </w:r>
      <w:r w:rsidRPr="00CA43DD">
        <w:rPr>
          <w:rFonts w:cs="Times New Roman"/>
          <w:szCs w:val="24"/>
          <w:lang w:val="fr-CA"/>
        </w:rPr>
        <w:t>estime que l</w:t>
      </w:r>
      <w:r>
        <w:rPr>
          <w:rFonts w:cs="Times New Roman"/>
          <w:szCs w:val="24"/>
          <w:lang w:val="fr-CA"/>
        </w:rPr>
        <w:t>’</w:t>
      </w:r>
      <w:r w:rsidRPr="00CA43DD">
        <w:rPr>
          <w:rFonts w:cs="Times New Roman"/>
          <w:szCs w:val="24"/>
          <w:lang w:val="fr-CA"/>
        </w:rPr>
        <w:t>appréciation du juge du procès n</w:t>
      </w:r>
      <w:r>
        <w:rPr>
          <w:rFonts w:cs="Times New Roman"/>
          <w:szCs w:val="24"/>
          <w:lang w:val="fr-CA"/>
        </w:rPr>
        <w:t>’</w:t>
      </w:r>
      <w:r w:rsidRPr="00CA43DD">
        <w:rPr>
          <w:rFonts w:cs="Times New Roman"/>
          <w:szCs w:val="24"/>
          <w:lang w:val="fr-CA"/>
        </w:rPr>
        <w:t>est pas entachée d</w:t>
      </w:r>
      <w:r>
        <w:rPr>
          <w:rFonts w:cs="Times New Roman"/>
          <w:szCs w:val="24"/>
          <w:lang w:val="fr-CA"/>
        </w:rPr>
        <w:t>’</w:t>
      </w:r>
      <w:r w:rsidRPr="00CA43DD">
        <w:rPr>
          <w:rFonts w:cs="Times New Roman"/>
          <w:szCs w:val="24"/>
          <w:lang w:val="fr-CA"/>
        </w:rPr>
        <w:t>une erreur de droit qui joue dans sa conclusion finale ni viciée par une conclusion de fait déraisonnable.  La Cour d</w:t>
      </w:r>
      <w:r>
        <w:rPr>
          <w:rFonts w:cs="Times New Roman"/>
          <w:szCs w:val="24"/>
          <w:lang w:val="fr-CA"/>
        </w:rPr>
        <w:t>’</w:t>
      </w:r>
      <w:r w:rsidRPr="00CA43DD">
        <w:rPr>
          <w:rFonts w:cs="Times New Roman"/>
          <w:szCs w:val="24"/>
          <w:lang w:val="fr-CA"/>
        </w:rPr>
        <w:t>appel n</w:t>
      </w:r>
      <w:r>
        <w:rPr>
          <w:rFonts w:cs="Times New Roman"/>
          <w:szCs w:val="24"/>
          <w:lang w:val="fr-CA"/>
        </w:rPr>
        <w:t>’</w:t>
      </w:r>
      <w:r w:rsidRPr="00CA43DD">
        <w:rPr>
          <w:rFonts w:cs="Times New Roman"/>
          <w:szCs w:val="24"/>
          <w:lang w:val="fr-CA"/>
        </w:rPr>
        <w:t>avait donc aucune raison de revenir sur les différentes considérations examinées en première instance.</w:t>
      </w:r>
    </w:p>
    <w:p w:rsidR="00DC2386" w:rsidRPr="00CA43DD" w:rsidRDefault="00DC2386" w:rsidP="00DC2386">
      <w:pPr>
        <w:pStyle w:val="ParaNoNdepar-AltN"/>
        <w:rPr>
          <w:rFonts w:cs="Times New Roman"/>
          <w:szCs w:val="24"/>
          <w:lang w:val="fr-CA"/>
        </w:rPr>
      </w:pPr>
      <w:r w:rsidRPr="00CA43DD">
        <w:rPr>
          <w:rFonts w:cs="Times New Roman"/>
          <w:szCs w:val="24"/>
          <w:lang w:val="fr-CA"/>
        </w:rPr>
        <w:t>Le juge du procès soumet à des examens distincts l</w:t>
      </w:r>
      <w:r>
        <w:rPr>
          <w:rFonts w:cs="Times New Roman"/>
          <w:szCs w:val="24"/>
          <w:lang w:val="fr-CA"/>
        </w:rPr>
        <w:t>’</w:t>
      </w:r>
      <w:r w:rsidRPr="00CA43DD">
        <w:rPr>
          <w:rFonts w:cs="Times New Roman"/>
          <w:szCs w:val="24"/>
          <w:lang w:val="fr-CA"/>
        </w:rPr>
        <w:t>admissibilité des déclarations de M</w:t>
      </w:r>
      <w:r w:rsidRPr="00CA43DD">
        <w:rPr>
          <w:rFonts w:cs="Times New Roman"/>
          <w:szCs w:val="24"/>
          <w:vertAlign w:val="superscript"/>
          <w:lang w:val="fr-CA"/>
        </w:rPr>
        <w:t>me</w:t>
      </w:r>
      <w:r w:rsidRPr="00CA43DD">
        <w:rPr>
          <w:rFonts w:cs="Times New Roman"/>
          <w:szCs w:val="24"/>
          <w:lang w:val="fr-CA"/>
        </w:rPr>
        <w:t> Côté et celle de la preuve matérielle.  Il conclut dans les deux cas que les violations des droits de l</w:t>
      </w:r>
      <w:r>
        <w:rPr>
          <w:rFonts w:cs="Times New Roman"/>
          <w:szCs w:val="24"/>
          <w:lang w:val="fr-CA"/>
        </w:rPr>
        <w:t>’</w:t>
      </w:r>
      <w:r w:rsidRPr="00CA43DD">
        <w:rPr>
          <w:rFonts w:cs="Times New Roman"/>
          <w:szCs w:val="24"/>
          <w:lang w:val="fr-CA"/>
        </w:rPr>
        <w:t xml:space="preserve">appelante ont été systématiques et délibérées et que même dans leurs témoignages sous serment au procès, les policiers ont manqué de franchise dans le but de minimiser la gravité de leurs actes.  Le caractère trompeur du </w:t>
      </w:r>
      <w:r w:rsidRPr="00CA43DD">
        <w:rPr>
          <w:rFonts w:cs="Times New Roman"/>
          <w:szCs w:val="24"/>
          <w:lang w:val="fr-CA"/>
        </w:rPr>
        <w:lastRenderedPageBreak/>
        <w:t xml:space="preserve">témoignage des policiers ne fait pas partie intégrante de la violation comme telle des droits garantis par la </w:t>
      </w:r>
      <w:r w:rsidRPr="00CA43DD">
        <w:rPr>
          <w:rFonts w:cs="Times New Roman"/>
          <w:i/>
          <w:szCs w:val="24"/>
          <w:lang w:val="fr-CA"/>
        </w:rPr>
        <w:t>Charte</w:t>
      </w:r>
      <w:r w:rsidRPr="00CA43DD">
        <w:rPr>
          <w:rFonts w:cs="Times New Roman"/>
          <w:szCs w:val="24"/>
          <w:lang w:val="fr-CA"/>
        </w:rPr>
        <w:t>, mais il convient d</w:t>
      </w:r>
      <w:r>
        <w:rPr>
          <w:rFonts w:cs="Times New Roman"/>
          <w:szCs w:val="24"/>
          <w:lang w:val="fr-CA"/>
        </w:rPr>
        <w:t>’</w:t>
      </w:r>
      <w:r w:rsidRPr="00CA43DD">
        <w:rPr>
          <w:rFonts w:cs="Times New Roman"/>
          <w:szCs w:val="24"/>
          <w:lang w:val="fr-CA"/>
        </w:rPr>
        <w:t>en tenir compte dans le cadre du premier volet de l</w:t>
      </w:r>
      <w:r>
        <w:rPr>
          <w:rFonts w:cs="Times New Roman"/>
          <w:szCs w:val="24"/>
          <w:lang w:val="fr-CA"/>
        </w:rPr>
        <w:t>’</w:t>
      </w:r>
      <w:r w:rsidRPr="00CA43DD">
        <w:rPr>
          <w:rFonts w:cs="Times New Roman"/>
          <w:szCs w:val="24"/>
          <w:lang w:val="fr-CA"/>
        </w:rPr>
        <w:t>analyse fondée sur le par. 24(2) étant donné la nécessité que le tribunal se dissocie du comportement en cause (</w:t>
      </w:r>
      <w:r w:rsidRPr="00CA43DD">
        <w:rPr>
          <w:rFonts w:cs="Times New Roman"/>
          <w:i/>
          <w:szCs w:val="24"/>
          <w:lang w:val="fr-CA"/>
        </w:rPr>
        <w:t>Harrison</w:t>
      </w:r>
      <w:r w:rsidRPr="00CA43DD">
        <w:rPr>
          <w:rFonts w:cs="Times New Roman"/>
          <w:iCs/>
          <w:szCs w:val="24"/>
          <w:lang w:val="fr-CA"/>
        </w:rPr>
        <w:t>,</w:t>
      </w:r>
      <w:r w:rsidRPr="00CA43DD">
        <w:rPr>
          <w:rFonts w:cs="Times New Roman"/>
          <w:i/>
          <w:szCs w:val="24"/>
          <w:lang w:val="fr-CA"/>
        </w:rPr>
        <w:t xml:space="preserve"> </w:t>
      </w:r>
      <w:r w:rsidRPr="00CA43DD">
        <w:rPr>
          <w:rFonts w:cs="Times New Roman"/>
          <w:szCs w:val="24"/>
          <w:lang w:val="fr-CA"/>
        </w:rPr>
        <w:t>par. 26).  Le juge du procès est parfaitement conscient du fait que de bonnes méthodes d</w:t>
      </w:r>
      <w:r>
        <w:rPr>
          <w:rFonts w:cs="Times New Roman"/>
          <w:szCs w:val="24"/>
          <w:lang w:val="fr-CA"/>
        </w:rPr>
        <w:t>’</w:t>
      </w:r>
      <w:r w:rsidRPr="00CA43DD">
        <w:rPr>
          <w:rFonts w:cs="Times New Roman"/>
          <w:szCs w:val="24"/>
          <w:lang w:val="fr-CA"/>
        </w:rPr>
        <w:t>enquête auraient pu permettre de découvrir la preuve, que celle-ci est fiable et que l</w:t>
      </w:r>
      <w:r>
        <w:rPr>
          <w:rFonts w:cs="Times New Roman"/>
          <w:szCs w:val="24"/>
          <w:lang w:val="fr-CA"/>
        </w:rPr>
        <w:t>’</w:t>
      </w:r>
      <w:r w:rsidRPr="00CA43DD">
        <w:rPr>
          <w:rFonts w:cs="Times New Roman"/>
          <w:szCs w:val="24"/>
          <w:lang w:val="fr-CA"/>
        </w:rPr>
        <w:t>infraction alléguée est extrêmement grave.  Il met aussi en balance l</w:t>
      </w:r>
      <w:r>
        <w:rPr>
          <w:rFonts w:cs="Times New Roman"/>
          <w:szCs w:val="24"/>
          <w:lang w:val="fr-CA"/>
        </w:rPr>
        <w:t>’</w:t>
      </w:r>
      <w:r w:rsidRPr="00CA43DD">
        <w:rPr>
          <w:rFonts w:cs="Times New Roman"/>
          <w:szCs w:val="24"/>
          <w:lang w:val="fr-CA"/>
        </w:rPr>
        <w:t>intérêt qu</w:t>
      </w:r>
      <w:r>
        <w:rPr>
          <w:rFonts w:cs="Times New Roman"/>
          <w:szCs w:val="24"/>
          <w:lang w:val="fr-CA"/>
        </w:rPr>
        <w:t>’</w:t>
      </w:r>
      <w:r w:rsidRPr="00CA43DD">
        <w:rPr>
          <w:rFonts w:cs="Times New Roman"/>
          <w:szCs w:val="24"/>
          <w:lang w:val="fr-CA"/>
        </w:rPr>
        <w:t>a la société à ce que la culpabilité ou l</w:t>
      </w:r>
      <w:r>
        <w:rPr>
          <w:rFonts w:cs="Times New Roman"/>
          <w:szCs w:val="24"/>
          <w:lang w:val="fr-CA"/>
        </w:rPr>
        <w:t>’</w:t>
      </w:r>
      <w:r w:rsidRPr="00CA43DD">
        <w:rPr>
          <w:rFonts w:cs="Times New Roman"/>
          <w:szCs w:val="24"/>
          <w:lang w:val="fr-CA"/>
        </w:rPr>
        <w:t>innocence de l</w:t>
      </w:r>
      <w:r>
        <w:rPr>
          <w:rFonts w:cs="Times New Roman"/>
          <w:szCs w:val="24"/>
          <w:lang w:val="fr-CA"/>
        </w:rPr>
        <w:t>’</w:t>
      </w:r>
      <w:r w:rsidRPr="00CA43DD">
        <w:rPr>
          <w:rFonts w:cs="Times New Roman"/>
          <w:szCs w:val="24"/>
          <w:lang w:val="fr-CA"/>
        </w:rPr>
        <w:t>appelante soit établie à l</w:t>
      </w:r>
      <w:r>
        <w:rPr>
          <w:rFonts w:cs="Times New Roman"/>
          <w:szCs w:val="24"/>
          <w:lang w:val="fr-CA"/>
        </w:rPr>
        <w:t>’</w:t>
      </w:r>
      <w:r w:rsidRPr="00CA43DD">
        <w:rPr>
          <w:rFonts w:cs="Times New Roman"/>
          <w:szCs w:val="24"/>
          <w:lang w:val="fr-CA"/>
        </w:rPr>
        <w:t>issue d</w:t>
      </w:r>
      <w:r>
        <w:rPr>
          <w:rFonts w:cs="Times New Roman"/>
          <w:szCs w:val="24"/>
          <w:lang w:val="fr-CA"/>
        </w:rPr>
        <w:t>’</w:t>
      </w:r>
      <w:r w:rsidRPr="00CA43DD">
        <w:rPr>
          <w:rFonts w:cs="Times New Roman"/>
          <w:szCs w:val="24"/>
          <w:lang w:val="fr-CA"/>
        </w:rPr>
        <w:t>un procès au fond.  Il signale que les violations des droits de l</w:t>
      </w:r>
      <w:r>
        <w:rPr>
          <w:rFonts w:cs="Times New Roman"/>
          <w:szCs w:val="24"/>
          <w:lang w:val="fr-CA"/>
        </w:rPr>
        <w:t>’</w:t>
      </w:r>
      <w:r w:rsidRPr="00CA43DD">
        <w:rPr>
          <w:rFonts w:cs="Times New Roman"/>
          <w:szCs w:val="24"/>
          <w:lang w:val="fr-CA"/>
        </w:rPr>
        <w:t xml:space="preserve">appelante sont le résultat </w:t>
      </w:r>
      <w:r w:rsidR="007C7801" w:rsidRPr="00CA43DD">
        <w:rPr>
          <w:rFonts w:cs="Times New Roman"/>
          <w:szCs w:val="24"/>
          <w:lang w:val="fr-CA"/>
        </w:rPr>
        <w:t>d</w:t>
      </w:r>
      <w:r w:rsidR="007C7801">
        <w:rPr>
          <w:rFonts w:cs="Times New Roman"/>
          <w:szCs w:val="24"/>
          <w:lang w:val="fr-CA"/>
        </w:rPr>
        <w:t>’</w:t>
      </w:r>
      <w:r w:rsidRPr="00CA43DD">
        <w:rPr>
          <w:rFonts w:cs="Times New Roman"/>
          <w:szCs w:val="24"/>
          <w:lang w:val="fr-CA"/>
        </w:rPr>
        <w:t xml:space="preserve">« un mépris systématique des droits que la </w:t>
      </w:r>
      <w:r w:rsidRPr="00CA43DD">
        <w:rPr>
          <w:rFonts w:cs="Times New Roman"/>
          <w:i/>
          <w:szCs w:val="24"/>
          <w:lang w:val="fr-CA"/>
        </w:rPr>
        <w:t>Charte</w:t>
      </w:r>
      <w:r w:rsidRPr="00CA43DD">
        <w:rPr>
          <w:rFonts w:cs="Times New Roman"/>
          <w:szCs w:val="24"/>
          <w:lang w:val="fr-CA"/>
        </w:rPr>
        <w:t xml:space="preserve"> [. . .] garantissait [à </w:t>
      </w:r>
      <w:proofErr w:type="spellStart"/>
      <w:r w:rsidRPr="00CA43DD">
        <w:rPr>
          <w:rFonts w:cs="Times New Roman"/>
          <w:szCs w:val="24"/>
          <w:lang w:val="fr-CA"/>
        </w:rPr>
        <w:t>celle</w:t>
      </w:r>
      <w:r w:rsidRPr="00CA43DD">
        <w:rPr>
          <w:rFonts w:cs="Times New Roman"/>
          <w:szCs w:val="24"/>
          <w:lang w:val="fr-CA"/>
        </w:rPr>
        <w:noBreakHyphen/>
        <w:t>ci</w:t>
      </w:r>
      <w:proofErr w:type="spellEnd"/>
      <w:r w:rsidRPr="00CA43DD">
        <w:rPr>
          <w:rFonts w:cs="Times New Roman"/>
          <w:szCs w:val="24"/>
          <w:lang w:val="fr-CA"/>
        </w:rPr>
        <w:t xml:space="preserve">] » (par. 346, citant </w:t>
      </w:r>
      <w:r w:rsidRPr="00CA43DD">
        <w:rPr>
          <w:rFonts w:cs="Times New Roman"/>
          <w:i/>
          <w:szCs w:val="24"/>
          <w:lang w:val="fr-CA"/>
        </w:rPr>
        <w:t>R. c. Greffe</w:t>
      </w:r>
      <w:r w:rsidRPr="00CA43DD">
        <w:rPr>
          <w:rFonts w:cs="Times New Roman"/>
          <w:szCs w:val="24"/>
          <w:lang w:val="fr-CA"/>
        </w:rPr>
        <w:t>, [1990] 1 R.C.S. 755, p. 796) et que ce mépris des droits du suspect s</w:t>
      </w:r>
      <w:r>
        <w:rPr>
          <w:rFonts w:cs="Times New Roman"/>
          <w:szCs w:val="24"/>
          <w:lang w:val="fr-CA"/>
        </w:rPr>
        <w:t>’</w:t>
      </w:r>
      <w:r w:rsidRPr="00CA43DD">
        <w:rPr>
          <w:rFonts w:cs="Times New Roman"/>
          <w:szCs w:val="24"/>
          <w:lang w:val="fr-CA"/>
        </w:rPr>
        <w:t>est poursuivi lorsque les policiers ont présenté des éléments trompeurs pour obtenir les mandats puis lorsqu</w:t>
      </w:r>
      <w:r>
        <w:rPr>
          <w:rFonts w:cs="Times New Roman"/>
          <w:szCs w:val="24"/>
          <w:lang w:val="fr-CA"/>
        </w:rPr>
        <w:t>’</w:t>
      </w:r>
      <w:r w:rsidRPr="00CA43DD">
        <w:rPr>
          <w:rFonts w:cs="Times New Roman"/>
          <w:szCs w:val="24"/>
          <w:lang w:val="fr-CA"/>
        </w:rPr>
        <w:t>ils ont témoigné devant le tribunal.</w:t>
      </w:r>
    </w:p>
    <w:p w:rsidR="00DC2386" w:rsidRPr="00CA43DD" w:rsidRDefault="00DC2386" w:rsidP="006E7471">
      <w:pPr>
        <w:pStyle w:val="TitleTitre-AltT"/>
        <w:keepNext/>
        <w:tabs>
          <w:tab w:val="clear" w:pos="360"/>
          <w:tab w:val="left" w:pos="720"/>
        </w:tabs>
        <w:spacing w:after="720"/>
        <w:ind w:left="720" w:hanging="720"/>
        <w:rPr>
          <w:rFonts w:cs="Times New Roman"/>
          <w:szCs w:val="24"/>
          <w:lang w:val="fr-CA"/>
        </w:rPr>
      </w:pPr>
      <w:r w:rsidRPr="00CA43DD">
        <w:rPr>
          <w:rFonts w:cs="Times New Roman"/>
          <w:szCs w:val="24"/>
          <w:lang w:val="fr-CA"/>
        </w:rPr>
        <w:t>IV.</w:t>
      </w:r>
      <w:r w:rsidRPr="00CA43DD">
        <w:rPr>
          <w:rFonts w:cs="Times New Roman"/>
          <w:szCs w:val="24"/>
          <w:lang w:val="fr-CA"/>
        </w:rPr>
        <w:tab/>
      </w:r>
      <w:r w:rsidRPr="00CA43DD">
        <w:rPr>
          <w:rFonts w:cs="Times New Roman"/>
          <w:szCs w:val="24"/>
          <w:u w:val="single"/>
          <w:lang w:val="fr-CA"/>
        </w:rPr>
        <w:t>Conclusion</w:t>
      </w:r>
    </w:p>
    <w:p w:rsidR="00DC2386" w:rsidRPr="00CA43DD" w:rsidRDefault="00DC2386" w:rsidP="00DC2386">
      <w:pPr>
        <w:pStyle w:val="ParaNoNdepar-AltN"/>
        <w:rPr>
          <w:rFonts w:cs="Times New Roman"/>
          <w:szCs w:val="24"/>
          <w:lang w:val="fr-CA"/>
        </w:rPr>
      </w:pPr>
      <w:r w:rsidRPr="00CA43DD">
        <w:rPr>
          <w:rFonts w:cs="Times New Roman"/>
          <w:szCs w:val="24"/>
          <w:lang w:val="fr-CA"/>
        </w:rPr>
        <w:t>En résumé, il convient de déférer à la décision du juge du procès d</w:t>
      </w:r>
      <w:r>
        <w:rPr>
          <w:rFonts w:cs="Times New Roman"/>
          <w:szCs w:val="24"/>
          <w:lang w:val="fr-CA"/>
        </w:rPr>
        <w:t>’</w:t>
      </w:r>
      <w:r w:rsidRPr="00CA43DD">
        <w:rPr>
          <w:rFonts w:cs="Times New Roman"/>
          <w:szCs w:val="24"/>
          <w:lang w:val="fr-CA"/>
        </w:rPr>
        <w:t>écarter les constatations faites par les policiers chez l</w:t>
      </w:r>
      <w:r>
        <w:rPr>
          <w:rFonts w:cs="Times New Roman"/>
          <w:szCs w:val="24"/>
          <w:lang w:val="fr-CA"/>
        </w:rPr>
        <w:t>’</w:t>
      </w:r>
      <w:r w:rsidRPr="00CA43DD">
        <w:rPr>
          <w:rFonts w:cs="Times New Roman"/>
          <w:szCs w:val="24"/>
          <w:lang w:val="fr-CA"/>
        </w:rPr>
        <w:t>appelante et la preuve matérielle qu</w:t>
      </w:r>
      <w:r>
        <w:rPr>
          <w:rFonts w:cs="Times New Roman"/>
          <w:szCs w:val="24"/>
          <w:lang w:val="fr-CA"/>
        </w:rPr>
        <w:t>’</w:t>
      </w:r>
      <w:r w:rsidRPr="00CA43DD">
        <w:rPr>
          <w:rFonts w:cs="Times New Roman"/>
          <w:szCs w:val="24"/>
          <w:lang w:val="fr-CA"/>
        </w:rPr>
        <w:t>ils y ont recueillie après avoir obtenu les mandats.  Soit dit en tout respect, la Cour d</w:t>
      </w:r>
      <w:r>
        <w:rPr>
          <w:rFonts w:cs="Times New Roman"/>
          <w:szCs w:val="24"/>
          <w:lang w:val="fr-CA"/>
        </w:rPr>
        <w:t>’</w:t>
      </w:r>
      <w:r w:rsidRPr="00CA43DD">
        <w:rPr>
          <w:rFonts w:cs="Times New Roman"/>
          <w:szCs w:val="24"/>
          <w:lang w:val="fr-CA"/>
        </w:rPr>
        <w:t>appel se méprend sur son rôle de tribunal d</w:t>
      </w:r>
      <w:r>
        <w:rPr>
          <w:rFonts w:cs="Times New Roman"/>
          <w:szCs w:val="24"/>
          <w:lang w:val="fr-CA"/>
        </w:rPr>
        <w:t>’</w:t>
      </w:r>
      <w:r w:rsidRPr="00CA43DD">
        <w:rPr>
          <w:rFonts w:cs="Times New Roman"/>
          <w:szCs w:val="24"/>
          <w:lang w:val="fr-CA"/>
        </w:rPr>
        <w:t>appel lorsqu</w:t>
      </w:r>
      <w:r>
        <w:rPr>
          <w:rFonts w:cs="Times New Roman"/>
          <w:szCs w:val="24"/>
          <w:lang w:val="fr-CA"/>
        </w:rPr>
        <w:t>’</w:t>
      </w:r>
      <w:r w:rsidRPr="00CA43DD">
        <w:rPr>
          <w:rFonts w:cs="Times New Roman"/>
          <w:szCs w:val="24"/>
          <w:lang w:val="fr-CA"/>
        </w:rPr>
        <w:t>elle substitue son opinion sur la conduite policière à celle du juge du procès et qu</w:t>
      </w:r>
      <w:r>
        <w:rPr>
          <w:rFonts w:cs="Times New Roman"/>
          <w:szCs w:val="24"/>
          <w:lang w:val="fr-CA"/>
        </w:rPr>
        <w:t>’</w:t>
      </w:r>
      <w:r w:rsidRPr="00CA43DD">
        <w:rPr>
          <w:rFonts w:cs="Times New Roman"/>
          <w:szCs w:val="24"/>
          <w:lang w:val="fr-CA"/>
        </w:rPr>
        <w:t>elle accorde une importance excessive à la gravité de l</w:t>
      </w:r>
      <w:r>
        <w:rPr>
          <w:rFonts w:cs="Times New Roman"/>
          <w:szCs w:val="24"/>
          <w:lang w:val="fr-CA"/>
        </w:rPr>
        <w:t>’</w:t>
      </w:r>
      <w:r w:rsidRPr="00CA43DD">
        <w:rPr>
          <w:rFonts w:cs="Times New Roman"/>
          <w:szCs w:val="24"/>
          <w:lang w:val="fr-CA"/>
        </w:rPr>
        <w:t>infraction.  Sa conclusion selon laquelle les policiers n</w:t>
      </w:r>
      <w:r>
        <w:rPr>
          <w:rFonts w:cs="Times New Roman"/>
          <w:szCs w:val="24"/>
          <w:lang w:val="fr-CA"/>
        </w:rPr>
        <w:t>’</w:t>
      </w:r>
      <w:r w:rsidRPr="00CA43DD">
        <w:rPr>
          <w:rFonts w:cs="Times New Roman"/>
          <w:szCs w:val="24"/>
          <w:lang w:val="fr-CA"/>
        </w:rPr>
        <w:t xml:space="preserve">ont pas délibérément agi de manière abusive est contraire aux nombreux actes </w:t>
      </w:r>
      <w:r w:rsidRPr="00CA43DD">
        <w:rPr>
          <w:rFonts w:cs="Times New Roman"/>
          <w:szCs w:val="24"/>
          <w:lang w:val="fr-CA"/>
        </w:rPr>
        <w:lastRenderedPageBreak/>
        <w:t>délibérément et systématiquement répréhensibles des policiers que relève le juge du procès.  Elle a également tort d</w:t>
      </w:r>
      <w:r>
        <w:rPr>
          <w:rFonts w:cs="Times New Roman"/>
          <w:szCs w:val="24"/>
          <w:lang w:val="fr-CA"/>
        </w:rPr>
        <w:t>’</w:t>
      </w:r>
      <w:r w:rsidRPr="00CA43DD">
        <w:rPr>
          <w:rFonts w:cs="Times New Roman"/>
          <w:szCs w:val="24"/>
          <w:lang w:val="fr-CA"/>
        </w:rPr>
        <w:t>accorder autant d</w:t>
      </w:r>
      <w:r>
        <w:rPr>
          <w:rFonts w:cs="Times New Roman"/>
          <w:szCs w:val="24"/>
          <w:lang w:val="fr-CA"/>
        </w:rPr>
        <w:t>’</w:t>
      </w:r>
      <w:r w:rsidRPr="00CA43DD">
        <w:rPr>
          <w:rFonts w:cs="Times New Roman"/>
          <w:szCs w:val="24"/>
          <w:lang w:val="fr-CA"/>
        </w:rPr>
        <w:t>importance à la gravité de l</w:t>
      </w:r>
      <w:r>
        <w:rPr>
          <w:rFonts w:cs="Times New Roman"/>
          <w:szCs w:val="24"/>
          <w:lang w:val="fr-CA"/>
        </w:rPr>
        <w:t>’</w:t>
      </w:r>
      <w:r w:rsidRPr="00CA43DD">
        <w:rPr>
          <w:rFonts w:cs="Times New Roman"/>
          <w:szCs w:val="24"/>
          <w:lang w:val="fr-CA"/>
        </w:rPr>
        <w:t>infraction, car le juge du procès reconnaît cette gravité et il est établi qu</w:t>
      </w:r>
      <w:r>
        <w:rPr>
          <w:rFonts w:cs="Times New Roman"/>
          <w:szCs w:val="24"/>
          <w:lang w:val="fr-CA"/>
        </w:rPr>
        <w:t>’</w:t>
      </w:r>
      <w:r w:rsidRPr="00CA43DD">
        <w:rPr>
          <w:rFonts w:cs="Times New Roman"/>
          <w:szCs w:val="24"/>
          <w:lang w:val="fr-CA"/>
        </w:rPr>
        <w:t>il ne s</w:t>
      </w:r>
      <w:r>
        <w:rPr>
          <w:rFonts w:cs="Times New Roman"/>
          <w:szCs w:val="24"/>
          <w:lang w:val="fr-CA"/>
        </w:rPr>
        <w:t>’</w:t>
      </w:r>
      <w:r w:rsidRPr="00CA43DD">
        <w:rPr>
          <w:rFonts w:cs="Times New Roman"/>
          <w:szCs w:val="24"/>
          <w:lang w:val="fr-CA"/>
        </w:rPr>
        <w:t>agit pas d</w:t>
      </w:r>
      <w:r>
        <w:rPr>
          <w:rFonts w:cs="Times New Roman"/>
          <w:szCs w:val="24"/>
          <w:lang w:val="fr-CA"/>
        </w:rPr>
        <w:t>’</w:t>
      </w:r>
      <w:r w:rsidRPr="00CA43DD">
        <w:rPr>
          <w:rFonts w:cs="Times New Roman"/>
          <w:szCs w:val="24"/>
          <w:lang w:val="fr-CA"/>
        </w:rPr>
        <w:t>un facteur déterminant.  La Cour d</w:t>
      </w:r>
      <w:r>
        <w:rPr>
          <w:rFonts w:cs="Times New Roman"/>
          <w:szCs w:val="24"/>
          <w:lang w:val="fr-CA"/>
        </w:rPr>
        <w:t>’</w:t>
      </w:r>
      <w:r w:rsidRPr="00CA43DD">
        <w:rPr>
          <w:rFonts w:cs="Times New Roman"/>
          <w:szCs w:val="24"/>
          <w:lang w:val="fr-CA"/>
        </w:rPr>
        <w:t>appel accorde aussi à tort une trop grande importance à la « possibilité de découvrir » la preuve dans son analyse fondée sur le par. 24(2).  Je conviens avec elle que les policiers auraient pu convaincre un officier de justice qu</w:t>
      </w:r>
      <w:r>
        <w:rPr>
          <w:rFonts w:cs="Times New Roman"/>
          <w:szCs w:val="24"/>
          <w:lang w:val="fr-CA"/>
        </w:rPr>
        <w:t>’</w:t>
      </w:r>
      <w:r w:rsidRPr="00CA43DD">
        <w:rPr>
          <w:rFonts w:cs="Times New Roman"/>
          <w:szCs w:val="24"/>
          <w:lang w:val="fr-CA"/>
        </w:rPr>
        <w:t>ils avaient des motifs raisonnables et probables de croire qu</w:t>
      </w:r>
      <w:r>
        <w:rPr>
          <w:rFonts w:cs="Times New Roman"/>
          <w:szCs w:val="24"/>
          <w:lang w:val="fr-CA"/>
        </w:rPr>
        <w:t>’</w:t>
      </w:r>
      <w:r w:rsidRPr="00CA43DD">
        <w:rPr>
          <w:rFonts w:cs="Times New Roman"/>
          <w:szCs w:val="24"/>
          <w:lang w:val="fr-CA"/>
        </w:rPr>
        <w:t>une infraction avait été commise et que des éléments de preuve se trouvaient sur les lieux visés par la perquisition, mais ce fait n</w:t>
      </w:r>
      <w:r>
        <w:rPr>
          <w:rFonts w:cs="Times New Roman"/>
          <w:szCs w:val="24"/>
          <w:lang w:val="fr-CA"/>
        </w:rPr>
        <w:t>’</w:t>
      </w:r>
      <w:r w:rsidRPr="00CA43DD">
        <w:rPr>
          <w:rFonts w:cs="Times New Roman"/>
          <w:szCs w:val="24"/>
          <w:lang w:val="fr-CA"/>
        </w:rPr>
        <w:t>aurait pas influé sur l</w:t>
      </w:r>
      <w:r>
        <w:rPr>
          <w:rFonts w:cs="Times New Roman"/>
          <w:szCs w:val="24"/>
          <w:lang w:val="fr-CA"/>
        </w:rPr>
        <w:t>’</w:t>
      </w:r>
      <w:r w:rsidRPr="00CA43DD">
        <w:rPr>
          <w:rFonts w:cs="Times New Roman"/>
          <w:szCs w:val="24"/>
          <w:lang w:val="fr-CA"/>
        </w:rPr>
        <w:t>analyse que commande le par. 24(2) compte tenu des circonstances de la présente affaire.  La conduite répréhensible des policiers et son incidence sur les droits de l</w:t>
      </w:r>
      <w:r>
        <w:rPr>
          <w:rFonts w:cs="Times New Roman"/>
          <w:szCs w:val="24"/>
          <w:lang w:val="fr-CA"/>
        </w:rPr>
        <w:t>’</w:t>
      </w:r>
      <w:r w:rsidRPr="00CA43DD">
        <w:rPr>
          <w:rFonts w:cs="Times New Roman"/>
          <w:szCs w:val="24"/>
          <w:lang w:val="fr-CA"/>
        </w:rPr>
        <w:t xml:space="preserve">accusée garantis par la </w:t>
      </w:r>
      <w:r w:rsidRPr="00CA43DD">
        <w:rPr>
          <w:rFonts w:cs="Times New Roman"/>
          <w:i/>
          <w:iCs/>
          <w:szCs w:val="24"/>
          <w:lang w:val="fr-CA"/>
        </w:rPr>
        <w:t>Charte</w:t>
      </w:r>
      <w:r w:rsidRPr="00CA43DD">
        <w:rPr>
          <w:rFonts w:cs="Times New Roman"/>
          <w:szCs w:val="24"/>
          <w:lang w:val="fr-CA"/>
        </w:rPr>
        <w:t xml:space="preserve"> sont très graves, et ce, malgré la possibilité de découvrir la preuve.  Le juge du procès déplore manifestement et à juste titre les violations continues, délibérées et flagrantes des droits constitutionnels de l</w:t>
      </w:r>
      <w:r>
        <w:rPr>
          <w:rFonts w:cs="Times New Roman"/>
          <w:szCs w:val="24"/>
          <w:lang w:val="fr-CA"/>
        </w:rPr>
        <w:t>’</w:t>
      </w:r>
      <w:r w:rsidRPr="00CA43DD">
        <w:rPr>
          <w:rFonts w:cs="Times New Roman"/>
          <w:szCs w:val="24"/>
          <w:lang w:val="fr-CA"/>
        </w:rPr>
        <w:t>appelante, une considération qui joue un rôle important dans sa mise en balance des considérations dont l</w:t>
      </w:r>
      <w:r>
        <w:rPr>
          <w:rFonts w:cs="Times New Roman"/>
          <w:szCs w:val="24"/>
          <w:lang w:val="fr-CA"/>
        </w:rPr>
        <w:t>’</w:t>
      </w:r>
      <w:r w:rsidRPr="00CA43DD">
        <w:rPr>
          <w:rFonts w:cs="Times New Roman"/>
          <w:szCs w:val="24"/>
          <w:lang w:val="fr-CA"/>
        </w:rPr>
        <w:t>examen s</w:t>
      </w:r>
      <w:r>
        <w:rPr>
          <w:rFonts w:cs="Times New Roman"/>
          <w:szCs w:val="24"/>
          <w:lang w:val="fr-CA"/>
        </w:rPr>
        <w:t>’</w:t>
      </w:r>
      <w:r w:rsidRPr="00CA43DD">
        <w:rPr>
          <w:rFonts w:cs="Times New Roman"/>
          <w:szCs w:val="24"/>
          <w:lang w:val="fr-CA"/>
        </w:rPr>
        <w:t>impose pour l</w:t>
      </w:r>
      <w:r>
        <w:rPr>
          <w:rFonts w:cs="Times New Roman"/>
          <w:szCs w:val="24"/>
          <w:lang w:val="fr-CA"/>
        </w:rPr>
        <w:t>’</w:t>
      </w:r>
      <w:r w:rsidRPr="00CA43DD">
        <w:rPr>
          <w:rFonts w:cs="Times New Roman"/>
          <w:szCs w:val="24"/>
          <w:lang w:val="fr-CA"/>
        </w:rPr>
        <w:t>application du par. 24(2).  Il tient aussi dûment compte de l</w:t>
      </w:r>
      <w:r>
        <w:rPr>
          <w:rFonts w:cs="Times New Roman"/>
          <w:szCs w:val="24"/>
          <w:lang w:val="fr-CA"/>
        </w:rPr>
        <w:t>’</w:t>
      </w:r>
      <w:r w:rsidRPr="00CA43DD">
        <w:rPr>
          <w:rFonts w:cs="Times New Roman"/>
          <w:szCs w:val="24"/>
          <w:lang w:val="fr-CA"/>
        </w:rPr>
        <w:t xml:space="preserve">intérêt important </w:t>
      </w:r>
      <w:proofErr w:type="gramStart"/>
      <w:r w:rsidRPr="00CA43DD">
        <w:rPr>
          <w:rFonts w:cs="Times New Roman"/>
          <w:szCs w:val="24"/>
          <w:lang w:val="fr-CA"/>
        </w:rPr>
        <w:t>qu</w:t>
      </w:r>
      <w:r>
        <w:rPr>
          <w:rFonts w:cs="Times New Roman"/>
          <w:szCs w:val="24"/>
          <w:lang w:val="fr-CA"/>
        </w:rPr>
        <w:t>’</w:t>
      </w:r>
      <w:r w:rsidRPr="00CA43DD">
        <w:rPr>
          <w:rFonts w:cs="Times New Roman"/>
          <w:szCs w:val="24"/>
          <w:lang w:val="fr-CA"/>
        </w:rPr>
        <w:t>a</w:t>
      </w:r>
      <w:proofErr w:type="gramEnd"/>
      <w:r w:rsidRPr="00CA43DD">
        <w:rPr>
          <w:rFonts w:cs="Times New Roman"/>
          <w:szCs w:val="24"/>
          <w:lang w:val="fr-CA"/>
        </w:rPr>
        <w:t xml:space="preserve"> la société à ce qu</w:t>
      </w:r>
      <w:r>
        <w:rPr>
          <w:rFonts w:cs="Times New Roman"/>
          <w:szCs w:val="24"/>
          <w:lang w:val="fr-CA"/>
        </w:rPr>
        <w:t>’</w:t>
      </w:r>
      <w:r w:rsidRPr="00CA43DD">
        <w:rPr>
          <w:rFonts w:cs="Times New Roman"/>
          <w:szCs w:val="24"/>
          <w:lang w:val="fr-CA"/>
        </w:rPr>
        <w:t>une personne accusée d</w:t>
      </w:r>
      <w:r>
        <w:rPr>
          <w:rFonts w:cs="Times New Roman"/>
          <w:szCs w:val="24"/>
          <w:lang w:val="fr-CA"/>
        </w:rPr>
        <w:t>’</w:t>
      </w:r>
      <w:r w:rsidRPr="00CA43DD">
        <w:rPr>
          <w:rFonts w:cs="Times New Roman"/>
          <w:szCs w:val="24"/>
          <w:lang w:val="fr-CA"/>
        </w:rPr>
        <w:t>un crime grave fasse l</w:t>
      </w:r>
      <w:r>
        <w:rPr>
          <w:rFonts w:cs="Times New Roman"/>
          <w:szCs w:val="24"/>
          <w:lang w:val="fr-CA"/>
        </w:rPr>
        <w:t>’</w:t>
      </w:r>
      <w:r w:rsidRPr="00CA43DD">
        <w:rPr>
          <w:rFonts w:cs="Times New Roman"/>
          <w:szCs w:val="24"/>
          <w:lang w:val="fr-CA"/>
        </w:rPr>
        <w:t>objet d</w:t>
      </w:r>
      <w:r>
        <w:rPr>
          <w:rFonts w:cs="Times New Roman"/>
          <w:szCs w:val="24"/>
          <w:lang w:val="fr-CA"/>
        </w:rPr>
        <w:t>’</w:t>
      </w:r>
      <w:r w:rsidRPr="00CA43DD">
        <w:rPr>
          <w:rFonts w:cs="Times New Roman"/>
          <w:szCs w:val="24"/>
          <w:lang w:val="fr-CA"/>
        </w:rPr>
        <w:t>un procès au fond.  Sa conclusion n</w:t>
      </w:r>
      <w:r>
        <w:rPr>
          <w:rFonts w:cs="Times New Roman"/>
          <w:szCs w:val="24"/>
          <w:lang w:val="fr-CA"/>
        </w:rPr>
        <w:t>’</w:t>
      </w:r>
      <w:r w:rsidRPr="00CA43DD">
        <w:rPr>
          <w:rFonts w:cs="Times New Roman"/>
          <w:szCs w:val="24"/>
          <w:lang w:val="fr-CA"/>
        </w:rPr>
        <w:t>est pas entachée d</w:t>
      </w:r>
      <w:r>
        <w:rPr>
          <w:rFonts w:cs="Times New Roman"/>
          <w:szCs w:val="24"/>
          <w:lang w:val="fr-CA"/>
        </w:rPr>
        <w:t>’</w:t>
      </w:r>
      <w:r w:rsidRPr="00CA43DD">
        <w:rPr>
          <w:rFonts w:cs="Times New Roman"/>
          <w:szCs w:val="24"/>
          <w:lang w:val="fr-CA"/>
        </w:rPr>
        <w:t xml:space="preserve">une erreur de droit jouant sur la conclusion finale, de sorte que </w:t>
      </w:r>
      <w:proofErr w:type="spellStart"/>
      <w:r w:rsidRPr="00CA43DD">
        <w:rPr>
          <w:rFonts w:cs="Times New Roman"/>
          <w:szCs w:val="24"/>
          <w:lang w:val="fr-CA"/>
        </w:rPr>
        <w:t>celle</w:t>
      </w:r>
      <w:r w:rsidRPr="00CA43DD">
        <w:rPr>
          <w:rFonts w:cs="Times New Roman"/>
          <w:szCs w:val="24"/>
          <w:lang w:val="fr-CA"/>
        </w:rPr>
        <w:noBreakHyphen/>
        <w:t>ci</w:t>
      </w:r>
      <w:proofErr w:type="spellEnd"/>
      <w:r w:rsidRPr="00CA43DD">
        <w:rPr>
          <w:rFonts w:cs="Times New Roman"/>
          <w:szCs w:val="24"/>
          <w:lang w:val="fr-CA"/>
        </w:rPr>
        <w:t xml:space="preserve"> n</w:t>
      </w:r>
      <w:r>
        <w:rPr>
          <w:rFonts w:cs="Times New Roman"/>
          <w:szCs w:val="24"/>
          <w:lang w:val="fr-CA"/>
        </w:rPr>
        <w:t>’</w:t>
      </w:r>
      <w:r w:rsidRPr="00CA43DD">
        <w:rPr>
          <w:rFonts w:cs="Times New Roman"/>
          <w:szCs w:val="24"/>
          <w:lang w:val="fr-CA"/>
        </w:rPr>
        <w:t>aurait pas dû être annulée en appel.</w:t>
      </w:r>
    </w:p>
    <w:p w:rsidR="00DC2386" w:rsidRPr="00CA43DD" w:rsidRDefault="00DC2386" w:rsidP="006E7471">
      <w:pPr>
        <w:pStyle w:val="TitleTitre-AltT"/>
        <w:keepNext/>
        <w:tabs>
          <w:tab w:val="clear" w:pos="360"/>
          <w:tab w:val="left" w:pos="720"/>
        </w:tabs>
        <w:spacing w:after="720"/>
        <w:ind w:left="720" w:hanging="720"/>
        <w:rPr>
          <w:rFonts w:cs="Times New Roman"/>
          <w:szCs w:val="24"/>
          <w:lang w:val="fr-CA"/>
        </w:rPr>
      </w:pPr>
      <w:r w:rsidRPr="00CA43DD">
        <w:rPr>
          <w:rFonts w:cs="Times New Roman"/>
          <w:szCs w:val="24"/>
          <w:lang w:val="fr-CA"/>
        </w:rPr>
        <w:lastRenderedPageBreak/>
        <w:t>V.</w:t>
      </w:r>
      <w:r w:rsidRPr="00CA43DD">
        <w:rPr>
          <w:rFonts w:cs="Times New Roman"/>
          <w:szCs w:val="24"/>
          <w:lang w:val="fr-CA"/>
        </w:rPr>
        <w:tab/>
      </w:r>
      <w:r w:rsidRPr="00CA43DD">
        <w:rPr>
          <w:rFonts w:cs="Times New Roman"/>
          <w:szCs w:val="24"/>
          <w:u w:val="single"/>
          <w:lang w:val="fr-CA"/>
        </w:rPr>
        <w:t>Dispositif</w:t>
      </w:r>
    </w:p>
    <w:p w:rsidR="00DC2386" w:rsidRPr="0088336D" w:rsidRDefault="00DC2386" w:rsidP="006E7471">
      <w:pPr>
        <w:pStyle w:val="ParaNoNdepar-AltN"/>
        <w:rPr>
          <w:lang w:val="fr-CA"/>
        </w:rPr>
      </w:pPr>
      <w:r w:rsidRPr="00CA43DD">
        <w:rPr>
          <w:rFonts w:cs="Times New Roman"/>
          <w:szCs w:val="24"/>
          <w:lang w:val="fr-CA"/>
        </w:rPr>
        <w:t>Je suis d</w:t>
      </w:r>
      <w:r>
        <w:rPr>
          <w:rFonts w:cs="Times New Roman"/>
          <w:szCs w:val="24"/>
          <w:lang w:val="fr-CA"/>
        </w:rPr>
        <w:t>’</w:t>
      </w:r>
      <w:r w:rsidRPr="00CA43DD">
        <w:rPr>
          <w:rFonts w:cs="Times New Roman"/>
          <w:szCs w:val="24"/>
          <w:lang w:val="fr-CA"/>
        </w:rPr>
        <w:t>avis d</w:t>
      </w:r>
      <w:r>
        <w:rPr>
          <w:rFonts w:cs="Times New Roman"/>
          <w:szCs w:val="24"/>
          <w:lang w:val="fr-CA"/>
        </w:rPr>
        <w:t>’</w:t>
      </w:r>
      <w:r w:rsidRPr="00CA43DD">
        <w:rPr>
          <w:rFonts w:cs="Times New Roman"/>
          <w:szCs w:val="24"/>
          <w:lang w:val="fr-CA"/>
        </w:rPr>
        <w:t>accueillir le pourvoi et de rétablir l</w:t>
      </w:r>
      <w:r>
        <w:rPr>
          <w:rFonts w:cs="Times New Roman"/>
          <w:szCs w:val="24"/>
          <w:lang w:val="fr-CA"/>
        </w:rPr>
        <w:t>’</w:t>
      </w:r>
      <w:r w:rsidRPr="00CA43DD">
        <w:rPr>
          <w:rFonts w:cs="Times New Roman"/>
          <w:szCs w:val="24"/>
          <w:lang w:val="fr-CA"/>
        </w:rPr>
        <w:t>acquittement prononcé au procès.</w:t>
      </w:r>
    </w:p>
    <w:p w:rsidR="00DC2386" w:rsidRPr="006E7471" w:rsidRDefault="00DC2386" w:rsidP="00DC2386">
      <w:pPr>
        <w:pStyle w:val="JudgeJuge"/>
        <w:rPr>
          <w:smallCaps w:val="0"/>
          <w:lang w:val="fr-CA"/>
        </w:rPr>
      </w:pPr>
      <w:r w:rsidRPr="00DC2386">
        <w:rPr>
          <w:lang w:val="fr-CA"/>
        </w:rPr>
        <w:tab/>
      </w:r>
      <w:r w:rsidR="006E7471" w:rsidRPr="006E7471">
        <w:rPr>
          <w:smallCaps w:val="0"/>
          <w:lang w:val="fr-CA"/>
        </w:rPr>
        <w:t>Les motifs suivants ont été rendus par</w:t>
      </w:r>
    </w:p>
    <w:p w:rsidR="00DC2386" w:rsidRPr="004D4704" w:rsidRDefault="006E7471" w:rsidP="00DC2386">
      <w:pPr>
        <w:pStyle w:val="ParaNoNdepar-AltN"/>
      </w:pPr>
      <w:r w:rsidRPr="006E7471">
        <w:rPr>
          <w:smallCaps/>
          <w:lang w:val="fr-CA"/>
        </w:rPr>
        <w:t>La juge Deschamps</w:t>
      </w:r>
      <w:r w:rsidRPr="00DC2386">
        <w:rPr>
          <w:lang w:val="fr-CA"/>
        </w:rPr>
        <w:t xml:space="preserve"> </w:t>
      </w:r>
      <w:r w:rsidRPr="006E7471">
        <w:rPr>
          <w:lang w:val="fr-CA"/>
        </w:rPr>
        <w:t>(dissidente) —</w:t>
      </w:r>
      <w:r>
        <w:rPr>
          <w:lang w:val="fr-CA"/>
        </w:rPr>
        <w:t xml:space="preserve"> </w:t>
      </w:r>
      <w:r w:rsidR="00DC2386" w:rsidRPr="00DC2386">
        <w:rPr>
          <w:lang w:val="fr-CA"/>
        </w:rPr>
        <w:t>J’ai pris connaissance de l’opinion du juge Cromwell. Il est d’avis de rétablir le jugement de la Cour supérieure (2008 QCCS 3749 (</w:t>
      </w:r>
      <w:proofErr w:type="spellStart"/>
      <w:r w:rsidR="00DC2386" w:rsidRPr="00DC2386">
        <w:rPr>
          <w:lang w:val="fr-CA"/>
        </w:rPr>
        <w:t>CanLII</w:t>
      </w:r>
      <w:proofErr w:type="spellEnd"/>
      <w:r w:rsidR="00DC2386" w:rsidRPr="00DC2386">
        <w:rPr>
          <w:lang w:val="fr-CA"/>
        </w:rPr>
        <w:t xml:space="preserve">)), lequel ne contient selon lui aucune erreur qui justifiait l’intervention de la Cour d’appel. Pour ma part, appliquant la grille d’analyse proposée dans l’arrêt </w:t>
      </w:r>
      <w:r w:rsidR="00DC2386" w:rsidRPr="00DC2386">
        <w:rPr>
          <w:i/>
          <w:lang w:val="fr-CA"/>
        </w:rPr>
        <w:t xml:space="preserve">R. </w:t>
      </w:r>
      <w:r w:rsidR="00DC2386" w:rsidRPr="00DC2386">
        <w:rPr>
          <w:i/>
          <w:iCs/>
          <w:lang w:val="fr-CA"/>
        </w:rPr>
        <w:t>c.</w:t>
      </w:r>
      <w:r w:rsidR="00DC2386" w:rsidRPr="00DC2386">
        <w:rPr>
          <w:i/>
          <w:lang w:val="fr-CA"/>
        </w:rPr>
        <w:t xml:space="preserve"> Grant</w:t>
      </w:r>
      <w:r w:rsidR="00DC2386" w:rsidRPr="00DC2386">
        <w:rPr>
          <w:lang w:val="fr-CA"/>
        </w:rPr>
        <w:t xml:space="preserve">, 2009 CSC 32, [2009] 2 R.C.S. 353, je conclus comme la Cour d’appel (2010 QCCA 303, 74 C.R. (6th) 130) que les éléments de preuve obtenus sans la participation de l’appelante </w:t>
      </w:r>
      <w:r w:rsidR="00DC2386" w:rsidRPr="00DC2386">
        <w:rPr>
          <w:rFonts w:cs="Times New Roman"/>
          <w:lang w:val="fr-CA"/>
        </w:rPr>
        <w:t>—</w:t>
      </w:r>
      <w:r w:rsidR="00DC2386" w:rsidRPr="00DC2386">
        <w:rPr>
          <w:lang w:val="fr-CA"/>
        </w:rPr>
        <w:t xml:space="preserve"> et que j’appellerai « la preuve matérielle » </w:t>
      </w:r>
      <w:r w:rsidR="00DC2386" w:rsidRPr="00DC2386">
        <w:rPr>
          <w:rFonts w:cs="Times New Roman"/>
          <w:lang w:val="fr-CA"/>
        </w:rPr>
        <w:t>—</w:t>
      </w:r>
      <w:r w:rsidR="00DC2386" w:rsidRPr="00DC2386">
        <w:rPr>
          <w:lang w:val="fr-CA"/>
        </w:rPr>
        <w:t xml:space="preserve"> n’auraient pas dû être exclus. </w:t>
      </w:r>
      <w:r w:rsidR="00DC2386" w:rsidRPr="004D4704">
        <w:t xml:space="preserve">Je </w:t>
      </w:r>
      <w:proofErr w:type="spellStart"/>
      <w:r w:rsidR="00DC2386" w:rsidRPr="004D4704">
        <w:t>rejetterais</w:t>
      </w:r>
      <w:proofErr w:type="spellEnd"/>
      <w:r w:rsidR="00DC2386" w:rsidRPr="004D4704">
        <w:t xml:space="preserve"> </w:t>
      </w:r>
      <w:proofErr w:type="spellStart"/>
      <w:r w:rsidR="00DC2386" w:rsidRPr="004D4704">
        <w:t>donc</w:t>
      </w:r>
      <w:proofErr w:type="spellEnd"/>
      <w:r w:rsidR="00DC2386" w:rsidRPr="004D4704">
        <w:t xml:space="preserve"> </w:t>
      </w:r>
      <w:proofErr w:type="spellStart"/>
      <w:r w:rsidR="00DC2386" w:rsidRPr="004D4704">
        <w:t>l’appel</w:t>
      </w:r>
      <w:proofErr w:type="spellEnd"/>
      <w:r w:rsidR="00DC2386" w:rsidRPr="004D4704">
        <w:t>.</w:t>
      </w:r>
    </w:p>
    <w:p w:rsidR="00DC2386" w:rsidRPr="00DC2386" w:rsidRDefault="00DC2386" w:rsidP="00DC2386">
      <w:pPr>
        <w:pStyle w:val="ParaNoNdepar-AltN"/>
        <w:rPr>
          <w:lang w:val="fr-CA"/>
        </w:rPr>
      </w:pPr>
      <w:r w:rsidRPr="00DC2386">
        <w:rPr>
          <w:lang w:val="fr-CA"/>
        </w:rPr>
        <w:t xml:space="preserve">Mon collègue le juge Cromwell n’exprime explicitement son accord avec la Cour d’appel que sur un point : les policiers auraient pu, très tôt dans leur enquête, obtenir la délivrance d’un mandat de perquisition. Il n’accorde cependant pas d’importance à ce fait, estimant que les conclusions du juge du procès concernant l’exclusion de la preuve ne sont pas fondées sur l’invalidité des mandats. Avec égards pour l’opinion de mon collègue, je crois qu’il s’agit là de deux questions distinctes : d’une part, les conséquences de l’omission, en première instance, de considérer la </w:t>
      </w:r>
      <w:r w:rsidRPr="00DC2386">
        <w:rPr>
          <w:lang w:val="fr-CA"/>
        </w:rPr>
        <w:lastRenderedPageBreak/>
        <w:t xml:space="preserve">possibilité qu’un mandat aurait pu être délivré au tout début de l’enquête; d’autre part, les conséquences de l’invalidité des mandats délivrés ultérieurement. Or, à aucune étape de son analyse, le juge de première instance ne s’interroge sur le fait que la preuve matérielle aurait pu être découverte si un mandat avait été obtenu très tôt dans l’enquête. C’est cette constatation de la Cour d’appel qui, à mon avis, est pertinente. </w:t>
      </w:r>
    </w:p>
    <w:p w:rsidR="00DC2386" w:rsidRPr="004D4704" w:rsidRDefault="00DC2386" w:rsidP="00DC2386">
      <w:pPr>
        <w:pStyle w:val="ParaNoNdepar-AltN"/>
      </w:pPr>
      <w:r w:rsidRPr="00DC2386">
        <w:rPr>
          <w:lang w:val="fr-CA"/>
        </w:rPr>
        <w:t xml:space="preserve">Le juge de première instance s’est prononcé avant l’arrêt </w:t>
      </w:r>
      <w:r w:rsidRPr="00DC2386">
        <w:rPr>
          <w:i/>
          <w:lang w:val="fr-CA"/>
        </w:rPr>
        <w:t>Grant</w:t>
      </w:r>
      <w:r w:rsidRPr="00DC2386">
        <w:rPr>
          <w:lang w:val="fr-CA"/>
        </w:rPr>
        <w:t xml:space="preserve">, où notre Cour a revu la grille d’analyse établie dans les arrêts </w:t>
      </w:r>
      <w:r w:rsidRPr="00DC2386">
        <w:rPr>
          <w:i/>
          <w:iCs/>
          <w:lang w:val="fr-CA"/>
        </w:rPr>
        <w:t>R. c. Collins</w:t>
      </w:r>
      <w:r w:rsidRPr="00DC2386">
        <w:rPr>
          <w:lang w:val="fr-CA"/>
        </w:rPr>
        <w:t xml:space="preserve">, [1987] 1 R.C.S. 265, et </w:t>
      </w:r>
      <w:r w:rsidRPr="00DC2386">
        <w:rPr>
          <w:i/>
          <w:iCs/>
          <w:lang w:val="fr-CA"/>
        </w:rPr>
        <w:t xml:space="preserve">R. c. </w:t>
      </w:r>
      <w:proofErr w:type="spellStart"/>
      <w:r w:rsidRPr="00DC2386">
        <w:rPr>
          <w:i/>
          <w:iCs/>
          <w:lang w:val="fr-CA"/>
        </w:rPr>
        <w:t>Stillman</w:t>
      </w:r>
      <w:proofErr w:type="spellEnd"/>
      <w:r w:rsidRPr="00DC2386">
        <w:rPr>
          <w:lang w:val="fr-CA"/>
        </w:rPr>
        <w:t>, [1997] 1 R.C.S. 607. Bien qu’il ne s’agisse pas là d’une raison qui, prise isolément, justifie la révision d’une décision d’exclure un élément de preuve, il convient tout de même de se demander si le juge a considéré l’ensemble des éléments qui doivent fonder une telle décision</w:t>
      </w:r>
      <w:r w:rsidRPr="00100DFF">
        <w:rPr>
          <w:rStyle w:val="selected9"/>
          <w:rFonts w:cs="Times New Roman"/>
          <w:b w:val="0"/>
          <w:szCs w:val="24"/>
          <w:lang w:val="fr-CA"/>
        </w:rPr>
        <w:t xml:space="preserve">. </w:t>
      </w:r>
      <w:proofErr w:type="spellStart"/>
      <w:r w:rsidRPr="00100DFF">
        <w:rPr>
          <w:rStyle w:val="selected9"/>
          <w:rFonts w:cs="Times New Roman"/>
          <w:b w:val="0"/>
          <w:szCs w:val="24"/>
        </w:rPr>
        <w:t>Cette</w:t>
      </w:r>
      <w:proofErr w:type="spellEnd"/>
      <w:r w:rsidRPr="00100DFF">
        <w:rPr>
          <w:rStyle w:val="selected9"/>
          <w:rFonts w:cs="Times New Roman"/>
          <w:b w:val="0"/>
          <w:szCs w:val="24"/>
        </w:rPr>
        <w:t xml:space="preserve"> </w:t>
      </w:r>
      <w:proofErr w:type="spellStart"/>
      <w:r w:rsidRPr="00100DFF">
        <w:rPr>
          <w:rStyle w:val="selected9"/>
          <w:rFonts w:cs="Times New Roman"/>
          <w:b w:val="0"/>
          <w:szCs w:val="24"/>
        </w:rPr>
        <w:t>vérification</w:t>
      </w:r>
      <w:proofErr w:type="spellEnd"/>
      <w:r w:rsidRPr="00100DFF">
        <w:rPr>
          <w:rStyle w:val="selected9"/>
          <w:rFonts w:cs="Times New Roman"/>
          <w:b w:val="0"/>
          <w:szCs w:val="24"/>
        </w:rPr>
        <w:t xml:space="preserve"> </w:t>
      </w:r>
      <w:proofErr w:type="spellStart"/>
      <w:r w:rsidRPr="00100DFF">
        <w:rPr>
          <w:rStyle w:val="selected9"/>
          <w:rFonts w:cs="Times New Roman"/>
          <w:b w:val="0"/>
          <w:szCs w:val="24"/>
        </w:rPr>
        <w:t>révèle</w:t>
      </w:r>
      <w:proofErr w:type="spellEnd"/>
      <w:r w:rsidRPr="00100DFF">
        <w:rPr>
          <w:rStyle w:val="selected9"/>
          <w:rFonts w:cs="Times New Roman"/>
          <w:b w:val="0"/>
          <w:szCs w:val="24"/>
        </w:rPr>
        <w:t xml:space="preserve"> en </w:t>
      </w:r>
      <w:proofErr w:type="spellStart"/>
      <w:r w:rsidRPr="00100DFF">
        <w:rPr>
          <w:rStyle w:val="selected9"/>
          <w:rFonts w:cs="Times New Roman"/>
          <w:b w:val="0"/>
          <w:szCs w:val="24"/>
        </w:rPr>
        <w:t>l’espèce</w:t>
      </w:r>
      <w:proofErr w:type="spellEnd"/>
      <w:r w:rsidRPr="00100DFF">
        <w:rPr>
          <w:rStyle w:val="selected9"/>
          <w:rFonts w:cs="Times New Roman"/>
          <w:b w:val="0"/>
          <w:szCs w:val="24"/>
        </w:rPr>
        <w:t xml:space="preserve"> </w:t>
      </w:r>
      <w:proofErr w:type="gramStart"/>
      <w:r w:rsidRPr="00100DFF">
        <w:rPr>
          <w:rStyle w:val="selected9"/>
          <w:rFonts w:cs="Times New Roman"/>
          <w:b w:val="0"/>
          <w:szCs w:val="24"/>
        </w:rPr>
        <w:t>un</w:t>
      </w:r>
      <w:proofErr w:type="gramEnd"/>
      <w:r w:rsidRPr="004D4704">
        <w:t xml:space="preserve"> hiatus certain.</w:t>
      </w:r>
    </w:p>
    <w:p w:rsidR="00DC2386" w:rsidRPr="00DC2386" w:rsidRDefault="00DC2386" w:rsidP="00732414">
      <w:pPr>
        <w:pStyle w:val="TitleTitre-AltT"/>
        <w:tabs>
          <w:tab w:val="clear" w:pos="360"/>
          <w:tab w:val="left" w:pos="720"/>
        </w:tabs>
        <w:spacing w:after="720"/>
        <w:ind w:left="720" w:hanging="720"/>
        <w:rPr>
          <w:lang w:val="fr-CA"/>
        </w:rPr>
      </w:pPr>
      <w:r w:rsidRPr="00DC2386">
        <w:rPr>
          <w:lang w:val="fr-CA"/>
        </w:rPr>
        <w:t>I.</w:t>
      </w:r>
      <w:r w:rsidR="00472CB8">
        <w:rPr>
          <w:lang w:val="fr-CA"/>
        </w:rPr>
        <w:tab/>
      </w:r>
      <w:r w:rsidRPr="00DC2386">
        <w:rPr>
          <w:u w:val="single"/>
          <w:lang w:val="fr-CA"/>
        </w:rPr>
        <w:t>Faits pertinents à l’égard de la délivrance d’un mandat très tôt dans l’enquête</w:t>
      </w:r>
    </w:p>
    <w:p w:rsidR="00DC2386" w:rsidRPr="00DC2386" w:rsidRDefault="00DC2386" w:rsidP="00DC2386">
      <w:pPr>
        <w:pStyle w:val="ParaNoNdepar-AltN"/>
        <w:rPr>
          <w:lang w:val="fr-CA"/>
        </w:rPr>
      </w:pPr>
      <w:r w:rsidRPr="00DC2386">
        <w:rPr>
          <w:lang w:val="fr-CA"/>
        </w:rPr>
        <w:t xml:space="preserve">Le 22 juillet 2006, à 23 h 38, l’agent Jean-François Fortier reçoit un appel téléphonique du sergent François </w:t>
      </w:r>
      <w:proofErr w:type="spellStart"/>
      <w:r w:rsidRPr="00DC2386">
        <w:rPr>
          <w:lang w:val="fr-CA"/>
        </w:rPr>
        <w:t>Monetta</w:t>
      </w:r>
      <w:proofErr w:type="spellEnd"/>
      <w:r w:rsidRPr="00DC2386">
        <w:rPr>
          <w:lang w:val="fr-CA"/>
        </w:rPr>
        <w:t xml:space="preserve"> l’informant qu’un homme ayant subi des blessures à l’arrière de la tête a été transporté à l’hôpital en ambulance. Un examen radiologique a révélé la présence d’un projectile à l’intérieur du crâne de cet homme. Le sergent </w:t>
      </w:r>
      <w:proofErr w:type="spellStart"/>
      <w:r w:rsidRPr="00DC2386">
        <w:rPr>
          <w:lang w:val="fr-CA"/>
        </w:rPr>
        <w:t>Monetta</w:t>
      </w:r>
      <w:proofErr w:type="spellEnd"/>
      <w:r w:rsidRPr="00DC2386">
        <w:rPr>
          <w:lang w:val="fr-CA"/>
        </w:rPr>
        <w:t xml:space="preserve"> indique à l’agent Fortier le nom du blessé, ainsi que l’adresse de la résidence d’où il a été transporté en ambulance, après que sa conjointe l’a retrouvé </w:t>
      </w:r>
      <w:proofErr w:type="gramStart"/>
      <w:r w:rsidRPr="00DC2386">
        <w:rPr>
          <w:lang w:val="fr-CA"/>
        </w:rPr>
        <w:t>blessé</w:t>
      </w:r>
      <w:proofErr w:type="gramEnd"/>
      <w:r w:rsidRPr="00DC2386">
        <w:rPr>
          <w:lang w:val="fr-CA"/>
        </w:rPr>
        <w:t xml:space="preserve"> à cet endroit. </w:t>
      </w:r>
    </w:p>
    <w:p w:rsidR="00DC2386" w:rsidRPr="00DC2386" w:rsidRDefault="00DC2386" w:rsidP="00DC2386">
      <w:pPr>
        <w:pStyle w:val="ParaNoNdepar-AltN"/>
        <w:rPr>
          <w:lang w:val="fr-CA"/>
        </w:rPr>
      </w:pPr>
      <w:r w:rsidRPr="00DC2386">
        <w:rPr>
          <w:lang w:val="fr-CA"/>
        </w:rPr>
        <w:lastRenderedPageBreak/>
        <w:t xml:space="preserve">À la suite de ces informations, en tant que chef de l’équipe de quatre policiers en service ce soir-là pour le territoire où se trouve la résidence en question, l’agent Fortier demande aux agents Tremblay et Mathieu de se rendre sur les lieux afin d’enquêter. </w:t>
      </w:r>
    </w:p>
    <w:p w:rsidR="00DC2386" w:rsidRPr="00DC2386" w:rsidRDefault="00DC2386" w:rsidP="00DC2386">
      <w:pPr>
        <w:pStyle w:val="ParaNoNdepar-AltN"/>
        <w:rPr>
          <w:lang w:val="fr-CA"/>
        </w:rPr>
      </w:pPr>
      <w:r w:rsidRPr="00DC2386">
        <w:rPr>
          <w:lang w:val="fr-CA"/>
        </w:rPr>
        <w:t>À 0 h 13, les agents arrivent sur les lieux. Ils observent d’abord la maison. Celle-ci n’est pas éclairée et ne laisse voir aucun signe d’activité. Ils stationnent leur véhicule à une certaine distance de la maison et se rendent à la porte. Ils sonnent. Une femme leur ouvre. Il s’agit de M</w:t>
      </w:r>
      <w:r w:rsidRPr="00DC2386">
        <w:rPr>
          <w:vertAlign w:val="superscript"/>
          <w:lang w:val="fr-CA"/>
        </w:rPr>
        <w:t>me</w:t>
      </w:r>
      <w:r w:rsidRPr="00DC2386">
        <w:rPr>
          <w:lang w:val="fr-CA"/>
        </w:rPr>
        <w:t xml:space="preserve"> Côté. Les policiers se présentent comme agents de la Sûreté du Québec et lui expliquent qu’ils veulent savoir ce qui s’est produit dans la soirée et vérifier la sécurité des lieux.</w:t>
      </w:r>
    </w:p>
    <w:p w:rsidR="00DC2386" w:rsidRPr="004D4704" w:rsidRDefault="00DC2386" w:rsidP="00DC2386">
      <w:pPr>
        <w:pStyle w:val="ParaNoNdepar-AltN"/>
      </w:pPr>
      <w:r w:rsidRPr="00DC2386">
        <w:rPr>
          <w:lang w:val="fr-CA"/>
        </w:rPr>
        <w:t>Après avoir inspecté l’intérieur de la résidence et n’y avoir trouvé personne d’autre que M</w:t>
      </w:r>
      <w:r w:rsidRPr="00DC2386">
        <w:rPr>
          <w:vertAlign w:val="superscript"/>
          <w:lang w:val="fr-CA"/>
        </w:rPr>
        <w:t>me</w:t>
      </w:r>
      <w:r w:rsidRPr="00DC2386">
        <w:rPr>
          <w:lang w:val="fr-CA"/>
        </w:rPr>
        <w:t xml:space="preserve"> Côté, l’agent Tremblay se rend à l’extérieur. Il entre dans le </w:t>
      </w:r>
      <w:proofErr w:type="spellStart"/>
      <w:r w:rsidRPr="00DC2386">
        <w:rPr>
          <w:lang w:val="fr-CA"/>
        </w:rPr>
        <w:t>gazebo</w:t>
      </w:r>
      <w:proofErr w:type="spellEnd"/>
      <w:r w:rsidRPr="00DC2386">
        <w:rPr>
          <w:lang w:val="fr-CA"/>
        </w:rPr>
        <w:t xml:space="preserve"> et y voit du sang </w:t>
      </w:r>
      <w:r w:rsidRPr="00DC2386">
        <w:rPr>
          <w:rFonts w:cs="Times New Roman"/>
          <w:lang w:val="fr-CA"/>
        </w:rPr>
        <w:t>—</w:t>
      </w:r>
      <w:r w:rsidRPr="00DC2386">
        <w:rPr>
          <w:lang w:val="fr-CA"/>
        </w:rPr>
        <w:t xml:space="preserve"> ou ce qui semble être du sang. L’agent Mathieu le rejoint, accompagné de M</w:t>
      </w:r>
      <w:r w:rsidRPr="00DC2386">
        <w:rPr>
          <w:vertAlign w:val="superscript"/>
          <w:lang w:val="fr-CA"/>
        </w:rPr>
        <w:t>me</w:t>
      </w:r>
      <w:r w:rsidRPr="00DC2386">
        <w:rPr>
          <w:lang w:val="fr-CA"/>
        </w:rPr>
        <w:t xml:space="preserve"> Côté. L’agent Mathieu retourne ensuite à l’intérieur de la résidence et y constate la présence d’un trou dans les vitres de l’une des fenêtres du solarium. L’agent Tremblay se rend au véhicule de patrouille et communique ces observations à l’agent Fortier. </w:t>
      </w:r>
      <w:proofErr w:type="gramStart"/>
      <w:r w:rsidRPr="004D4704">
        <w:t>Il</w:t>
      </w:r>
      <w:proofErr w:type="gramEnd"/>
      <w:r w:rsidRPr="004D4704">
        <w:t xml:space="preserve"> </w:t>
      </w:r>
      <w:proofErr w:type="spellStart"/>
      <w:r w:rsidRPr="004D4704">
        <w:t>est</w:t>
      </w:r>
      <w:proofErr w:type="spellEnd"/>
      <w:r w:rsidRPr="004D4704">
        <w:t xml:space="preserve"> </w:t>
      </w:r>
      <w:proofErr w:type="spellStart"/>
      <w:r w:rsidRPr="004D4704">
        <w:t>alors</w:t>
      </w:r>
      <w:proofErr w:type="spellEnd"/>
      <w:r w:rsidRPr="004D4704">
        <w:t xml:space="preserve"> 0 h 27. </w:t>
      </w:r>
    </w:p>
    <w:p w:rsidR="00DC2386" w:rsidRPr="00DC2386" w:rsidRDefault="00DC2386" w:rsidP="00DC2386">
      <w:pPr>
        <w:pStyle w:val="ParaNoNdepar-AltN"/>
        <w:rPr>
          <w:lang w:val="fr-CA"/>
        </w:rPr>
      </w:pPr>
      <w:r w:rsidRPr="00DC2386">
        <w:rPr>
          <w:lang w:val="fr-CA"/>
        </w:rPr>
        <w:t xml:space="preserve">Je ne remets pas en question la décision du juge de première instance de rejeter l’argument de la poursuite selon lequel les policiers auraient procédé à la visite de la maison afin d’assurer la sécurité de ses occupants. Mon récit des faits repose </w:t>
      </w:r>
      <w:r w:rsidRPr="00DC2386">
        <w:rPr>
          <w:lang w:val="fr-CA"/>
        </w:rPr>
        <w:lastRenderedPageBreak/>
        <w:t>strictement sur les constatations de faits du juge de première instance et vise à souligner les informations dont les policiers disposaient avant d’arriver à la résidence de M</w:t>
      </w:r>
      <w:r w:rsidRPr="00DC2386">
        <w:rPr>
          <w:vertAlign w:val="superscript"/>
          <w:lang w:val="fr-CA"/>
        </w:rPr>
        <w:t>me</w:t>
      </w:r>
      <w:r w:rsidRPr="00DC2386">
        <w:rPr>
          <w:lang w:val="fr-CA"/>
        </w:rPr>
        <w:t xml:space="preserve"> Côté et au moment où ils ont découvert les principaux éléments de la preuve matérielle.</w:t>
      </w:r>
    </w:p>
    <w:p w:rsidR="00DC2386" w:rsidRPr="00DC2386" w:rsidRDefault="00DC2386" w:rsidP="00DC2386">
      <w:pPr>
        <w:pStyle w:val="ParaNoNdepar-AltN"/>
        <w:rPr>
          <w:lang w:val="fr-CA"/>
        </w:rPr>
      </w:pPr>
      <w:r w:rsidRPr="00DC2386">
        <w:rPr>
          <w:lang w:val="fr-CA"/>
        </w:rPr>
        <w:t xml:space="preserve">La conclusion de la Cour d’appel selon laquelle un mandat aurait pu être délivré très tôt dans l’enquête me paraît irrésistible. En effet, les policiers ont été informés du fait qu’une personne avait subi une blessure grave à l’arrière de la tête et que cette blessure avait vraisemblablement été causée par une arme à feu. Il ne pouvait s’agir d’une blessure résultant d’une maladie, ni d’une blessure que la victime se serait elle-même infligée, vu l’endroit où le projectile avait pénétré le crâne. En outre, les policiers connaissaient l’adresse de la résidence d’où le blessé avait été transporté. Compte tenu de ces faits, il était du devoir des policiers de faire enquête et de recueillir des éléments de preuve reliés à l’évènement. Dès lors, les policiers pouvaient avoir des motifs raisonnables et probables de croire que des preuves d’une infraction puissent être trouvées sur les lieux d’où la victime avait été transportée. La nature de la blessure et le fait que la victime avait été retrouvée au sol pouvaient également faire naître des motifs raisonnables et probables de croire que le mandat devait être exécuté de nuit. En effet, des résidus, empreintes et traces fraîches risquaient d’être éliminés ou altérés si l’enquête ne débutait pas le plus rapidement possible (art. 488, </w:t>
      </w:r>
      <w:r w:rsidRPr="00DC2386">
        <w:rPr>
          <w:i/>
          <w:lang w:val="fr-CA"/>
        </w:rPr>
        <w:t>Code</w:t>
      </w:r>
      <w:r w:rsidRPr="00DC2386">
        <w:rPr>
          <w:lang w:val="fr-CA"/>
        </w:rPr>
        <w:t xml:space="preserve"> </w:t>
      </w:r>
      <w:r w:rsidRPr="00DC2386">
        <w:rPr>
          <w:i/>
          <w:lang w:val="fr-CA"/>
        </w:rPr>
        <w:t>criminel</w:t>
      </w:r>
      <w:r w:rsidRPr="00DC2386">
        <w:rPr>
          <w:lang w:val="fr-CA"/>
        </w:rPr>
        <w:t>, L.R.C. 1985, ch. C-46). La Cour d’appel a analysé ainsi la situation (par. 44) :</w:t>
      </w:r>
    </w:p>
    <w:p w:rsidR="00DC2386" w:rsidRPr="00DC2386" w:rsidRDefault="00DC2386" w:rsidP="00DC2386">
      <w:pPr>
        <w:pStyle w:val="Citation-AltC"/>
        <w:ind w:firstLine="274"/>
        <w:rPr>
          <w:lang w:val="fr-CA"/>
        </w:rPr>
      </w:pPr>
      <w:r w:rsidRPr="00DC2386">
        <w:rPr>
          <w:lang w:val="fr-CA"/>
        </w:rPr>
        <w:lastRenderedPageBreak/>
        <w:t xml:space="preserve">Dans un cas comme le présent, tous les éléments de preuve matérielle recueillis sur les lieux, comme la perforation du moustiquaire du </w:t>
      </w:r>
      <w:proofErr w:type="spellStart"/>
      <w:r w:rsidRPr="00DC2386">
        <w:rPr>
          <w:lang w:val="fr-CA"/>
        </w:rPr>
        <w:t>gazebo</w:t>
      </w:r>
      <w:proofErr w:type="spellEnd"/>
      <w:r w:rsidRPr="00DC2386">
        <w:rPr>
          <w:lang w:val="fr-CA"/>
        </w:rPr>
        <w:t>, la perforation de la fenêtre du solarium, porteuse de traces de détonation du côté intérieur, l’arme à feu enregistrée au nom de la victime et retrouvée dans sa demeure, auraient été découverts sans aucun apport de l’accusée. Il aurait été suffisant, pour obtenir un mandat valide de perquisition des lieux de l’incident, de mentionner l’appel 9-1-1 et la constatation d’éclats de projectile dans la tête de la victime, pénétrant par l’arrière, ce qui élimine un suicide et milite donc en faveur d’un acte criminel grave. Il est difficile d’imaginer que le juge de paix aurait refusé d’émettre un mandat à la lumière de ces seules allégations, dans le simple but de procéder à une expertise convenable de la scène de crime et de faire des vérifications dont la pertinence était manifeste, indépendamment de tout soupçon envers l’accusée. Par conséquent, les failles relevées par le juge de première instance dans la déclaration sous serment utilisée pour obtenir le mandat général de fouille et de perquisition dans le cas présent ne sont pas ici déterminantes.</w:t>
      </w:r>
    </w:p>
    <w:p w:rsidR="00DC2386" w:rsidRPr="00DC2386" w:rsidRDefault="00DC2386" w:rsidP="00DC2386">
      <w:pPr>
        <w:pStyle w:val="ParaNoNdepar-AltN"/>
        <w:rPr>
          <w:lang w:val="fr-CA"/>
        </w:rPr>
      </w:pPr>
      <w:r w:rsidRPr="00DC2386">
        <w:rPr>
          <w:lang w:val="fr-CA"/>
        </w:rPr>
        <w:t xml:space="preserve">Pour décider du sort de la preuve matérielle, la Cour d’appel ne pouvait se contenter de l’analyse globale à laquelle s’était livré le juge de première instance. Elle n’avait d’autre choix que de procéder à l’examen que le juge avait omis de faire.  À mon avis, c’est avec raison que la Cour d’appel a conclu que la preuve matérielle n’aurait pas dû être exclue, mais l’application que je fais de l’arrêt </w:t>
      </w:r>
      <w:r w:rsidRPr="00DC2386">
        <w:rPr>
          <w:i/>
          <w:lang w:val="fr-CA"/>
        </w:rPr>
        <w:t>Grant</w:t>
      </w:r>
      <w:r w:rsidRPr="00DC2386">
        <w:rPr>
          <w:lang w:val="fr-CA"/>
        </w:rPr>
        <w:t xml:space="preserve"> diffère cependant quelque peu de la sienne.  </w:t>
      </w:r>
    </w:p>
    <w:p w:rsidR="00DC2386" w:rsidRPr="00DC2386" w:rsidRDefault="00DC2386" w:rsidP="006E7471">
      <w:pPr>
        <w:pStyle w:val="TitleTitre-AltT"/>
        <w:keepNext/>
        <w:tabs>
          <w:tab w:val="clear" w:pos="360"/>
          <w:tab w:val="left" w:pos="720"/>
        </w:tabs>
        <w:spacing w:after="720"/>
        <w:ind w:left="720" w:hanging="720"/>
        <w:rPr>
          <w:lang w:val="fr-CA"/>
        </w:rPr>
      </w:pPr>
      <w:r w:rsidRPr="00DC2386">
        <w:rPr>
          <w:lang w:val="fr-CA"/>
        </w:rPr>
        <w:t>II.</w:t>
      </w:r>
      <w:r w:rsidR="006E7471">
        <w:rPr>
          <w:lang w:val="fr-CA"/>
        </w:rPr>
        <w:tab/>
      </w:r>
      <w:r w:rsidRPr="00DC2386">
        <w:rPr>
          <w:u w:val="single"/>
          <w:lang w:val="fr-CA"/>
        </w:rPr>
        <w:t xml:space="preserve">Application des critères de l’arrêt </w:t>
      </w:r>
      <w:r w:rsidRPr="00DC2386">
        <w:rPr>
          <w:i/>
          <w:u w:val="single"/>
          <w:lang w:val="fr-CA"/>
        </w:rPr>
        <w:t>Grant</w:t>
      </w:r>
    </w:p>
    <w:p w:rsidR="00DC2386" w:rsidRPr="00DC2386" w:rsidRDefault="00DC2386" w:rsidP="00DC2386">
      <w:pPr>
        <w:pStyle w:val="ParaNoNdepar-AltN"/>
        <w:rPr>
          <w:lang w:val="fr-CA"/>
        </w:rPr>
      </w:pPr>
      <w:r w:rsidRPr="00DC2386">
        <w:rPr>
          <w:lang w:val="fr-CA"/>
        </w:rPr>
        <w:t xml:space="preserve">Dans </w:t>
      </w:r>
      <w:r w:rsidRPr="00DC2386">
        <w:rPr>
          <w:i/>
          <w:lang w:val="fr-CA"/>
        </w:rPr>
        <w:t>Grant</w:t>
      </w:r>
      <w:r w:rsidRPr="00DC2386">
        <w:rPr>
          <w:lang w:val="fr-CA"/>
        </w:rPr>
        <w:t xml:space="preserve">, la Cour a établi une grille d’analyse en trois étapes pour décider de l’admissibilité d’un élément de preuve sous le régime du par. 24(2) de la </w:t>
      </w:r>
      <w:r w:rsidRPr="00DC2386">
        <w:rPr>
          <w:i/>
          <w:lang w:val="fr-CA"/>
        </w:rPr>
        <w:t>Charte canadienne des droits et libertés</w:t>
      </w:r>
      <w:r w:rsidRPr="00DC2386">
        <w:rPr>
          <w:lang w:val="fr-CA"/>
        </w:rPr>
        <w:t xml:space="preserve">. À la première étape, le tribunal s’attache à la gravité de la conduite attentatoire de l’État et « doit évaluer si l’utilisation d’éléments </w:t>
      </w:r>
      <w:r w:rsidRPr="00DC2386">
        <w:rPr>
          <w:lang w:val="fr-CA"/>
        </w:rPr>
        <w:lastRenderedPageBreak/>
        <w:t>de preuve déconsidérerait l’administration de la justice en donnant à penser que les tribunaux, en tant qu’institution devant répondre de l’administration de la justice, tolèrent en fait les entorses de l’État au principe de la primauté du droit en ne se dissociant pas du fruit de ces conduites illégales » (par. 72).</w:t>
      </w:r>
    </w:p>
    <w:p w:rsidR="00DC2386" w:rsidRPr="00DC2386" w:rsidRDefault="00DC2386" w:rsidP="00DC2386">
      <w:pPr>
        <w:pStyle w:val="ParaNoNdepar-AltN"/>
        <w:rPr>
          <w:lang w:val="fr-CA"/>
        </w:rPr>
      </w:pPr>
      <w:r w:rsidRPr="00DC2386">
        <w:rPr>
          <w:lang w:val="fr-CA"/>
        </w:rPr>
        <w:t xml:space="preserve">À la deuxième étape, l’examen « met l’accent sur l’importance de l’effet qu’a la violation de la </w:t>
      </w:r>
      <w:r w:rsidRPr="00DC2386">
        <w:rPr>
          <w:i/>
          <w:iCs/>
          <w:lang w:val="fr-CA"/>
        </w:rPr>
        <w:t>Charte</w:t>
      </w:r>
      <w:r w:rsidRPr="00DC2386">
        <w:rPr>
          <w:lang w:val="fr-CA"/>
        </w:rPr>
        <w:t xml:space="preserve"> sur les droits qui y sont garantis à l’accusé, et il impose d’évaluer la portée réelle de l’atteinte aux intérêts protégés par le droit en cause » (par. 76). Il importe de déterminer l’ampleur des conséquences de la violation sur les intérêts protégés par le droit transgressé.</w:t>
      </w:r>
    </w:p>
    <w:p w:rsidR="00DC2386" w:rsidRPr="00DC2386" w:rsidRDefault="00DC2386" w:rsidP="00DC2386">
      <w:pPr>
        <w:pStyle w:val="ParaNoNdepar-AltN"/>
        <w:rPr>
          <w:lang w:val="fr-CA"/>
        </w:rPr>
      </w:pPr>
      <w:r w:rsidRPr="00DC2386">
        <w:rPr>
          <w:lang w:val="fr-CA"/>
        </w:rPr>
        <w:t>À la troisième étape, tenant compte du fait que la « société s’attend généralement à ce que les accusations criminelles soient jugées au fond », le tribunal doit « déterminer si la fonction de recherche de la vérité que remplit le procès criminel est mieux servie par l’utilisation ou par l’exclusion d’éléments de preuve » (par. 79).  La fiabilité des éléments de preuve ainsi que leur importance pour la poursuite sont des aspects qui doivent être considérés, en tenant compte de toutes les circonstances pertinentes.</w:t>
      </w:r>
    </w:p>
    <w:p w:rsidR="00DC2386" w:rsidRPr="00DC2386" w:rsidRDefault="00DC2386" w:rsidP="00DC2386">
      <w:pPr>
        <w:pStyle w:val="ParaNoNdepar-AltN"/>
        <w:rPr>
          <w:lang w:val="fr-CA"/>
        </w:rPr>
      </w:pPr>
      <w:r w:rsidRPr="00DC2386">
        <w:rPr>
          <w:lang w:val="fr-CA"/>
        </w:rPr>
        <w:t xml:space="preserve">Pour décider si la confiance dans l’administration de la justice sera mieux préservée par l’admission ou l’exclusion de la preuve matérielle, le tribunal doit mettre en balance les implications qui ressortent de chaque étape. </w:t>
      </w:r>
    </w:p>
    <w:p w:rsidR="00DC2386" w:rsidRPr="00DC2386" w:rsidRDefault="00DC2386" w:rsidP="00DC2386">
      <w:pPr>
        <w:pStyle w:val="ParaNoNdepar-AltN"/>
        <w:rPr>
          <w:lang w:val="fr-CA"/>
        </w:rPr>
      </w:pPr>
      <w:r w:rsidRPr="00DC2386">
        <w:rPr>
          <w:lang w:val="fr-CA"/>
        </w:rPr>
        <w:lastRenderedPageBreak/>
        <w:t>À la première étape de l’analyse, j’accepte la conclusion du juge de première instance que la conduite des policiers révèle un irrespect grave des droits constitutionnels de M</w:t>
      </w:r>
      <w:r w:rsidRPr="00DC2386">
        <w:rPr>
          <w:vertAlign w:val="superscript"/>
          <w:lang w:val="fr-CA"/>
        </w:rPr>
        <w:t>me</w:t>
      </w:r>
      <w:r w:rsidRPr="00DC2386">
        <w:rPr>
          <w:lang w:val="fr-CA"/>
        </w:rPr>
        <w:t xml:space="preserve"> Côté. Le juge note le fait que les policiers ne se sont pas souciés d’obtenir un mandat ou le consentement éclairé de M</w:t>
      </w:r>
      <w:r w:rsidRPr="00DC2386">
        <w:rPr>
          <w:vertAlign w:val="superscript"/>
          <w:lang w:val="fr-CA"/>
        </w:rPr>
        <w:t>me</w:t>
      </w:r>
      <w:r w:rsidRPr="00DC2386">
        <w:rPr>
          <w:lang w:val="fr-CA"/>
        </w:rPr>
        <w:t xml:space="preserve"> Côté avant de procéder à leur perquisition initiale. Le juge semble avoir considéré que, si l’enquête avait été confiée à des policiers expérimentés, les violations des droits ne se seraient pas produites. Dans certains cas, il peut arriver que l’inexpérience d’un agent de l’État indique que les droits n’ont pas été violés délibérément, ce qui signale une conduite moins attentatoire de la part des policiers. Dans ce cas-ci, cependant, l’inexpérience des policiers ne saurait être excusée, car, selon le juge, ceux-ci auraient dû connaître les règles applicables. Ensuite, est également pertinente l’observation du juge selon laquelle la conduite policière est aggravée par leur tentative de masquer les violations constitutionnelles des droits de M</w:t>
      </w:r>
      <w:r w:rsidRPr="00DC2386">
        <w:rPr>
          <w:vertAlign w:val="superscript"/>
          <w:lang w:val="fr-CA"/>
        </w:rPr>
        <w:t>me</w:t>
      </w:r>
      <w:r w:rsidRPr="00DC2386">
        <w:rPr>
          <w:lang w:val="fr-CA"/>
        </w:rPr>
        <w:t xml:space="preserve"> Côté en invoquant des arguments que le juge estime mal fondés. La conduite policière en l’espèce est telle que les tribunaux doivent s’en dissocier. </w:t>
      </w:r>
    </w:p>
    <w:p w:rsidR="00DC2386" w:rsidRPr="00DC2386" w:rsidRDefault="00DC2386" w:rsidP="00DC2386">
      <w:pPr>
        <w:pStyle w:val="ParaNoNdepar-AltN"/>
        <w:rPr>
          <w:lang w:val="fr-CA"/>
        </w:rPr>
      </w:pPr>
      <w:r w:rsidRPr="00DC2386">
        <w:rPr>
          <w:lang w:val="fr-CA"/>
        </w:rPr>
        <w:t xml:space="preserve">Par ailleurs, pour ce qui est de la deuxième étape, il est clair que le juge de première instance n’a pas évalué la portée réelle de la violation. Le principal intérêt touché par la perquisition policière illégale est l’attente de l’intéressée en matière de respect de sa vie privée. Il s’agit ici de déterminer l’incidence de l’absence d’autorisation préalable sur cette attente. Pour ce faire, il faut comparer le cas présent à ce qu’aurait été la situation si la perquisition avait été préalablement autorisée. Il ne suffit donc pas de constater l’existence de l’atteinte à la vie privée résultant de la </w:t>
      </w:r>
      <w:r w:rsidRPr="00DC2386">
        <w:rPr>
          <w:lang w:val="fr-CA"/>
        </w:rPr>
        <w:lastRenderedPageBreak/>
        <w:t>perquisition. Cette analyse demeure certes pertinente, mais c’est surtout l’écart de gravité entre cette situation et celle où un mandat aurait été délivré qui constitue la « portée réelle de l’atteinte aux intérêts protégés »</w:t>
      </w:r>
      <w:r w:rsidRPr="00DC2386">
        <w:rPr>
          <w:i/>
          <w:lang w:val="fr-CA"/>
        </w:rPr>
        <w:t xml:space="preserve"> </w:t>
      </w:r>
      <w:r w:rsidRPr="00DC2386">
        <w:rPr>
          <w:lang w:val="fr-CA"/>
        </w:rPr>
        <w:t>(</w:t>
      </w:r>
      <w:r w:rsidRPr="00DC2386">
        <w:rPr>
          <w:i/>
          <w:lang w:val="fr-CA"/>
        </w:rPr>
        <w:t>Grant</w:t>
      </w:r>
      <w:r w:rsidRPr="00DC2386">
        <w:rPr>
          <w:lang w:val="fr-CA"/>
        </w:rPr>
        <w:t>,</w:t>
      </w:r>
      <w:r w:rsidRPr="00DC2386">
        <w:rPr>
          <w:i/>
          <w:lang w:val="fr-CA"/>
        </w:rPr>
        <w:t xml:space="preserve"> </w:t>
      </w:r>
      <w:r w:rsidRPr="00DC2386">
        <w:rPr>
          <w:lang w:val="fr-CA"/>
        </w:rPr>
        <w:t xml:space="preserve">par. 76). Il s’agit là du corollaire des conclusions précédentes suivant lesquelles un mandat aurait pu être obtenu au tout début de l’enquête et aurait permis de découvrir la preuve matérielle. </w:t>
      </w:r>
    </w:p>
    <w:p w:rsidR="00DC2386" w:rsidRPr="00DC2386" w:rsidRDefault="00DC2386" w:rsidP="00DC2386">
      <w:pPr>
        <w:pStyle w:val="ParaNoNdepar-AltN"/>
        <w:rPr>
          <w:lang w:val="fr-CA"/>
        </w:rPr>
      </w:pPr>
      <w:r w:rsidRPr="00DC2386">
        <w:rPr>
          <w:lang w:val="fr-CA"/>
        </w:rPr>
        <w:t xml:space="preserve">Aussi restreint qu’aurait pu être le mandat, il aurait à tout le moins autorisé l’examen du </w:t>
      </w:r>
      <w:proofErr w:type="spellStart"/>
      <w:r w:rsidRPr="00DC2386">
        <w:rPr>
          <w:lang w:val="fr-CA"/>
        </w:rPr>
        <w:t>gazebo</w:t>
      </w:r>
      <w:proofErr w:type="spellEnd"/>
      <w:r w:rsidRPr="00DC2386">
        <w:rPr>
          <w:lang w:val="fr-CA"/>
        </w:rPr>
        <w:t xml:space="preserve"> et de ses alentours. La portée d’une telle autorisation impliquait donc la visite de l’extérieur de la maison et d’une partie de l’intérieur de celle-ci. Par conséquent, si l’on accepte que le mandat </w:t>
      </w:r>
      <w:proofErr w:type="gramStart"/>
      <w:r w:rsidRPr="00DC2386">
        <w:rPr>
          <w:lang w:val="fr-CA"/>
        </w:rPr>
        <w:t>aurait</w:t>
      </w:r>
      <w:proofErr w:type="gramEnd"/>
      <w:r w:rsidRPr="00DC2386">
        <w:rPr>
          <w:lang w:val="fr-CA"/>
        </w:rPr>
        <w:t xml:space="preserve"> pu être décerné dès le début de l’enquête, il faut aussi accepter que M</w:t>
      </w:r>
      <w:r w:rsidRPr="00DC2386">
        <w:rPr>
          <w:vertAlign w:val="superscript"/>
          <w:lang w:val="fr-CA"/>
        </w:rPr>
        <w:t>me</w:t>
      </w:r>
      <w:r w:rsidRPr="00DC2386">
        <w:rPr>
          <w:lang w:val="fr-CA"/>
        </w:rPr>
        <w:t xml:space="preserve"> Côté aurait subi une atteinte à sa vie privée qui, concrètement, aurait été identique à celle qui découlait de la perquisition sans mandat. </w:t>
      </w:r>
    </w:p>
    <w:p w:rsidR="00DC2386" w:rsidRPr="00DC2386" w:rsidRDefault="00DC2386" w:rsidP="00DC2386">
      <w:pPr>
        <w:pStyle w:val="ParaNoNdepar-AltN"/>
        <w:rPr>
          <w:lang w:val="fr-CA"/>
        </w:rPr>
      </w:pPr>
      <w:r w:rsidRPr="00DC2386">
        <w:rPr>
          <w:lang w:val="fr-CA"/>
        </w:rPr>
        <w:t>Je suis donc d’accord avec le juge Cromwell pour dire que l’incidence de l’atteinte au droit à la vie privée se limite au fait que la perquisition n’était pas autorisée par un officier de justice (par. 84).  Son évaluation de cette incidence me semble par ailleurs contredire l’approche conceptuelle qui découle de cette prémisse. Pour déterminer la gravité de l’impact de la violation, mon collègue considère des éléments factuels qui auraient été présents si la perquisition avait été autorisée. Telle n’est pas la portée réelle de l’atteinte à l’attente en matière de vie privée qui résulte du fait que la perquisition n’était pas préalablement autorisée.</w:t>
      </w:r>
    </w:p>
    <w:p w:rsidR="00DC2386" w:rsidRPr="00DC2386" w:rsidRDefault="00DC2386" w:rsidP="00DC2386">
      <w:pPr>
        <w:pStyle w:val="ParaNoNdepar-AltN"/>
        <w:spacing w:before="0"/>
        <w:rPr>
          <w:lang w:val="fr-CA"/>
        </w:rPr>
      </w:pPr>
      <w:r w:rsidRPr="00DC2386">
        <w:rPr>
          <w:lang w:val="fr-CA"/>
        </w:rPr>
        <w:lastRenderedPageBreak/>
        <w:t xml:space="preserve">Toute personne peut, à juste titre, s’attendre à ce que l’État respecte ses droits et un tribunal ne peut agir d’une façon qui donne à penser que ces droits sont sans valeur. Même lorsque la violation n’a pas de conséquences concrètes, le tribunal doit jouer un rôle déclaratoire en matière de défense des droits constitutionnels. C’est le rôle qu’il faut retenir lorsqu’une perquisition dûment autorisée aurait eu les mêmes conséquences concrètes (voir, dans le contexte analogue du par. 24(1) de la </w:t>
      </w:r>
      <w:r w:rsidRPr="00DC2386">
        <w:rPr>
          <w:i/>
          <w:lang w:val="fr-CA"/>
        </w:rPr>
        <w:t>Charte</w:t>
      </w:r>
      <w:r w:rsidRPr="00DC2386">
        <w:rPr>
          <w:lang w:val="fr-CA"/>
        </w:rPr>
        <w:t xml:space="preserve">, </w:t>
      </w:r>
      <w:r w:rsidRPr="00DC2386">
        <w:rPr>
          <w:i/>
          <w:lang w:val="fr-CA"/>
        </w:rPr>
        <w:t xml:space="preserve">Vancouver (Ville) </w:t>
      </w:r>
      <w:r w:rsidRPr="00DC2386">
        <w:rPr>
          <w:i/>
          <w:iCs/>
          <w:lang w:val="fr-CA"/>
        </w:rPr>
        <w:t>c.</w:t>
      </w:r>
      <w:r w:rsidRPr="00DC2386">
        <w:rPr>
          <w:i/>
          <w:lang w:val="fr-CA"/>
        </w:rPr>
        <w:t xml:space="preserve"> Ward</w:t>
      </w:r>
      <w:r w:rsidRPr="00DC2386">
        <w:rPr>
          <w:lang w:val="fr-CA"/>
        </w:rPr>
        <w:t xml:space="preserve">, 2010 CSC 27, [2010] 2 R.C.S. 28). En l’espèce, le droit protégé est l’attente légitime de toute personne de ne pas faire l’objet d’une perquisition sans mandat. La perspective à partir de laquelle le tribunal évalue l’incidence de l’atteinte aux droits protégés est donc très différente lorsque la personne qui fait l’objet d’une perquisition aurait subi une intrusion identique si un mandat l’avait autorisée. Ce qui subsiste comme intérêt à protéger est ce que la Cour a, dans </w:t>
      </w:r>
      <w:r w:rsidRPr="00DC2386">
        <w:rPr>
          <w:i/>
          <w:lang w:val="fr-CA"/>
        </w:rPr>
        <w:t>Ward</w:t>
      </w:r>
      <w:r w:rsidRPr="00DC2386">
        <w:rPr>
          <w:lang w:val="fr-CA"/>
        </w:rPr>
        <w:t xml:space="preserve">, qualifié de « défense du droit, dans le sens d’affirmation des valeurs constitutionnelles » (par. 28). </w:t>
      </w:r>
    </w:p>
    <w:p w:rsidR="00DC2386" w:rsidRPr="00DC2386" w:rsidRDefault="00DC2386" w:rsidP="00DC2386">
      <w:pPr>
        <w:pStyle w:val="ParaNoNdepar-AltN"/>
        <w:rPr>
          <w:lang w:val="fr-CA"/>
        </w:rPr>
      </w:pPr>
      <w:r w:rsidRPr="00DC2386">
        <w:rPr>
          <w:lang w:val="fr-CA"/>
        </w:rPr>
        <w:t xml:space="preserve">La protection de l’attente d’une personne en matière de respect de sa vie privée est fondamentale dans l’ordre constitutionnel canadien. Pour cette raison </w:t>
      </w:r>
      <w:r w:rsidRPr="00DC2386">
        <w:rPr>
          <w:rFonts w:cs="Times New Roman"/>
          <w:lang w:val="fr-CA"/>
        </w:rPr>
        <w:t>—</w:t>
      </w:r>
      <w:r w:rsidRPr="00DC2386">
        <w:rPr>
          <w:lang w:val="fr-CA"/>
        </w:rPr>
        <w:t xml:space="preserve"> et afin de rendre compte de la portée réelle de cette attente </w:t>
      </w:r>
      <w:r w:rsidRPr="00DC2386">
        <w:rPr>
          <w:rFonts w:cs="Times New Roman"/>
          <w:lang w:val="fr-CA"/>
        </w:rPr>
        <w:t>—,</w:t>
      </w:r>
      <w:r w:rsidRPr="00DC2386">
        <w:rPr>
          <w:lang w:val="fr-CA"/>
        </w:rPr>
        <w:t xml:space="preserve"> il est particulièrement indiqué de faire preuve de nuance dans son appréciation. Plus l’attente en matière de vie privée est élevée, plus le droit constitutionnel la protégeant doit être affirmé de façon claire. Inversement, lorsque l’attente est moindre, le besoin d’affirmation est moins grand.</w:t>
      </w:r>
    </w:p>
    <w:p w:rsidR="00DC2386" w:rsidRPr="00DC2386" w:rsidRDefault="00DC2386" w:rsidP="00DC2386">
      <w:pPr>
        <w:pStyle w:val="ParaNoNdepar-AltN"/>
        <w:rPr>
          <w:lang w:val="fr-CA"/>
        </w:rPr>
      </w:pPr>
      <w:r w:rsidRPr="00DC2386">
        <w:rPr>
          <w:lang w:val="fr-CA"/>
        </w:rPr>
        <w:lastRenderedPageBreak/>
        <w:t>En l’espèce, M</w:t>
      </w:r>
      <w:r w:rsidRPr="00DC2386">
        <w:rPr>
          <w:vertAlign w:val="superscript"/>
          <w:lang w:val="fr-CA"/>
        </w:rPr>
        <w:t>me</w:t>
      </w:r>
      <w:r w:rsidRPr="00DC2386">
        <w:rPr>
          <w:lang w:val="fr-CA"/>
        </w:rPr>
        <w:t xml:space="preserve"> Côté est la personne qui a appelé le 9-1-1 et donné son adresse. C’est elle qui a contacté le médecin et indiqué qu’elle avait trouvé son conjoint dans le </w:t>
      </w:r>
      <w:proofErr w:type="spellStart"/>
      <w:r w:rsidRPr="00DC2386">
        <w:rPr>
          <w:lang w:val="fr-CA"/>
        </w:rPr>
        <w:t>gazebo</w:t>
      </w:r>
      <w:proofErr w:type="spellEnd"/>
      <w:r w:rsidRPr="00DC2386">
        <w:rPr>
          <w:lang w:val="fr-CA"/>
        </w:rPr>
        <w:t xml:space="preserve">. Elle était la première et la seule interlocutrice à laquelle les policiers pouvaient s’adresser pour connaître les faits survenus dans les moments précédant le transport en ambulance. Leur visite pouvait donc difficilement être qualifiée d’inattendue. En somme, non seulement l’intrusion aurait-elle été la même, avec ou sans mandat, mais l’attente en matière de vie privée ne se situait pas au niveau le plus élevé.  Par conséquent, les facteurs pertinents à la deuxième étape de l’analyse ne militent pas en faveur de l’exclusion de la preuve matérielle. </w:t>
      </w:r>
    </w:p>
    <w:p w:rsidR="00DC2386" w:rsidRPr="00DC2386" w:rsidRDefault="00DC2386" w:rsidP="00DC2386">
      <w:pPr>
        <w:pStyle w:val="ParaNoNdepar-AltN"/>
        <w:rPr>
          <w:rFonts w:cs="Times New Roman"/>
          <w:szCs w:val="24"/>
          <w:lang w:val="fr-CA"/>
        </w:rPr>
      </w:pPr>
      <w:r w:rsidRPr="00DC2386">
        <w:rPr>
          <w:rFonts w:cs="Times New Roman"/>
          <w:szCs w:val="24"/>
          <w:lang w:val="fr-CA"/>
        </w:rPr>
        <w:t xml:space="preserve">À l’étape de l’analyse qui consiste à se demander si la recherche de la vérité sera mieux servie par l’utilisation de la preuve ou par son exclusion, je dois noter qu’il s’agit en l’espèce d’éléments de preuve matérielle fiables. Ils ont été trouvés peu de temps après le transport de la personne blessée et recueillis à proximité du lieu présumé du crime. Bien que mon collègue </w:t>
      </w:r>
      <w:proofErr w:type="spellStart"/>
      <w:r w:rsidRPr="00DC2386">
        <w:rPr>
          <w:rFonts w:cs="Times New Roman"/>
          <w:szCs w:val="24"/>
          <w:lang w:val="fr-CA"/>
        </w:rPr>
        <w:t>recon</w:t>
      </w:r>
      <w:proofErr w:type="spellEnd"/>
      <w:r w:rsidRPr="004D4704">
        <w:rPr>
          <w:rFonts w:cs="Times New Roman"/>
          <w:szCs w:val="24"/>
          <w:lang w:val="fr-FR"/>
        </w:rPr>
        <w:t>naisse le silence du juge concernant la fiabilité de la preuve matérielle, il tient pour acquis que le juge a accordé à ce facteur le poids requis (par. 55). Avec égards pour l’opinion du juge Cromwell, je vois mal comment une telle conclusion est permise.</w:t>
      </w:r>
    </w:p>
    <w:p w:rsidR="00DC2386" w:rsidRPr="00DC2386" w:rsidRDefault="00DC2386" w:rsidP="00DC2386">
      <w:pPr>
        <w:pStyle w:val="ParaNoNdepar-AltN"/>
        <w:rPr>
          <w:lang w:val="fr-CA"/>
        </w:rPr>
      </w:pPr>
      <w:r w:rsidRPr="00DC2386">
        <w:rPr>
          <w:lang w:val="fr-CA"/>
        </w:rPr>
        <w:t xml:space="preserve">L’omission du juge de première instance de traiter de la fiabilité de la preuve s’explique peut-être par le fait qu’il appliquait le droit en vigueur avant l’arrêt </w:t>
      </w:r>
      <w:r w:rsidRPr="00DC2386">
        <w:rPr>
          <w:i/>
          <w:lang w:val="fr-CA"/>
        </w:rPr>
        <w:t>Grant</w:t>
      </w:r>
      <w:r w:rsidRPr="00DC2386">
        <w:rPr>
          <w:lang w:val="fr-CA"/>
        </w:rPr>
        <w:t xml:space="preserve">. En vertu de la grille d’analyse des arrêts </w:t>
      </w:r>
      <w:r w:rsidRPr="00DC2386">
        <w:rPr>
          <w:i/>
          <w:lang w:val="fr-CA"/>
        </w:rPr>
        <w:t xml:space="preserve">Collins </w:t>
      </w:r>
      <w:r w:rsidRPr="00DC2386">
        <w:rPr>
          <w:lang w:val="fr-CA"/>
        </w:rPr>
        <w:t>et</w:t>
      </w:r>
      <w:r w:rsidRPr="00DC2386">
        <w:rPr>
          <w:i/>
          <w:lang w:val="fr-CA"/>
        </w:rPr>
        <w:t xml:space="preserve"> </w:t>
      </w:r>
      <w:proofErr w:type="spellStart"/>
      <w:r w:rsidRPr="00DC2386">
        <w:rPr>
          <w:i/>
          <w:lang w:val="fr-CA"/>
        </w:rPr>
        <w:t>Stillman</w:t>
      </w:r>
      <w:proofErr w:type="spellEnd"/>
      <w:r w:rsidRPr="00DC2386">
        <w:rPr>
          <w:lang w:val="fr-CA"/>
        </w:rPr>
        <w:t xml:space="preserve">, la possibilité de découvrir un élément de preuve matérielle était une notion liée à la protection contre </w:t>
      </w:r>
      <w:r w:rsidRPr="00DC2386">
        <w:rPr>
          <w:lang w:val="fr-CA"/>
        </w:rPr>
        <w:lastRenderedPageBreak/>
        <w:t>l’auto-incrimination et à l’évaluation de l’équité du procès (</w:t>
      </w:r>
      <w:r w:rsidRPr="00DC2386">
        <w:rPr>
          <w:i/>
          <w:lang w:val="fr-CA"/>
        </w:rPr>
        <w:t>Grant</w:t>
      </w:r>
      <w:r w:rsidRPr="00DC2386">
        <w:rPr>
          <w:lang w:val="fr-CA"/>
        </w:rPr>
        <w:t>, par. 121). L’exclusion était quasi automatique (</w:t>
      </w:r>
      <w:r w:rsidRPr="00DC2386">
        <w:rPr>
          <w:i/>
          <w:lang w:val="fr-CA"/>
        </w:rPr>
        <w:t>Grant</w:t>
      </w:r>
      <w:r w:rsidRPr="00DC2386">
        <w:rPr>
          <w:lang w:val="fr-CA"/>
        </w:rPr>
        <w:t xml:space="preserve">, par. 64). Dans ce contexte, l’incidence de la fiabilité de la preuve était négligeable. Or, un des changements de principe apportés par l’arrêt </w:t>
      </w:r>
      <w:r w:rsidRPr="00DC2386">
        <w:rPr>
          <w:i/>
          <w:lang w:val="fr-CA"/>
        </w:rPr>
        <w:t>Grant</w:t>
      </w:r>
      <w:r w:rsidRPr="00DC2386">
        <w:rPr>
          <w:lang w:val="fr-CA"/>
        </w:rPr>
        <w:t xml:space="preserve"> est justement d’écarter l’automatisme de l’exclusion au profit d’une appréciation de toutes les circonstances.</w:t>
      </w:r>
      <w:r w:rsidRPr="00DC2386" w:rsidDel="000B10CF">
        <w:rPr>
          <w:lang w:val="fr-CA"/>
        </w:rPr>
        <w:t xml:space="preserve"> </w:t>
      </w:r>
      <w:r w:rsidRPr="00DC2386">
        <w:rPr>
          <w:lang w:val="fr-CA"/>
        </w:rPr>
        <w:t xml:space="preserve">Sur ce point, je suis d’accord avec mon collègue le juge Cromwell pour souligner que la possibilité de découvrir un élément de preuve matérielle peut être pertinente à l’égard de la décision d’exclure un élément de preuve (par. 74). Cette pertinence n’est plus limitée à la protection contre l’auto-incrimination et l’analyse de la fiabilité de la preuve est une étape incontournable. </w:t>
      </w:r>
      <w:r w:rsidRPr="00DC2386">
        <w:rPr>
          <w:rFonts w:cs="Times New Roman"/>
          <w:szCs w:val="24"/>
          <w:lang w:val="fr-CA"/>
        </w:rPr>
        <w:t xml:space="preserve"> </w:t>
      </w:r>
    </w:p>
    <w:p w:rsidR="00DC2386" w:rsidRPr="004D4704" w:rsidRDefault="00DC2386" w:rsidP="00DC2386">
      <w:pPr>
        <w:pStyle w:val="ParaNoNdepar-AltN"/>
        <w:rPr>
          <w:rFonts w:cs="Times New Roman"/>
          <w:szCs w:val="24"/>
        </w:rPr>
      </w:pPr>
      <w:r w:rsidRPr="00DC2386">
        <w:rPr>
          <w:rFonts w:cs="Times New Roman"/>
          <w:szCs w:val="24"/>
          <w:lang w:val="fr-CA"/>
        </w:rPr>
        <w:t xml:space="preserve">Compte tenu de l’absence d’examen de la question de la fiabilité de la preuve matérielle, je ne peux conclure que le juge a pris en considération l’ensemble des facteurs pertinents pour déterminer si la preuve matérielle devait être exclue. </w:t>
      </w:r>
      <w:proofErr w:type="gramStart"/>
      <w:r w:rsidRPr="004D4704">
        <w:rPr>
          <w:rFonts w:cs="Times New Roman"/>
          <w:szCs w:val="24"/>
        </w:rPr>
        <w:t>Il</w:t>
      </w:r>
      <w:proofErr w:type="gramEnd"/>
      <w:r w:rsidRPr="004D4704">
        <w:rPr>
          <w:rFonts w:cs="Times New Roman"/>
          <w:szCs w:val="24"/>
        </w:rPr>
        <w:t xml:space="preserve"> </w:t>
      </w:r>
      <w:proofErr w:type="spellStart"/>
      <w:r w:rsidRPr="004D4704">
        <w:rPr>
          <w:rFonts w:cs="Times New Roman"/>
          <w:szCs w:val="24"/>
        </w:rPr>
        <w:t>s’agit</w:t>
      </w:r>
      <w:proofErr w:type="spellEnd"/>
      <w:r w:rsidRPr="004D4704">
        <w:rPr>
          <w:rFonts w:cs="Times New Roman"/>
          <w:szCs w:val="24"/>
        </w:rPr>
        <w:t xml:space="preserve"> </w:t>
      </w:r>
      <w:proofErr w:type="spellStart"/>
      <w:r w:rsidRPr="004D4704">
        <w:rPr>
          <w:rFonts w:cs="Times New Roman"/>
          <w:szCs w:val="24"/>
        </w:rPr>
        <w:t>là</w:t>
      </w:r>
      <w:proofErr w:type="spellEnd"/>
      <w:r w:rsidRPr="004D4704">
        <w:rPr>
          <w:rFonts w:cs="Times New Roman"/>
          <w:szCs w:val="24"/>
        </w:rPr>
        <w:t xml:space="preserve">, à </w:t>
      </w:r>
      <w:proofErr w:type="spellStart"/>
      <w:r w:rsidRPr="004D4704">
        <w:rPr>
          <w:rFonts w:cs="Times New Roman"/>
          <w:szCs w:val="24"/>
        </w:rPr>
        <w:t>mon</w:t>
      </w:r>
      <w:proofErr w:type="spellEnd"/>
      <w:r w:rsidRPr="004D4704">
        <w:rPr>
          <w:rFonts w:cs="Times New Roman"/>
          <w:szCs w:val="24"/>
        </w:rPr>
        <w:t xml:space="preserve"> avis, </w:t>
      </w:r>
      <w:proofErr w:type="spellStart"/>
      <w:r w:rsidRPr="004D4704">
        <w:rPr>
          <w:rFonts w:cs="Times New Roman"/>
          <w:szCs w:val="24"/>
        </w:rPr>
        <w:t>d’une</w:t>
      </w:r>
      <w:proofErr w:type="spellEnd"/>
      <w:r w:rsidRPr="004D4704">
        <w:rPr>
          <w:rFonts w:cs="Times New Roman"/>
          <w:szCs w:val="24"/>
        </w:rPr>
        <w:t xml:space="preserve"> </w:t>
      </w:r>
      <w:proofErr w:type="spellStart"/>
      <w:r w:rsidRPr="004D4704">
        <w:rPr>
          <w:rFonts w:cs="Times New Roman"/>
          <w:szCs w:val="24"/>
        </w:rPr>
        <w:t>lacune</w:t>
      </w:r>
      <w:proofErr w:type="spellEnd"/>
      <w:r w:rsidRPr="004D4704">
        <w:rPr>
          <w:rFonts w:cs="Times New Roman"/>
          <w:szCs w:val="24"/>
        </w:rPr>
        <w:t xml:space="preserve"> grave.</w:t>
      </w:r>
    </w:p>
    <w:p w:rsidR="00DC2386" w:rsidRPr="00DC2386" w:rsidRDefault="00DC2386" w:rsidP="00DC2386">
      <w:pPr>
        <w:pStyle w:val="ParaNoNdepar-AltN"/>
        <w:rPr>
          <w:rFonts w:cs="Times New Roman"/>
          <w:szCs w:val="24"/>
          <w:lang w:val="fr-CA"/>
        </w:rPr>
      </w:pPr>
      <w:r w:rsidRPr="00DC2386">
        <w:rPr>
          <w:szCs w:val="24"/>
          <w:lang w:val="fr-CA"/>
        </w:rPr>
        <w:t>Pour ce qui est de l’importance de la preuve matérielle dans la poursuite du procès, il suffit de constater qu’il s’agit d’éléments de preuve circonstancielle. Du fait de l’exclusion des déclarations faites par M</w:t>
      </w:r>
      <w:r w:rsidRPr="00DC2386">
        <w:rPr>
          <w:szCs w:val="24"/>
          <w:vertAlign w:val="superscript"/>
          <w:lang w:val="fr-CA"/>
        </w:rPr>
        <w:t>me</w:t>
      </w:r>
      <w:r w:rsidRPr="00DC2386">
        <w:rPr>
          <w:szCs w:val="24"/>
          <w:lang w:val="fr-CA"/>
        </w:rPr>
        <w:t xml:space="preserve"> Côté aux policiers, cette preuve est la seule qui subsiste.  Son utilisation est susceptible</w:t>
      </w:r>
      <w:r w:rsidR="007C7801">
        <w:rPr>
          <w:szCs w:val="24"/>
          <w:lang w:val="fr-CA"/>
        </w:rPr>
        <w:t xml:space="preserve"> de jouer un rôle capital dans </w:t>
      </w:r>
      <w:r w:rsidRPr="00DC2386">
        <w:rPr>
          <w:szCs w:val="24"/>
          <w:lang w:val="fr-CA"/>
        </w:rPr>
        <w:t xml:space="preserve">la recherche de la vérité et la poursuite du procès. </w:t>
      </w:r>
    </w:p>
    <w:p w:rsidR="00DC2386" w:rsidRPr="00DC2386" w:rsidRDefault="00DC2386" w:rsidP="00DC2386">
      <w:pPr>
        <w:pStyle w:val="ParaNoNdepar-AltN"/>
        <w:rPr>
          <w:rFonts w:cs="Times New Roman"/>
          <w:szCs w:val="24"/>
          <w:lang w:val="fr-CA"/>
        </w:rPr>
      </w:pPr>
      <w:r w:rsidRPr="004D4704">
        <w:rPr>
          <w:rFonts w:cs="Times New Roman"/>
          <w:szCs w:val="24"/>
          <w:lang w:val="fr-FR"/>
        </w:rPr>
        <w:lastRenderedPageBreak/>
        <w:t xml:space="preserve">À l’étape de l’évaluation de l’intérêt de la société à ce que le procès suive son cours, et prenant en considération tous les faits pertinents, je ne vois aucun élément qui militerait en faveur de l’exclusion de la preuve matérielle. Bien que l’ensemble de la preuve se trouve limité à la suite de l’exclusion des déclarations </w:t>
      </w:r>
      <w:r w:rsidRPr="00DC2386">
        <w:rPr>
          <w:szCs w:val="24"/>
          <w:lang w:val="fr-CA"/>
        </w:rPr>
        <w:t>faites par M</w:t>
      </w:r>
      <w:r w:rsidRPr="00DC2386">
        <w:rPr>
          <w:szCs w:val="24"/>
          <w:vertAlign w:val="superscript"/>
          <w:lang w:val="fr-CA"/>
        </w:rPr>
        <w:t>me</w:t>
      </w:r>
      <w:r w:rsidRPr="00DC2386">
        <w:rPr>
          <w:szCs w:val="24"/>
          <w:lang w:val="fr-CA"/>
        </w:rPr>
        <w:t xml:space="preserve"> Côté aux policiers</w:t>
      </w:r>
      <w:r w:rsidRPr="004D4704">
        <w:rPr>
          <w:rFonts w:cs="Times New Roman"/>
          <w:szCs w:val="24"/>
          <w:lang w:val="fr-FR"/>
        </w:rPr>
        <w:t xml:space="preserve">, il subsiste tout de même </w:t>
      </w:r>
      <w:r w:rsidRPr="00DC2386">
        <w:rPr>
          <w:rFonts w:cs="Times New Roman"/>
          <w:szCs w:val="24"/>
          <w:lang w:val="fr-CA"/>
        </w:rPr>
        <w:t xml:space="preserve">des éléments de preuve fiables, que la poursuite pourrait juger suffisants pour mener le procès à terme. </w:t>
      </w:r>
    </w:p>
    <w:p w:rsidR="00DC2386" w:rsidRPr="00DC2386" w:rsidRDefault="00DC2386" w:rsidP="00DC2386">
      <w:pPr>
        <w:pStyle w:val="ParaNoNdepar-AltN"/>
        <w:rPr>
          <w:rFonts w:cs="Times New Roman"/>
          <w:szCs w:val="24"/>
          <w:lang w:val="fr-CA"/>
        </w:rPr>
      </w:pPr>
      <w:r w:rsidRPr="00DC2386">
        <w:rPr>
          <w:rFonts w:cs="Times New Roman"/>
          <w:szCs w:val="24"/>
          <w:lang w:val="fr-CA"/>
        </w:rPr>
        <w:t>Après avoir procédé à chacune des trois étapes, le tribunal doit mettre en balance les facteurs favorables et défavorables à l’exclusion de la preuve. Il s’agit d’un examen qualitatif et non quantitatif (</w:t>
      </w:r>
      <w:r w:rsidRPr="00DC2386">
        <w:rPr>
          <w:rFonts w:cs="Times New Roman"/>
          <w:i/>
          <w:szCs w:val="24"/>
          <w:lang w:val="fr-CA"/>
        </w:rPr>
        <w:t>R. c. Harrison</w:t>
      </w:r>
      <w:r w:rsidRPr="00DC2386">
        <w:rPr>
          <w:rFonts w:cs="Times New Roman"/>
          <w:szCs w:val="24"/>
          <w:lang w:val="fr-CA"/>
        </w:rPr>
        <w:t xml:space="preserve">, 2009 CSC 34, [2009] 2 R.C.S. 494, par. 36).   </w:t>
      </w:r>
    </w:p>
    <w:p w:rsidR="00DC2386" w:rsidRPr="00DC2386" w:rsidRDefault="00DC2386" w:rsidP="00DC2386">
      <w:pPr>
        <w:pStyle w:val="ParaNoNdepar-AltN"/>
        <w:rPr>
          <w:lang w:val="fr-CA"/>
        </w:rPr>
      </w:pPr>
      <w:r w:rsidRPr="00DC2386">
        <w:rPr>
          <w:rFonts w:cs="Times New Roman"/>
          <w:szCs w:val="24"/>
          <w:lang w:val="fr-CA"/>
        </w:rPr>
        <w:t>Considérée globalement, l’inconduite policière constatée en l’esp</w:t>
      </w:r>
      <w:r w:rsidRPr="00DC2386">
        <w:rPr>
          <w:lang w:val="fr-CA"/>
        </w:rPr>
        <w:t>èce</w:t>
      </w:r>
      <w:r w:rsidRPr="00DC2386">
        <w:rPr>
          <w:rFonts w:cs="Times New Roman"/>
          <w:szCs w:val="24"/>
          <w:lang w:val="fr-CA"/>
        </w:rPr>
        <w:t xml:space="preserve"> est grave et commande que les tribunaux s’en dissocient.  Il est cependant possible de se dissocier des violations constitutionnelles qui ont été commises sans pour autant exclure </w:t>
      </w:r>
      <w:r w:rsidRPr="00DC2386">
        <w:rPr>
          <w:rFonts w:cs="Times New Roman"/>
          <w:i/>
          <w:szCs w:val="24"/>
          <w:lang w:val="fr-CA"/>
        </w:rPr>
        <w:t xml:space="preserve">l’ensemble </w:t>
      </w:r>
      <w:r w:rsidRPr="00DC2386">
        <w:rPr>
          <w:rFonts w:cs="Times New Roman"/>
          <w:szCs w:val="24"/>
          <w:lang w:val="fr-CA"/>
        </w:rPr>
        <w:t xml:space="preserve">de la preuve. L’atteinte aux droits constitutionnels n’atteint pas ici le niveau de gravité </w:t>
      </w:r>
      <w:r w:rsidRPr="004D4704">
        <w:rPr>
          <w:rFonts w:cs="Times New Roman"/>
          <w:szCs w:val="24"/>
          <w:lang w:val="fr-FR"/>
        </w:rPr>
        <w:t>le</w:t>
      </w:r>
      <w:r w:rsidRPr="00DC2386">
        <w:rPr>
          <w:lang w:val="fr-CA"/>
        </w:rPr>
        <w:t xml:space="preserve"> plus élevé. De plus, en présence de preuves fiables et importantes, l’intérêt de la société dans la recherche de la vérité ressort. Dans l’ensemble, je ne peux que conclure que, dans le cas qui nous occupe, c’est l’exclusion de la preuve matérielle qui déconsidérerait l’administration de la justice.</w:t>
      </w:r>
    </w:p>
    <w:p w:rsidR="00DC2386" w:rsidRPr="00DC2386" w:rsidRDefault="00DC2386" w:rsidP="00DC2386">
      <w:pPr>
        <w:pStyle w:val="ParaNoNdepar-AltN"/>
        <w:rPr>
          <w:lang w:val="fr-CA"/>
        </w:rPr>
      </w:pPr>
      <w:r w:rsidRPr="00DC2386">
        <w:rPr>
          <w:lang w:val="fr-CA"/>
        </w:rPr>
        <w:t>Pour ces motifs, je rejetterais l’appel.</w:t>
      </w:r>
    </w:p>
    <w:p w:rsidR="0033393C" w:rsidRPr="00F71710" w:rsidRDefault="00A9684F" w:rsidP="00C65C25">
      <w:pPr>
        <w:pStyle w:val="SCCNormalDoubleSpacing"/>
        <w:spacing w:after="480"/>
        <w:rPr>
          <w:i/>
        </w:rPr>
      </w:pPr>
      <w:r w:rsidRPr="00F71710">
        <w:rPr>
          <w:i/>
        </w:rPr>
        <w:lastRenderedPageBreak/>
        <w:tab/>
      </w:r>
      <w:r w:rsidR="00F25118" w:rsidRPr="00F71710">
        <w:rPr>
          <w:i/>
        </w:rPr>
        <w:t>Pourvoi</w:t>
      </w:r>
      <w:r w:rsidRPr="00F71710">
        <w:rPr>
          <w:i/>
        </w:rPr>
        <w:t xml:space="preserve"> </w:t>
      </w:r>
      <w:r w:rsidR="00264014" w:rsidRPr="00F71710">
        <w:rPr>
          <w:i/>
        </w:rPr>
        <w:t>accueilli</w:t>
      </w:r>
      <w:r w:rsidRPr="00F71710">
        <w:rPr>
          <w:i/>
        </w:rPr>
        <w:t xml:space="preserve">, la juge </w:t>
      </w:r>
      <w:r w:rsidRPr="00F71710">
        <w:rPr>
          <w:smallCaps/>
        </w:rPr>
        <w:t>Deschamps</w:t>
      </w:r>
      <w:r w:rsidRPr="00F71710">
        <w:rPr>
          <w:i/>
        </w:rPr>
        <w:t xml:space="preserve"> </w:t>
      </w:r>
      <w:r w:rsidR="002D118A" w:rsidRPr="00F71710">
        <w:rPr>
          <w:i/>
        </w:rPr>
        <w:t xml:space="preserve">est </w:t>
      </w:r>
      <w:r w:rsidRPr="00F71710">
        <w:rPr>
          <w:i/>
        </w:rPr>
        <w:t>dissidente.</w:t>
      </w:r>
    </w:p>
    <w:p w:rsidR="00F25118" w:rsidRPr="00F71710" w:rsidRDefault="00F25118" w:rsidP="00CB7A9C">
      <w:pPr>
        <w:pStyle w:val="SCCNormalDoubleSpacing"/>
        <w:spacing w:after="480"/>
        <w:rPr>
          <w:i/>
        </w:rPr>
      </w:pPr>
      <w:r w:rsidRPr="00F71710">
        <w:rPr>
          <w:i/>
        </w:rPr>
        <w:tab/>
        <w:t>Procureur de l</w:t>
      </w:r>
      <w:r w:rsidR="002C7CFB">
        <w:rPr>
          <w:i/>
        </w:rPr>
        <w:t>’</w:t>
      </w:r>
      <w:r w:rsidRPr="00F71710">
        <w:rPr>
          <w:i/>
        </w:rPr>
        <w:t>appelante</w:t>
      </w:r>
      <w:r w:rsidR="00C65C25" w:rsidRPr="00F71710">
        <w:rPr>
          <w:i/>
        </w:rPr>
        <w:t> </w:t>
      </w:r>
      <w:r w:rsidR="00F222D3" w:rsidRPr="00F71710">
        <w:rPr>
          <w:i/>
        </w:rPr>
        <w:t>: </w:t>
      </w:r>
      <w:r w:rsidRPr="00F71710">
        <w:rPr>
          <w:i/>
        </w:rPr>
        <w:t xml:space="preserve">Centre communautaire juridique de la </w:t>
      </w:r>
      <w:proofErr w:type="spellStart"/>
      <w:r w:rsidRPr="00F71710">
        <w:rPr>
          <w:i/>
        </w:rPr>
        <w:t>Rive</w:t>
      </w:r>
      <w:r w:rsidR="00C65C25" w:rsidRPr="00F71710">
        <w:rPr>
          <w:i/>
        </w:rPr>
        <w:noBreakHyphen/>
      </w:r>
      <w:r w:rsidRPr="00F71710">
        <w:rPr>
          <w:i/>
        </w:rPr>
        <w:t>Sud</w:t>
      </w:r>
      <w:proofErr w:type="spellEnd"/>
      <w:r w:rsidRPr="00F71710">
        <w:rPr>
          <w:i/>
        </w:rPr>
        <w:t>, Longueuil.</w:t>
      </w:r>
    </w:p>
    <w:p w:rsidR="00F25118" w:rsidRPr="00F71710" w:rsidRDefault="00F25118" w:rsidP="00CB7A9C">
      <w:pPr>
        <w:pStyle w:val="SCCNormalDoubleSpacing"/>
        <w:spacing w:after="480"/>
        <w:rPr>
          <w:i/>
        </w:rPr>
      </w:pPr>
      <w:r w:rsidRPr="00F71710">
        <w:rPr>
          <w:i/>
        </w:rPr>
        <w:tab/>
        <w:t>Procureur de l</w:t>
      </w:r>
      <w:r w:rsidR="002C7CFB">
        <w:rPr>
          <w:i/>
        </w:rPr>
        <w:t>’</w:t>
      </w:r>
      <w:r w:rsidRPr="00F71710">
        <w:rPr>
          <w:i/>
        </w:rPr>
        <w:t>intimée</w:t>
      </w:r>
      <w:r w:rsidR="00C65C25" w:rsidRPr="00F71710">
        <w:rPr>
          <w:i/>
        </w:rPr>
        <w:t> </w:t>
      </w:r>
      <w:r w:rsidR="00F222D3" w:rsidRPr="00F71710">
        <w:rPr>
          <w:i/>
        </w:rPr>
        <w:t>: </w:t>
      </w:r>
      <w:r w:rsidR="00CF25FA" w:rsidRPr="00F71710">
        <w:rPr>
          <w:i/>
        </w:rPr>
        <w:t>Directeur des p</w:t>
      </w:r>
      <w:r w:rsidRPr="00F71710">
        <w:rPr>
          <w:i/>
        </w:rPr>
        <w:t>oursuites criminelles et pénales du Québec, Longueuil.</w:t>
      </w:r>
    </w:p>
    <w:p w:rsidR="0043088E" w:rsidRPr="00F71710" w:rsidRDefault="00F25118" w:rsidP="00DC2386">
      <w:pPr>
        <w:pStyle w:val="SCCNormalDoubleSpacing"/>
        <w:spacing w:after="480"/>
        <w:rPr>
          <w:lang w:val="en-CA"/>
        </w:rPr>
      </w:pPr>
      <w:r w:rsidRPr="00F71710">
        <w:rPr>
          <w:i/>
        </w:rPr>
        <w:tab/>
        <w:t>Procureurs de l</w:t>
      </w:r>
      <w:r w:rsidR="002C7CFB">
        <w:rPr>
          <w:i/>
        </w:rPr>
        <w:t>’</w:t>
      </w:r>
      <w:r w:rsidRPr="00F71710">
        <w:rPr>
          <w:i/>
        </w:rPr>
        <w:t>intervenante</w:t>
      </w:r>
      <w:r w:rsidR="00C65C25" w:rsidRPr="00F71710">
        <w:rPr>
          <w:i/>
        </w:rPr>
        <w:t> </w:t>
      </w:r>
      <w:r w:rsidR="00F222D3" w:rsidRPr="00F71710">
        <w:rPr>
          <w:i/>
        </w:rPr>
        <w:t>: </w:t>
      </w:r>
      <w:proofErr w:type="spellStart"/>
      <w:r w:rsidRPr="00F71710">
        <w:rPr>
          <w:i/>
        </w:rPr>
        <w:t>Sack</w:t>
      </w:r>
      <w:proofErr w:type="spellEnd"/>
      <w:r w:rsidRPr="00F71710">
        <w:rPr>
          <w:i/>
        </w:rPr>
        <w:t xml:space="preserve"> </w:t>
      </w:r>
      <w:proofErr w:type="spellStart"/>
      <w:r w:rsidRPr="00F71710">
        <w:rPr>
          <w:i/>
        </w:rPr>
        <w:t>Goldblatt</w:t>
      </w:r>
      <w:proofErr w:type="spellEnd"/>
      <w:r w:rsidRPr="00F71710">
        <w:rPr>
          <w:i/>
        </w:rPr>
        <w:t xml:space="preserve"> Mitchell, Toronto.</w:t>
      </w:r>
      <w:r w:rsidR="00DC2386" w:rsidRPr="00F71710">
        <w:rPr>
          <w:lang w:val="en-CA"/>
        </w:rPr>
        <w:t xml:space="preserve"> </w:t>
      </w:r>
    </w:p>
    <w:sectPr w:rsidR="0043088E" w:rsidRPr="00F71710" w:rsidSect="0095059F">
      <w:headerReference w:type="even" r:id="rId10"/>
      <w:headerReference w:type="default" r:id="rId11"/>
      <w:footerReference w:type="even" r:id="rId12"/>
      <w:footerReference w:type="default" r:id="rId13"/>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36D" w:rsidRDefault="0088336D">
      <w:r>
        <w:separator/>
      </w:r>
    </w:p>
  </w:endnote>
  <w:endnote w:type="continuationSeparator" w:id="0">
    <w:p w:rsidR="0088336D" w:rsidRDefault="008833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36D" w:rsidRDefault="0088336D">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36D" w:rsidRDefault="0088336D">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36D" w:rsidRDefault="0088336D">
      <w:r>
        <w:separator/>
      </w:r>
    </w:p>
  </w:footnote>
  <w:footnote w:type="continuationSeparator" w:id="0">
    <w:p w:rsidR="0088336D" w:rsidRDefault="008833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36D" w:rsidRDefault="0088336D">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48501"/>
      <w:docPartObj>
        <w:docPartGallery w:val="Page Numbers (Top of Page)"/>
        <w:docPartUnique/>
      </w:docPartObj>
    </w:sdtPr>
    <w:sdtContent>
      <w:p w:rsidR="0088336D" w:rsidRDefault="0088336D">
        <w:pPr>
          <w:pStyle w:val="Header"/>
          <w:jc w:val="center"/>
        </w:pPr>
        <w:r>
          <w:t xml:space="preserve">- </w:t>
        </w:r>
        <w:fldSimple w:instr=" PAGE   \* MERGEFORMAT ">
          <w:r w:rsidR="00E37019">
            <w:rPr>
              <w:noProof/>
            </w:rPr>
            <w:t>2</w:t>
          </w:r>
        </w:fldSimple>
        <w:r>
          <w:t xml:space="preserve"> -</w:t>
        </w:r>
      </w:p>
    </w:sdtContent>
  </w:sdt>
  <w:p w:rsidR="0088336D" w:rsidRDefault="008833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4">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4283EE8"/>
    <w:multiLevelType w:val="multilevel"/>
    <w:tmpl w:val="65946C68"/>
    <w:lvl w:ilvl="0">
      <w:start w:val="1"/>
      <w:numFmt w:val="decimal"/>
      <w:pStyle w:val="ParaNoNdepar-AltN"/>
      <w:lvlText w:val="[%1]"/>
      <w:lvlJc w:val="left"/>
      <w:pPr>
        <w:tabs>
          <w:tab w:val="num" w:pos="1152"/>
        </w:tabs>
        <w:ind w:left="0" w:firstLine="0"/>
      </w:pPr>
      <w:rPr>
        <w:rFonts w:ascii="Times New Roman" w:hAnsi="Times New Roman" w:hint="default"/>
        <w:sz w:val="24"/>
        <w:lang w:val="fr-CA"/>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5"/>
  </w:num>
  <w:num w:numId="2">
    <w:abstractNumId w:val="16"/>
  </w:num>
  <w:num w:numId="3">
    <w:abstractNumId w:val="11"/>
  </w:num>
  <w:num w:numId="4">
    <w:abstractNumId w:val="10"/>
  </w:num>
  <w:num w:numId="5">
    <w:abstractNumId w:val="13"/>
  </w:num>
  <w:num w:numId="6">
    <w:abstractNumId w:val="14"/>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11617"/>
  </w:hdrShapeDefaults>
  <w:footnotePr>
    <w:footnote w:id="-1"/>
    <w:footnote w:id="0"/>
  </w:footnotePr>
  <w:endnotePr>
    <w:endnote w:id="-1"/>
    <w:endnote w:id="0"/>
  </w:endnotePr>
  <w:compat/>
  <w:rsids>
    <w:rsidRoot w:val="0031414C"/>
    <w:rsid w:val="00025198"/>
    <w:rsid w:val="00042F66"/>
    <w:rsid w:val="00052F4B"/>
    <w:rsid w:val="00055A36"/>
    <w:rsid w:val="00056875"/>
    <w:rsid w:val="000578A3"/>
    <w:rsid w:val="00064563"/>
    <w:rsid w:val="000648CC"/>
    <w:rsid w:val="00080395"/>
    <w:rsid w:val="00082674"/>
    <w:rsid w:val="0009304C"/>
    <w:rsid w:val="00094DE0"/>
    <w:rsid w:val="00096EE7"/>
    <w:rsid w:val="000A5321"/>
    <w:rsid w:val="000B50C7"/>
    <w:rsid w:val="000C07F3"/>
    <w:rsid w:val="000C59B8"/>
    <w:rsid w:val="000D7D17"/>
    <w:rsid w:val="00100DFF"/>
    <w:rsid w:val="00111DE2"/>
    <w:rsid w:val="00116B38"/>
    <w:rsid w:val="001177A6"/>
    <w:rsid w:val="00126145"/>
    <w:rsid w:val="0013109F"/>
    <w:rsid w:val="00135406"/>
    <w:rsid w:val="00135972"/>
    <w:rsid w:val="00140667"/>
    <w:rsid w:val="001426A9"/>
    <w:rsid w:val="001436F2"/>
    <w:rsid w:val="00154D7C"/>
    <w:rsid w:val="001555FA"/>
    <w:rsid w:val="001570B0"/>
    <w:rsid w:val="001621DE"/>
    <w:rsid w:val="00171928"/>
    <w:rsid w:val="00172A04"/>
    <w:rsid w:val="00175A97"/>
    <w:rsid w:val="0017692D"/>
    <w:rsid w:val="00185394"/>
    <w:rsid w:val="001966C1"/>
    <w:rsid w:val="001A451D"/>
    <w:rsid w:val="001B0C96"/>
    <w:rsid w:val="001B33E0"/>
    <w:rsid w:val="001B4573"/>
    <w:rsid w:val="001C779F"/>
    <w:rsid w:val="001D2AC1"/>
    <w:rsid w:val="001E5FD1"/>
    <w:rsid w:val="001F7673"/>
    <w:rsid w:val="00200148"/>
    <w:rsid w:val="00204A55"/>
    <w:rsid w:val="00210CA7"/>
    <w:rsid w:val="00217CAE"/>
    <w:rsid w:val="00220FC2"/>
    <w:rsid w:val="00224FC0"/>
    <w:rsid w:val="00225EA4"/>
    <w:rsid w:val="00226EAF"/>
    <w:rsid w:val="00231F3A"/>
    <w:rsid w:val="002406EE"/>
    <w:rsid w:val="00247526"/>
    <w:rsid w:val="00252271"/>
    <w:rsid w:val="002578AC"/>
    <w:rsid w:val="00264014"/>
    <w:rsid w:val="00266B76"/>
    <w:rsid w:val="002745CC"/>
    <w:rsid w:val="002965EB"/>
    <w:rsid w:val="002C7CFB"/>
    <w:rsid w:val="002D118A"/>
    <w:rsid w:val="002D39A4"/>
    <w:rsid w:val="002E6705"/>
    <w:rsid w:val="002F0788"/>
    <w:rsid w:val="002F286E"/>
    <w:rsid w:val="002F696C"/>
    <w:rsid w:val="0030329A"/>
    <w:rsid w:val="00307AFD"/>
    <w:rsid w:val="0031086F"/>
    <w:rsid w:val="00310E05"/>
    <w:rsid w:val="0031414C"/>
    <w:rsid w:val="00314E01"/>
    <w:rsid w:val="0032089D"/>
    <w:rsid w:val="0033393C"/>
    <w:rsid w:val="0034770C"/>
    <w:rsid w:val="0035259D"/>
    <w:rsid w:val="0035741B"/>
    <w:rsid w:val="00380DAC"/>
    <w:rsid w:val="00384DE7"/>
    <w:rsid w:val="003866EC"/>
    <w:rsid w:val="00394476"/>
    <w:rsid w:val="003A4C70"/>
    <w:rsid w:val="003A4E15"/>
    <w:rsid w:val="003C5AF4"/>
    <w:rsid w:val="003C799C"/>
    <w:rsid w:val="003E1C71"/>
    <w:rsid w:val="003F327B"/>
    <w:rsid w:val="004059A7"/>
    <w:rsid w:val="00406166"/>
    <w:rsid w:val="00411300"/>
    <w:rsid w:val="00426659"/>
    <w:rsid w:val="0043088E"/>
    <w:rsid w:val="004439D8"/>
    <w:rsid w:val="00445D75"/>
    <w:rsid w:val="00465132"/>
    <w:rsid w:val="00472CB8"/>
    <w:rsid w:val="00480C90"/>
    <w:rsid w:val="0048396F"/>
    <w:rsid w:val="00493C18"/>
    <w:rsid w:val="00494CDC"/>
    <w:rsid w:val="00495623"/>
    <w:rsid w:val="004963ED"/>
    <w:rsid w:val="004A0841"/>
    <w:rsid w:val="004A600C"/>
    <w:rsid w:val="004C478D"/>
    <w:rsid w:val="004E36F3"/>
    <w:rsid w:val="004E6A2C"/>
    <w:rsid w:val="004F1D70"/>
    <w:rsid w:val="00521AE8"/>
    <w:rsid w:val="00527180"/>
    <w:rsid w:val="00536719"/>
    <w:rsid w:val="005564A7"/>
    <w:rsid w:val="005C0DFC"/>
    <w:rsid w:val="005E4400"/>
    <w:rsid w:val="005E4698"/>
    <w:rsid w:val="005E742A"/>
    <w:rsid w:val="0061677E"/>
    <w:rsid w:val="00625C35"/>
    <w:rsid w:val="00634E1B"/>
    <w:rsid w:val="00645057"/>
    <w:rsid w:val="00654858"/>
    <w:rsid w:val="006565F4"/>
    <w:rsid w:val="00673E0A"/>
    <w:rsid w:val="00681AD1"/>
    <w:rsid w:val="00681D69"/>
    <w:rsid w:val="006A56F1"/>
    <w:rsid w:val="006A70A2"/>
    <w:rsid w:val="006B5FF5"/>
    <w:rsid w:val="006C5661"/>
    <w:rsid w:val="006D4790"/>
    <w:rsid w:val="006E7471"/>
    <w:rsid w:val="00701759"/>
    <w:rsid w:val="00702C6F"/>
    <w:rsid w:val="007121CA"/>
    <w:rsid w:val="00715BFD"/>
    <w:rsid w:val="00732414"/>
    <w:rsid w:val="0074396C"/>
    <w:rsid w:val="007466F0"/>
    <w:rsid w:val="00747288"/>
    <w:rsid w:val="00747DD3"/>
    <w:rsid w:val="00752F4E"/>
    <w:rsid w:val="007549C8"/>
    <w:rsid w:val="00762D30"/>
    <w:rsid w:val="00763377"/>
    <w:rsid w:val="00766D14"/>
    <w:rsid w:val="00767A0F"/>
    <w:rsid w:val="007834A8"/>
    <w:rsid w:val="007A05F6"/>
    <w:rsid w:val="007B42F0"/>
    <w:rsid w:val="007B6F4A"/>
    <w:rsid w:val="007C7801"/>
    <w:rsid w:val="007E1C47"/>
    <w:rsid w:val="007E337A"/>
    <w:rsid w:val="007E45A5"/>
    <w:rsid w:val="007E5C70"/>
    <w:rsid w:val="007F2FF5"/>
    <w:rsid w:val="007F3DE7"/>
    <w:rsid w:val="007F75A6"/>
    <w:rsid w:val="00817190"/>
    <w:rsid w:val="0083003D"/>
    <w:rsid w:val="008322BD"/>
    <w:rsid w:val="00855307"/>
    <w:rsid w:val="00862CF3"/>
    <w:rsid w:val="00864CF8"/>
    <w:rsid w:val="00874914"/>
    <w:rsid w:val="0088336D"/>
    <w:rsid w:val="00892E1A"/>
    <w:rsid w:val="008958F5"/>
    <w:rsid w:val="008A6558"/>
    <w:rsid w:val="008A71C1"/>
    <w:rsid w:val="008A727C"/>
    <w:rsid w:val="008C01DA"/>
    <w:rsid w:val="008F16D9"/>
    <w:rsid w:val="008F515E"/>
    <w:rsid w:val="008F51B5"/>
    <w:rsid w:val="008F78E9"/>
    <w:rsid w:val="00902462"/>
    <w:rsid w:val="0090593C"/>
    <w:rsid w:val="00914B22"/>
    <w:rsid w:val="0093249D"/>
    <w:rsid w:val="009403F3"/>
    <w:rsid w:val="009455EF"/>
    <w:rsid w:val="00950083"/>
    <w:rsid w:val="0095059F"/>
    <w:rsid w:val="00957FA2"/>
    <w:rsid w:val="00966913"/>
    <w:rsid w:val="00967374"/>
    <w:rsid w:val="0097543E"/>
    <w:rsid w:val="00983F3F"/>
    <w:rsid w:val="00985654"/>
    <w:rsid w:val="00985C69"/>
    <w:rsid w:val="0099079B"/>
    <w:rsid w:val="00990954"/>
    <w:rsid w:val="009B2F23"/>
    <w:rsid w:val="009B53E2"/>
    <w:rsid w:val="009B57B3"/>
    <w:rsid w:val="009D5AEB"/>
    <w:rsid w:val="009E0C02"/>
    <w:rsid w:val="009F383F"/>
    <w:rsid w:val="009F419D"/>
    <w:rsid w:val="00A00D87"/>
    <w:rsid w:val="00A05F0E"/>
    <w:rsid w:val="00A21107"/>
    <w:rsid w:val="00A21688"/>
    <w:rsid w:val="00A21B90"/>
    <w:rsid w:val="00A24E15"/>
    <w:rsid w:val="00A31608"/>
    <w:rsid w:val="00A548CB"/>
    <w:rsid w:val="00A6242E"/>
    <w:rsid w:val="00A643E7"/>
    <w:rsid w:val="00A73C38"/>
    <w:rsid w:val="00A9684F"/>
    <w:rsid w:val="00AA3182"/>
    <w:rsid w:val="00AA37A0"/>
    <w:rsid w:val="00AB5637"/>
    <w:rsid w:val="00AC6322"/>
    <w:rsid w:val="00AC7437"/>
    <w:rsid w:val="00AC7A44"/>
    <w:rsid w:val="00AF03C5"/>
    <w:rsid w:val="00B000D8"/>
    <w:rsid w:val="00B00F75"/>
    <w:rsid w:val="00B03445"/>
    <w:rsid w:val="00B10290"/>
    <w:rsid w:val="00B1337C"/>
    <w:rsid w:val="00B145B6"/>
    <w:rsid w:val="00B33F70"/>
    <w:rsid w:val="00B35357"/>
    <w:rsid w:val="00B50C81"/>
    <w:rsid w:val="00B557F8"/>
    <w:rsid w:val="00B64972"/>
    <w:rsid w:val="00B66DD8"/>
    <w:rsid w:val="00B72281"/>
    <w:rsid w:val="00B757E2"/>
    <w:rsid w:val="00B8145D"/>
    <w:rsid w:val="00B815FC"/>
    <w:rsid w:val="00B93959"/>
    <w:rsid w:val="00B93FBC"/>
    <w:rsid w:val="00BA26A0"/>
    <w:rsid w:val="00BD39A8"/>
    <w:rsid w:val="00C02092"/>
    <w:rsid w:val="00C057F7"/>
    <w:rsid w:val="00C06594"/>
    <w:rsid w:val="00C0663B"/>
    <w:rsid w:val="00C155F9"/>
    <w:rsid w:val="00C24C8C"/>
    <w:rsid w:val="00C24D91"/>
    <w:rsid w:val="00C52532"/>
    <w:rsid w:val="00C53F14"/>
    <w:rsid w:val="00C55C2E"/>
    <w:rsid w:val="00C600CF"/>
    <w:rsid w:val="00C6084F"/>
    <w:rsid w:val="00C62A66"/>
    <w:rsid w:val="00C62A6F"/>
    <w:rsid w:val="00C65C25"/>
    <w:rsid w:val="00C67CA5"/>
    <w:rsid w:val="00C71458"/>
    <w:rsid w:val="00C71F58"/>
    <w:rsid w:val="00C77613"/>
    <w:rsid w:val="00C828E7"/>
    <w:rsid w:val="00C921DD"/>
    <w:rsid w:val="00CA240F"/>
    <w:rsid w:val="00CA4D82"/>
    <w:rsid w:val="00CA6391"/>
    <w:rsid w:val="00CB7A9C"/>
    <w:rsid w:val="00CD2067"/>
    <w:rsid w:val="00CE3171"/>
    <w:rsid w:val="00CF1601"/>
    <w:rsid w:val="00CF25FA"/>
    <w:rsid w:val="00CF6E18"/>
    <w:rsid w:val="00D010E4"/>
    <w:rsid w:val="00D0317A"/>
    <w:rsid w:val="00D213F1"/>
    <w:rsid w:val="00D26B31"/>
    <w:rsid w:val="00D32086"/>
    <w:rsid w:val="00D33056"/>
    <w:rsid w:val="00D37A3F"/>
    <w:rsid w:val="00D42228"/>
    <w:rsid w:val="00D45FCF"/>
    <w:rsid w:val="00D4667A"/>
    <w:rsid w:val="00D510BB"/>
    <w:rsid w:val="00D5435D"/>
    <w:rsid w:val="00D74F2E"/>
    <w:rsid w:val="00D85644"/>
    <w:rsid w:val="00DA0590"/>
    <w:rsid w:val="00DC1788"/>
    <w:rsid w:val="00DC2386"/>
    <w:rsid w:val="00DE4898"/>
    <w:rsid w:val="00DF0CA8"/>
    <w:rsid w:val="00DF49A7"/>
    <w:rsid w:val="00E01106"/>
    <w:rsid w:val="00E068F6"/>
    <w:rsid w:val="00E07EE2"/>
    <w:rsid w:val="00E24573"/>
    <w:rsid w:val="00E30D9E"/>
    <w:rsid w:val="00E37019"/>
    <w:rsid w:val="00E377A1"/>
    <w:rsid w:val="00E45109"/>
    <w:rsid w:val="00E54B02"/>
    <w:rsid w:val="00E93373"/>
    <w:rsid w:val="00E95E71"/>
    <w:rsid w:val="00E97830"/>
    <w:rsid w:val="00EA03E5"/>
    <w:rsid w:val="00EC0067"/>
    <w:rsid w:val="00EC75FF"/>
    <w:rsid w:val="00EE0FAF"/>
    <w:rsid w:val="00F00EB7"/>
    <w:rsid w:val="00F04BD4"/>
    <w:rsid w:val="00F05715"/>
    <w:rsid w:val="00F1388F"/>
    <w:rsid w:val="00F171C5"/>
    <w:rsid w:val="00F222D3"/>
    <w:rsid w:val="00F2258E"/>
    <w:rsid w:val="00F25118"/>
    <w:rsid w:val="00F33658"/>
    <w:rsid w:val="00F36AB6"/>
    <w:rsid w:val="00F409CE"/>
    <w:rsid w:val="00F423BC"/>
    <w:rsid w:val="00F63906"/>
    <w:rsid w:val="00F66D35"/>
    <w:rsid w:val="00F71710"/>
    <w:rsid w:val="00F84DF4"/>
    <w:rsid w:val="00F853FB"/>
    <w:rsid w:val="00F85C97"/>
    <w:rsid w:val="00F949D9"/>
    <w:rsid w:val="00FA2FE1"/>
    <w:rsid w:val="00FC606D"/>
    <w:rsid w:val="00FD068D"/>
    <w:rsid w:val="00FD4F28"/>
    <w:rsid w:val="00FE4B4D"/>
    <w:rsid w:val="00FE6784"/>
    <w:rsid w:val="00FE72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F0E"/>
    <w:rPr>
      <w:sz w:val="24"/>
      <w:lang w:val="fr-CA"/>
    </w:rPr>
  </w:style>
  <w:style w:type="paragraph" w:styleId="Heading1">
    <w:name w:val="heading 1"/>
    <w:basedOn w:val="Normal"/>
    <w:next w:val="Normal"/>
    <w:link w:val="Heading1Char"/>
    <w:uiPriority w:val="2"/>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AC6322"/>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AC6322"/>
    <w:rPr>
      <w:sz w:val="24"/>
      <w:lang w:val="fr-CA"/>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2"/>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paragraph" w:customStyle="1" w:styleId="SCCCounselPartyRole">
    <w:name w:val="SCC.CounselPartyRole"/>
    <w:basedOn w:val="SCCNormalDoubleSpacing"/>
    <w:next w:val="SCCNormalDoubleSpacing"/>
    <w:link w:val="SCCCounselPartyRoleChar"/>
    <w:rsid w:val="004439D8"/>
  </w:style>
  <w:style w:type="character" w:customStyle="1" w:styleId="SCCCounselPartyRoleChar">
    <w:name w:val="SCC.CounselPartyRole Char"/>
    <w:basedOn w:val="SCCNormalDoubleSpacingChar"/>
    <w:link w:val="SCCCounselPartyRole"/>
    <w:rsid w:val="004439D8"/>
    <w:rPr>
      <w:lang w:val="fr-CA"/>
    </w:rPr>
  </w:style>
  <w:style w:type="paragraph" w:customStyle="1" w:styleId="Citation-AltC">
    <w:name w:val="Citation - Alt C"/>
    <w:uiPriority w:val="2"/>
    <w:qFormat/>
    <w:rsid w:val="00B03445"/>
    <w:pPr>
      <w:spacing w:after="720"/>
      <w:ind w:left="1166"/>
      <w:contextualSpacing/>
      <w:jc w:val="both"/>
    </w:pPr>
    <w:rPr>
      <w:sz w:val="24"/>
    </w:rPr>
  </w:style>
  <w:style w:type="paragraph" w:customStyle="1" w:styleId="ParaNoNdepar-AltN">
    <w:name w:val="Para. No. / Nº de par. - Alt N"/>
    <w:qFormat/>
    <w:rsid w:val="001B0C96"/>
    <w:pPr>
      <w:numPr>
        <w:numId w:val="1"/>
      </w:numPr>
      <w:spacing w:before="480" w:after="480" w:line="480" w:lineRule="auto"/>
      <w:jc w:val="both"/>
    </w:pPr>
    <w:rPr>
      <w:rFonts w:eastAsiaTheme="minorEastAsia" w:cstheme="minorBidi"/>
      <w:sz w:val="24"/>
      <w:szCs w:val="22"/>
      <w:lang w:eastAsia="en-US"/>
    </w:rPr>
  </w:style>
  <w:style w:type="paragraph" w:customStyle="1" w:styleId="SCCCoram">
    <w:name w:val="SCC.Coram"/>
    <w:basedOn w:val="Normal"/>
    <w:next w:val="Normal"/>
    <w:link w:val="SCCCoramChar"/>
    <w:rsid w:val="00DC2386"/>
    <w:pPr>
      <w:pBdr>
        <w:bottom w:val="single" w:sz="4" w:space="1" w:color="auto"/>
      </w:pBdr>
    </w:pPr>
    <w:rPr>
      <w:rFonts w:eastAsiaTheme="minorHAnsi" w:cstheme="minorBidi"/>
      <w:szCs w:val="22"/>
      <w:lang w:val="en-CA" w:eastAsia="en-US"/>
    </w:rPr>
  </w:style>
  <w:style w:type="character" w:customStyle="1" w:styleId="SCCCoramChar">
    <w:name w:val="SCC.Coram Char"/>
    <w:basedOn w:val="DefaultParagraphFont"/>
    <w:link w:val="SCCCoram"/>
    <w:locked/>
    <w:rsid w:val="00DC2386"/>
    <w:rPr>
      <w:rFonts w:eastAsiaTheme="minorHAnsi" w:cstheme="minorBidi"/>
      <w:sz w:val="24"/>
      <w:szCs w:val="22"/>
      <w:lang w:eastAsia="en-US"/>
    </w:rPr>
  </w:style>
  <w:style w:type="table" w:styleId="TableGrid">
    <w:name w:val="Table Grid"/>
    <w:basedOn w:val="TableNormal"/>
    <w:uiPriority w:val="59"/>
    <w:rsid w:val="00DC2386"/>
    <w:rPr>
      <w:rFonts w:eastAsia="Calibr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tinueParaSuitedupar-AltP">
    <w:name w:val="Continue Para. / Suite du par. - Alt P"/>
    <w:next w:val="ParaNoNdepar-AltN"/>
    <w:uiPriority w:val="1"/>
    <w:qFormat/>
    <w:rsid w:val="00DC2386"/>
    <w:pPr>
      <w:spacing w:before="480" w:after="480" w:line="480" w:lineRule="auto"/>
      <w:jc w:val="both"/>
    </w:pPr>
    <w:rPr>
      <w:rFonts w:eastAsiaTheme="minorHAnsi" w:cstheme="minorBidi"/>
      <w:sz w:val="24"/>
      <w:szCs w:val="22"/>
      <w:lang w:eastAsia="en-US"/>
    </w:rPr>
  </w:style>
  <w:style w:type="paragraph" w:customStyle="1" w:styleId="TitleTitre-AltT">
    <w:name w:val="Title / Titre - Alt T"/>
    <w:next w:val="ParaNoNdepar-AltN"/>
    <w:uiPriority w:val="3"/>
    <w:qFormat/>
    <w:rsid w:val="00DC2386"/>
    <w:pPr>
      <w:tabs>
        <w:tab w:val="left" w:pos="360"/>
      </w:tabs>
      <w:spacing w:before="480" w:after="480"/>
      <w:ind w:left="360" w:hanging="360"/>
      <w:jc w:val="both"/>
    </w:pPr>
    <w:rPr>
      <w:rFonts w:eastAsiaTheme="minorHAnsi" w:cstheme="minorBidi"/>
      <w:sz w:val="24"/>
      <w:szCs w:val="22"/>
      <w:lang w:eastAsia="en-US"/>
    </w:rPr>
  </w:style>
  <w:style w:type="character" w:styleId="CommentReference">
    <w:name w:val="annotation reference"/>
    <w:basedOn w:val="DefaultParagraphFont"/>
    <w:uiPriority w:val="99"/>
    <w:semiHidden/>
    <w:unhideWhenUsed/>
    <w:rsid w:val="00DC2386"/>
    <w:rPr>
      <w:sz w:val="16"/>
      <w:szCs w:val="16"/>
    </w:rPr>
  </w:style>
  <w:style w:type="paragraph" w:styleId="CommentText">
    <w:name w:val="annotation text"/>
    <w:basedOn w:val="Normal"/>
    <w:link w:val="CommentTextChar"/>
    <w:uiPriority w:val="99"/>
    <w:semiHidden/>
    <w:unhideWhenUsed/>
    <w:rsid w:val="00DC2386"/>
    <w:rPr>
      <w:sz w:val="20"/>
      <w:lang w:val="en-CA"/>
    </w:rPr>
  </w:style>
  <w:style w:type="character" w:customStyle="1" w:styleId="CommentTextChar">
    <w:name w:val="Comment Text Char"/>
    <w:basedOn w:val="DefaultParagraphFont"/>
    <w:link w:val="CommentText"/>
    <w:uiPriority w:val="99"/>
    <w:semiHidden/>
    <w:rsid w:val="00DC2386"/>
  </w:style>
  <w:style w:type="paragraph" w:styleId="CommentSubject">
    <w:name w:val="annotation subject"/>
    <w:basedOn w:val="CommentText"/>
    <w:next w:val="CommentText"/>
    <w:link w:val="CommentSubjectChar"/>
    <w:uiPriority w:val="99"/>
    <w:semiHidden/>
    <w:unhideWhenUsed/>
    <w:rsid w:val="00DC2386"/>
    <w:rPr>
      <w:b/>
      <w:bCs/>
    </w:rPr>
  </w:style>
  <w:style w:type="character" w:customStyle="1" w:styleId="CommentSubjectChar">
    <w:name w:val="Comment Subject Char"/>
    <w:basedOn w:val="CommentTextChar"/>
    <w:link w:val="CommentSubject"/>
    <w:uiPriority w:val="99"/>
    <w:semiHidden/>
    <w:rsid w:val="00DC2386"/>
    <w:rPr>
      <w:b/>
      <w:bCs/>
    </w:rPr>
  </w:style>
  <w:style w:type="paragraph" w:customStyle="1" w:styleId="SCCLsocOtherPartyRoleSeparator">
    <w:name w:val="SCC.Lsoc.OtherPartyRoleSeparator"/>
    <w:basedOn w:val="Normal"/>
    <w:next w:val="Normal"/>
    <w:link w:val="SCCLsocOtherPartyRoleSeparatorChar"/>
    <w:rsid w:val="00DC2386"/>
    <w:pPr>
      <w:spacing w:after="480"/>
    </w:pPr>
    <w:rPr>
      <w:rFonts w:eastAsiaTheme="minorHAnsi" w:cstheme="minorBidi"/>
      <w:szCs w:val="22"/>
      <w:lang w:val="en-CA" w:eastAsia="en-US"/>
    </w:rPr>
  </w:style>
  <w:style w:type="character" w:customStyle="1" w:styleId="SCCLsocOtherPartyRoleSeparatorChar">
    <w:name w:val="SCC.Lsoc.OtherPartyRoleSeparator Char"/>
    <w:basedOn w:val="DefaultParagraphFont"/>
    <w:link w:val="SCCLsocOtherPartyRoleSeparator"/>
    <w:rsid w:val="00DC2386"/>
    <w:rPr>
      <w:rFonts w:eastAsiaTheme="minorHAnsi" w:cstheme="minorBidi"/>
      <w:sz w:val="24"/>
      <w:szCs w:val="22"/>
      <w:lang w:eastAsia="en-US"/>
    </w:rPr>
  </w:style>
  <w:style w:type="character" w:customStyle="1" w:styleId="SCCBanSummaryChar">
    <w:name w:val="SCC.BanSummary Char"/>
    <w:basedOn w:val="DefaultParagraphFont"/>
    <w:link w:val="SCCBanSummary"/>
    <w:rsid w:val="00DC2386"/>
    <w:rPr>
      <w:b/>
      <w:sz w:val="24"/>
      <w:lang w:val="fr-CA"/>
    </w:rPr>
  </w:style>
  <w:style w:type="paragraph" w:customStyle="1" w:styleId="JudgeJuge">
    <w:name w:val="Judge / Juge"/>
    <w:uiPriority w:val="3"/>
    <w:rsid w:val="00DC2386"/>
    <w:pPr>
      <w:tabs>
        <w:tab w:val="left" w:pos="1260"/>
      </w:tabs>
      <w:spacing w:after="480" w:line="480" w:lineRule="auto"/>
    </w:pPr>
    <w:rPr>
      <w:smallCaps/>
      <w:sz w:val="24"/>
    </w:rPr>
  </w:style>
  <w:style w:type="character" w:customStyle="1" w:styleId="selected9">
    <w:name w:val="selected9"/>
    <w:basedOn w:val="DefaultParagraphFont"/>
    <w:rsid w:val="00DC238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62D57-3204-460D-871E-2E3E44106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19004</Words>
  <Characters>96858</Characters>
  <Application>Microsoft Office Word</Application>
  <DocSecurity>0</DocSecurity>
  <Lines>807</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2011-10-14T12:24:00Z</dcterms:created>
  <dcterms:modified xsi:type="dcterms:W3CDTF">2012-01-18T18:31:00Z</dcterms:modified>
</cp:coreProperties>
</file>