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9" w:rsidRPr="004A3285" w:rsidRDefault="00927549" w:rsidP="00927549">
      <w:pPr>
        <w:tabs>
          <w:tab w:val="center" w:pos="4680"/>
          <w:tab w:val="right" w:pos="9360"/>
        </w:tabs>
        <w:jc w:val="center"/>
        <w:rPr>
          <w:rFonts w:eastAsiaTheme="minorHAnsi" w:cstheme="minorBidi"/>
          <w:szCs w:val="24"/>
          <w:lang w:eastAsia="en-US"/>
        </w:rPr>
      </w:pPr>
      <w:r w:rsidRPr="004A3285">
        <w:rPr>
          <w:rFonts w:eastAsiaTheme="minorHAnsi" w:cstheme="minorBidi"/>
          <w:szCs w:val="24"/>
          <w:lang w:eastAsia="en-US"/>
        </w:rPr>
        <w:object w:dxaOrig="1365" w:dyaOrig="1440">
          <v:shape id="_x0000_i1026" type="#_x0000_t75" style="width:61.2pt;height:64.8pt" o:ole="">
            <v:imagedata r:id="rId8" o:title=""/>
          </v:shape>
          <o:OLEObject Type="Embed" ProgID="Presentations.Drawing.13" ShapeID="_x0000_i1026" DrawAspect="Content" ObjectID="_1423304417" r:id="rId9"/>
        </w:object>
      </w:r>
    </w:p>
    <w:p w:rsidR="00927549" w:rsidRPr="004A3285" w:rsidRDefault="00927549" w:rsidP="00927549">
      <w:pPr>
        <w:tabs>
          <w:tab w:val="center" w:pos="4680"/>
          <w:tab w:val="right" w:pos="9360"/>
        </w:tabs>
        <w:rPr>
          <w:rFonts w:eastAsiaTheme="minorHAnsi" w:cstheme="minorBidi"/>
          <w:szCs w:val="24"/>
          <w:lang w:eastAsia="en-US"/>
        </w:rPr>
      </w:pPr>
    </w:p>
    <w:p w:rsidR="00927549" w:rsidRPr="004A3285" w:rsidRDefault="00927549" w:rsidP="00927549">
      <w:pPr>
        <w:jc w:val="center"/>
        <w:rPr>
          <w:rFonts w:eastAsiaTheme="minorHAnsi" w:cstheme="minorBidi"/>
          <w:b/>
          <w:szCs w:val="24"/>
          <w:lang w:eastAsia="en-US"/>
        </w:rPr>
      </w:pPr>
      <w:r w:rsidRPr="004A3285">
        <w:rPr>
          <w:rFonts w:eastAsiaTheme="minorHAnsi" w:cstheme="minorBidi"/>
          <w:b/>
          <w:szCs w:val="24"/>
          <w:lang w:eastAsia="en-US"/>
        </w:rPr>
        <w:t>COUR SUPRÊME DU CANADA</w:t>
      </w:r>
    </w:p>
    <w:p w:rsidR="00927549" w:rsidRPr="004A3285" w:rsidRDefault="00927549" w:rsidP="0092754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27549" w:rsidRPr="004A3285" w:rsidTr="00F9693C">
        <w:trPr>
          <w:cantSplit/>
        </w:trPr>
        <w:tc>
          <w:tcPr>
            <w:tcW w:w="6768" w:type="dxa"/>
          </w:tcPr>
          <w:p w:rsidR="00927549" w:rsidRPr="004A3285" w:rsidRDefault="00927549" w:rsidP="00F9693C">
            <w:r w:rsidRPr="004A3285">
              <w:rPr>
                <w:b/>
                <w:smallCaps/>
              </w:rPr>
              <w:t>Référence :</w:t>
            </w:r>
            <w:r w:rsidRPr="004A3285">
              <w:t xml:space="preserve"> </w:t>
            </w:r>
            <w:proofErr w:type="spellStart"/>
            <w:r w:rsidRPr="004A3285">
              <w:t>Ré:Sonne</w:t>
            </w:r>
            <w:proofErr w:type="spellEnd"/>
            <w:r w:rsidRPr="004A3285">
              <w:t xml:space="preserve"> </w:t>
            </w:r>
            <w:r w:rsidRPr="004A3285">
              <w:rPr>
                <w:i/>
              </w:rPr>
              <w:t>c.</w:t>
            </w:r>
            <w:r w:rsidRPr="004A3285">
              <w:t xml:space="preserve"> Fédération des associations de propriétaires de cinémas du Canada, </w:t>
            </w:r>
            <w:r w:rsidRPr="00593C36">
              <w:rPr>
                <w:rStyle w:val="SCCRespondentForIndexChar"/>
                <w:b w:val="0"/>
                <w:szCs w:val="24"/>
              </w:rPr>
              <w:t>2012 CSC 38, [2012] 2 R.C.S. 376</w:t>
            </w:r>
          </w:p>
        </w:tc>
        <w:tc>
          <w:tcPr>
            <w:tcW w:w="2808" w:type="dxa"/>
          </w:tcPr>
          <w:p w:rsidR="00927549" w:rsidRPr="004A3285" w:rsidRDefault="00927549" w:rsidP="00F9693C">
            <w:r w:rsidRPr="004A3285">
              <w:rPr>
                <w:b/>
                <w:smallCaps/>
              </w:rPr>
              <w:t>Date :</w:t>
            </w:r>
            <w:r w:rsidRPr="004A3285">
              <w:t xml:space="preserve"> 20120712</w:t>
            </w:r>
          </w:p>
          <w:p w:rsidR="00927549" w:rsidRPr="004A3285" w:rsidRDefault="00927549" w:rsidP="00F9693C">
            <w:r w:rsidRPr="004A3285">
              <w:rPr>
                <w:b/>
                <w:smallCaps/>
              </w:rPr>
              <w:t>Dossier :</w:t>
            </w:r>
            <w:r w:rsidRPr="004A3285">
              <w:t xml:space="preserve"> 34210</w:t>
            </w:r>
          </w:p>
        </w:tc>
      </w:tr>
    </w:tbl>
    <w:p w:rsidR="00927549" w:rsidRPr="004A3285" w:rsidRDefault="00927549" w:rsidP="00927549">
      <w:pPr>
        <w:rPr>
          <w:rFonts w:eastAsiaTheme="minorHAnsi" w:cstheme="minorBidi"/>
          <w:szCs w:val="24"/>
          <w:lang w:eastAsia="en-US"/>
        </w:rPr>
      </w:pPr>
    </w:p>
    <w:p w:rsidR="00927549" w:rsidRPr="004A3285" w:rsidRDefault="00927549" w:rsidP="00927549">
      <w:pPr>
        <w:rPr>
          <w:rFonts w:eastAsiaTheme="minorHAnsi" w:cstheme="minorBidi"/>
          <w:b/>
          <w:smallCaps/>
          <w:szCs w:val="24"/>
          <w:lang w:eastAsia="en-US"/>
        </w:rPr>
      </w:pPr>
      <w:r w:rsidRPr="004A3285">
        <w:rPr>
          <w:rFonts w:eastAsiaTheme="minorHAnsi" w:cstheme="minorBidi"/>
          <w:b/>
          <w:smallCaps/>
          <w:szCs w:val="24"/>
          <w:lang w:eastAsia="en-US"/>
        </w:rPr>
        <w:t>Entre :</w:t>
      </w:r>
    </w:p>
    <w:p w:rsidR="00927549" w:rsidRPr="004A3285" w:rsidRDefault="00927549" w:rsidP="00927549">
      <w:pPr>
        <w:jc w:val="center"/>
        <w:rPr>
          <w:rFonts w:eastAsiaTheme="minorHAnsi" w:cstheme="minorBidi"/>
          <w:b/>
          <w:szCs w:val="24"/>
          <w:lang w:eastAsia="en-US"/>
        </w:rPr>
      </w:pPr>
      <w:proofErr w:type="spellStart"/>
      <w:r w:rsidRPr="004A3285">
        <w:rPr>
          <w:rFonts w:eastAsiaTheme="minorHAnsi" w:cstheme="minorBidi"/>
          <w:b/>
          <w:szCs w:val="24"/>
          <w:lang w:eastAsia="en-US"/>
        </w:rPr>
        <w:t>Ré:Sonne</w:t>
      </w:r>
      <w:proofErr w:type="spellEnd"/>
    </w:p>
    <w:p w:rsidR="00927549" w:rsidRPr="004A3285" w:rsidRDefault="00927549" w:rsidP="00927549">
      <w:pPr>
        <w:jc w:val="center"/>
        <w:rPr>
          <w:rFonts w:eastAsiaTheme="minorHAnsi" w:cstheme="minorBidi"/>
          <w:szCs w:val="24"/>
          <w:lang w:eastAsia="en-US"/>
        </w:rPr>
      </w:pPr>
      <w:r w:rsidRPr="004A3285">
        <w:rPr>
          <w:rFonts w:eastAsiaTheme="minorHAnsi" w:cstheme="minorBidi"/>
          <w:szCs w:val="24"/>
          <w:lang w:eastAsia="en-US"/>
        </w:rPr>
        <w:t>Appelante</w:t>
      </w:r>
    </w:p>
    <w:p w:rsidR="00927549" w:rsidRPr="004A3285" w:rsidRDefault="00927549" w:rsidP="00927549">
      <w:pPr>
        <w:jc w:val="center"/>
        <w:rPr>
          <w:rFonts w:eastAsiaTheme="minorHAnsi" w:cstheme="minorBidi"/>
          <w:szCs w:val="24"/>
          <w:lang w:eastAsia="en-US"/>
        </w:rPr>
      </w:pPr>
      <w:proofErr w:type="gramStart"/>
      <w:r w:rsidRPr="004A3285">
        <w:rPr>
          <w:rFonts w:eastAsiaTheme="minorHAnsi" w:cstheme="minorBidi"/>
          <w:szCs w:val="24"/>
          <w:lang w:eastAsia="en-US"/>
        </w:rPr>
        <w:t>et</w:t>
      </w:r>
      <w:proofErr w:type="gramEnd"/>
    </w:p>
    <w:p w:rsidR="00927549" w:rsidRPr="004A3285" w:rsidRDefault="00927549" w:rsidP="00927549">
      <w:pPr>
        <w:jc w:val="center"/>
        <w:rPr>
          <w:rFonts w:eastAsiaTheme="minorHAnsi" w:cstheme="minorBidi"/>
          <w:b/>
          <w:szCs w:val="24"/>
          <w:lang w:eastAsia="en-US"/>
        </w:rPr>
      </w:pPr>
      <w:r w:rsidRPr="004A3285">
        <w:rPr>
          <w:rFonts w:eastAsiaTheme="minorHAnsi" w:cstheme="minorBidi"/>
          <w:b/>
          <w:szCs w:val="24"/>
          <w:lang w:eastAsia="en-US"/>
        </w:rPr>
        <w:t xml:space="preserve">Fédération des associations de propriétaires de cinémas du Canada, Rogers Communications Inc., Shaw Communications Inc., Bell </w:t>
      </w:r>
      <w:proofErr w:type="spellStart"/>
      <w:r w:rsidRPr="004A3285">
        <w:rPr>
          <w:rFonts w:eastAsiaTheme="minorHAnsi" w:cstheme="minorBidi"/>
          <w:b/>
          <w:szCs w:val="24"/>
          <w:lang w:eastAsia="en-US"/>
        </w:rPr>
        <w:t>ExpressVu</w:t>
      </w:r>
      <w:proofErr w:type="spellEnd"/>
      <w:r w:rsidRPr="004A3285">
        <w:rPr>
          <w:rFonts w:eastAsiaTheme="minorHAnsi" w:cstheme="minorBidi"/>
          <w:b/>
          <w:szCs w:val="24"/>
          <w:lang w:eastAsia="en-US"/>
        </w:rPr>
        <w:t xml:space="preserve"> LLP, </w:t>
      </w:r>
      <w:proofErr w:type="spellStart"/>
      <w:r w:rsidRPr="004A3285">
        <w:rPr>
          <w:rFonts w:eastAsiaTheme="minorHAnsi" w:cstheme="minorBidi"/>
          <w:b/>
          <w:szCs w:val="24"/>
          <w:lang w:eastAsia="en-US"/>
        </w:rPr>
        <w:t>Cogeco</w:t>
      </w:r>
      <w:proofErr w:type="spellEnd"/>
      <w:r w:rsidRPr="004A3285">
        <w:rPr>
          <w:rFonts w:eastAsiaTheme="minorHAnsi" w:cstheme="minorBidi"/>
          <w:b/>
          <w:szCs w:val="24"/>
          <w:lang w:eastAsia="en-US"/>
        </w:rPr>
        <w:t xml:space="preserve"> Câble </w:t>
      </w:r>
      <w:proofErr w:type="spellStart"/>
      <w:r w:rsidRPr="004A3285">
        <w:rPr>
          <w:rFonts w:eastAsiaTheme="minorHAnsi" w:cstheme="minorBidi"/>
          <w:b/>
          <w:szCs w:val="24"/>
          <w:lang w:eastAsia="en-US"/>
        </w:rPr>
        <w:t>inc</w:t>
      </w:r>
      <w:proofErr w:type="spellEnd"/>
      <w:r w:rsidRPr="004A3285">
        <w:rPr>
          <w:rFonts w:eastAsiaTheme="minorHAnsi" w:cstheme="minorBidi"/>
          <w:b/>
          <w:szCs w:val="24"/>
          <w:lang w:eastAsia="en-US"/>
        </w:rPr>
        <w:t xml:space="preserve">., </w:t>
      </w:r>
      <w:proofErr w:type="spellStart"/>
      <w:r w:rsidRPr="004A3285">
        <w:rPr>
          <w:rFonts w:eastAsiaTheme="minorHAnsi" w:cstheme="minorBidi"/>
          <w:b/>
          <w:szCs w:val="24"/>
          <w:lang w:eastAsia="en-US"/>
        </w:rPr>
        <w:t>Eastlink</w:t>
      </w:r>
      <w:proofErr w:type="spellEnd"/>
      <w:r w:rsidRPr="004A3285">
        <w:rPr>
          <w:rFonts w:eastAsiaTheme="minorHAnsi" w:cstheme="minorBidi"/>
          <w:b/>
          <w:szCs w:val="24"/>
          <w:lang w:eastAsia="en-US"/>
        </w:rPr>
        <w:t>, Quebecor Media, Société TELUS Communications, Association canadienne des radiodiffuseurs et Société Radio-Canada</w:t>
      </w:r>
    </w:p>
    <w:p w:rsidR="00927549" w:rsidRPr="004A3285" w:rsidRDefault="00927549" w:rsidP="00927549">
      <w:pPr>
        <w:jc w:val="center"/>
        <w:rPr>
          <w:rFonts w:eastAsiaTheme="minorHAnsi" w:cstheme="minorBidi"/>
          <w:szCs w:val="24"/>
          <w:lang w:eastAsia="en-US"/>
        </w:rPr>
      </w:pPr>
      <w:r w:rsidRPr="004A3285">
        <w:rPr>
          <w:rFonts w:eastAsiaTheme="minorHAnsi" w:cstheme="minorBidi"/>
          <w:szCs w:val="24"/>
          <w:lang w:eastAsia="en-US"/>
        </w:rPr>
        <w:t>Intimées</w:t>
      </w:r>
    </w:p>
    <w:p w:rsidR="00927549" w:rsidRPr="004A3285" w:rsidRDefault="00927549" w:rsidP="00927549">
      <w:pPr>
        <w:jc w:val="center"/>
        <w:rPr>
          <w:rFonts w:eastAsiaTheme="minorHAnsi" w:cstheme="minorBidi"/>
          <w:szCs w:val="24"/>
          <w:lang w:eastAsia="en-US"/>
        </w:rPr>
      </w:pPr>
      <w:r w:rsidRPr="004A3285">
        <w:rPr>
          <w:rFonts w:eastAsiaTheme="minorHAnsi" w:cstheme="minorBidi"/>
          <w:szCs w:val="24"/>
          <w:lang w:eastAsia="en-US"/>
        </w:rPr>
        <w:t>- et -</w:t>
      </w:r>
    </w:p>
    <w:p w:rsidR="00927549" w:rsidRPr="004A3285" w:rsidRDefault="00927549" w:rsidP="00927549">
      <w:pPr>
        <w:jc w:val="center"/>
        <w:rPr>
          <w:rFonts w:eastAsiaTheme="minorHAnsi" w:cstheme="minorBidi"/>
          <w:b/>
          <w:szCs w:val="24"/>
          <w:lang w:eastAsia="en-US"/>
        </w:rPr>
      </w:pPr>
      <w:r w:rsidRPr="004A3285">
        <w:rPr>
          <w:rFonts w:eastAsiaTheme="minorHAnsi" w:cstheme="minorBidi"/>
          <w:b/>
          <w:szCs w:val="24"/>
          <w:lang w:eastAsia="en-US"/>
        </w:rPr>
        <w:t>Clinique d’intérêt public et de politique d’internet du Canada Samuelson-</w:t>
      </w:r>
      <w:proofErr w:type="spellStart"/>
      <w:r w:rsidRPr="004A3285">
        <w:rPr>
          <w:rFonts w:eastAsiaTheme="minorHAnsi" w:cstheme="minorBidi"/>
          <w:b/>
          <w:szCs w:val="24"/>
          <w:lang w:eastAsia="en-US"/>
        </w:rPr>
        <w:t>Glushko</w:t>
      </w:r>
      <w:proofErr w:type="spellEnd"/>
    </w:p>
    <w:p w:rsidR="00927549" w:rsidRPr="004A3285" w:rsidRDefault="00927549" w:rsidP="00927549">
      <w:pPr>
        <w:jc w:val="center"/>
        <w:rPr>
          <w:rFonts w:eastAsiaTheme="minorHAnsi" w:cstheme="minorBidi"/>
          <w:szCs w:val="24"/>
          <w:lang w:eastAsia="en-US"/>
        </w:rPr>
      </w:pPr>
      <w:r w:rsidRPr="004A3285">
        <w:rPr>
          <w:rFonts w:eastAsiaTheme="minorHAnsi" w:cstheme="minorBidi"/>
          <w:szCs w:val="24"/>
          <w:lang w:eastAsia="en-US"/>
        </w:rPr>
        <w:t>Intervenante</w:t>
      </w:r>
    </w:p>
    <w:p w:rsidR="00927549" w:rsidRPr="004A3285" w:rsidRDefault="00927549" w:rsidP="00927549">
      <w:pPr>
        <w:rPr>
          <w:rFonts w:eastAsiaTheme="minorHAnsi" w:cstheme="minorBidi"/>
          <w:szCs w:val="24"/>
          <w:lang w:eastAsia="en-US"/>
        </w:rPr>
      </w:pPr>
    </w:p>
    <w:p w:rsidR="00927549" w:rsidRPr="004A3285" w:rsidRDefault="00927549" w:rsidP="00927549">
      <w:pPr>
        <w:rPr>
          <w:rFonts w:eastAsiaTheme="minorHAnsi" w:cstheme="minorBidi"/>
          <w:szCs w:val="24"/>
          <w:lang w:eastAsia="en-US"/>
        </w:rPr>
      </w:pPr>
    </w:p>
    <w:p w:rsidR="00927549" w:rsidRPr="004A3285" w:rsidRDefault="00927549" w:rsidP="00927549">
      <w:pPr>
        <w:jc w:val="center"/>
        <w:rPr>
          <w:rFonts w:eastAsiaTheme="minorHAnsi" w:cstheme="minorBidi"/>
          <w:b/>
          <w:smallCaps/>
          <w:szCs w:val="24"/>
          <w:lang w:eastAsia="en-US"/>
        </w:rPr>
      </w:pPr>
      <w:r w:rsidRPr="004A3285">
        <w:rPr>
          <w:rFonts w:eastAsiaTheme="minorHAnsi" w:cstheme="minorBidi"/>
          <w:b/>
          <w:smallCaps/>
          <w:szCs w:val="24"/>
          <w:lang w:eastAsia="en-US"/>
        </w:rPr>
        <w:t>Traduction française officielle</w:t>
      </w:r>
    </w:p>
    <w:p w:rsidR="00927549" w:rsidRPr="004A3285" w:rsidRDefault="00927549" w:rsidP="00927549">
      <w:pPr>
        <w:rPr>
          <w:rFonts w:eastAsiaTheme="minorHAnsi" w:cstheme="minorBidi"/>
          <w:szCs w:val="24"/>
          <w:lang w:eastAsia="en-US"/>
        </w:rPr>
      </w:pPr>
    </w:p>
    <w:p w:rsidR="00927549" w:rsidRPr="004A3285" w:rsidRDefault="00927549" w:rsidP="00927549">
      <w:pPr>
        <w:rPr>
          <w:rFonts w:eastAsiaTheme="minorHAnsi" w:cstheme="minorBidi"/>
          <w:szCs w:val="24"/>
          <w:lang w:eastAsia="en-US"/>
        </w:rPr>
      </w:pPr>
      <w:r w:rsidRPr="004A3285">
        <w:rPr>
          <w:rFonts w:eastAsiaTheme="minorHAnsi" w:cstheme="minorBidi"/>
          <w:b/>
          <w:smallCaps/>
          <w:szCs w:val="24"/>
          <w:lang w:eastAsia="en-US"/>
        </w:rPr>
        <w:t>Coram :</w:t>
      </w:r>
      <w:r w:rsidRPr="004A3285">
        <w:rPr>
          <w:rFonts w:eastAsiaTheme="minorHAnsi" w:cstheme="minorBidi"/>
          <w:szCs w:val="24"/>
          <w:lang w:eastAsia="en-US"/>
        </w:rPr>
        <w:t xml:space="preserve"> La juge en chef </w:t>
      </w:r>
      <w:proofErr w:type="spellStart"/>
      <w:r w:rsidRPr="004A3285">
        <w:rPr>
          <w:rFonts w:eastAsiaTheme="minorHAnsi" w:cstheme="minorBidi"/>
          <w:szCs w:val="24"/>
          <w:lang w:eastAsia="en-US"/>
        </w:rPr>
        <w:t>McLachlin</w:t>
      </w:r>
      <w:proofErr w:type="spellEnd"/>
      <w:r w:rsidRPr="004A3285">
        <w:rPr>
          <w:rFonts w:eastAsiaTheme="minorHAnsi" w:cstheme="minorBidi"/>
          <w:szCs w:val="24"/>
          <w:lang w:eastAsia="en-US"/>
        </w:rPr>
        <w:t xml:space="preserve"> et les juges </w:t>
      </w:r>
      <w:proofErr w:type="spellStart"/>
      <w:r w:rsidRPr="004A3285">
        <w:rPr>
          <w:rFonts w:eastAsiaTheme="minorHAnsi" w:cstheme="minorBidi"/>
          <w:szCs w:val="24"/>
          <w:lang w:eastAsia="en-US"/>
        </w:rPr>
        <w:t>LeBel</w:t>
      </w:r>
      <w:proofErr w:type="spellEnd"/>
      <w:r w:rsidRPr="004A3285">
        <w:rPr>
          <w:rFonts w:eastAsiaTheme="minorHAnsi" w:cstheme="minorBidi"/>
          <w:szCs w:val="24"/>
          <w:lang w:eastAsia="en-US"/>
        </w:rPr>
        <w:t xml:space="preserve">, Deschamps, Fish, Abella, </w:t>
      </w:r>
      <w:proofErr w:type="spellStart"/>
      <w:r w:rsidRPr="004A3285">
        <w:rPr>
          <w:rFonts w:eastAsiaTheme="minorHAnsi" w:cstheme="minorBidi"/>
          <w:szCs w:val="24"/>
          <w:lang w:eastAsia="en-US"/>
        </w:rPr>
        <w:t>Rothstein</w:t>
      </w:r>
      <w:proofErr w:type="spellEnd"/>
      <w:r w:rsidRPr="004A3285">
        <w:rPr>
          <w:rFonts w:eastAsiaTheme="minorHAnsi" w:cstheme="minorBidi"/>
          <w:szCs w:val="24"/>
          <w:lang w:eastAsia="en-US"/>
        </w:rPr>
        <w:t xml:space="preserve">, Cromwell, </w:t>
      </w:r>
      <w:proofErr w:type="spellStart"/>
      <w:r w:rsidRPr="004A3285">
        <w:rPr>
          <w:rFonts w:eastAsiaTheme="minorHAnsi" w:cstheme="minorBidi"/>
          <w:szCs w:val="24"/>
          <w:lang w:eastAsia="en-US"/>
        </w:rPr>
        <w:t>Moldaver</w:t>
      </w:r>
      <w:proofErr w:type="spellEnd"/>
      <w:r w:rsidRPr="004A3285">
        <w:rPr>
          <w:rFonts w:eastAsiaTheme="minorHAnsi" w:cstheme="minorBidi"/>
          <w:szCs w:val="24"/>
          <w:lang w:eastAsia="en-US"/>
        </w:rPr>
        <w:t xml:space="preserve"> et </w:t>
      </w:r>
      <w:proofErr w:type="spellStart"/>
      <w:r w:rsidRPr="004A3285">
        <w:rPr>
          <w:rFonts w:eastAsiaTheme="minorHAnsi" w:cstheme="minorBidi"/>
          <w:szCs w:val="24"/>
          <w:lang w:eastAsia="en-US"/>
        </w:rPr>
        <w:t>Karakatsanis</w:t>
      </w:r>
      <w:proofErr w:type="spellEnd"/>
    </w:p>
    <w:p w:rsidR="00927549" w:rsidRPr="004A3285" w:rsidRDefault="00927549" w:rsidP="0092754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27549" w:rsidRPr="004A3285" w:rsidTr="00F9693C">
        <w:trPr>
          <w:cantSplit/>
        </w:trPr>
        <w:tc>
          <w:tcPr>
            <w:tcW w:w="3618" w:type="dxa"/>
          </w:tcPr>
          <w:p w:rsidR="00927549" w:rsidRPr="004A3285" w:rsidRDefault="00927549" w:rsidP="00F9693C">
            <w:pPr>
              <w:rPr>
                <w:b/>
                <w:smallCaps/>
              </w:rPr>
            </w:pPr>
            <w:r w:rsidRPr="004A3285">
              <w:rPr>
                <w:b/>
                <w:smallCaps/>
              </w:rPr>
              <w:t>Motifs de jugement :</w:t>
            </w:r>
          </w:p>
          <w:p w:rsidR="00927549" w:rsidRPr="004A3285" w:rsidRDefault="00927549" w:rsidP="00F9693C">
            <w:r w:rsidRPr="004A3285">
              <w:t>(par. 1 à 53)</w:t>
            </w:r>
          </w:p>
        </w:tc>
        <w:tc>
          <w:tcPr>
            <w:tcW w:w="5958" w:type="dxa"/>
          </w:tcPr>
          <w:p w:rsidR="00927549" w:rsidRPr="004A3285" w:rsidRDefault="00927549" w:rsidP="00F9693C">
            <w:r w:rsidRPr="004A3285">
              <w:t xml:space="preserve">Le juge </w:t>
            </w:r>
            <w:proofErr w:type="spellStart"/>
            <w:r w:rsidRPr="004A3285">
              <w:t>LeBel</w:t>
            </w:r>
            <w:proofErr w:type="spellEnd"/>
            <w:r w:rsidRPr="004A3285">
              <w:t xml:space="preserve"> (avec l’accord de la juge en chef </w:t>
            </w:r>
            <w:proofErr w:type="spellStart"/>
            <w:r w:rsidRPr="004A3285">
              <w:t>McLachlin</w:t>
            </w:r>
            <w:proofErr w:type="spellEnd"/>
            <w:r w:rsidRPr="004A3285">
              <w:t xml:space="preserve"> et des juges Deschamps, Fish, Abella, </w:t>
            </w:r>
            <w:proofErr w:type="spellStart"/>
            <w:r w:rsidRPr="004A3285">
              <w:t>Rothstein</w:t>
            </w:r>
            <w:proofErr w:type="spellEnd"/>
            <w:r w:rsidRPr="004A3285">
              <w:t xml:space="preserve">, Cromwell, </w:t>
            </w:r>
            <w:proofErr w:type="spellStart"/>
            <w:r w:rsidRPr="004A3285">
              <w:t>Moldaver</w:t>
            </w:r>
            <w:proofErr w:type="spellEnd"/>
            <w:r w:rsidRPr="004A3285">
              <w:t xml:space="preserve"> et </w:t>
            </w:r>
            <w:proofErr w:type="spellStart"/>
            <w:r w:rsidRPr="004A3285">
              <w:t>Karakatsanis</w:t>
            </w:r>
            <w:proofErr w:type="spellEnd"/>
            <w:r w:rsidRPr="004A3285">
              <w:t>)</w:t>
            </w:r>
          </w:p>
        </w:tc>
      </w:tr>
    </w:tbl>
    <w:p w:rsidR="00927549" w:rsidRPr="004A3285" w:rsidRDefault="00927549" w:rsidP="00927549">
      <w:pPr>
        <w:rPr>
          <w:rFonts w:eastAsiaTheme="minorHAnsi" w:cstheme="minorBidi"/>
          <w:szCs w:val="24"/>
          <w:lang w:eastAsia="en-US"/>
        </w:rPr>
      </w:pPr>
    </w:p>
    <w:p w:rsidR="00927549" w:rsidRPr="004A3285" w:rsidRDefault="00927549" w:rsidP="00927549">
      <w:pPr>
        <w:rPr>
          <w:rFonts w:eastAsiaTheme="minorHAnsi" w:cstheme="minorBidi"/>
          <w:szCs w:val="24"/>
          <w:lang w:eastAsia="en-US"/>
        </w:rPr>
      </w:pPr>
    </w:p>
    <w:p w:rsidR="00927549" w:rsidRPr="004A3285" w:rsidRDefault="00927549" w:rsidP="0092754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927549" w:rsidRPr="00097C79" w:rsidRDefault="00927549" w:rsidP="00927549">
      <w:pPr>
        <w:rPr>
          <w:rStyle w:val="SCCAppellantForRunningHeadChar"/>
          <w:szCs w:val="24"/>
        </w:rPr>
      </w:pPr>
      <w:r w:rsidRPr="00097C79">
        <w:rPr>
          <w:rStyle w:val="SCCAppellantForRunningHeadChar"/>
          <w:szCs w:val="24"/>
        </w:rPr>
        <w:br w:type="page"/>
      </w:r>
    </w:p>
    <w:p w:rsidR="008322BD" w:rsidRPr="00593C36" w:rsidRDefault="00593C36" w:rsidP="00180C26">
      <w:pPr>
        <w:spacing w:after="720"/>
        <w:jc w:val="both"/>
        <w:rPr>
          <w:b/>
          <w:szCs w:val="24"/>
        </w:rPr>
      </w:pPr>
      <w:proofErr w:type="spellStart"/>
      <w:r w:rsidRPr="00593C36">
        <w:rPr>
          <w:rStyle w:val="SCCAppellantForIndexChar"/>
          <w:b w:val="0"/>
          <w:szCs w:val="24"/>
        </w:rPr>
        <w:lastRenderedPageBreak/>
        <w:t>Ré:Sonne</w:t>
      </w:r>
      <w:proofErr w:type="spellEnd"/>
      <w:r w:rsidRPr="008E664A">
        <w:rPr>
          <w:szCs w:val="24"/>
        </w:rPr>
        <w:t xml:space="preserve"> </w:t>
      </w:r>
      <w:r w:rsidRPr="008E664A">
        <w:rPr>
          <w:i/>
          <w:szCs w:val="24"/>
        </w:rPr>
        <w:t>c.</w:t>
      </w:r>
      <w:r w:rsidRPr="008E664A">
        <w:rPr>
          <w:szCs w:val="24"/>
        </w:rPr>
        <w:t xml:space="preserve"> </w:t>
      </w:r>
      <w:r w:rsidRPr="00593C36">
        <w:rPr>
          <w:rStyle w:val="SCCRespondentForIndexChar"/>
          <w:b w:val="0"/>
          <w:szCs w:val="24"/>
        </w:rPr>
        <w:t>Fédération des associations de propriétaires de cinémas du Canada, 2012 CSC 38, [2012] 2 R.C.S. 376</w:t>
      </w:r>
    </w:p>
    <w:p w:rsidR="007A0F8A" w:rsidRPr="004B58A2" w:rsidRDefault="00030898" w:rsidP="00180C26">
      <w:pPr>
        <w:pStyle w:val="SCCLsocParty"/>
        <w:tabs>
          <w:tab w:val="right" w:pos="8222"/>
        </w:tabs>
        <w:spacing w:after="720"/>
        <w:rPr>
          <w:szCs w:val="24"/>
        </w:rPr>
      </w:pPr>
      <w:proofErr w:type="spellStart"/>
      <w:r w:rsidRPr="004B58A2">
        <w:rPr>
          <w:szCs w:val="24"/>
        </w:rPr>
        <w:t>R</w:t>
      </w:r>
      <w:r w:rsidR="00167456" w:rsidRPr="004B58A2">
        <w:rPr>
          <w:szCs w:val="24"/>
        </w:rPr>
        <w:t>é</w:t>
      </w:r>
      <w:r w:rsidRPr="004B58A2">
        <w:rPr>
          <w:szCs w:val="24"/>
        </w:rPr>
        <w:t>:So</w:t>
      </w:r>
      <w:r w:rsidR="00167456" w:rsidRPr="004B58A2">
        <w:rPr>
          <w:szCs w:val="24"/>
        </w:rPr>
        <w:t>nne</w:t>
      </w:r>
      <w:proofErr w:type="spellEnd"/>
      <w:r w:rsidR="00180C26" w:rsidRPr="004B58A2">
        <w:rPr>
          <w:szCs w:val="24"/>
        </w:rPr>
        <w:t xml:space="preserve"> </w:t>
      </w:r>
      <w:r w:rsidR="00180C26" w:rsidRPr="004B58A2">
        <w:rPr>
          <w:szCs w:val="24"/>
        </w:rPr>
        <w:tab/>
      </w:r>
      <w:r w:rsidR="00180C26" w:rsidRPr="004B58A2">
        <w:rPr>
          <w:b w:val="0"/>
          <w:i/>
          <w:szCs w:val="24"/>
        </w:rPr>
        <w:t>Appelante</w:t>
      </w:r>
    </w:p>
    <w:p w:rsidR="00180C26" w:rsidRPr="004B58A2" w:rsidRDefault="00030898" w:rsidP="00180C26">
      <w:pPr>
        <w:pStyle w:val="SCCLsocVersus"/>
        <w:spacing w:after="720"/>
        <w:rPr>
          <w:szCs w:val="24"/>
        </w:rPr>
      </w:pPr>
      <w:proofErr w:type="gramStart"/>
      <w:r w:rsidRPr="004B58A2">
        <w:rPr>
          <w:szCs w:val="24"/>
        </w:rPr>
        <w:t>c</w:t>
      </w:r>
      <w:proofErr w:type="gramEnd"/>
      <w:r w:rsidRPr="004B58A2">
        <w:rPr>
          <w:szCs w:val="24"/>
        </w:rPr>
        <w:t>.</w:t>
      </w:r>
    </w:p>
    <w:p w:rsidR="007A0F8A" w:rsidRPr="004B58A2" w:rsidRDefault="00030898">
      <w:pPr>
        <w:pStyle w:val="SCCLsocParty"/>
        <w:rPr>
          <w:szCs w:val="24"/>
        </w:rPr>
      </w:pPr>
      <w:r w:rsidRPr="004B58A2">
        <w:rPr>
          <w:szCs w:val="24"/>
        </w:rPr>
        <w:t xml:space="preserve">Fédération des associations de propriétaires de cinémas du Canada, </w:t>
      </w:r>
    </w:p>
    <w:p w:rsidR="00726882" w:rsidRPr="004B58A2" w:rsidRDefault="00030898">
      <w:pPr>
        <w:pStyle w:val="SCCLsocParty"/>
        <w:rPr>
          <w:szCs w:val="24"/>
        </w:rPr>
      </w:pPr>
      <w:r w:rsidRPr="004B58A2">
        <w:rPr>
          <w:szCs w:val="24"/>
        </w:rPr>
        <w:t xml:space="preserve">Rogers Communications Inc., Shaw Communications Inc., </w:t>
      </w:r>
    </w:p>
    <w:p w:rsidR="00726882" w:rsidRPr="004B58A2" w:rsidRDefault="00A2614D">
      <w:pPr>
        <w:pStyle w:val="SCCLsocParty"/>
        <w:rPr>
          <w:szCs w:val="24"/>
        </w:rPr>
      </w:pPr>
      <w:r w:rsidRPr="004B58A2">
        <w:rPr>
          <w:szCs w:val="24"/>
        </w:rPr>
        <w:t xml:space="preserve">Bell </w:t>
      </w:r>
      <w:proofErr w:type="spellStart"/>
      <w:r w:rsidRPr="004B58A2">
        <w:rPr>
          <w:szCs w:val="24"/>
        </w:rPr>
        <w:t>ExpressV</w:t>
      </w:r>
      <w:r w:rsidR="00167456" w:rsidRPr="004B58A2">
        <w:rPr>
          <w:szCs w:val="24"/>
        </w:rPr>
        <w:t>u</w:t>
      </w:r>
      <w:proofErr w:type="spellEnd"/>
      <w:r w:rsidR="00167456" w:rsidRPr="004B58A2">
        <w:rPr>
          <w:szCs w:val="24"/>
        </w:rPr>
        <w:t xml:space="preserve"> LLP, </w:t>
      </w:r>
      <w:proofErr w:type="spellStart"/>
      <w:r w:rsidR="00167456" w:rsidRPr="004B58A2">
        <w:rPr>
          <w:szCs w:val="24"/>
        </w:rPr>
        <w:t>Cogeco</w:t>
      </w:r>
      <w:proofErr w:type="spellEnd"/>
      <w:r w:rsidR="00167456" w:rsidRPr="004B58A2">
        <w:rPr>
          <w:szCs w:val="24"/>
        </w:rPr>
        <w:t xml:space="preserve"> Câble </w:t>
      </w:r>
      <w:proofErr w:type="spellStart"/>
      <w:r w:rsidR="00167456" w:rsidRPr="004B58A2">
        <w:rPr>
          <w:szCs w:val="24"/>
        </w:rPr>
        <w:t>i</w:t>
      </w:r>
      <w:r w:rsidR="00030898" w:rsidRPr="004B58A2">
        <w:rPr>
          <w:szCs w:val="24"/>
        </w:rPr>
        <w:t>nc</w:t>
      </w:r>
      <w:proofErr w:type="spellEnd"/>
      <w:r w:rsidR="00030898" w:rsidRPr="004B58A2">
        <w:rPr>
          <w:szCs w:val="24"/>
        </w:rPr>
        <w:t xml:space="preserve">., </w:t>
      </w:r>
      <w:proofErr w:type="spellStart"/>
      <w:r w:rsidR="00A60B25" w:rsidRPr="004B58A2">
        <w:rPr>
          <w:szCs w:val="24"/>
        </w:rPr>
        <w:t>EastL</w:t>
      </w:r>
      <w:r w:rsidR="00030898" w:rsidRPr="004B58A2">
        <w:rPr>
          <w:szCs w:val="24"/>
        </w:rPr>
        <w:t>ink</w:t>
      </w:r>
      <w:proofErr w:type="spellEnd"/>
      <w:r w:rsidR="00030898" w:rsidRPr="004B58A2">
        <w:rPr>
          <w:szCs w:val="24"/>
        </w:rPr>
        <w:t xml:space="preserve">, </w:t>
      </w:r>
    </w:p>
    <w:p w:rsidR="00726882" w:rsidRPr="004B58A2" w:rsidRDefault="00030898">
      <w:pPr>
        <w:pStyle w:val="SCCLsocParty"/>
        <w:rPr>
          <w:szCs w:val="24"/>
        </w:rPr>
      </w:pPr>
      <w:r w:rsidRPr="004B58A2">
        <w:rPr>
          <w:szCs w:val="24"/>
        </w:rPr>
        <w:t xml:space="preserve">Quebecor Media, </w:t>
      </w:r>
      <w:r w:rsidR="003A2543" w:rsidRPr="004B58A2">
        <w:rPr>
          <w:szCs w:val="24"/>
        </w:rPr>
        <w:t xml:space="preserve">Société </w:t>
      </w:r>
      <w:r w:rsidRPr="004B58A2">
        <w:rPr>
          <w:szCs w:val="24"/>
        </w:rPr>
        <w:t>T</w:t>
      </w:r>
      <w:r w:rsidR="00167456" w:rsidRPr="004B58A2">
        <w:rPr>
          <w:szCs w:val="24"/>
        </w:rPr>
        <w:t>ELUS</w:t>
      </w:r>
      <w:r w:rsidRPr="004B58A2">
        <w:rPr>
          <w:szCs w:val="24"/>
        </w:rPr>
        <w:t xml:space="preserve"> Communications, </w:t>
      </w:r>
    </w:p>
    <w:p w:rsidR="007A0F8A" w:rsidRPr="004B58A2" w:rsidRDefault="00030898">
      <w:pPr>
        <w:pStyle w:val="SCCLsocParty"/>
        <w:rPr>
          <w:szCs w:val="24"/>
        </w:rPr>
      </w:pPr>
      <w:r w:rsidRPr="004B58A2">
        <w:rPr>
          <w:szCs w:val="24"/>
        </w:rPr>
        <w:t>Association canadienne des radiodiffuseurs</w:t>
      </w:r>
      <w:r w:rsidR="00726882" w:rsidRPr="004B58A2">
        <w:rPr>
          <w:szCs w:val="24"/>
        </w:rPr>
        <w:t xml:space="preserve"> et</w:t>
      </w:r>
      <w:r w:rsidRPr="004B58A2">
        <w:rPr>
          <w:szCs w:val="24"/>
        </w:rPr>
        <w:t xml:space="preserve"> </w:t>
      </w:r>
    </w:p>
    <w:p w:rsidR="007A0F8A" w:rsidRPr="004B58A2" w:rsidRDefault="00030898" w:rsidP="00180C26">
      <w:pPr>
        <w:pStyle w:val="SCCLsocParty"/>
        <w:tabs>
          <w:tab w:val="right" w:pos="8222"/>
        </w:tabs>
        <w:spacing w:after="720"/>
        <w:rPr>
          <w:szCs w:val="24"/>
        </w:rPr>
      </w:pPr>
      <w:r w:rsidRPr="004B58A2">
        <w:rPr>
          <w:szCs w:val="24"/>
        </w:rPr>
        <w:t xml:space="preserve">Société </w:t>
      </w:r>
      <w:proofErr w:type="spellStart"/>
      <w:r w:rsidRPr="004B58A2">
        <w:rPr>
          <w:szCs w:val="24"/>
        </w:rPr>
        <w:t>Radio</w:t>
      </w:r>
      <w:r w:rsidR="005A6AC9" w:rsidRPr="004B58A2">
        <w:rPr>
          <w:szCs w:val="24"/>
        </w:rPr>
        <w:noBreakHyphen/>
      </w:r>
      <w:r w:rsidRPr="004B58A2">
        <w:rPr>
          <w:szCs w:val="24"/>
        </w:rPr>
        <w:t>Canada</w:t>
      </w:r>
      <w:proofErr w:type="spellEnd"/>
      <w:r w:rsidR="00180C26" w:rsidRPr="004B58A2">
        <w:rPr>
          <w:szCs w:val="24"/>
        </w:rPr>
        <w:t xml:space="preserve"> </w:t>
      </w:r>
      <w:r w:rsidR="00180C26" w:rsidRPr="004B58A2">
        <w:rPr>
          <w:szCs w:val="24"/>
        </w:rPr>
        <w:tab/>
      </w:r>
      <w:r w:rsidR="00180C26" w:rsidRPr="004B58A2">
        <w:rPr>
          <w:b w:val="0"/>
          <w:i/>
          <w:szCs w:val="24"/>
        </w:rPr>
        <w:t>Intimées</w:t>
      </w:r>
    </w:p>
    <w:p w:rsidR="00180C26" w:rsidRPr="004B58A2" w:rsidRDefault="00180C26" w:rsidP="00180C26">
      <w:pPr>
        <w:pStyle w:val="SCCLsocOtherPartySeparator"/>
        <w:spacing w:after="720"/>
        <w:rPr>
          <w:szCs w:val="24"/>
        </w:rPr>
      </w:pPr>
      <w:proofErr w:type="gramStart"/>
      <w:r w:rsidRPr="004B58A2">
        <w:rPr>
          <w:szCs w:val="24"/>
        </w:rPr>
        <w:t>e</w:t>
      </w:r>
      <w:r w:rsidR="00030898" w:rsidRPr="004B58A2">
        <w:rPr>
          <w:szCs w:val="24"/>
        </w:rPr>
        <w:t>t</w:t>
      </w:r>
      <w:proofErr w:type="gramEnd"/>
    </w:p>
    <w:p w:rsidR="00180C26" w:rsidRPr="004B58A2" w:rsidRDefault="00030898" w:rsidP="00180C26">
      <w:pPr>
        <w:pStyle w:val="SCCLsocParty"/>
        <w:tabs>
          <w:tab w:val="right" w:pos="8222"/>
        </w:tabs>
        <w:rPr>
          <w:szCs w:val="24"/>
        </w:rPr>
      </w:pPr>
      <w:r w:rsidRPr="004B58A2">
        <w:rPr>
          <w:szCs w:val="24"/>
        </w:rPr>
        <w:t>Clinique d</w:t>
      </w:r>
      <w:r w:rsidR="005F3E4F" w:rsidRPr="004B58A2">
        <w:rPr>
          <w:szCs w:val="24"/>
        </w:rPr>
        <w:t>’</w:t>
      </w:r>
      <w:r w:rsidRPr="004B58A2">
        <w:rPr>
          <w:szCs w:val="24"/>
        </w:rPr>
        <w:t>intérêt public et de politique d</w:t>
      </w:r>
      <w:r w:rsidR="005F3E4F" w:rsidRPr="004B58A2">
        <w:rPr>
          <w:szCs w:val="24"/>
        </w:rPr>
        <w:t>’</w:t>
      </w:r>
      <w:r w:rsidR="00E81F6A" w:rsidRPr="004B58A2">
        <w:rPr>
          <w:szCs w:val="24"/>
        </w:rPr>
        <w:t>i</w:t>
      </w:r>
      <w:r w:rsidRPr="004B58A2">
        <w:rPr>
          <w:szCs w:val="24"/>
        </w:rPr>
        <w:t xml:space="preserve">nternet </w:t>
      </w:r>
    </w:p>
    <w:p w:rsidR="007A0F8A" w:rsidRPr="004B58A2" w:rsidRDefault="00030898" w:rsidP="00180C26">
      <w:pPr>
        <w:pStyle w:val="SCCLsocParty"/>
        <w:tabs>
          <w:tab w:val="right" w:pos="8222"/>
        </w:tabs>
        <w:spacing w:after="720"/>
        <w:rPr>
          <w:szCs w:val="24"/>
        </w:rPr>
      </w:pPr>
      <w:proofErr w:type="gramStart"/>
      <w:r w:rsidRPr="004B58A2">
        <w:rPr>
          <w:szCs w:val="24"/>
        </w:rPr>
        <w:t>du</w:t>
      </w:r>
      <w:proofErr w:type="gramEnd"/>
      <w:r w:rsidRPr="004B58A2">
        <w:rPr>
          <w:szCs w:val="24"/>
        </w:rPr>
        <w:t xml:space="preserve"> Canada </w:t>
      </w:r>
      <w:proofErr w:type="spellStart"/>
      <w:r w:rsidRPr="004B58A2">
        <w:rPr>
          <w:szCs w:val="24"/>
        </w:rPr>
        <w:t>Samuelson</w:t>
      </w:r>
      <w:r w:rsidR="005A6AC9" w:rsidRPr="004B58A2">
        <w:rPr>
          <w:szCs w:val="24"/>
        </w:rPr>
        <w:noBreakHyphen/>
      </w:r>
      <w:r w:rsidRPr="004B58A2">
        <w:rPr>
          <w:szCs w:val="24"/>
        </w:rPr>
        <w:t>Glushko</w:t>
      </w:r>
      <w:proofErr w:type="spellEnd"/>
      <w:r w:rsidR="00180C26" w:rsidRPr="004B58A2">
        <w:rPr>
          <w:szCs w:val="24"/>
        </w:rPr>
        <w:t xml:space="preserve"> </w:t>
      </w:r>
      <w:r w:rsidR="00180C26" w:rsidRPr="004B58A2">
        <w:rPr>
          <w:szCs w:val="24"/>
        </w:rPr>
        <w:tab/>
      </w:r>
      <w:r w:rsidR="00180C26" w:rsidRPr="004B58A2">
        <w:rPr>
          <w:b w:val="0"/>
          <w:i/>
          <w:szCs w:val="24"/>
        </w:rPr>
        <w:t>Intervenante</w:t>
      </w:r>
    </w:p>
    <w:p w:rsidR="00426659" w:rsidRPr="004B58A2" w:rsidRDefault="0043088E" w:rsidP="00180C26">
      <w:pPr>
        <w:spacing w:after="720"/>
        <w:jc w:val="both"/>
        <w:rPr>
          <w:b/>
          <w:szCs w:val="24"/>
        </w:rPr>
      </w:pPr>
      <w:r w:rsidRPr="004B58A2">
        <w:rPr>
          <w:b/>
          <w:szCs w:val="24"/>
        </w:rPr>
        <w:t>Répertorié</w:t>
      </w:r>
      <w:r w:rsidR="005A6AC9" w:rsidRPr="004B58A2">
        <w:rPr>
          <w:b/>
          <w:szCs w:val="24"/>
        </w:rPr>
        <w:t> :</w:t>
      </w:r>
      <w:r w:rsidR="00C67CA5" w:rsidRPr="004B58A2">
        <w:rPr>
          <w:b/>
          <w:szCs w:val="24"/>
        </w:rPr>
        <w:t> </w:t>
      </w:r>
      <w:proofErr w:type="spellStart"/>
      <w:r w:rsidRPr="004B58A2">
        <w:rPr>
          <w:rStyle w:val="SCCAppellantForIndexChar"/>
          <w:szCs w:val="24"/>
        </w:rPr>
        <w:t>R</w:t>
      </w:r>
      <w:r w:rsidR="00473A5A" w:rsidRPr="004B58A2">
        <w:rPr>
          <w:rStyle w:val="SCCAppellantForIndexChar"/>
          <w:szCs w:val="24"/>
        </w:rPr>
        <w:t>é</w:t>
      </w:r>
      <w:r w:rsidRPr="004B58A2">
        <w:rPr>
          <w:rStyle w:val="SCCAppellantForIndexChar"/>
          <w:szCs w:val="24"/>
        </w:rPr>
        <w:t>:So</w:t>
      </w:r>
      <w:r w:rsidR="00473A5A" w:rsidRPr="004B58A2">
        <w:rPr>
          <w:rStyle w:val="SCCAppellantForIndexChar"/>
          <w:szCs w:val="24"/>
        </w:rPr>
        <w:t>nne</w:t>
      </w:r>
      <w:proofErr w:type="spellEnd"/>
      <w:r w:rsidR="00426659" w:rsidRPr="004B58A2">
        <w:rPr>
          <w:b/>
          <w:szCs w:val="24"/>
        </w:rPr>
        <w:t xml:space="preserve"> </w:t>
      </w:r>
      <w:r w:rsidR="00645057" w:rsidRPr="004B58A2">
        <w:rPr>
          <w:b/>
          <w:i/>
          <w:szCs w:val="24"/>
        </w:rPr>
        <w:t>c</w:t>
      </w:r>
      <w:r w:rsidR="00426659" w:rsidRPr="004B58A2">
        <w:rPr>
          <w:b/>
          <w:i/>
          <w:szCs w:val="24"/>
        </w:rPr>
        <w:t>.</w:t>
      </w:r>
      <w:r w:rsidR="00426659" w:rsidRPr="004B58A2">
        <w:rPr>
          <w:b/>
          <w:szCs w:val="24"/>
        </w:rPr>
        <w:t xml:space="preserve"> </w:t>
      </w:r>
      <w:r w:rsidRPr="004B58A2">
        <w:rPr>
          <w:rStyle w:val="SCCRespondentForIndexChar"/>
          <w:szCs w:val="24"/>
        </w:rPr>
        <w:t xml:space="preserve">Fédération des associations de </w:t>
      </w:r>
      <w:r w:rsidR="00473A5A" w:rsidRPr="004B58A2">
        <w:rPr>
          <w:rStyle w:val="SCCRespondentForIndexChar"/>
          <w:szCs w:val="24"/>
        </w:rPr>
        <w:t>propriétaires de cinémas du Canada</w:t>
      </w:r>
    </w:p>
    <w:p w:rsidR="00426659" w:rsidRPr="004B58A2" w:rsidRDefault="00C0663B" w:rsidP="00180C26">
      <w:pPr>
        <w:pStyle w:val="SCCSystemYear"/>
        <w:spacing w:after="720"/>
        <w:jc w:val="both"/>
        <w:rPr>
          <w:szCs w:val="24"/>
        </w:rPr>
      </w:pPr>
      <w:r w:rsidRPr="004B58A2">
        <w:rPr>
          <w:szCs w:val="24"/>
        </w:rPr>
        <w:t>2012</w:t>
      </w:r>
      <w:r w:rsidR="00EE0FAF" w:rsidRPr="004B58A2">
        <w:rPr>
          <w:szCs w:val="24"/>
        </w:rPr>
        <w:t xml:space="preserve"> </w:t>
      </w:r>
      <w:r w:rsidR="00C71F58" w:rsidRPr="004B58A2">
        <w:rPr>
          <w:szCs w:val="24"/>
        </w:rPr>
        <w:t>C</w:t>
      </w:r>
      <w:r w:rsidR="00525BB6" w:rsidRPr="004B58A2">
        <w:rPr>
          <w:szCs w:val="24"/>
        </w:rPr>
        <w:t>SC 38</w:t>
      </w:r>
    </w:p>
    <w:p w:rsidR="008322BD" w:rsidRPr="004B58A2" w:rsidRDefault="009B57B3" w:rsidP="00180C26">
      <w:pPr>
        <w:spacing w:after="720"/>
        <w:jc w:val="both"/>
        <w:rPr>
          <w:szCs w:val="24"/>
        </w:rPr>
      </w:pPr>
      <w:r w:rsidRPr="004B58A2">
        <w:rPr>
          <w:szCs w:val="24"/>
        </w:rPr>
        <w:t>N</w:t>
      </w:r>
      <w:r w:rsidRPr="004B58A2">
        <w:rPr>
          <w:szCs w:val="24"/>
          <w:vertAlign w:val="superscript"/>
        </w:rPr>
        <w:t>o</w:t>
      </w:r>
      <w:r w:rsidR="0043088E" w:rsidRPr="004B58A2">
        <w:rPr>
          <w:szCs w:val="24"/>
        </w:rPr>
        <w:t xml:space="preserve"> du greffe</w:t>
      </w:r>
      <w:r w:rsidR="005A6AC9" w:rsidRPr="004B58A2">
        <w:rPr>
          <w:szCs w:val="24"/>
        </w:rPr>
        <w:t> :</w:t>
      </w:r>
      <w:r w:rsidR="00C67CA5" w:rsidRPr="004B58A2">
        <w:rPr>
          <w:szCs w:val="24"/>
        </w:rPr>
        <w:t> </w:t>
      </w:r>
      <w:r w:rsidRPr="004B58A2">
        <w:rPr>
          <w:szCs w:val="24"/>
        </w:rPr>
        <w:t>34210.</w:t>
      </w:r>
    </w:p>
    <w:p w:rsidR="008322BD" w:rsidRPr="004B58A2" w:rsidRDefault="00C0663B" w:rsidP="00180C26">
      <w:pPr>
        <w:spacing w:after="720"/>
        <w:jc w:val="both"/>
        <w:rPr>
          <w:szCs w:val="24"/>
        </w:rPr>
      </w:pPr>
      <w:r w:rsidRPr="004B58A2">
        <w:rPr>
          <w:szCs w:val="24"/>
        </w:rPr>
        <w:t>2011</w:t>
      </w:r>
      <w:r w:rsidR="005A6AC9" w:rsidRPr="004B58A2">
        <w:rPr>
          <w:szCs w:val="24"/>
        </w:rPr>
        <w:t> :</w:t>
      </w:r>
      <w:r w:rsidR="00473A5A" w:rsidRPr="004B58A2">
        <w:rPr>
          <w:szCs w:val="24"/>
        </w:rPr>
        <w:t> </w:t>
      </w:r>
      <w:r w:rsidRPr="004B58A2">
        <w:rPr>
          <w:szCs w:val="24"/>
        </w:rPr>
        <w:t>7 décembre</w:t>
      </w:r>
      <w:r w:rsidR="009B57B3" w:rsidRPr="004B58A2">
        <w:rPr>
          <w:szCs w:val="24"/>
        </w:rPr>
        <w:t xml:space="preserve">; </w:t>
      </w:r>
      <w:r w:rsidR="00525BB6" w:rsidRPr="004B58A2">
        <w:rPr>
          <w:szCs w:val="24"/>
        </w:rPr>
        <w:t>2012 : 12 juillet</w:t>
      </w:r>
      <w:r w:rsidR="009B57B3" w:rsidRPr="004B58A2">
        <w:rPr>
          <w:szCs w:val="24"/>
        </w:rPr>
        <w:t>.</w:t>
      </w:r>
    </w:p>
    <w:p w:rsidR="008322BD" w:rsidRPr="004B58A2" w:rsidRDefault="009B57B3" w:rsidP="00180C26">
      <w:pPr>
        <w:spacing w:after="720"/>
        <w:jc w:val="both"/>
        <w:rPr>
          <w:szCs w:val="24"/>
        </w:rPr>
      </w:pPr>
      <w:r w:rsidRPr="004B58A2">
        <w:rPr>
          <w:szCs w:val="24"/>
        </w:rPr>
        <w:lastRenderedPageBreak/>
        <w:t>Pr</w:t>
      </w:r>
      <w:r w:rsidR="0043088E" w:rsidRPr="004B58A2">
        <w:rPr>
          <w:szCs w:val="24"/>
        </w:rPr>
        <w:t>é</w:t>
      </w:r>
      <w:r w:rsidRPr="004B58A2">
        <w:rPr>
          <w:szCs w:val="24"/>
        </w:rPr>
        <w:t>sent</w:t>
      </w:r>
      <w:r w:rsidR="008A6558" w:rsidRPr="004B58A2">
        <w:rPr>
          <w:szCs w:val="24"/>
        </w:rPr>
        <w:t>s</w:t>
      </w:r>
      <w:r w:rsidR="005A6AC9" w:rsidRPr="004B58A2">
        <w:rPr>
          <w:szCs w:val="24"/>
        </w:rPr>
        <w:t> :</w:t>
      </w:r>
      <w:r w:rsidR="00C67CA5" w:rsidRPr="004B58A2">
        <w:rPr>
          <w:szCs w:val="24"/>
        </w:rPr>
        <w:t> </w:t>
      </w:r>
      <w:r w:rsidRPr="004B58A2">
        <w:rPr>
          <w:szCs w:val="24"/>
        </w:rPr>
        <w:t xml:space="preserve">La juge en chef </w:t>
      </w:r>
      <w:proofErr w:type="spellStart"/>
      <w:r w:rsidRPr="004B58A2">
        <w:rPr>
          <w:szCs w:val="24"/>
        </w:rPr>
        <w:t>McLachlin</w:t>
      </w:r>
      <w:proofErr w:type="spellEnd"/>
      <w:r w:rsidRPr="004B58A2">
        <w:rPr>
          <w:szCs w:val="24"/>
        </w:rPr>
        <w:t xml:space="preserve"> et les juges LeBel, Deschamps, Fish, Abella, </w:t>
      </w:r>
      <w:proofErr w:type="spellStart"/>
      <w:r w:rsidRPr="004B58A2">
        <w:rPr>
          <w:szCs w:val="24"/>
        </w:rPr>
        <w:t>Rothstein</w:t>
      </w:r>
      <w:proofErr w:type="spellEnd"/>
      <w:r w:rsidRPr="004B58A2">
        <w:rPr>
          <w:szCs w:val="24"/>
        </w:rPr>
        <w:t xml:space="preserve">, Cromwell, </w:t>
      </w:r>
      <w:proofErr w:type="spellStart"/>
      <w:r w:rsidRPr="004B58A2">
        <w:rPr>
          <w:szCs w:val="24"/>
        </w:rPr>
        <w:t>Moldaver</w:t>
      </w:r>
      <w:proofErr w:type="spellEnd"/>
      <w:r w:rsidRPr="004B58A2">
        <w:rPr>
          <w:szCs w:val="24"/>
        </w:rPr>
        <w:t xml:space="preserve"> et </w:t>
      </w:r>
      <w:proofErr w:type="spellStart"/>
      <w:r w:rsidRPr="004B58A2">
        <w:rPr>
          <w:szCs w:val="24"/>
        </w:rPr>
        <w:t>Karakatsanis</w:t>
      </w:r>
      <w:proofErr w:type="spellEnd"/>
      <w:r w:rsidRPr="004B58A2">
        <w:rPr>
          <w:szCs w:val="24"/>
        </w:rPr>
        <w:t>.</w:t>
      </w:r>
    </w:p>
    <w:p w:rsidR="008322BD" w:rsidRPr="004B58A2" w:rsidRDefault="00AC7437" w:rsidP="007175EC">
      <w:pPr>
        <w:pStyle w:val="SCCLowerCourtNameLowercase"/>
        <w:spacing w:after="480"/>
        <w:rPr>
          <w:szCs w:val="24"/>
        </w:rPr>
      </w:pPr>
      <w:r w:rsidRPr="004B58A2">
        <w:rPr>
          <w:szCs w:val="24"/>
        </w:rPr>
        <w:t>e</w:t>
      </w:r>
      <w:r w:rsidR="00855307" w:rsidRPr="004B58A2">
        <w:rPr>
          <w:szCs w:val="24"/>
        </w:rPr>
        <w:t>n</w:t>
      </w:r>
      <w:r w:rsidR="00224FC0" w:rsidRPr="004B58A2">
        <w:rPr>
          <w:szCs w:val="24"/>
        </w:rPr>
        <w:t xml:space="preserve"> </w:t>
      </w:r>
      <w:r w:rsidR="00855307" w:rsidRPr="004B58A2">
        <w:rPr>
          <w:szCs w:val="24"/>
        </w:rPr>
        <w:t>appel</w:t>
      </w:r>
      <w:r w:rsidR="00224FC0" w:rsidRPr="004B58A2">
        <w:rPr>
          <w:szCs w:val="24"/>
        </w:rPr>
        <w:t xml:space="preserve"> </w:t>
      </w:r>
      <w:r w:rsidR="00855307" w:rsidRPr="004B58A2">
        <w:rPr>
          <w:szCs w:val="24"/>
        </w:rPr>
        <w:t>de</w:t>
      </w:r>
      <w:r w:rsidR="0043088E" w:rsidRPr="004B58A2">
        <w:rPr>
          <w:szCs w:val="24"/>
        </w:rPr>
        <w:t xml:space="preserve"> </w:t>
      </w:r>
      <w:r w:rsidR="00855307" w:rsidRPr="004B58A2">
        <w:rPr>
          <w:szCs w:val="24"/>
        </w:rPr>
        <w:t>la</w:t>
      </w:r>
      <w:r w:rsidR="00224FC0" w:rsidRPr="004B58A2">
        <w:rPr>
          <w:szCs w:val="24"/>
        </w:rPr>
        <w:t xml:space="preserve"> </w:t>
      </w:r>
      <w:r w:rsidR="009B57B3" w:rsidRPr="004B58A2">
        <w:rPr>
          <w:szCs w:val="24"/>
        </w:rPr>
        <w:t>cour d</w:t>
      </w:r>
      <w:r w:rsidR="005F3E4F" w:rsidRPr="004B58A2">
        <w:rPr>
          <w:szCs w:val="24"/>
        </w:rPr>
        <w:t>’</w:t>
      </w:r>
      <w:r w:rsidR="009B57B3" w:rsidRPr="004B58A2">
        <w:rPr>
          <w:szCs w:val="24"/>
        </w:rPr>
        <w:t>appel fédérale</w:t>
      </w:r>
    </w:p>
    <w:p w:rsidR="00F3215A" w:rsidRPr="004B58A2" w:rsidRDefault="009B57B3" w:rsidP="007175EC">
      <w:pPr>
        <w:pStyle w:val="SCCNormalDoubleSpacing"/>
        <w:spacing w:after="480"/>
        <w:rPr>
          <w:i/>
          <w:szCs w:val="24"/>
          <w:lang w:val="fr-FR"/>
        </w:rPr>
      </w:pPr>
      <w:r w:rsidRPr="004B58A2">
        <w:rPr>
          <w:szCs w:val="24"/>
          <w:lang w:val="fr-FR"/>
        </w:rPr>
        <w:tab/>
      </w:r>
      <w:r w:rsidR="00071FA7" w:rsidRPr="004B58A2">
        <w:rPr>
          <w:i/>
          <w:szCs w:val="24"/>
          <w:lang w:val="fr-FR"/>
        </w:rPr>
        <w:t>P</w:t>
      </w:r>
      <w:r w:rsidR="00F3215A" w:rsidRPr="004B58A2">
        <w:rPr>
          <w:i/>
          <w:szCs w:val="24"/>
          <w:lang w:val="fr-FR"/>
        </w:rPr>
        <w:t xml:space="preserve">ropriété intellectuelle </w:t>
      </w:r>
      <w:r w:rsidR="005A6AC9" w:rsidRPr="004B58A2">
        <w:rPr>
          <w:i/>
          <w:szCs w:val="24"/>
        </w:rPr>
        <w:t>—</w:t>
      </w:r>
      <w:r w:rsidR="00F3215A" w:rsidRPr="004B58A2">
        <w:rPr>
          <w:i/>
          <w:szCs w:val="24"/>
          <w:lang w:val="fr-FR"/>
        </w:rPr>
        <w:t xml:space="preserve"> Droit d</w:t>
      </w:r>
      <w:r w:rsidR="005F3E4F" w:rsidRPr="004B58A2">
        <w:rPr>
          <w:i/>
          <w:szCs w:val="24"/>
          <w:lang w:val="fr-FR"/>
        </w:rPr>
        <w:t>’</w:t>
      </w:r>
      <w:r w:rsidR="00F3215A" w:rsidRPr="004B58A2">
        <w:rPr>
          <w:i/>
          <w:szCs w:val="24"/>
          <w:lang w:val="fr-FR"/>
        </w:rPr>
        <w:t xml:space="preserve">auteur </w:t>
      </w:r>
      <w:r w:rsidR="005A6AC9" w:rsidRPr="004B58A2">
        <w:rPr>
          <w:i/>
          <w:szCs w:val="24"/>
        </w:rPr>
        <w:t>—</w:t>
      </w:r>
      <w:r w:rsidR="00F3215A" w:rsidRPr="004B58A2">
        <w:rPr>
          <w:i/>
          <w:szCs w:val="24"/>
          <w:lang w:val="fr-FR"/>
        </w:rPr>
        <w:t xml:space="preserve"> Un enregistrement préexistant incorporé à la bande sonore d</w:t>
      </w:r>
      <w:r w:rsidR="005F3E4F" w:rsidRPr="004B58A2">
        <w:rPr>
          <w:i/>
          <w:szCs w:val="24"/>
          <w:lang w:val="fr-FR"/>
        </w:rPr>
        <w:t>’</w:t>
      </w:r>
      <w:r w:rsidR="00F3215A" w:rsidRPr="004B58A2">
        <w:rPr>
          <w:i/>
          <w:szCs w:val="24"/>
          <w:lang w:val="fr-FR"/>
        </w:rPr>
        <w:t xml:space="preserve">une œuvre cinématographique </w:t>
      </w:r>
      <w:proofErr w:type="spellStart"/>
      <w:r w:rsidR="00F3215A" w:rsidRPr="004B58A2">
        <w:rPr>
          <w:i/>
          <w:szCs w:val="24"/>
          <w:lang w:val="fr-FR"/>
        </w:rPr>
        <w:t>constitue</w:t>
      </w:r>
      <w:r w:rsidR="005A6AC9" w:rsidRPr="004B58A2">
        <w:rPr>
          <w:i/>
          <w:szCs w:val="24"/>
          <w:lang w:val="fr-FR"/>
        </w:rPr>
        <w:noBreakHyphen/>
      </w:r>
      <w:r w:rsidR="00F3215A" w:rsidRPr="004B58A2">
        <w:rPr>
          <w:i/>
          <w:szCs w:val="24"/>
          <w:lang w:val="fr-FR"/>
        </w:rPr>
        <w:t>t</w:t>
      </w:r>
      <w:r w:rsidR="005A6AC9" w:rsidRPr="004B58A2">
        <w:rPr>
          <w:i/>
          <w:szCs w:val="24"/>
          <w:lang w:val="fr-FR"/>
        </w:rPr>
        <w:noBreakHyphen/>
      </w:r>
      <w:r w:rsidR="00F3215A" w:rsidRPr="004B58A2">
        <w:rPr>
          <w:i/>
          <w:szCs w:val="24"/>
          <w:lang w:val="fr-FR"/>
        </w:rPr>
        <w:t>il</w:t>
      </w:r>
      <w:proofErr w:type="spellEnd"/>
      <w:r w:rsidR="00F3215A" w:rsidRPr="004B58A2">
        <w:rPr>
          <w:i/>
          <w:szCs w:val="24"/>
          <w:lang w:val="fr-FR"/>
        </w:rPr>
        <w:t xml:space="preserve"> un enregistrement sonore qui </w:t>
      </w:r>
      <w:r w:rsidR="007411D2" w:rsidRPr="004B58A2">
        <w:rPr>
          <w:i/>
          <w:szCs w:val="24"/>
          <w:lang w:val="fr-FR"/>
        </w:rPr>
        <w:t xml:space="preserve">donne </w:t>
      </w:r>
      <w:r w:rsidR="00F3215A" w:rsidRPr="004B58A2">
        <w:rPr>
          <w:i/>
          <w:szCs w:val="24"/>
          <w:lang w:val="fr-FR"/>
        </w:rPr>
        <w:t>droit à une rémunération fondée sur un tarif</w:t>
      </w:r>
      <w:r w:rsidR="00596603">
        <w:rPr>
          <w:i/>
          <w:szCs w:val="24"/>
          <w:lang w:val="fr-FR"/>
        </w:rPr>
        <w:t>?</w:t>
      </w:r>
      <w:r w:rsidR="00F3215A" w:rsidRPr="004B58A2">
        <w:rPr>
          <w:i/>
          <w:szCs w:val="24"/>
          <w:lang w:val="fr-FR"/>
        </w:rPr>
        <w:t xml:space="preserve"> — La bande sonore d</w:t>
      </w:r>
      <w:r w:rsidR="005F3E4F" w:rsidRPr="004B58A2">
        <w:rPr>
          <w:i/>
          <w:szCs w:val="24"/>
          <w:lang w:val="fr-FR"/>
        </w:rPr>
        <w:t>’</w:t>
      </w:r>
      <w:r w:rsidR="00F3215A" w:rsidRPr="004B58A2">
        <w:rPr>
          <w:i/>
          <w:szCs w:val="24"/>
          <w:lang w:val="fr-FR"/>
        </w:rPr>
        <w:t xml:space="preserve">une œuvre cinématographique </w:t>
      </w:r>
      <w:proofErr w:type="spellStart"/>
      <w:r w:rsidR="00F3215A" w:rsidRPr="004B58A2">
        <w:rPr>
          <w:i/>
          <w:szCs w:val="24"/>
          <w:lang w:val="fr-FR"/>
        </w:rPr>
        <w:t>est</w:t>
      </w:r>
      <w:r w:rsidR="005A6AC9" w:rsidRPr="004B58A2">
        <w:rPr>
          <w:i/>
          <w:szCs w:val="24"/>
          <w:lang w:val="fr-FR"/>
        </w:rPr>
        <w:noBreakHyphen/>
      </w:r>
      <w:r w:rsidR="00F3215A" w:rsidRPr="004B58A2">
        <w:rPr>
          <w:i/>
          <w:szCs w:val="24"/>
          <w:lang w:val="fr-FR"/>
        </w:rPr>
        <w:t>elle</w:t>
      </w:r>
      <w:proofErr w:type="spellEnd"/>
      <w:r w:rsidR="00F3215A" w:rsidRPr="004B58A2">
        <w:rPr>
          <w:i/>
          <w:szCs w:val="24"/>
          <w:lang w:val="fr-FR"/>
        </w:rPr>
        <w:t xml:space="preserve"> constitué</w:t>
      </w:r>
      <w:r w:rsidR="0077423E" w:rsidRPr="004B58A2">
        <w:rPr>
          <w:i/>
          <w:szCs w:val="24"/>
          <w:lang w:val="fr-FR"/>
        </w:rPr>
        <w:t>e</w:t>
      </w:r>
      <w:r w:rsidR="00F3215A" w:rsidRPr="004B58A2">
        <w:rPr>
          <w:i/>
          <w:szCs w:val="24"/>
          <w:lang w:val="fr-FR"/>
        </w:rPr>
        <w:t xml:space="preserve"> d</w:t>
      </w:r>
      <w:r w:rsidR="005F3E4F" w:rsidRPr="004B58A2">
        <w:rPr>
          <w:i/>
          <w:szCs w:val="24"/>
          <w:lang w:val="fr-FR"/>
        </w:rPr>
        <w:t>’</w:t>
      </w:r>
      <w:r w:rsidR="00F3215A" w:rsidRPr="004B58A2">
        <w:rPr>
          <w:i/>
          <w:szCs w:val="24"/>
          <w:lang w:val="fr-FR"/>
        </w:rPr>
        <w:t>un ensemble de sons</w:t>
      </w:r>
      <w:r w:rsidR="0077423E" w:rsidRPr="004B58A2">
        <w:rPr>
          <w:i/>
          <w:szCs w:val="24"/>
          <w:lang w:val="fr-FR"/>
        </w:rPr>
        <w:t xml:space="preserve"> ou de composantes? — Loi sur le droit d</w:t>
      </w:r>
      <w:r w:rsidR="005F3E4F" w:rsidRPr="004B58A2">
        <w:rPr>
          <w:i/>
          <w:szCs w:val="24"/>
          <w:lang w:val="fr-FR"/>
        </w:rPr>
        <w:t>’</w:t>
      </w:r>
      <w:r w:rsidR="0077423E" w:rsidRPr="004B58A2">
        <w:rPr>
          <w:i/>
          <w:szCs w:val="24"/>
          <w:lang w:val="fr-FR"/>
        </w:rPr>
        <w:t xml:space="preserve">auteur, L.R.C. 1985, </w:t>
      </w:r>
      <w:r w:rsidR="005A6AC9" w:rsidRPr="004B58A2">
        <w:rPr>
          <w:i/>
          <w:szCs w:val="24"/>
          <w:lang w:val="fr-FR"/>
        </w:rPr>
        <w:t>ch. </w:t>
      </w:r>
      <w:r w:rsidR="0077423E" w:rsidRPr="004B58A2">
        <w:rPr>
          <w:i/>
          <w:szCs w:val="24"/>
          <w:lang w:val="fr-FR"/>
        </w:rPr>
        <w:t>C</w:t>
      </w:r>
      <w:r w:rsidR="005A6AC9" w:rsidRPr="004B58A2">
        <w:rPr>
          <w:i/>
          <w:szCs w:val="24"/>
          <w:lang w:val="fr-FR"/>
        </w:rPr>
        <w:noBreakHyphen/>
      </w:r>
      <w:r w:rsidR="0077423E" w:rsidRPr="004B58A2">
        <w:rPr>
          <w:i/>
          <w:szCs w:val="24"/>
          <w:lang w:val="fr-FR"/>
        </w:rPr>
        <w:t xml:space="preserve">42, </w:t>
      </w:r>
      <w:r w:rsidR="00071FA7" w:rsidRPr="004B58A2">
        <w:rPr>
          <w:i/>
          <w:szCs w:val="24"/>
          <w:lang w:val="fr-FR"/>
        </w:rPr>
        <w:t xml:space="preserve">art. 2 </w:t>
      </w:r>
      <w:r w:rsidR="0077423E" w:rsidRPr="004B58A2">
        <w:rPr>
          <w:i/>
          <w:szCs w:val="24"/>
          <w:lang w:val="fr-FR"/>
        </w:rPr>
        <w:t>« enregistrement sonore »</w:t>
      </w:r>
      <w:r w:rsidR="00071FA7" w:rsidRPr="004B58A2">
        <w:rPr>
          <w:i/>
          <w:szCs w:val="24"/>
          <w:lang w:val="fr-FR"/>
        </w:rPr>
        <w:t>, 19</w:t>
      </w:r>
      <w:r w:rsidR="00525BB6" w:rsidRPr="004B58A2">
        <w:rPr>
          <w:i/>
          <w:szCs w:val="24"/>
          <w:lang w:val="fr-FR"/>
        </w:rPr>
        <w:t>.</w:t>
      </w:r>
    </w:p>
    <w:p w:rsidR="0077423E" w:rsidRPr="004B58A2" w:rsidRDefault="001D3F63" w:rsidP="001D3F63">
      <w:pPr>
        <w:pStyle w:val="SCCNormalDoubleSpacing"/>
        <w:spacing w:after="480"/>
        <w:rPr>
          <w:szCs w:val="24"/>
          <w:lang w:val="fr-FR"/>
        </w:rPr>
      </w:pPr>
      <w:r w:rsidRPr="004B58A2">
        <w:rPr>
          <w:szCs w:val="24"/>
          <w:lang w:val="fr-FR"/>
        </w:rPr>
        <w:tab/>
      </w:r>
      <w:r w:rsidR="0077423E" w:rsidRPr="004B58A2">
        <w:rPr>
          <w:szCs w:val="24"/>
          <w:lang w:val="fr-FR"/>
        </w:rPr>
        <w:t xml:space="preserve">La </w:t>
      </w:r>
      <w:r w:rsidR="0077423E" w:rsidRPr="004B58A2">
        <w:rPr>
          <w:i/>
          <w:szCs w:val="24"/>
          <w:lang w:val="fr-FR"/>
        </w:rPr>
        <w:t>Loi sur le droit d</w:t>
      </w:r>
      <w:r w:rsidR="005F3E4F" w:rsidRPr="004B58A2">
        <w:rPr>
          <w:i/>
          <w:szCs w:val="24"/>
          <w:lang w:val="fr-FR"/>
        </w:rPr>
        <w:t>’</w:t>
      </w:r>
      <w:r w:rsidR="0077423E" w:rsidRPr="004B58A2">
        <w:rPr>
          <w:i/>
          <w:szCs w:val="24"/>
          <w:lang w:val="fr-FR"/>
        </w:rPr>
        <w:t xml:space="preserve">auteur </w:t>
      </w:r>
      <w:r w:rsidR="0077423E" w:rsidRPr="004B58A2">
        <w:rPr>
          <w:szCs w:val="24"/>
          <w:lang w:val="fr-FR"/>
        </w:rPr>
        <w:t xml:space="preserve">confère aux </w:t>
      </w:r>
      <w:proofErr w:type="spellStart"/>
      <w:r w:rsidR="0077423E" w:rsidRPr="004B58A2">
        <w:rPr>
          <w:szCs w:val="24"/>
          <w:lang w:val="fr-FR"/>
        </w:rPr>
        <w:t>artistes</w:t>
      </w:r>
      <w:r w:rsidR="005A6AC9" w:rsidRPr="004B58A2">
        <w:rPr>
          <w:szCs w:val="24"/>
          <w:lang w:val="fr-FR"/>
        </w:rPr>
        <w:noBreakHyphen/>
      </w:r>
      <w:r w:rsidR="0077423E" w:rsidRPr="004B58A2">
        <w:rPr>
          <w:szCs w:val="24"/>
          <w:lang w:val="fr-FR"/>
        </w:rPr>
        <w:t>interprètes</w:t>
      </w:r>
      <w:proofErr w:type="spellEnd"/>
      <w:r w:rsidR="0077423E" w:rsidRPr="004B58A2">
        <w:rPr>
          <w:szCs w:val="24"/>
          <w:lang w:val="fr-FR"/>
        </w:rPr>
        <w:t xml:space="preserve"> et aux producteurs d</w:t>
      </w:r>
      <w:r w:rsidR="005F3E4F" w:rsidRPr="004B58A2">
        <w:rPr>
          <w:szCs w:val="24"/>
          <w:lang w:val="fr-FR"/>
        </w:rPr>
        <w:t>’</w:t>
      </w:r>
      <w:r w:rsidR="0077423E" w:rsidRPr="004B58A2">
        <w:rPr>
          <w:szCs w:val="24"/>
          <w:lang w:val="fr-FR"/>
        </w:rPr>
        <w:t>enregistrements sonores le droit à une rémunération pour l</w:t>
      </w:r>
      <w:r w:rsidR="005F3E4F" w:rsidRPr="004B58A2">
        <w:rPr>
          <w:szCs w:val="24"/>
          <w:lang w:val="fr-FR"/>
        </w:rPr>
        <w:t>’</w:t>
      </w:r>
      <w:r w:rsidR="0077423E" w:rsidRPr="004B58A2">
        <w:rPr>
          <w:szCs w:val="24"/>
          <w:lang w:val="fr-FR"/>
        </w:rPr>
        <w:t>exécution ou la représentation en public ou la communication au public par télécommunication de leurs enregistrements sonores publiés</w:t>
      </w:r>
      <w:r w:rsidR="00F3215A" w:rsidRPr="004B58A2">
        <w:rPr>
          <w:szCs w:val="24"/>
          <w:lang w:val="fr-FR"/>
        </w:rPr>
        <w:t xml:space="preserve">. </w:t>
      </w:r>
      <w:r w:rsidR="0077423E" w:rsidRPr="004B58A2">
        <w:rPr>
          <w:szCs w:val="24"/>
          <w:lang w:val="fr-FR"/>
        </w:rPr>
        <w:t xml:space="preserve"> L</w:t>
      </w:r>
      <w:r w:rsidR="005F3E4F" w:rsidRPr="004B58A2">
        <w:rPr>
          <w:szCs w:val="24"/>
          <w:lang w:val="fr-FR"/>
        </w:rPr>
        <w:t>’</w:t>
      </w:r>
      <w:r w:rsidR="0077423E" w:rsidRPr="004B58A2">
        <w:rPr>
          <w:szCs w:val="24"/>
          <w:lang w:val="fr-FR"/>
        </w:rPr>
        <w:t>appelante a déposé deux projets de tarifs qui établissaient une redevance pour l</w:t>
      </w:r>
      <w:r w:rsidR="005F3E4F" w:rsidRPr="004B58A2">
        <w:rPr>
          <w:szCs w:val="24"/>
          <w:lang w:val="fr-FR"/>
        </w:rPr>
        <w:t>’</w:t>
      </w:r>
      <w:r w:rsidR="0077423E" w:rsidRPr="004B58A2">
        <w:rPr>
          <w:szCs w:val="24"/>
          <w:lang w:val="fr-FR"/>
        </w:rPr>
        <w:t>utilisation d</w:t>
      </w:r>
      <w:r w:rsidR="005F3E4F" w:rsidRPr="004B58A2">
        <w:rPr>
          <w:szCs w:val="24"/>
          <w:lang w:val="fr-FR"/>
        </w:rPr>
        <w:t>’</w:t>
      </w:r>
      <w:r w:rsidR="0077423E" w:rsidRPr="004B58A2">
        <w:rPr>
          <w:szCs w:val="24"/>
          <w:lang w:val="fr-FR"/>
        </w:rPr>
        <w:t xml:space="preserve">enregistrements sonores intégrés dans un film par un cinéma ou par un autre établissement projetant des </w:t>
      </w:r>
      <w:r w:rsidR="007411D2" w:rsidRPr="004B58A2">
        <w:rPr>
          <w:szCs w:val="24"/>
          <w:lang w:val="fr-FR"/>
        </w:rPr>
        <w:t xml:space="preserve">films </w:t>
      </w:r>
      <w:r w:rsidR="0077423E" w:rsidRPr="004B58A2">
        <w:rPr>
          <w:szCs w:val="24"/>
          <w:lang w:val="fr-FR"/>
        </w:rPr>
        <w:t>et pour leur utilisation lors d</w:t>
      </w:r>
      <w:r w:rsidR="005F3E4F" w:rsidRPr="004B58A2">
        <w:rPr>
          <w:szCs w:val="24"/>
          <w:lang w:val="fr-FR"/>
        </w:rPr>
        <w:t>’</w:t>
      </w:r>
      <w:r w:rsidR="0077423E" w:rsidRPr="004B58A2">
        <w:rPr>
          <w:szCs w:val="24"/>
          <w:lang w:val="fr-FR"/>
        </w:rPr>
        <w:t>une télédiffusion commerciale en direct, ou par une télévision spécialisée, payante ou autre. Les intimées ont contesté les projets de tarifs, pour le motif que la définition d</w:t>
      </w:r>
      <w:r w:rsidR="005F3E4F" w:rsidRPr="004B58A2">
        <w:rPr>
          <w:szCs w:val="24"/>
          <w:lang w:val="fr-FR"/>
        </w:rPr>
        <w:t>’</w:t>
      </w:r>
      <w:r w:rsidR="0077423E" w:rsidRPr="004B58A2">
        <w:rPr>
          <w:szCs w:val="24"/>
          <w:lang w:val="fr-FR"/>
        </w:rPr>
        <w:t xml:space="preserve">« enregistrement sonore » exclurait </w:t>
      </w:r>
      <w:r w:rsidR="0077423E" w:rsidRPr="004B58A2">
        <w:rPr>
          <w:szCs w:val="24"/>
        </w:rPr>
        <w:t>la bande sonore d</w:t>
      </w:r>
      <w:r w:rsidR="005F3E4F" w:rsidRPr="004B58A2">
        <w:rPr>
          <w:szCs w:val="24"/>
        </w:rPr>
        <w:t>’</w:t>
      </w:r>
      <w:r w:rsidR="0077423E" w:rsidRPr="004B58A2">
        <w:rPr>
          <w:szCs w:val="24"/>
        </w:rPr>
        <w:t xml:space="preserve">une œuvre cinématographique.  </w:t>
      </w:r>
      <w:r w:rsidR="008C1D83" w:rsidRPr="004B58A2">
        <w:rPr>
          <w:szCs w:val="24"/>
        </w:rPr>
        <w:t xml:space="preserve">La </w:t>
      </w:r>
      <w:r w:rsidR="008C1D83" w:rsidRPr="004B58A2">
        <w:rPr>
          <w:szCs w:val="24"/>
          <w:lang w:val="fr-FR"/>
        </w:rPr>
        <w:t xml:space="preserve">Commission </w:t>
      </w:r>
      <w:r w:rsidR="007411D2" w:rsidRPr="004B58A2">
        <w:rPr>
          <w:szCs w:val="24"/>
          <w:lang w:val="fr-FR"/>
        </w:rPr>
        <w:t>du droit d</w:t>
      </w:r>
      <w:r w:rsidR="005F3E4F" w:rsidRPr="004B58A2">
        <w:rPr>
          <w:szCs w:val="24"/>
          <w:lang w:val="fr-FR"/>
        </w:rPr>
        <w:t>’</w:t>
      </w:r>
      <w:r w:rsidR="007411D2" w:rsidRPr="004B58A2">
        <w:rPr>
          <w:szCs w:val="24"/>
          <w:lang w:val="fr-FR"/>
        </w:rPr>
        <w:t xml:space="preserve">auteur </w:t>
      </w:r>
      <w:r w:rsidR="008C1D83" w:rsidRPr="004B58A2">
        <w:rPr>
          <w:szCs w:val="24"/>
          <w:lang w:val="fr-FR"/>
        </w:rPr>
        <w:t>a refusé d</w:t>
      </w:r>
      <w:r w:rsidR="005F3E4F" w:rsidRPr="004B58A2">
        <w:rPr>
          <w:szCs w:val="24"/>
          <w:lang w:val="fr-FR"/>
        </w:rPr>
        <w:t>’</w:t>
      </w:r>
      <w:r w:rsidR="008C1D83" w:rsidRPr="004B58A2">
        <w:rPr>
          <w:szCs w:val="24"/>
          <w:lang w:val="fr-FR"/>
        </w:rPr>
        <w:t>homologuer les tarifs et la Cour d</w:t>
      </w:r>
      <w:r w:rsidR="005F3E4F" w:rsidRPr="004B58A2">
        <w:rPr>
          <w:szCs w:val="24"/>
          <w:lang w:val="fr-FR"/>
        </w:rPr>
        <w:t>’</w:t>
      </w:r>
      <w:r w:rsidR="008C1D83" w:rsidRPr="004B58A2">
        <w:rPr>
          <w:szCs w:val="24"/>
          <w:lang w:val="fr-FR"/>
        </w:rPr>
        <w:t>appel fédérale, saisie d</w:t>
      </w:r>
      <w:r w:rsidR="005F3E4F" w:rsidRPr="004B58A2">
        <w:rPr>
          <w:szCs w:val="24"/>
          <w:lang w:val="fr-FR"/>
        </w:rPr>
        <w:t>’</w:t>
      </w:r>
      <w:r w:rsidR="008C1D83" w:rsidRPr="004B58A2">
        <w:rPr>
          <w:szCs w:val="24"/>
          <w:lang w:val="fr-FR"/>
        </w:rPr>
        <w:t>un contrôle judic</w:t>
      </w:r>
      <w:r w:rsidR="00B83634" w:rsidRPr="004B58A2">
        <w:rPr>
          <w:szCs w:val="24"/>
          <w:lang w:val="fr-FR"/>
        </w:rPr>
        <w:t>iaire, a maintenu la décision.</w:t>
      </w:r>
    </w:p>
    <w:p w:rsidR="00F3215A" w:rsidRPr="004B58A2" w:rsidRDefault="00525BB6" w:rsidP="001D3F63">
      <w:pPr>
        <w:pStyle w:val="SCCNormalDoubleSpacing"/>
        <w:spacing w:after="480"/>
        <w:rPr>
          <w:szCs w:val="24"/>
          <w:lang w:val="fr-FR"/>
        </w:rPr>
      </w:pPr>
      <w:r w:rsidRPr="004B58A2">
        <w:rPr>
          <w:i/>
          <w:szCs w:val="24"/>
          <w:lang w:val="fr-FR"/>
        </w:rPr>
        <w:lastRenderedPageBreak/>
        <w:tab/>
      </w:r>
      <w:r w:rsidR="008C1D83" w:rsidRPr="004B58A2">
        <w:rPr>
          <w:i/>
          <w:szCs w:val="24"/>
          <w:lang w:val="fr-FR"/>
        </w:rPr>
        <w:t>Arrêt</w:t>
      </w:r>
      <w:r w:rsidR="005A6AC9" w:rsidRPr="004B58A2">
        <w:rPr>
          <w:szCs w:val="24"/>
          <w:lang w:val="fr-FR"/>
        </w:rPr>
        <w:t> :</w:t>
      </w:r>
      <w:r w:rsidR="00F3215A" w:rsidRPr="004B58A2">
        <w:rPr>
          <w:szCs w:val="24"/>
          <w:lang w:val="fr-FR"/>
        </w:rPr>
        <w:t xml:space="preserve"> </w:t>
      </w:r>
      <w:r w:rsidR="008C1D83" w:rsidRPr="004B58A2">
        <w:rPr>
          <w:szCs w:val="24"/>
          <w:lang w:val="fr-FR"/>
        </w:rPr>
        <w:t xml:space="preserve">Le </w:t>
      </w:r>
      <w:r w:rsidR="008C1D83" w:rsidRPr="004B58A2">
        <w:rPr>
          <w:szCs w:val="24"/>
        </w:rPr>
        <w:t>pourvoi</w:t>
      </w:r>
      <w:r w:rsidR="008C1D83" w:rsidRPr="004B58A2">
        <w:rPr>
          <w:szCs w:val="24"/>
          <w:lang w:val="fr-FR"/>
        </w:rPr>
        <w:t xml:space="preserve"> est rejeté.</w:t>
      </w:r>
      <w:r w:rsidR="00F3215A" w:rsidRPr="004B58A2">
        <w:rPr>
          <w:szCs w:val="24"/>
          <w:lang w:val="fr-FR"/>
        </w:rPr>
        <w:t xml:space="preserve"> </w:t>
      </w:r>
    </w:p>
    <w:p w:rsidR="008C1D83" w:rsidRPr="004B58A2" w:rsidRDefault="001D3F63" w:rsidP="001D3F63">
      <w:pPr>
        <w:pStyle w:val="SCCNormalDoubleSpacing"/>
        <w:spacing w:after="480"/>
        <w:rPr>
          <w:szCs w:val="24"/>
          <w:lang w:val="fr-FR"/>
        </w:rPr>
      </w:pPr>
      <w:r w:rsidRPr="004B58A2">
        <w:rPr>
          <w:szCs w:val="24"/>
          <w:lang w:val="fr-FR"/>
        </w:rPr>
        <w:tab/>
      </w:r>
      <w:r w:rsidR="008C1D83" w:rsidRPr="004B58A2">
        <w:rPr>
          <w:szCs w:val="24"/>
          <w:lang w:val="fr-FR"/>
        </w:rPr>
        <w:t>Quelle que soit la norme de contrôle applicable, la Commission a eu raison de conclure qu</w:t>
      </w:r>
      <w:r w:rsidR="005F3E4F" w:rsidRPr="004B58A2">
        <w:rPr>
          <w:szCs w:val="24"/>
          <w:lang w:val="fr-FR"/>
        </w:rPr>
        <w:t>’</w:t>
      </w:r>
      <w:r w:rsidR="008C1D83" w:rsidRPr="004B58A2">
        <w:rPr>
          <w:szCs w:val="24"/>
          <w:lang w:val="fr-FR"/>
        </w:rPr>
        <w:t>une « bande sonore » comprend les enregistrements sonores préexistants et que ces enregistrements sont exclus de la définition d</w:t>
      </w:r>
      <w:r w:rsidR="005F3E4F" w:rsidRPr="004B58A2">
        <w:rPr>
          <w:szCs w:val="24"/>
          <w:lang w:val="fr-FR"/>
        </w:rPr>
        <w:t>’</w:t>
      </w:r>
      <w:r w:rsidR="008C1D83" w:rsidRPr="004B58A2">
        <w:rPr>
          <w:szCs w:val="24"/>
          <w:lang w:val="fr-FR"/>
        </w:rPr>
        <w:t>« enregistrement sonore » lorsqu</w:t>
      </w:r>
      <w:r w:rsidR="005F3E4F" w:rsidRPr="004B58A2">
        <w:rPr>
          <w:szCs w:val="24"/>
          <w:lang w:val="fr-FR"/>
        </w:rPr>
        <w:t>’</w:t>
      </w:r>
      <w:r w:rsidR="008C1D83" w:rsidRPr="004B58A2">
        <w:rPr>
          <w:szCs w:val="24"/>
          <w:lang w:val="fr-FR"/>
        </w:rPr>
        <w:t>ils accompagnent une œuvre cinématographique.  Cette interprétation du terme « bande sonore » est compatible avec l</w:t>
      </w:r>
      <w:r w:rsidR="005F3E4F" w:rsidRPr="004B58A2">
        <w:rPr>
          <w:szCs w:val="24"/>
          <w:lang w:val="fr-FR"/>
        </w:rPr>
        <w:t>’</w:t>
      </w:r>
      <w:r w:rsidR="008C1D83" w:rsidRPr="004B58A2">
        <w:rPr>
          <w:szCs w:val="24"/>
          <w:lang w:val="fr-FR"/>
        </w:rPr>
        <w:t>esprit de la Loi, l</w:t>
      </w:r>
      <w:r w:rsidR="005F3E4F" w:rsidRPr="004B58A2">
        <w:rPr>
          <w:szCs w:val="24"/>
          <w:lang w:val="fr-FR"/>
        </w:rPr>
        <w:t>’</w:t>
      </w:r>
      <w:r w:rsidR="008C1D83" w:rsidRPr="004B58A2">
        <w:rPr>
          <w:szCs w:val="24"/>
          <w:lang w:val="fr-FR"/>
        </w:rPr>
        <w:t>intention du législateur et les obligations internationales du Canada.  Un enregistrement sonore préexistant qui fait partie d</w:t>
      </w:r>
      <w:r w:rsidR="005F3E4F" w:rsidRPr="004B58A2">
        <w:rPr>
          <w:szCs w:val="24"/>
          <w:lang w:val="fr-FR"/>
        </w:rPr>
        <w:t>’</w:t>
      </w:r>
      <w:r w:rsidR="008C1D83" w:rsidRPr="004B58A2">
        <w:rPr>
          <w:szCs w:val="24"/>
          <w:lang w:val="fr-FR"/>
        </w:rPr>
        <w:t xml:space="preserve">une bande sonore ne peut pas donner </w:t>
      </w:r>
      <w:r w:rsidR="00041F2B" w:rsidRPr="004B58A2">
        <w:rPr>
          <w:szCs w:val="24"/>
          <w:lang w:val="fr-FR"/>
        </w:rPr>
        <w:t xml:space="preserve">de </w:t>
      </w:r>
      <w:r w:rsidR="008C1D83" w:rsidRPr="004B58A2">
        <w:rPr>
          <w:szCs w:val="24"/>
          <w:lang w:val="fr-FR"/>
        </w:rPr>
        <w:t>droit</w:t>
      </w:r>
      <w:r w:rsidR="00041F2B" w:rsidRPr="004B58A2">
        <w:rPr>
          <w:szCs w:val="24"/>
          <w:lang w:val="fr-FR"/>
        </w:rPr>
        <w:t>,</w:t>
      </w:r>
      <w:r w:rsidR="008C1D83" w:rsidRPr="004B58A2">
        <w:rPr>
          <w:szCs w:val="24"/>
          <w:lang w:val="fr-FR"/>
        </w:rPr>
        <w:t xml:space="preserve"> </w:t>
      </w:r>
      <w:r w:rsidR="00041F2B" w:rsidRPr="004B58A2">
        <w:rPr>
          <w:szCs w:val="24"/>
          <w:lang w:val="fr-FR"/>
        </w:rPr>
        <w:t xml:space="preserve">en </w:t>
      </w:r>
      <w:r w:rsidR="008C1D83" w:rsidRPr="004B58A2">
        <w:rPr>
          <w:szCs w:val="24"/>
          <w:lang w:val="fr-FR"/>
        </w:rPr>
        <w:t xml:space="preserve">application </w:t>
      </w:r>
      <w:r w:rsidR="00041F2B" w:rsidRPr="004B58A2">
        <w:rPr>
          <w:szCs w:val="24"/>
          <w:lang w:val="fr-FR"/>
        </w:rPr>
        <w:t>de l</w:t>
      </w:r>
      <w:r w:rsidR="005F3E4F" w:rsidRPr="004B58A2">
        <w:rPr>
          <w:szCs w:val="24"/>
          <w:lang w:val="fr-FR"/>
        </w:rPr>
        <w:t>’</w:t>
      </w:r>
      <w:r w:rsidR="005A6AC9" w:rsidRPr="004B58A2">
        <w:rPr>
          <w:szCs w:val="24"/>
          <w:lang w:val="fr-FR"/>
        </w:rPr>
        <w:t>art. </w:t>
      </w:r>
      <w:r w:rsidR="00041F2B" w:rsidRPr="004B58A2">
        <w:rPr>
          <w:szCs w:val="24"/>
          <w:lang w:val="fr-FR"/>
        </w:rPr>
        <w:t>19 de la Loi, de percevoir une redevance conforme à un</w:t>
      </w:r>
      <w:r w:rsidR="008C1D83" w:rsidRPr="004B58A2">
        <w:rPr>
          <w:szCs w:val="24"/>
          <w:lang w:val="fr-FR"/>
        </w:rPr>
        <w:t xml:space="preserve"> tarif quand cette </w:t>
      </w:r>
      <w:r w:rsidR="007411D2" w:rsidRPr="004B58A2">
        <w:rPr>
          <w:szCs w:val="24"/>
          <w:lang w:val="fr-FR"/>
        </w:rPr>
        <w:t>bande sonore</w:t>
      </w:r>
      <w:r w:rsidR="008C1D83" w:rsidRPr="004B58A2">
        <w:rPr>
          <w:szCs w:val="24"/>
          <w:lang w:val="fr-FR"/>
        </w:rPr>
        <w:t xml:space="preserve"> accompagne une œuvre cinématographique.</w:t>
      </w:r>
    </w:p>
    <w:p w:rsidR="00747136" w:rsidRPr="004B58A2" w:rsidRDefault="001D3F63" w:rsidP="001D3F63">
      <w:pPr>
        <w:pStyle w:val="SCCNormalDoubleSpacing"/>
        <w:spacing w:after="480"/>
        <w:rPr>
          <w:szCs w:val="24"/>
          <w:lang w:val="fr-FR"/>
        </w:rPr>
      </w:pPr>
      <w:r w:rsidRPr="004B58A2">
        <w:rPr>
          <w:szCs w:val="24"/>
          <w:lang w:val="fr-FR"/>
        </w:rPr>
        <w:tab/>
      </w:r>
      <w:r w:rsidR="00041F2B" w:rsidRPr="004B58A2">
        <w:rPr>
          <w:szCs w:val="24"/>
          <w:lang w:val="fr-FR"/>
        </w:rPr>
        <w:t>Les dispositions en cause doivent être interprétées en tenant compte du contexte global, du sens ordinaire et grammatical qui s</w:t>
      </w:r>
      <w:r w:rsidR="005F3E4F" w:rsidRPr="004B58A2">
        <w:rPr>
          <w:szCs w:val="24"/>
          <w:lang w:val="fr-FR"/>
        </w:rPr>
        <w:t>’</w:t>
      </w:r>
      <w:r w:rsidR="00041F2B" w:rsidRPr="004B58A2">
        <w:rPr>
          <w:szCs w:val="24"/>
          <w:lang w:val="fr-FR"/>
        </w:rPr>
        <w:t>harmonise avec l</w:t>
      </w:r>
      <w:r w:rsidR="005F3E4F" w:rsidRPr="004B58A2">
        <w:rPr>
          <w:szCs w:val="24"/>
          <w:lang w:val="fr-FR"/>
        </w:rPr>
        <w:t>’</w:t>
      </w:r>
      <w:r w:rsidR="00041F2B" w:rsidRPr="004B58A2">
        <w:rPr>
          <w:szCs w:val="24"/>
          <w:lang w:val="fr-FR"/>
        </w:rPr>
        <w:t xml:space="preserve">esprit de la </w:t>
      </w:r>
      <w:r w:rsidR="00041F2B" w:rsidRPr="00596603">
        <w:rPr>
          <w:szCs w:val="24"/>
          <w:lang w:val="fr-FR"/>
        </w:rPr>
        <w:t>Loi</w:t>
      </w:r>
      <w:r w:rsidR="00041F2B" w:rsidRPr="004B58A2">
        <w:rPr>
          <w:szCs w:val="24"/>
          <w:lang w:val="fr-FR"/>
        </w:rPr>
        <w:t xml:space="preserve">, son objet et le libellé utilisé par le législateur.  </w:t>
      </w:r>
      <w:r w:rsidR="00747136" w:rsidRPr="004B58A2">
        <w:rPr>
          <w:szCs w:val="24"/>
          <w:lang w:val="fr-FR"/>
        </w:rPr>
        <w:t>Selon l</w:t>
      </w:r>
      <w:r w:rsidR="005F3E4F" w:rsidRPr="004B58A2">
        <w:rPr>
          <w:szCs w:val="24"/>
          <w:lang w:val="fr-FR"/>
        </w:rPr>
        <w:t>’</w:t>
      </w:r>
      <w:r w:rsidR="005A6AC9" w:rsidRPr="004B58A2">
        <w:rPr>
          <w:szCs w:val="24"/>
          <w:lang w:val="fr-FR"/>
        </w:rPr>
        <w:t>art. </w:t>
      </w:r>
      <w:r w:rsidR="00747136" w:rsidRPr="004B58A2">
        <w:rPr>
          <w:szCs w:val="24"/>
          <w:lang w:val="fr-FR"/>
        </w:rPr>
        <w:t xml:space="preserve">2 de la Loi, un </w:t>
      </w:r>
      <w:r w:rsidR="00747136" w:rsidRPr="004B58A2">
        <w:rPr>
          <w:rStyle w:val="definedterm"/>
          <w:szCs w:val="24"/>
          <w:shd w:val="clear" w:color="auto" w:fill="FFFFFF"/>
          <w:lang w:val="fr-FR"/>
        </w:rPr>
        <w:t>« enregistrement sonore »</w:t>
      </w:r>
      <w:r w:rsidR="00747136" w:rsidRPr="004B58A2">
        <w:rPr>
          <w:szCs w:val="24"/>
          <w:lang w:val="fr-FR"/>
        </w:rPr>
        <w:t xml:space="preserve"> est un enregistrement constitué de sons, dont « est exclue [. . .] la bande sonore d</w:t>
      </w:r>
      <w:r w:rsidR="005F3E4F" w:rsidRPr="004B58A2">
        <w:rPr>
          <w:szCs w:val="24"/>
          <w:lang w:val="fr-FR"/>
        </w:rPr>
        <w:t>’</w:t>
      </w:r>
      <w:r w:rsidR="00747136" w:rsidRPr="004B58A2">
        <w:rPr>
          <w:szCs w:val="24"/>
          <w:lang w:val="fr-FR"/>
        </w:rPr>
        <w:t>une œuvre cinématographique lorsqu</w:t>
      </w:r>
      <w:r w:rsidR="005F3E4F" w:rsidRPr="004B58A2">
        <w:rPr>
          <w:szCs w:val="24"/>
          <w:lang w:val="fr-FR"/>
        </w:rPr>
        <w:t>’</w:t>
      </w:r>
      <w:r w:rsidR="00747136" w:rsidRPr="004B58A2">
        <w:rPr>
          <w:szCs w:val="24"/>
          <w:lang w:val="fr-FR"/>
        </w:rPr>
        <w:t xml:space="preserve">elle accompagne </w:t>
      </w:r>
      <w:proofErr w:type="spellStart"/>
      <w:r w:rsidR="00747136" w:rsidRPr="004B58A2">
        <w:rPr>
          <w:szCs w:val="24"/>
          <w:lang w:val="fr-FR"/>
        </w:rPr>
        <w:t>celle</w:t>
      </w:r>
      <w:r w:rsidR="005A6AC9" w:rsidRPr="004B58A2">
        <w:rPr>
          <w:szCs w:val="24"/>
          <w:lang w:val="fr-FR"/>
        </w:rPr>
        <w:noBreakHyphen/>
      </w:r>
      <w:r w:rsidR="00747136" w:rsidRPr="004B58A2">
        <w:rPr>
          <w:szCs w:val="24"/>
          <w:lang w:val="fr-FR"/>
        </w:rPr>
        <w:t>ci</w:t>
      </w:r>
      <w:proofErr w:type="spellEnd"/>
      <w:r w:rsidR="00747136" w:rsidRPr="004B58A2">
        <w:rPr>
          <w:szCs w:val="24"/>
          <w:lang w:val="fr-FR"/>
        </w:rPr>
        <w:t> </w:t>
      </w:r>
      <w:r w:rsidR="007411D2" w:rsidRPr="004B58A2">
        <w:rPr>
          <w:szCs w:val="24"/>
          <w:lang w:val="fr-FR"/>
        </w:rPr>
        <w:t>»</w:t>
      </w:r>
      <w:r w:rsidR="00596603" w:rsidRPr="004B58A2">
        <w:rPr>
          <w:szCs w:val="24"/>
          <w:lang w:val="fr-FR"/>
        </w:rPr>
        <w:t>.</w:t>
      </w:r>
      <w:r w:rsidR="00747136" w:rsidRPr="004B58A2">
        <w:rPr>
          <w:szCs w:val="24"/>
          <w:lang w:val="fr-FR"/>
        </w:rPr>
        <w:t xml:space="preserve">  Ainsi, une « bande sonore » est un </w:t>
      </w:r>
      <w:r w:rsidR="00747136" w:rsidRPr="004B58A2">
        <w:rPr>
          <w:rStyle w:val="definedterm"/>
          <w:szCs w:val="24"/>
          <w:shd w:val="clear" w:color="auto" w:fill="FFFFFF"/>
          <w:lang w:val="fr-FR"/>
        </w:rPr>
        <w:t>« enregistrement sonore » sauf quand elle accompagne un film.  S</w:t>
      </w:r>
      <w:r w:rsidR="005F3E4F" w:rsidRPr="004B58A2">
        <w:rPr>
          <w:rStyle w:val="definedterm"/>
          <w:szCs w:val="24"/>
          <w:shd w:val="clear" w:color="auto" w:fill="FFFFFF"/>
          <w:lang w:val="fr-FR"/>
        </w:rPr>
        <w:t>’</w:t>
      </w:r>
      <w:r w:rsidR="00747136" w:rsidRPr="004B58A2">
        <w:rPr>
          <w:rStyle w:val="definedterm"/>
          <w:szCs w:val="24"/>
          <w:shd w:val="clear" w:color="auto" w:fill="FFFFFF"/>
          <w:lang w:val="fr-FR"/>
        </w:rPr>
        <w:t>il en était autrement, l</w:t>
      </w:r>
      <w:r w:rsidR="005F3E4F" w:rsidRPr="004B58A2">
        <w:rPr>
          <w:rStyle w:val="definedterm"/>
          <w:szCs w:val="24"/>
          <w:shd w:val="clear" w:color="auto" w:fill="FFFFFF"/>
          <w:lang w:val="fr-FR"/>
        </w:rPr>
        <w:t>’</w:t>
      </w:r>
      <w:r w:rsidR="00747136" w:rsidRPr="004B58A2">
        <w:rPr>
          <w:rStyle w:val="definedterm"/>
          <w:szCs w:val="24"/>
          <w:shd w:val="clear" w:color="auto" w:fill="FFFFFF"/>
          <w:lang w:val="fr-FR"/>
        </w:rPr>
        <w:t>exclusion serait superflue.</w:t>
      </w:r>
      <w:r w:rsidR="00041F2B" w:rsidRPr="004B58A2">
        <w:rPr>
          <w:szCs w:val="24"/>
          <w:lang w:val="fr-FR"/>
        </w:rPr>
        <w:t> </w:t>
      </w:r>
      <w:r w:rsidR="00747136" w:rsidRPr="004B58A2">
        <w:rPr>
          <w:szCs w:val="24"/>
          <w:lang w:val="fr-FR"/>
        </w:rPr>
        <w:t>Pour qu</w:t>
      </w:r>
      <w:r w:rsidR="005F3E4F" w:rsidRPr="004B58A2">
        <w:rPr>
          <w:szCs w:val="24"/>
          <w:lang w:val="fr-FR"/>
        </w:rPr>
        <w:t>’</w:t>
      </w:r>
      <w:r w:rsidR="00747136" w:rsidRPr="004B58A2">
        <w:rPr>
          <w:szCs w:val="24"/>
          <w:lang w:val="fr-FR"/>
        </w:rPr>
        <w:t>un enregistrement sonore préexistant soit exclu du sens de « bande sonore », il aurait fallu que le législateur exprime explicitement une telle intention dans la Loi.  Il aurait pu le faire, par exemple, en excluant uniquement « l</w:t>
      </w:r>
      <w:r w:rsidR="005F3E4F" w:rsidRPr="004B58A2">
        <w:rPr>
          <w:szCs w:val="24"/>
          <w:lang w:val="fr-FR"/>
        </w:rPr>
        <w:t>’</w:t>
      </w:r>
      <w:r w:rsidR="00747136" w:rsidRPr="004B58A2">
        <w:rPr>
          <w:szCs w:val="24"/>
          <w:lang w:val="fr-FR"/>
        </w:rPr>
        <w:t>ensemble des sons qui constituent une bande sonore ».  L</w:t>
      </w:r>
      <w:r w:rsidR="005F3E4F" w:rsidRPr="004B58A2">
        <w:rPr>
          <w:szCs w:val="24"/>
          <w:lang w:val="fr-FR"/>
        </w:rPr>
        <w:t>’</w:t>
      </w:r>
      <w:r w:rsidR="00747136" w:rsidRPr="004B58A2">
        <w:rPr>
          <w:szCs w:val="24"/>
          <w:lang w:val="fr-FR"/>
        </w:rPr>
        <w:t xml:space="preserve">historique législatif confirme cette interprétation; </w:t>
      </w:r>
      <w:r w:rsidR="00747136" w:rsidRPr="004B58A2">
        <w:rPr>
          <w:szCs w:val="24"/>
          <w:lang w:val="fr-FR"/>
        </w:rPr>
        <w:lastRenderedPageBreak/>
        <w:t xml:space="preserve">tout particulièrement </w:t>
      </w:r>
      <w:proofErr w:type="gramStart"/>
      <w:r w:rsidR="00747136" w:rsidRPr="004B58A2">
        <w:rPr>
          <w:szCs w:val="24"/>
          <w:lang w:val="fr-FR"/>
        </w:rPr>
        <w:t>certains commentaires formulés</w:t>
      </w:r>
      <w:proofErr w:type="gramEnd"/>
      <w:r w:rsidR="00747136" w:rsidRPr="004B58A2">
        <w:rPr>
          <w:szCs w:val="24"/>
          <w:lang w:val="fr-FR"/>
        </w:rPr>
        <w:t xml:space="preserve"> lors de séances du Comité permanent du patrimoine canadien quant aux dispositions en cause.</w:t>
      </w:r>
    </w:p>
    <w:p w:rsidR="00792074" w:rsidRPr="004B58A2" w:rsidRDefault="001D3F63" w:rsidP="001D3F63">
      <w:pPr>
        <w:pStyle w:val="SCCNormalDoubleSpacing"/>
        <w:spacing w:after="480"/>
        <w:rPr>
          <w:szCs w:val="24"/>
          <w:lang w:val="fr-FR"/>
        </w:rPr>
      </w:pPr>
      <w:r w:rsidRPr="004B58A2">
        <w:rPr>
          <w:szCs w:val="24"/>
          <w:lang w:val="fr-FR"/>
        </w:rPr>
        <w:tab/>
      </w:r>
      <w:r w:rsidR="00747136" w:rsidRPr="004B58A2">
        <w:rPr>
          <w:szCs w:val="24"/>
          <w:lang w:val="fr-FR"/>
        </w:rPr>
        <w:t xml:space="preserve">La </w:t>
      </w:r>
      <w:r w:rsidR="00747136" w:rsidRPr="004B58A2">
        <w:rPr>
          <w:i/>
          <w:szCs w:val="24"/>
          <w:lang w:val="fr-FR"/>
        </w:rPr>
        <w:t>Loi sur le droit d</w:t>
      </w:r>
      <w:r w:rsidR="005F3E4F" w:rsidRPr="004B58A2">
        <w:rPr>
          <w:i/>
          <w:szCs w:val="24"/>
          <w:lang w:val="fr-FR"/>
        </w:rPr>
        <w:t>’</w:t>
      </w:r>
      <w:r w:rsidR="00747136" w:rsidRPr="004B58A2">
        <w:rPr>
          <w:i/>
          <w:szCs w:val="24"/>
          <w:lang w:val="fr-FR"/>
        </w:rPr>
        <w:t>auteur</w:t>
      </w:r>
      <w:r w:rsidR="00747136" w:rsidRPr="004B58A2">
        <w:rPr>
          <w:szCs w:val="24"/>
          <w:lang w:val="fr-FR"/>
        </w:rPr>
        <w:t xml:space="preserve"> n</w:t>
      </w:r>
      <w:r w:rsidR="005F3E4F" w:rsidRPr="004B58A2">
        <w:rPr>
          <w:szCs w:val="24"/>
          <w:lang w:val="fr-FR"/>
        </w:rPr>
        <w:t>’</w:t>
      </w:r>
      <w:r w:rsidR="00747136" w:rsidRPr="004B58A2">
        <w:rPr>
          <w:szCs w:val="24"/>
          <w:lang w:val="fr-FR"/>
        </w:rPr>
        <w:t xml:space="preserve">est pas incompatible avec la </w:t>
      </w:r>
      <w:r w:rsidR="00747136" w:rsidRPr="004B58A2">
        <w:rPr>
          <w:i/>
          <w:szCs w:val="24"/>
          <w:lang w:val="fr-FR"/>
        </w:rPr>
        <w:t>Convention de Rome</w:t>
      </w:r>
      <w:r w:rsidR="00747136" w:rsidRPr="004B58A2">
        <w:rPr>
          <w:szCs w:val="24"/>
          <w:lang w:val="fr-FR"/>
        </w:rPr>
        <w:t>.</w:t>
      </w:r>
      <w:r w:rsidR="00F3215A" w:rsidRPr="004B58A2">
        <w:rPr>
          <w:szCs w:val="24"/>
          <w:lang w:val="fr-FR"/>
        </w:rPr>
        <w:t xml:space="preserve">  </w:t>
      </w:r>
      <w:r w:rsidR="00747136" w:rsidRPr="004B58A2">
        <w:rPr>
          <w:szCs w:val="24"/>
          <w:lang w:val="fr-FR"/>
        </w:rPr>
        <w:t>Même si cette convention prévoit que les producteurs de phonogrammes jouissent du droit d</w:t>
      </w:r>
      <w:r w:rsidR="005F3E4F" w:rsidRPr="004B58A2">
        <w:rPr>
          <w:szCs w:val="24"/>
          <w:lang w:val="fr-FR"/>
        </w:rPr>
        <w:t>’</w:t>
      </w:r>
      <w:r w:rsidR="00747136" w:rsidRPr="004B58A2">
        <w:rPr>
          <w:szCs w:val="24"/>
          <w:lang w:val="fr-FR"/>
        </w:rPr>
        <w:t>autoriser ou d</w:t>
      </w:r>
      <w:r w:rsidR="005F3E4F" w:rsidRPr="004B58A2">
        <w:rPr>
          <w:szCs w:val="24"/>
          <w:lang w:val="fr-FR"/>
        </w:rPr>
        <w:t>’</w:t>
      </w:r>
      <w:r w:rsidR="00747136" w:rsidRPr="004B58A2">
        <w:rPr>
          <w:szCs w:val="24"/>
          <w:lang w:val="fr-FR"/>
        </w:rPr>
        <w:t>interdire la reproduction directe ou indirecte de leurs phonogrammes</w:t>
      </w:r>
      <w:r w:rsidR="00792074" w:rsidRPr="004B58A2">
        <w:rPr>
          <w:szCs w:val="24"/>
          <w:lang w:val="fr-FR"/>
        </w:rPr>
        <w:t>, l</w:t>
      </w:r>
      <w:r w:rsidR="005F3E4F" w:rsidRPr="004B58A2">
        <w:rPr>
          <w:szCs w:val="24"/>
          <w:lang w:val="fr-FR"/>
        </w:rPr>
        <w:t>’</w:t>
      </w:r>
      <w:r w:rsidR="00C30552">
        <w:rPr>
          <w:szCs w:val="24"/>
          <w:lang w:val="fr-FR"/>
        </w:rPr>
        <w:t>article</w:t>
      </w:r>
      <w:r w:rsidR="007411D2" w:rsidRPr="004B58A2">
        <w:rPr>
          <w:szCs w:val="24"/>
          <w:lang w:val="fr-FR"/>
        </w:rPr>
        <w:t> </w:t>
      </w:r>
      <w:r w:rsidR="00792074" w:rsidRPr="004B58A2">
        <w:rPr>
          <w:szCs w:val="24"/>
          <w:lang w:val="fr-FR"/>
        </w:rPr>
        <w:t>3 définit le « phonogramme » comme « toute fixation exclusivement sonore des sons provenant d</w:t>
      </w:r>
      <w:r w:rsidR="005F3E4F" w:rsidRPr="004B58A2">
        <w:rPr>
          <w:szCs w:val="24"/>
          <w:lang w:val="fr-FR"/>
        </w:rPr>
        <w:t>’</w:t>
      </w:r>
      <w:r w:rsidR="00792074" w:rsidRPr="004B58A2">
        <w:rPr>
          <w:szCs w:val="24"/>
          <w:lang w:val="fr-FR"/>
        </w:rPr>
        <w:t>une exécution ou d</w:t>
      </w:r>
      <w:r w:rsidR="005F3E4F" w:rsidRPr="004B58A2">
        <w:rPr>
          <w:szCs w:val="24"/>
          <w:lang w:val="fr-FR"/>
        </w:rPr>
        <w:t>’</w:t>
      </w:r>
      <w:r w:rsidR="00792074" w:rsidRPr="004B58A2">
        <w:rPr>
          <w:szCs w:val="24"/>
          <w:lang w:val="fr-FR"/>
        </w:rPr>
        <w:t>autres sons ».  Or, une bande sonore qui accompagne une œuvre cinématographique n</w:t>
      </w:r>
      <w:r w:rsidR="005F3E4F" w:rsidRPr="004B58A2">
        <w:rPr>
          <w:szCs w:val="24"/>
          <w:lang w:val="fr-FR"/>
        </w:rPr>
        <w:t>’</w:t>
      </w:r>
      <w:r w:rsidR="00792074" w:rsidRPr="004B58A2">
        <w:rPr>
          <w:szCs w:val="24"/>
          <w:lang w:val="fr-FR"/>
        </w:rPr>
        <w:t>est pas destinée à une fixation exclusivement sonore.  En outre, dès lors qu</w:t>
      </w:r>
      <w:r w:rsidR="005F3E4F" w:rsidRPr="004B58A2">
        <w:rPr>
          <w:szCs w:val="24"/>
          <w:lang w:val="fr-FR"/>
        </w:rPr>
        <w:t>’</w:t>
      </w:r>
      <w:r w:rsidR="00792074" w:rsidRPr="004B58A2">
        <w:rPr>
          <w:szCs w:val="24"/>
          <w:lang w:val="fr-FR"/>
        </w:rPr>
        <w:t>un enregistrement sonore préexistant est extrait de la bande sonore qui accompagne une œuvre cinématographique, la protection qui vise les enregistrements sonores s</w:t>
      </w:r>
      <w:r w:rsidR="005F3E4F" w:rsidRPr="004B58A2">
        <w:rPr>
          <w:szCs w:val="24"/>
          <w:lang w:val="fr-FR"/>
        </w:rPr>
        <w:t>’</w:t>
      </w:r>
      <w:r w:rsidR="00792074" w:rsidRPr="004B58A2">
        <w:rPr>
          <w:szCs w:val="24"/>
          <w:lang w:val="fr-FR"/>
        </w:rPr>
        <w:t>applique de nouveau à lui.  L</w:t>
      </w:r>
      <w:r w:rsidR="005F3E4F" w:rsidRPr="004B58A2">
        <w:rPr>
          <w:szCs w:val="24"/>
          <w:lang w:val="fr-FR"/>
        </w:rPr>
        <w:t>’</w:t>
      </w:r>
      <w:r w:rsidR="00792074" w:rsidRPr="004B58A2">
        <w:rPr>
          <w:szCs w:val="24"/>
          <w:lang w:val="fr-FR"/>
        </w:rPr>
        <w:t xml:space="preserve">interprétation de la Commission est compatible avec les obligations qui incombent au Canada </w:t>
      </w:r>
      <w:r w:rsidR="00792074" w:rsidRPr="004B58A2">
        <w:rPr>
          <w:szCs w:val="24"/>
        </w:rPr>
        <w:t>en</w:t>
      </w:r>
      <w:r w:rsidR="00792074" w:rsidRPr="004B58A2">
        <w:rPr>
          <w:szCs w:val="24"/>
          <w:lang w:val="fr-FR"/>
        </w:rPr>
        <w:t xml:space="preserve"> application de la </w:t>
      </w:r>
      <w:r w:rsidR="00792074" w:rsidRPr="004B58A2">
        <w:rPr>
          <w:i/>
          <w:szCs w:val="24"/>
          <w:lang w:val="fr-FR"/>
        </w:rPr>
        <w:t>Convention de Rome</w:t>
      </w:r>
      <w:r w:rsidR="00792074" w:rsidRPr="004B58A2">
        <w:rPr>
          <w:szCs w:val="24"/>
          <w:lang w:val="fr-FR"/>
        </w:rPr>
        <w:t>.</w:t>
      </w:r>
    </w:p>
    <w:p w:rsidR="007E1C47" w:rsidRPr="004B58A2" w:rsidRDefault="0043088E" w:rsidP="001D3F63">
      <w:pPr>
        <w:pStyle w:val="SCCNormalDoubleSpacing"/>
        <w:keepNext/>
        <w:spacing w:after="720" w:line="240" w:lineRule="auto"/>
        <w:rPr>
          <w:b/>
          <w:szCs w:val="24"/>
          <w:lang w:val="fr-FR"/>
        </w:rPr>
      </w:pPr>
      <w:r w:rsidRPr="004B58A2">
        <w:rPr>
          <w:b/>
          <w:szCs w:val="24"/>
          <w:lang w:val="fr-FR"/>
        </w:rPr>
        <w:t>Jurisprudence</w:t>
      </w:r>
    </w:p>
    <w:p w:rsidR="002E6705" w:rsidRPr="004B58A2" w:rsidRDefault="002E6705" w:rsidP="001D3F63">
      <w:pPr>
        <w:pStyle w:val="SCCNormalDoubleSpacing"/>
        <w:spacing w:after="480"/>
        <w:rPr>
          <w:b/>
          <w:szCs w:val="24"/>
        </w:rPr>
      </w:pPr>
      <w:r w:rsidRPr="004B58A2">
        <w:rPr>
          <w:szCs w:val="24"/>
          <w:lang w:val="fr-FR"/>
        </w:rPr>
        <w:tab/>
      </w:r>
      <w:proofErr w:type="spellStart"/>
      <w:r w:rsidR="00B83634" w:rsidRPr="00C30552">
        <w:rPr>
          <w:b/>
          <w:szCs w:val="24"/>
          <w:lang w:val="en-US"/>
        </w:rPr>
        <w:t>Arrêt</w:t>
      </w:r>
      <w:proofErr w:type="spellEnd"/>
      <w:r w:rsidR="00B83634" w:rsidRPr="00C30552">
        <w:rPr>
          <w:b/>
          <w:szCs w:val="24"/>
          <w:lang w:val="en-US"/>
        </w:rPr>
        <w:t xml:space="preserve"> non </w:t>
      </w:r>
      <w:proofErr w:type="spellStart"/>
      <w:proofErr w:type="gramStart"/>
      <w:r w:rsidR="00B83634" w:rsidRPr="00C30552">
        <w:rPr>
          <w:b/>
          <w:szCs w:val="24"/>
          <w:lang w:val="en-US"/>
        </w:rPr>
        <w:t>suivi</w:t>
      </w:r>
      <w:proofErr w:type="spellEnd"/>
      <w:r w:rsidR="00B83634" w:rsidRPr="00C30552">
        <w:rPr>
          <w:b/>
          <w:szCs w:val="24"/>
          <w:lang w:val="en-US"/>
        </w:rPr>
        <w:t> :</w:t>
      </w:r>
      <w:proofErr w:type="gramEnd"/>
      <w:r w:rsidR="00B83634" w:rsidRPr="00C30552">
        <w:rPr>
          <w:szCs w:val="24"/>
          <w:lang w:val="en-US"/>
        </w:rPr>
        <w:t xml:space="preserve"> </w:t>
      </w:r>
      <w:r w:rsidR="00B83634" w:rsidRPr="00C30552">
        <w:rPr>
          <w:i/>
          <w:szCs w:val="24"/>
          <w:lang w:val="en-US"/>
        </w:rPr>
        <w:t>Phonographic Performance Co. of Australia Ltd. c. Federation of Australian Commercial Television Stations</w:t>
      </w:r>
      <w:r w:rsidR="00B83634" w:rsidRPr="00C30552">
        <w:rPr>
          <w:szCs w:val="24"/>
          <w:lang w:val="en-US"/>
        </w:rPr>
        <w:t xml:space="preserve">, [1998] HCA 39, 195 C.L.R. 158; </w:t>
      </w:r>
      <w:proofErr w:type="spellStart"/>
      <w:r w:rsidR="00B83634" w:rsidRPr="00C30552">
        <w:rPr>
          <w:b/>
          <w:szCs w:val="24"/>
          <w:lang w:val="en-US"/>
        </w:rPr>
        <w:t>a</w:t>
      </w:r>
      <w:r w:rsidR="0043088E" w:rsidRPr="00C30552">
        <w:rPr>
          <w:b/>
          <w:szCs w:val="24"/>
          <w:lang w:val="en-US"/>
        </w:rPr>
        <w:t>rrêts</w:t>
      </w:r>
      <w:proofErr w:type="spellEnd"/>
      <w:r w:rsidR="0043088E" w:rsidRPr="00C30552">
        <w:rPr>
          <w:b/>
          <w:szCs w:val="24"/>
          <w:lang w:val="en-US"/>
        </w:rPr>
        <w:t xml:space="preserve"> </w:t>
      </w:r>
      <w:proofErr w:type="spellStart"/>
      <w:r w:rsidR="0043088E" w:rsidRPr="00C30552">
        <w:rPr>
          <w:b/>
          <w:szCs w:val="24"/>
          <w:lang w:val="en-US"/>
        </w:rPr>
        <w:t>mentionnés</w:t>
      </w:r>
      <w:proofErr w:type="spellEnd"/>
      <w:r w:rsidR="005A6AC9" w:rsidRPr="00C30552">
        <w:rPr>
          <w:b/>
          <w:szCs w:val="24"/>
          <w:lang w:val="en-US"/>
        </w:rPr>
        <w:t> :</w:t>
      </w:r>
      <w:r w:rsidR="00172A04" w:rsidRPr="00C30552">
        <w:rPr>
          <w:szCs w:val="24"/>
          <w:lang w:val="en-US"/>
        </w:rPr>
        <w:t xml:space="preserve"> </w:t>
      </w:r>
      <w:r w:rsidR="00B73E17" w:rsidRPr="00C30552">
        <w:rPr>
          <w:i/>
          <w:szCs w:val="24"/>
          <w:lang w:val="en-US"/>
        </w:rPr>
        <w:t xml:space="preserve">Rizzo &amp; Rizzo Shoes Ltd. </w:t>
      </w:r>
      <w:r w:rsidR="00B73E17" w:rsidRPr="004B58A2">
        <w:rPr>
          <w:i/>
          <w:szCs w:val="24"/>
        </w:rPr>
        <w:t>(</w:t>
      </w:r>
      <w:proofErr w:type="spellStart"/>
      <w:r w:rsidR="00B73E17" w:rsidRPr="004B58A2">
        <w:rPr>
          <w:i/>
          <w:szCs w:val="24"/>
        </w:rPr>
        <w:t>Re</w:t>
      </w:r>
      <w:proofErr w:type="spellEnd"/>
      <w:r w:rsidR="00B73E17" w:rsidRPr="004B58A2">
        <w:rPr>
          <w:i/>
          <w:szCs w:val="24"/>
        </w:rPr>
        <w:t>)</w:t>
      </w:r>
      <w:r w:rsidR="00B73E17" w:rsidRPr="004B58A2">
        <w:rPr>
          <w:szCs w:val="24"/>
        </w:rPr>
        <w:t xml:space="preserve">, [1998] 1 R.C.S. 27; </w:t>
      </w:r>
      <w:r w:rsidR="00B73E17" w:rsidRPr="004B58A2">
        <w:rPr>
          <w:i/>
          <w:szCs w:val="24"/>
        </w:rPr>
        <w:t xml:space="preserve">National Corn </w:t>
      </w:r>
      <w:proofErr w:type="spellStart"/>
      <w:r w:rsidR="00B73E17" w:rsidRPr="004B58A2">
        <w:rPr>
          <w:i/>
          <w:szCs w:val="24"/>
        </w:rPr>
        <w:t>Growers</w:t>
      </w:r>
      <w:proofErr w:type="spellEnd"/>
      <w:r w:rsidR="00B73E17" w:rsidRPr="004B58A2">
        <w:rPr>
          <w:i/>
          <w:szCs w:val="24"/>
        </w:rPr>
        <w:t xml:space="preserve"> </w:t>
      </w:r>
      <w:proofErr w:type="spellStart"/>
      <w:r w:rsidR="00B73E17" w:rsidRPr="004B58A2">
        <w:rPr>
          <w:i/>
          <w:szCs w:val="24"/>
        </w:rPr>
        <w:t>Assn</w:t>
      </w:r>
      <w:proofErr w:type="spellEnd"/>
      <w:r w:rsidR="00B73E17" w:rsidRPr="004B58A2">
        <w:rPr>
          <w:i/>
          <w:szCs w:val="24"/>
        </w:rPr>
        <w:t>. c. Canada (Tribunal des importations)</w:t>
      </w:r>
      <w:r w:rsidR="00B73E17" w:rsidRPr="004B58A2">
        <w:rPr>
          <w:szCs w:val="24"/>
        </w:rPr>
        <w:t>, [1990] 2 R.C.S. 1324.</w:t>
      </w:r>
    </w:p>
    <w:p w:rsidR="00231F3A" w:rsidRPr="004B58A2" w:rsidRDefault="0043088E" w:rsidP="001D3F63">
      <w:pPr>
        <w:pStyle w:val="SCCNormalDoubleSpacing"/>
        <w:keepNext/>
        <w:spacing w:after="720" w:line="240" w:lineRule="auto"/>
        <w:rPr>
          <w:b/>
          <w:szCs w:val="24"/>
        </w:rPr>
      </w:pPr>
      <w:r w:rsidRPr="004B58A2">
        <w:rPr>
          <w:b/>
          <w:szCs w:val="24"/>
        </w:rPr>
        <w:lastRenderedPageBreak/>
        <w:t>Lois</w:t>
      </w:r>
      <w:r w:rsidR="002E6705" w:rsidRPr="004B58A2">
        <w:rPr>
          <w:b/>
          <w:szCs w:val="24"/>
        </w:rPr>
        <w:t xml:space="preserve"> </w:t>
      </w:r>
      <w:r w:rsidR="008A6558" w:rsidRPr="004B58A2">
        <w:rPr>
          <w:b/>
          <w:szCs w:val="24"/>
        </w:rPr>
        <w:t>et</w:t>
      </w:r>
      <w:r w:rsidR="002E6705" w:rsidRPr="004B58A2">
        <w:rPr>
          <w:b/>
          <w:szCs w:val="24"/>
        </w:rPr>
        <w:t xml:space="preserve"> </w:t>
      </w:r>
      <w:r w:rsidRPr="004B58A2">
        <w:rPr>
          <w:b/>
          <w:szCs w:val="24"/>
        </w:rPr>
        <w:t>rè</w:t>
      </w:r>
      <w:r w:rsidR="002E6705" w:rsidRPr="004B58A2">
        <w:rPr>
          <w:b/>
          <w:szCs w:val="24"/>
        </w:rPr>
        <w:t>gl</w:t>
      </w:r>
      <w:r w:rsidRPr="004B58A2">
        <w:rPr>
          <w:b/>
          <w:szCs w:val="24"/>
        </w:rPr>
        <w:t>ements</w:t>
      </w:r>
      <w:r w:rsidR="002E6705" w:rsidRPr="004B58A2">
        <w:rPr>
          <w:b/>
          <w:szCs w:val="24"/>
        </w:rPr>
        <w:t xml:space="preserve"> </w:t>
      </w:r>
      <w:r w:rsidRPr="004B58A2">
        <w:rPr>
          <w:b/>
          <w:szCs w:val="24"/>
        </w:rPr>
        <w:t>c</w:t>
      </w:r>
      <w:r w:rsidR="002E6705" w:rsidRPr="004B58A2">
        <w:rPr>
          <w:b/>
          <w:szCs w:val="24"/>
        </w:rPr>
        <w:t>it</w:t>
      </w:r>
      <w:r w:rsidRPr="004B58A2">
        <w:rPr>
          <w:b/>
          <w:szCs w:val="24"/>
        </w:rPr>
        <w:t>és</w:t>
      </w:r>
    </w:p>
    <w:p w:rsidR="003913B9" w:rsidRPr="004B58A2" w:rsidRDefault="003913B9" w:rsidP="007175EC">
      <w:pPr>
        <w:pStyle w:val="SCCNormalDoubleSpacing"/>
        <w:spacing w:after="240" w:line="240" w:lineRule="auto"/>
        <w:ind w:left="539" w:hanging="539"/>
        <w:rPr>
          <w:szCs w:val="24"/>
          <w:lang w:val="en-US"/>
        </w:rPr>
      </w:pPr>
      <w:r w:rsidRPr="004B58A2">
        <w:rPr>
          <w:i/>
          <w:szCs w:val="24"/>
          <w:lang w:val="en-US"/>
        </w:rPr>
        <w:t>Copyright Act, 1956</w:t>
      </w:r>
      <w:r w:rsidRPr="004B58A2">
        <w:rPr>
          <w:szCs w:val="24"/>
          <w:lang w:val="en-US"/>
        </w:rPr>
        <w:t xml:space="preserve"> (R.</w:t>
      </w:r>
      <w:r w:rsidR="005A6AC9" w:rsidRPr="004B58A2">
        <w:rPr>
          <w:szCs w:val="24"/>
          <w:lang w:val="en-US"/>
        </w:rPr>
        <w:noBreakHyphen/>
      </w:r>
      <w:r w:rsidRPr="004B58A2">
        <w:rPr>
          <w:szCs w:val="24"/>
          <w:lang w:val="en-US"/>
        </w:rPr>
        <w:t xml:space="preserve">U.), </w:t>
      </w:r>
      <w:proofErr w:type="spellStart"/>
      <w:r w:rsidR="005A6AC9" w:rsidRPr="004B58A2">
        <w:rPr>
          <w:szCs w:val="24"/>
          <w:lang w:val="en-US"/>
        </w:rPr>
        <w:t>ch</w:t>
      </w:r>
      <w:proofErr w:type="spellEnd"/>
      <w:r w:rsidR="005A6AC9" w:rsidRPr="004B58A2">
        <w:rPr>
          <w:szCs w:val="24"/>
          <w:lang w:val="en-US"/>
        </w:rPr>
        <w:t>. </w:t>
      </w:r>
      <w:r w:rsidRPr="004B58A2">
        <w:rPr>
          <w:szCs w:val="24"/>
          <w:lang w:val="en-US"/>
        </w:rPr>
        <w:t xml:space="preserve">74, </w:t>
      </w:r>
      <w:r w:rsidR="005A6AC9" w:rsidRPr="004B58A2">
        <w:rPr>
          <w:szCs w:val="24"/>
          <w:lang w:val="en-US"/>
        </w:rPr>
        <w:t>art. </w:t>
      </w:r>
      <w:r w:rsidRPr="004B58A2">
        <w:rPr>
          <w:szCs w:val="24"/>
          <w:lang w:val="en-US"/>
        </w:rPr>
        <w:t>12(9) « </w:t>
      </w:r>
      <w:r w:rsidRPr="004B58A2">
        <w:rPr>
          <w:i/>
          <w:szCs w:val="24"/>
          <w:lang w:val="en-US"/>
        </w:rPr>
        <w:t>sound recording</w:t>
      </w:r>
      <w:r w:rsidRPr="004B58A2">
        <w:rPr>
          <w:szCs w:val="24"/>
          <w:lang w:val="en-US"/>
        </w:rPr>
        <w:t> ».</w:t>
      </w:r>
    </w:p>
    <w:p w:rsidR="009B2C40" w:rsidRPr="004B58A2" w:rsidRDefault="009B2C40" w:rsidP="007175EC">
      <w:pPr>
        <w:pStyle w:val="SCCNormalDoubleSpacing"/>
        <w:spacing w:after="240" w:line="240" w:lineRule="auto"/>
        <w:ind w:left="539" w:hanging="539"/>
        <w:rPr>
          <w:szCs w:val="24"/>
          <w:lang w:val="en-US"/>
        </w:rPr>
      </w:pPr>
      <w:r w:rsidRPr="004B58A2">
        <w:rPr>
          <w:i/>
          <w:szCs w:val="24"/>
          <w:lang w:val="en-US"/>
        </w:rPr>
        <w:t>Copyright Act 1968</w:t>
      </w:r>
      <w:r w:rsidRPr="004B58A2">
        <w:rPr>
          <w:szCs w:val="24"/>
          <w:lang w:val="en-US"/>
        </w:rPr>
        <w:t xml:space="preserve"> (</w:t>
      </w:r>
      <w:proofErr w:type="spellStart"/>
      <w:r w:rsidRPr="004B58A2">
        <w:rPr>
          <w:szCs w:val="24"/>
          <w:lang w:val="en-US"/>
        </w:rPr>
        <w:t>Aust</w:t>
      </w:r>
      <w:r w:rsidR="00D35DF3" w:rsidRPr="004B58A2">
        <w:rPr>
          <w:szCs w:val="24"/>
          <w:lang w:val="en-US"/>
        </w:rPr>
        <w:t>r</w:t>
      </w:r>
      <w:proofErr w:type="spellEnd"/>
      <w:r w:rsidRPr="004B58A2">
        <w:rPr>
          <w:szCs w:val="24"/>
          <w:lang w:val="en-US"/>
        </w:rPr>
        <w:t xml:space="preserve">.), </w:t>
      </w:r>
      <w:r w:rsidR="003913B9" w:rsidRPr="004B58A2">
        <w:rPr>
          <w:szCs w:val="24"/>
          <w:lang w:val="en-US"/>
        </w:rPr>
        <w:t>n</w:t>
      </w:r>
      <w:r w:rsidR="003913B9" w:rsidRPr="004B58A2">
        <w:rPr>
          <w:szCs w:val="24"/>
          <w:vertAlign w:val="superscript"/>
          <w:lang w:val="en-US"/>
        </w:rPr>
        <w:t>o</w:t>
      </w:r>
      <w:r w:rsidR="007175EC" w:rsidRPr="004B58A2">
        <w:rPr>
          <w:szCs w:val="24"/>
          <w:lang w:val="en-US"/>
        </w:rPr>
        <w:t> </w:t>
      </w:r>
      <w:r w:rsidRPr="004B58A2">
        <w:rPr>
          <w:szCs w:val="24"/>
          <w:lang w:val="en-US"/>
        </w:rPr>
        <w:t xml:space="preserve">63, </w:t>
      </w:r>
      <w:r w:rsidR="005A6AC9" w:rsidRPr="004B58A2">
        <w:rPr>
          <w:szCs w:val="24"/>
          <w:lang w:val="en-US"/>
        </w:rPr>
        <w:t>art. </w:t>
      </w:r>
      <w:proofErr w:type="gramStart"/>
      <w:r w:rsidR="003913B9" w:rsidRPr="004B58A2">
        <w:rPr>
          <w:szCs w:val="24"/>
          <w:lang w:val="en-US"/>
        </w:rPr>
        <w:t>10 « </w:t>
      </w:r>
      <w:r w:rsidR="003913B9" w:rsidRPr="004B58A2">
        <w:rPr>
          <w:i/>
          <w:szCs w:val="24"/>
          <w:lang w:val="en-US"/>
        </w:rPr>
        <w:t>cinematograph film</w:t>
      </w:r>
      <w:r w:rsidR="003913B9" w:rsidRPr="004B58A2">
        <w:rPr>
          <w:szCs w:val="24"/>
          <w:lang w:val="en-US"/>
        </w:rPr>
        <w:t> », « </w:t>
      </w:r>
      <w:r w:rsidR="003913B9" w:rsidRPr="004B58A2">
        <w:rPr>
          <w:i/>
          <w:szCs w:val="24"/>
          <w:lang w:val="en-US"/>
        </w:rPr>
        <w:t>sound recording</w:t>
      </w:r>
      <w:r w:rsidR="003913B9" w:rsidRPr="004B58A2">
        <w:rPr>
          <w:szCs w:val="24"/>
          <w:lang w:val="en-US"/>
        </w:rPr>
        <w:t> »</w:t>
      </w:r>
      <w:r w:rsidRPr="004B58A2">
        <w:rPr>
          <w:szCs w:val="24"/>
          <w:lang w:val="en-US"/>
        </w:rPr>
        <w:t>.</w:t>
      </w:r>
      <w:proofErr w:type="gramEnd"/>
    </w:p>
    <w:p w:rsidR="003913B9" w:rsidRPr="004B58A2" w:rsidRDefault="003913B9" w:rsidP="007175EC">
      <w:pPr>
        <w:pStyle w:val="SCCNormalDoubleSpacing"/>
        <w:spacing w:after="720" w:line="240" w:lineRule="auto"/>
        <w:ind w:left="539" w:hanging="539"/>
        <w:rPr>
          <w:szCs w:val="24"/>
          <w:lang w:val="en-US"/>
        </w:rPr>
      </w:pPr>
      <w:r w:rsidRPr="004B58A2">
        <w:rPr>
          <w:i/>
          <w:szCs w:val="24"/>
        </w:rPr>
        <w:t>Loi sur le droit d</w:t>
      </w:r>
      <w:r w:rsidR="005F3E4F" w:rsidRPr="004B58A2">
        <w:rPr>
          <w:i/>
          <w:szCs w:val="24"/>
        </w:rPr>
        <w:t>’</w:t>
      </w:r>
      <w:r w:rsidRPr="004B58A2">
        <w:rPr>
          <w:i/>
          <w:szCs w:val="24"/>
        </w:rPr>
        <w:t>auteur</w:t>
      </w:r>
      <w:r w:rsidRPr="004B58A2">
        <w:rPr>
          <w:szCs w:val="24"/>
        </w:rPr>
        <w:t xml:space="preserve">, L.R.C. 1985, </w:t>
      </w:r>
      <w:r w:rsidR="005A6AC9" w:rsidRPr="004B58A2">
        <w:rPr>
          <w:szCs w:val="24"/>
        </w:rPr>
        <w:t>ch. </w:t>
      </w:r>
      <w:r w:rsidRPr="004B58A2">
        <w:rPr>
          <w:szCs w:val="24"/>
          <w:lang w:val="en-US"/>
        </w:rPr>
        <w:t>C</w:t>
      </w:r>
      <w:r w:rsidR="005A6AC9" w:rsidRPr="004B58A2">
        <w:rPr>
          <w:szCs w:val="24"/>
          <w:lang w:val="en-US"/>
        </w:rPr>
        <w:noBreakHyphen/>
      </w:r>
      <w:r w:rsidRPr="004B58A2">
        <w:rPr>
          <w:szCs w:val="24"/>
          <w:lang w:val="en-US"/>
        </w:rPr>
        <w:t xml:space="preserve">42, </w:t>
      </w:r>
      <w:r w:rsidR="005A6AC9" w:rsidRPr="004B58A2">
        <w:rPr>
          <w:szCs w:val="24"/>
          <w:lang w:val="en-US"/>
        </w:rPr>
        <w:t>art. </w:t>
      </w:r>
      <w:proofErr w:type="gramStart"/>
      <w:r w:rsidRPr="004B58A2">
        <w:rPr>
          <w:szCs w:val="24"/>
          <w:lang w:val="en-US"/>
        </w:rPr>
        <w:t>2 « </w:t>
      </w:r>
      <w:proofErr w:type="spellStart"/>
      <w:r w:rsidRPr="004B58A2">
        <w:rPr>
          <w:szCs w:val="24"/>
          <w:lang w:val="en-US"/>
        </w:rPr>
        <w:t>enregistrement</w:t>
      </w:r>
      <w:proofErr w:type="spellEnd"/>
      <w:r w:rsidRPr="004B58A2">
        <w:rPr>
          <w:szCs w:val="24"/>
          <w:lang w:val="en-US"/>
        </w:rPr>
        <w:t xml:space="preserve"> </w:t>
      </w:r>
      <w:proofErr w:type="spellStart"/>
      <w:r w:rsidRPr="004B58A2">
        <w:rPr>
          <w:szCs w:val="24"/>
          <w:lang w:val="en-US"/>
        </w:rPr>
        <w:t>sonore</w:t>
      </w:r>
      <w:proofErr w:type="spellEnd"/>
      <w:r w:rsidRPr="004B58A2">
        <w:rPr>
          <w:szCs w:val="24"/>
          <w:lang w:val="en-US"/>
        </w:rPr>
        <w:t> » [</w:t>
      </w:r>
      <w:proofErr w:type="spellStart"/>
      <w:r w:rsidRPr="004B58A2">
        <w:rPr>
          <w:szCs w:val="24"/>
          <w:lang w:val="en-US"/>
        </w:rPr>
        <w:t>aj</w:t>
      </w:r>
      <w:proofErr w:type="spellEnd"/>
      <w:r w:rsidRPr="004B58A2">
        <w:rPr>
          <w:szCs w:val="24"/>
          <w:lang w:val="en-US"/>
        </w:rPr>
        <w:t xml:space="preserve">. 1997, </w:t>
      </w:r>
      <w:proofErr w:type="spellStart"/>
      <w:r w:rsidR="005A6AC9" w:rsidRPr="004B58A2">
        <w:rPr>
          <w:szCs w:val="24"/>
          <w:lang w:val="en-US"/>
        </w:rPr>
        <w:t>ch</w:t>
      </w:r>
      <w:proofErr w:type="spellEnd"/>
      <w:r w:rsidR="005A6AC9" w:rsidRPr="004B58A2">
        <w:rPr>
          <w:szCs w:val="24"/>
          <w:lang w:val="en-US"/>
        </w:rPr>
        <w:t>. </w:t>
      </w:r>
      <w:r w:rsidRPr="004B58A2">
        <w:rPr>
          <w:szCs w:val="24"/>
          <w:lang w:val="en-US"/>
        </w:rPr>
        <w:t xml:space="preserve">24, </w:t>
      </w:r>
      <w:r w:rsidR="005A6AC9" w:rsidRPr="004B58A2">
        <w:rPr>
          <w:szCs w:val="24"/>
          <w:lang w:val="en-US"/>
        </w:rPr>
        <w:t>art</w:t>
      </w:r>
      <w:r w:rsidR="005A6AC9" w:rsidRPr="004B58A2">
        <w:rPr>
          <w:i/>
          <w:szCs w:val="24"/>
          <w:lang w:val="en-CA"/>
        </w:rPr>
        <w:t>.</w:t>
      </w:r>
      <w:r w:rsidR="005A6AC9" w:rsidRPr="004B58A2">
        <w:rPr>
          <w:szCs w:val="24"/>
          <w:lang w:val="en-US"/>
        </w:rPr>
        <w:t> </w:t>
      </w:r>
      <w:r w:rsidRPr="004B58A2">
        <w:rPr>
          <w:szCs w:val="24"/>
          <w:lang w:val="en-US"/>
        </w:rPr>
        <w:t>1(5)], 17 [</w:t>
      </w:r>
      <w:proofErr w:type="spellStart"/>
      <w:r w:rsidRPr="004B58A2">
        <w:rPr>
          <w:szCs w:val="24"/>
          <w:lang w:val="en-US"/>
        </w:rPr>
        <w:t>aj</w:t>
      </w:r>
      <w:proofErr w:type="spellEnd"/>
      <w:r w:rsidRPr="004B58A2">
        <w:rPr>
          <w:szCs w:val="24"/>
          <w:lang w:val="en-US"/>
        </w:rPr>
        <w:t xml:space="preserve">. </w:t>
      </w:r>
      <w:r w:rsidRPr="004B58A2">
        <w:rPr>
          <w:i/>
          <w:szCs w:val="24"/>
          <w:lang w:val="en-US"/>
        </w:rPr>
        <w:t>idem</w:t>
      </w:r>
      <w:r w:rsidRPr="004B58A2">
        <w:rPr>
          <w:szCs w:val="24"/>
          <w:lang w:val="en-US"/>
        </w:rPr>
        <w:t xml:space="preserve">, </w:t>
      </w:r>
      <w:r w:rsidR="005A6AC9" w:rsidRPr="004B58A2">
        <w:rPr>
          <w:szCs w:val="24"/>
          <w:lang w:val="en-US"/>
        </w:rPr>
        <w:t>art. </w:t>
      </w:r>
      <w:r w:rsidRPr="004B58A2">
        <w:rPr>
          <w:szCs w:val="24"/>
          <w:lang w:val="en-US"/>
        </w:rPr>
        <w:t>14], 19 [</w:t>
      </w:r>
      <w:proofErr w:type="spellStart"/>
      <w:r w:rsidRPr="004B58A2">
        <w:rPr>
          <w:szCs w:val="24"/>
          <w:lang w:val="en-US"/>
        </w:rPr>
        <w:t>aj</w:t>
      </w:r>
      <w:proofErr w:type="spellEnd"/>
      <w:r w:rsidRPr="004B58A2">
        <w:rPr>
          <w:szCs w:val="24"/>
          <w:lang w:val="en-US"/>
        </w:rPr>
        <w:t xml:space="preserve">. </w:t>
      </w:r>
      <w:r w:rsidRPr="004B58A2">
        <w:rPr>
          <w:i/>
          <w:szCs w:val="24"/>
          <w:lang w:val="en-US"/>
        </w:rPr>
        <w:t>idem</w:t>
      </w:r>
      <w:r w:rsidRPr="004B58A2">
        <w:rPr>
          <w:szCs w:val="24"/>
          <w:lang w:val="en-US"/>
        </w:rPr>
        <w:t>], 67.1(1).</w:t>
      </w:r>
      <w:proofErr w:type="gramEnd"/>
    </w:p>
    <w:p w:rsidR="00525BB6" w:rsidRPr="004B58A2" w:rsidRDefault="00525BB6" w:rsidP="00525BB6">
      <w:pPr>
        <w:pStyle w:val="SCCNormalDoubleSpacing"/>
        <w:keepNext/>
        <w:spacing w:after="720" w:line="240" w:lineRule="auto"/>
        <w:rPr>
          <w:b/>
          <w:szCs w:val="24"/>
        </w:rPr>
      </w:pPr>
      <w:r w:rsidRPr="004B58A2">
        <w:rPr>
          <w:b/>
          <w:szCs w:val="24"/>
        </w:rPr>
        <w:t>Documents internationaux</w:t>
      </w:r>
    </w:p>
    <w:p w:rsidR="00525BB6" w:rsidRPr="004B58A2" w:rsidRDefault="00525BB6" w:rsidP="00525BB6">
      <w:pPr>
        <w:pStyle w:val="SCCNormalDoubleSpacing"/>
        <w:spacing w:after="720" w:line="240" w:lineRule="auto"/>
        <w:ind w:left="539" w:hanging="539"/>
        <w:rPr>
          <w:szCs w:val="24"/>
        </w:rPr>
      </w:pPr>
      <w:r w:rsidRPr="004B58A2">
        <w:rPr>
          <w:i/>
          <w:szCs w:val="24"/>
        </w:rPr>
        <w:t>Convention internationale sur la protection des artistes interprètes ou exécutants, des producteurs de phonogrammes et des organismes de radiodiffusion</w:t>
      </w:r>
      <w:r w:rsidRPr="004B58A2">
        <w:rPr>
          <w:szCs w:val="24"/>
        </w:rPr>
        <w:t>, 496 R.T.N.U. 43, art. 3, 10, 12.</w:t>
      </w:r>
    </w:p>
    <w:p w:rsidR="00357570" w:rsidRPr="004B58A2" w:rsidRDefault="00357570" w:rsidP="001D3F63">
      <w:pPr>
        <w:pStyle w:val="SCCNormalDoubleSpacing"/>
        <w:keepNext/>
        <w:spacing w:after="720" w:line="240" w:lineRule="auto"/>
        <w:rPr>
          <w:b/>
          <w:szCs w:val="24"/>
        </w:rPr>
      </w:pPr>
      <w:r w:rsidRPr="004B58A2">
        <w:rPr>
          <w:b/>
          <w:szCs w:val="24"/>
        </w:rPr>
        <w:t>Doctrine et autres documents cités</w:t>
      </w:r>
    </w:p>
    <w:p w:rsidR="00357570" w:rsidRPr="004B58A2" w:rsidRDefault="00357570" w:rsidP="007175EC">
      <w:pPr>
        <w:pStyle w:val="SCCNormalDoubleSpacing"/>
        <w:spacing w:after="720" w:line="240" w:lineRule="auto"/>
        <w:ind w:left="539" w:hanging="539"/>
        <w:rPr>
          <w:szCs w:val="24"/>
        </w:rPr>
      </w:pPr>
      <w:proofErr w:type="spellStart"/>
      <w:r w:rsidRPr="00C30552">
        <w:rPr>
          <w:szCs w:val="24"/>
          <w:lang w:val="en-US"/>
        </w:rPr>
        <w:t>Driedger</w:t>
      </w:r>
      <w:proofErr w:type="spellEnd"/>
      <w:r w:rsidRPr="00C30552">
        <w:rPr>
          <w:szCs w:val="24"/>
          <w:lang w:val="en-US"/>
        </w:rPr>
        <w:t>, Elmer</w:t>
      </w:r>
      <w:r w:rsidR="007175EC" w:rsidRPr="00C30552">
        <w:rPr>
          <w:szCs w:val="24"/>
          <w:lang w:val="en-US"/>
        </w:rPr>
        <w:t> </w:t>
      </w:r>
      <w:r w:rsidRPr="00C30552">
        <w:rPr>
          <w:szCs w:val="24"/>
          <w:lang w:val="en-US"/>
        </w:rPr>
        <w:t xml:space="preserve">A.  </w:t>
      </w:r>
      <w:r w:rsidRPr="004B58A2">
        <w:rPr>
          <w:i/>
          <w:szCs w:val="24"/>
          <w:lang w:val="en-US"/>
        </w:rPr>
        <w:t>Construction of Statutes</w:t>
      </w:r>
      <w:r w:rsidRPr="004B58A2">
        <w:rPr>
          <w:szCs w:val="24"/>
          <w:lang w:val="en-US"/>
        </w:rPr>
        <w:t xml:space="preserve">, 2nd </w:t>
      </w:r>
      <w:proofErr w:type="gramStart"/>
      <w:r w:rsidRPr="004B58A2">
        <w:rPr>
          <w:szCs w:val="24"/>
          <w:lang w:val="en-US"/>
        </w:rPr>
        <w:t>ed</w:t>
      </w:r>
      <w:proofErr w:type="gramEnd"/>
      <w:r w:rsidRPr="004B58A2">
        <w:rPr>
          <w:szCs w:val="24"/>
          <w:lang w:val="en-US"/>
        </w:rPr>
        <w:t xml:space="preserve">.  </w:t>
      </w:r>
      <w:r w:rsidRPr="004B58A2">
        <w:rPr>
          <w:szCs w:val="24"/>
        </w:rPr>
        <w:t>Toronto</w:t>
      </w:r>
      <w:r w:rsidR="005A6AC9" w:rsidRPr="004B58A2">
        <w:rPr>
          <w:szCs w:val="24"/>
        </w:rPr>
        <w:t> :</w:t>
      </w:r>
      <w:r w:rsidRPr="004B58A2">
        <w:rPr>
          <w:szCs w:val="24"/>
        </w:rPr>
        <w:t xml:space="preserve"> </w:t>
      </w:r>
      <w:proofErr w:type="spellStart"/>
      <w:r w:rsidRPr="004B58A2">
        <w:rPr>
          <w:szCs w:val="24"/>
        </w:rPr>
        <w:t>Butterworths</w:t>
      </w:r>
      <w:proofErr w:type="spellEnd"/>
      <w:r w:rsidRPr="004B58A2">
        <w:rPr>
          <w:szCs w:val="24"/>
        </w:rPr>
        <w:t>, 1983</w:t>
      </w:r>
      <w:r w:rsidR="00B83634" w:rsidRPr="004B58A2">
        <w:rPr>
          <w:szCs w:val="24"/>
        </w:rPr>
        <w:t>.</w:t>
      </w:r>
    </w:p>
    <w:p w:rsidR="00D5435D" w:rsidRPr="004B58A2" w:rsidRDefault="00726882" w:rsidP="007175EC">
      <w:pPr>
        <w:pStyle w:val="SCCNormalDoubleSpacing"/>
        <w:spacing w:after="480"/>
        <w:rPr>
          <w:szCs w:val="24"/>
        </w:rPr>
      </w:pPr>
      <w:r w:rsidRPr="004B58A2">
        <w:rPr>
          <w:szCs w:val="24"/>
        </w:rPr>
        <w:tab/>
      </w:r>
      <w:r w:rsidR="009B57B3" w:rsidRPr="004B58A2">
        <w:rPr>
          <w:szCs w:val="24"/>
        </w:rPr>
        <w:t>P</w:t>
      </w:r>
      <w:r w:rsidR="0043088E" w:rsidRPr="004B58A2">
        <w:rPr>
          <w:szCs w:val="24"/>
        </w:rPr>
        <w:t>OURVOI contre un arrêt de la</w:t>
      </w:r>
      <w:r w:rsidR="009B57B3" w:rsidRPr="004B58A2">
        <w:rPr>
          <w:szCs w:val="24"/>
        </w:rPr>
        <w:t xml:space="preserve"> Cour d</w:t>
      </w:r>
      <w:r w:rsidR="005F3E4F" w:rsidRPr="004B58A2">
        <w:rPr>
          <w:szCs w:val="24"/>
        </w:rPr>
        <w:t>’</w:t>
      </w:r>
      <w:r w:rsidR="009B57B3" w:rsidRPr="004B58A2">
        <w:rPr>
          <w:szCs w:val="24"/>
        </w:rPr>
        <w:t>appel fédérale</w:t>
      </w:r>
      <w:r w:rsidR="00012F6B" w:rsidRPr="004B58A2">
        <w:rPr>
          <w:szCs w:val="24"/>
        </w:rPr>
        <w:t xml:space="preserve"> (les juges Noël, Trudel et Mainville), 2011 CAF 70, 415 N.R. 10, [2011] </w:t>
      </w:r>
      <w:r w:rsidR="00167456" w:rsidRPr="004B58A2">
        <w:rPr>
          <w:szCs w:val="24"/>
        </w:rPr>
        <w:t>A.C.</w:t>
      </w:r>
      <w:r w:rsidR="00012F6B" w:rsidRPr="004B58A2">
        <w:rPr>
          <w:szCs w:val="24"/>
        </w:rPr>
        <w:t xml:space="preserve">F. </w:t>
      </w:r>
      <w:r w:rsidR="00167456" w:rsidRPr="004B58A2">
        <w:rPr>
          <w:szCs w:val="24"/>
        </w:rPr>
        <w:t>n</w:t>
      </w:r>
      <w:r w:rsidR="00012F6B" w:rsidRPr="004B58A2">
        <w:rPr>
          <w:szCs w:val="24"/>
          <w:vertAlign w:val="superscript"/>
        </w:rPr>
        <w:t>o</w:t>
      </w:r>
      <w:r w:rsidR="00012F6B" w:rsidRPr="004B58A2">
        <w:rPr>
          <w:szCs w:val="24"/>
        </w:rPr>
        <w:t xml:space="preserve"> 292 (QL), 2011 </w:t>
      </w:r>
      <w:proofErr w:type="spellStart"/>
      <w:r w:rsidR="00012F6B" w:rsidRPr="004B58A2">
        <w:rPr>
          <w:szCs w:val="24"/>
        </w:rPr>
        <w:t>CarswellNat</w:t>
      </w:r>
      <w:proofErr w:type="spellEnd"/>
      <w:r w:rsidR="00012F6B" w:rsidRPr="004B58A2">
        <w:rPr>
          <w:szCs w:val="24"/>
        </w:rPr>
        <w:t xml:space="preserve"> 4</w:t>
      </w:r>
      <w:r w:rsidR="00167456" w:rsidRPr="004B58A2">
        <w:rPr>
          <w:szCs w:val="24"/>
        </w:rPr>
        <w:t>8</w:t>
      </w:r>
      <w:r w:rsidR="00012F6B" w:rsidRPr="004B58A2">
        <w:rPr>
          <w:szCs w:val="24"/>
        </w:rPr>
        <w:t>2</w:t>
      </w:r>
      <w:r w:rsidR="00167456" w:rsidRPr="004B58A2">
        <w:rPr>
          <w:szCs w:val="24"/>
        </w:rPr>
        <w:t>6</w:t>
      </w:r>
      <w:r w:rsidR="00012F6B" w:rsidRPr="004B58A2">
        <w:rPr>
          <w:szCs w:val="24"/>
        </w:rPr>
        <w:t xml:space="preserve">, </w:t>
      </w:r>
      <w:r w:rsidR="00167456" w:rsidRPr="004B58A2">
        <w:rPr>
          <w:szCs w:val="24"/>
        </w:rPr>
        <w:t>qui a confirmé une dé</w:t>
      </w:r>
      <w:r w:rsidR="00012F6B" w:rsidRPr="004B58A2">
        <w:rPr>
          <w:szCs w:val="24"/>
        </w:rPr>
        <w:t xml:space="preserve">cision </w:t>
      </w:r>
      <w:r w:rsidR="00167456" w:rsidRPr="004B58A2">
        <w:rPr>
          <w:szCs w:val="24"/>
        </w:rPr>
        <w:t>de la Commission du droit d</w:t>
      </w:r>
      <w:r w:rsidR="005F3E4F" w:rsidRPr="004B58A2">
        <w:rPr>
          <w:szCs w:val="24"/>
        </w:rPr>
        <w:t>’</w:t>
      </w:r>
      <w:r w:rsidR="00167456" w:rsidRPr="004B58A2">
        <w:rPr>
          <w:szCs w:val="24"/>
        </w:rPr>
        <w:t>auteur</w:t>
      </w:r>
      <w:r w:rsidR="00D00DB0" w:rsidRPr="004B58A2">
        <w:rPr>
          <w:szCs w:val="24"/>
        </w:rPr>
        <w:t>, www.cb-cda.gc.ca/decisions/2009/20090916.pdf,</w:t>
      </w:r>
      <w:r w:rsidR="00012F6B" w:rsidRPr="004B58A2">
        <w:rPr>
          <w:szCs w:val="24"/>
        </w:rPr>
        <w:t xml:space="preserve"> </w:t>
      </w:r>
      <w:r w:rsidR="00244035" w:rsidRPr="004B58A2">
        <w:rPr>
          <w:szCs w:val="24"/>
        </w:rPr>
        <w:t xml:space="preserve">(2009), </w:t>
      </w:r>
      <w:r w:rsidR="00012F6B" w:rsidRPr="004B58A2">
        <w:rPr>
          <w:szCs w:val="24"/>
        </w:rPr>
        <w:t>78 C.P.R. (4th) 64, [2009] D.C.D.A. n</w:t>
      </w:r>
      <w:r w:rsidR="00012F6B" w:rsidRPr="004B58A2">
        <w:rPr>
          <w:szCs w:val="24"/>
          <w:vertAlign w:val="superscript"/>
        </w:rPr>
        <w:t>o</w:t>
      </w:r>
      <w:r w:rsidR="00012F6B" w:rsidRPr="004B58A2">
        <w:rPr>
          <w:szCs w:val="24"/>
        </w:rPr>
        <w:t xml:space="preserve"> 9 (QL), 2009 </w:t>
      </w:r>
      <w:proofErr w:type="spellStart"/>
      <w:r w:rsidR="00012F6B" w:rsidRPr="004B58A2">
        <w:rPr>
          <w:szCs w:val="24"/>
        </w:rPr>
        <w:t>CarswellNat</w:t>
      </w:r>
      <w:proofErr w:type="spellEnd"/>
      <w:r w:rsidR="00012F6B" w:rsidRPr="004B58A2">
        <w:rPr>
          <w:szCs w:val="24"/>
        </w:rPr>
        <w:t xml:space="preserve"> 2890.  Pourvoi </w:t>
      </w:r>
      <w:r w:rsidR="008208CC" w:rsidRPr="004B58A2">
        <w:rPr>
          <w:szCs w:val="24"/>
        </w:rPr>
        <w:t>rejeté</w:t>
      </w:r>
      <w:r w:rsidR="00012F6B" w:rsidRPr="004B58A2">
        <w:rPr>
          <w:szCs w:val="24"/>
        </w:rPr>
        <w:t>.</w:t>
      </w:r>
    </w:p>
    <w:p w:rsidR="007A0F8A" w:rsidRPr="004B58A2" w:rsidRDefault="00030898" w:rsidP="007175EC">
      <w:pPr>
        <w:pStyle w:val="SCCNormalDoubleSpacing"/>
        <w:spacing w:after="480"/>
        <w:rPr>
          <w:szCs w:val="24"/>
        </w:rPr>
      </w:pPr>
      <w:r w:rsidRPr="004B58A2">
        <w:rPr>
          <w:rStyle w:val="SCCCounselNameChar"/>
          <w:szCs w:val="24"/>
        </w:rPr>
        <w:tab/>
        <w:t>Mahmud Jamal</w:t>
      </w:r>
      <w:r w:rsidRPr="004B58A2">
        <w:rPr>
          <w:rStyle w:val="SCCCounselSeparatorChar"/>
          <w:szCs w:val="24"/>
        </w:rPr>
        <w:t xml:space="preserve">, </w:t>
      </w:r>
      <w:r w:rsidRPr="004B58A2">
        <w:rPr>
          <w:rStyle w:val="SCCCounselNameChar"/>
          <w:szCs w:val="24"/>
        </w:rPr>
        <w:t>Glen Bloom</w:t>
      </w:r>
      <w:r w:rsidRPr="004B58A2">
        <w:rPr>
          <w:rStyle w:val="SCCCounselNameChar"/>
          <w:i w:val="0"/>
          <w:szCs w:val="24"/>
        </w:rPr>
        <w:t xml:space="preserve">, </w:t>
      </w:r>
      <w:r w:rsidR="00E46AE9" w:rsidRPr="004B58A2">
        <w:rPr>
          <w:rStyle w:val="SCCCounselNameChar"/>
          <w:szCs w:val="24"/>
        </w:rPr>
        <w:t>Marcus Klee</w:t>
      </w:r>
      <w:r w:rsidR="00E46AE9" w:rsidRPr="004B58A2">
        <w:rPr>
          <w:rStyle w:val="SCCCounselNameChar"/>
          <w:i w:val="0"/>
          <w:szCs w:val="24"/>
        </w:rPr>
        <w:t xml:space="preserve"> </w:t>
      </w:r>
      <w:r w:rsidR="00E46AE9" w:rsidRPr="004B58A2">
        <w:rPr>
          <w:rStyle w:val="SCCCounselSeparatorChar"/>
          <w:szCs w:val="24"/>
        </w:rPr>
        <w:t>et</w:t>
      </w:r>
      <w:r w:rsidR="00E46AE9" w:rsidRPr="004B58A2">
        <w:rPr>
          <w:rStyle w:val="SCCCounselNameChar"/>
          <w:i w:val="0"/>
          <w:szCs w:val="24"/>
        </w:rPr>
        <w:t xml:space="preserve"> </w:t>
      </w:r>
      <w:r w:rsidRPr="004B58A2">
        <w:rPr>
          <w:rStyle w:val="SCCCounselNameChar"/>
          <w:szCs w:val="24"/>
        </w:rPr>
        <w:t xml:space="preserve">Jason </w:t>
      </w:r>
      <w:proofErr w:type="spellStart"/>
      <w:r w:rsidRPr="004B58A2">
        <w:rPr>
          <w:rStyle w:val="SCCCounselNameChar"/>
          <w:szCs w:val="24"/>
        </w:rPr>
        <w:t>MacLean</w:t>
      </w:r>
      <w:proofErr w:type="spellEnd"/>
      <w:r w:rsidR="00726882" w:rsidRPr="004B58A2">
        <w:rPr>
          <w:rStyle w:val="SCCCounselPartyRoleChar"/>
          <w:szCs w:val="24"/>
        </w:rPr>
        <w:t>, pour l</w:t>
      </w:r>
      <w:r w:rsidR="005F3E4F" w:rsidRPr="004B58A2">
        <w:rPr>
          <w:rStyle w:val="SCCCounselPartyRoleChar"/>
          <w:szCs w:val="24"/>
        </w:rPr>
        <w:t>’</w:t>
      </w:r>
      <w:r w:rsidRPr="004B58A2">
        <w:rPr>
          <w:rStyle w:val="SCCCounselPartyRoleChar"/>
          <w:szCs w:val="24"/>
        </w:rPr>
        <w:t>appelante.</w:t>
      </w:r>
    </w:p>
    <w:p w:rsidR="007A0F8A" w:rsidRPr="004B58A2" w:rsidRDefault="007175EC" w:rsidP="007175EC">
      <w:pPr>
        <w:pStyle w:val="SCCNormalDoubleSpacing"/>
        <w:spacing w:after="480"/>
        <w:rPr>
          <w:szCs w:val="24"/>
        </w:rPr>
      </w:pPr>
      <w:r w:rsidRPr="004B58A2">
        <w:rPr>
          <w:rStyle w:val="SCCCounselNameChar"/>
          <w:szCs w:val="24"/>
        </w:rPr>
        <w:lastRenderedPageBreak/>
        <w:tab/>
        <w:t>David </w:t>
      </w:r>
      <w:r w:rsidR="00030898" w:rsidRPr="004B58A2">
        <w:rPr>
          <w:rStyle w:val="SCCCounselNameChar"/>
          <w:szCs w:val="24"/>
        </w:rPr>
        <w:t>W. Kent</w:t>
      </w:r>
      <w:r w:rsidR="00030898" w:rsidRPr="004B58A2">
        <w:rPr>
          <w:rStyle w:val="SCCCounselSeparatorChar"/>
          <w:szCs w:val="24"/>
        </w:rPr>
        <w:t xml:space="preserve"> et </w:t>
      </w:r>
      <w:r w:rsidR="00030898" w:rsidRPr="004B58A2">
        <w:rPr>
          <w:rStyle w:val="SCCCounselNameChar"/>
          <w:szCs w:val="24"/>
        </w:rPr>
        <w:t>Sarah Kilpatrick</w:t>
      </w:r>
      <w:r w:rsidR="00030898" w:rsidRPr="004B58A2">
        <w:rPr>
          <w:rStyle w:val="SCCCounselPartyRoleChar"/>
          <w:szCs w:val="24"/>
        </w:rPr>
        <w:t>, pour l</w:t>
      </w:r>
      <w:r w:rsidR="005F3E4F" w:rsidRPr="004B58A2">
        <w:rPr>
          <w:rStyle w:val="SCCCounselPartyRoleChar"/>
          <w:szCs w:val="24"/>
        </w:rPr>
        <w:t>’</w:t>
      </w:r>
      <w:r w:rsidR="00030898" w:rsidRPr="004B58A2">
        <w:rPr>
          <w:rStyle w:val="SCCCounselPartyRoleChar"/>
          <w:szCs w:val="24"/>
        </w:rPr>
        <w:t>intimée</w:t>
      </w:r>
      <w:r w:rsidR="00EA56A9" w:rsidRPr="004B58A2">
        <w:rPr>
          <w:rStyle w:val="SCCCounselPartyRoleChar"/>
          <w:szCs w:val="24"/>
        </w:rPr>
        <w:t xml:space="preserve"> la Fédération des associations de propriétaires de cinémas du Canada</w:t>
      </w:r>
      <w:r w:rsidR="00030898" w:rsidRPr="004B58A2">
        <w:rPr>
          <w:rStyle w:val="SCCCounselPartyRoleChar"/>
          <w:szCs w:val="24"/>
        </w:rPr>
        <w:t>.</w:t>
      </w:r>
    </w:p>
    <w:p w:rsidR="007A0F8A" w:rsidRPr="004B58A2" w:rsidRDefault="007175EC" w:rsidP="007175EC">
      <w:pPr>
        <w:pStyle w:val="SCCNormalDoubleSpacing"/>
        <w:spacing w:after="480"/>
        <w:rPr>
          <w:szCs w:val="24"/>
        </w:rPr>
      </w:pPr>
      <w:r w:rsidRPr="004B58A2">
        <w:rPr>
          <w:rStyle w:val="SCCCounselNameChar"/>
          <w:szCs w:val="24"/>
        </w:rPr>
        <w:tab/>
        <w:t>Gerald </w:t>
      </w:r>
      <w:r w:rsidR="00030898" w:rsidRPr="004B58A2">
        <w:rPr>
          <w:rStyle w:val="SCCCounselNameChar"/>
          <w:szCs w:val="24"/>
        </w:rPr>
        <w:t xml:space="preserve">L. </w:t>
      </w:r>
      <w:proofErr w:type="spellStart"/>
      <w:r w:rsidR="00030898" w:rsidRPr="004B58A2">
        <w:rPr>
          <w:rStyle w:val="SCCCounselNameChar"/>
          <w:szCs w:val="24"/>
        </w:rPr>
        <w:t>Kerr</w:t>
      </w:r>
      <w:r w:rsidR="005A6AC9" w:rsidRPr="004B58A2">
        <w:rPr>
          <w:rStyle w:val="SCCCounselNameChar"/>
          <w:szCs w:val="24"/>
        </w:rPr>
        <w:noBreakHyphen/>
      </w:r>
      <w:r w:rsidR="00030898" w:rsidRPr="004B58A2">
        <w:rPr>
          <w:rStyle w:val="SCCCounselNameChar"/>
          <w:szCs w:val="24"/>
        </w:rPr>
        <w:t>Wilson</w:t>
      </w:r>
      <w:proofErr w:type="spellEnd"/>
      <w:r w:rsidR="00030898" w:rsidRPr="004B58A2">
        <w:rPr>
          <w:rStyle w:val="SCCCounselSeparatorChar"/>
          <w:szCs w:val="24"/>
        </w:rPr>
        <w:t xml:space="preserve">, </w:t>
      </w:r>
      <w:r w:rsidR="00EA56A9" w:rsidRPr="004B58A2">
        <w:rPr>
          <w:rStyle w:val="SCCCounselNameChar"/>
          <w:szCs w:val="24"/>
        </w:rPr>
        <w:t>Julia Kennedy</w:t>
      </w:r>
      <w:r w:rsidR="00030898" w:rsidRPr="004B58A2">
        <w:rPr>
          <w:rStyle w:val="SCCCounselSeparatorChar"/>
          <w:szCs w:val="24"/>
        </w:rPr>
        <w:t xml:space="preserve"> et </w:t>
      </w:r>
      <w:r w:rsidR="00030898" w:rsidRPr="004B58A2">
        <w:rPr>
          <w:rStyle w:val="SCCCounselNameChar"/>
          <w:szCs w:val="24"/>
        </w:rPr>
        <w:t>Marisa Victor</w:t>
      </w:r>
      <w:r w:rsidR="00030898" w:rsidRPr="004B58A2">
        <w:rPr>
          <w:rStyle w:val="SCCCounselPartyRoleChar"/>
          <w:szCs w:val="24"/>
        </w:rPr>
        <w:t>, pour l</w:t>
      </w:r>
      <w:r w:rsidR="00EA56A9" w:rsidRPr="004B58A2">
        <w:rPr>
          <w:rStyle w:val="SCCCounselPartyRoleChar"/>
          <w:szCs w:val="24"/>
        </w:rPr>
        <w:t xml:space="preserve">es </w:t>
      </w:r>
      <w:r w:rsidR="00030898" w:rsidRPr="004B58A2">
        <w:rPr>
          <w:rStyle w:val="SCCCounselPartyRoleChar"/>
          <w:szCs w:val="24"/>
        </w:rPr>
        <w:t>intimée</w:t>
      </w:r>
      <w:r w:rsidR="00EA56A9" w:rsidRPr="004B58A2">
        <w:rPr>
          <w:rStyle w:val="SCCCounselPartyRoleChar"/>
          <w:szCs w:val="24"/>
        </w:rPr>
        <w:t xml:space="preserve">s </w:t>
      </w:r>
      <w:r w:rsidR="00F52FB9" w:rsidRPr="004B58A2">
        <w:rPr>
          <w:rStyle w:val="SCCCounselPartyRoleChar"/>
          <w:szCs w:val="24"/>
        </w:rPr>
        <w:t xml:space="preserve">Rogers Communications Inc., Shaw Communications Inc., Bell </w:t>
      </w:r>
      <w:proofErr w:type="spellStart"/>
      <w:r w:rsidR="00F52FB9" w:rsidRPr="004B58A2">
        <w:rPr>
          <w:rStyle w:val="SCCCounselPartyRoleChar"/>
          <w:szCs w:val="24"/>
        </w:rPr>
        <w:t>ExpressVu</w:t>
      </w:r>
      <w:proofErr w:type="spellEnd"/>
      <w:r w:rsidR="00F52FB9" w:rsidRPr="004B58A2">
        <w:rPr>
          <w:rStyle w:val="SCCCounselPartyRoleChar"/>
          <w:szCs w:val="24"/>
        </w:rPr>
        <w:t xml:space="preserve"> LLP, </w:t>
      </w:r>
      <w:proofErr w:type="spellStart"/>
      <w:r w:rsidR="00F52FB9" w:rsidRPr="004B58A2">
        <w:rPr>
          <w:rStyle w:val="SCCCounselPartyRoleChar"/>
          <w:szCs w:val="24"/>
        </w:rPr>
        <w:t>Cogeco</w:t>
      </w:r>
      <w:proofErr w:type="spellEnd"/>
      <w:r w:rsidR="00F52FB9" w:rsidRPr="004B58A2">
        <w:rPr>
          <w:rStyle w:val="SCCCounselPartyRoleChar"/>
          <w:szCs w:val="24"/>
        </w:rPr>
        <w:t xml:space="preserve"> Câble </w:t>
      </w:r>
      <w:proofErr w:type="spellStart"/>
      <w:r w:rsidR="00F52FB9" w:rsidRPr="004B58A2">
        <w:rPr>
          <w:rStyle w:val="SCCCounselPartyRoleChar"/>
          <w:szCs w:val="24"/>
        </w:rPr>
        <w:t>inc</w:t>
      </w:r>
      <w:proofErr w:type="spellEnd"/>
      <w:r w:rsidR="00F52FB9" w:rsidRPr="004B58A2">
        <w:rPr>
          <w:rStyle w:val="SCCCounselPartyRoleChar"/>
          <w:szCs w:val="24"/>
        </w:rPr>
        <w:t xml:space="preserve">., </w:t>
      </w:r>
      <w:proofErr w:type="spellStart"/>
      <w:r w:rsidR="00F52FB9" w:rsidRPr="004B58A2">
        <w:rPr>
          <w:rStyle w:val="SCCCounselPartyRoleChar"/>
          <w:szCs w:val="24"/>
        </w:rPr>
        <w:t>EastLink</w:t>
      </w:r>
      <w:proofErr w:type="spellEnd"/>
      <w:r w:rsidR="00F52FB9" w:rsidRPr="004B58A2">
        <w:rPr>
          <w:rStyle w:val="SCCCounselPartyRoleChar"/>
          <w:szCs w:val="24"/>
        </w:rPr>
        <w:t>, Quebecor Media et Société TELUS Communications</w:t>
      </w:r>
      <w:r w:rsidR="00030898" w:rsidRPr="004B58A2">
        <w:rPr>
          <w:rStyle w:val="SCCCounselPartyRoleChar"/>
          <w:szCs w:val="24"/>
        </w:rPr>
        <w:t>.</w:t>
      </w:r>
    </w:p>
    <w:p w:rsidR="007A0F8A" w:rsidRPr="004B58A2" w:rsidRDefault="00030898" w:rsidP="007175EC">
      <w:pPr>
        <w:pStyle w:val="SCCNormalDoubleSpacing"/>
        <w:spacing w:after="480"/>
        <w:rPr>
          <w:szCs w:val="24"/>
        </w:rPr>
      </w:pPr>
      <w:r w:rsidRPr="004B58A2">
        <w:rPr>
          <w:rStyle w:val="SCCCounselNameChar"/>
          <w:szCs w:val="24"/>
        </w:rPr>
        <w:tab/>
        <w:t>Mark Hayes</w:t>
      </w:r>
      <w:r w:rsidRPr="004B58A2">
        <w:rPr>
          <w:rStyle w:val="SCCCounselSeparatorChar"/>
          <w:szCs w:val="24"/>
        </w:rPr>
        <w:t xml:space="preserve"> et </w:t>
      </w:r>
      <w:r w:rsidR="007175EC" w:rsidRPr="004B58A2">
        <w:rPr>
          <w:rStyle w:val="SCCCounselNameChar"/>
          <w:szCs w:val="24"/>
        </w:rPr>
        <w:t>Debra </w:t>
      </w:r>
      <w:r w:rsidRPr="004B58A2">
        <w:rPr>
          <w:rStyle w:val="SCCCounselNameChar"/>
          <w:szCs w:val="24"/>
        </w:rPr>
        <w:t>L. Montgomery</w:t>
      </w:r>
      <w:r w:rsidRPr="004B58A2">
        <w:rPr>
          <w:rStyle w:val="SCCCounselPartyRoleChar"/>
          <w:szCs w:val="24"/>
        </w:rPr>
        <w:t>, pour l</w:t>
      </w:r>
      <w:r w:rsidR="005F3E4F" w:rsidRPr="004B58A2">
        <w:rPr>
          <w:rStyle w:val="SCCCounselPartyRoleChar"/>
          <w:szCs w:val="24"/>
        </w:rPr>
        <w:t>’</w:t>
      </w:r>
      <w:r w:rsidRPr="004B58A2">
        <w:rPr>
          <w:rStyle w:val="SCCCounselPartyRoleChar"/>
          <w:szCs w:val="24"/>
        </w:rPr>
        <w:t>intimée</w:t>
      </w:r>
      <w:r w:rsidR="00EA56A9" w:rsidRPr="004B58A2">
        <w:rPr>
          <w:rStyle w:val="SCCCounselPartyRoleChar"/>
          <w:szCs w:val="24"/>
        </w:rPr>
        <w:t xml:space="preserve"> l</w:t>
      </w:r>
      <w:r w:rsidR="005F3E4F" w:rsidRPr="004B58A2">
        <w:rPr>
          <w:rStyle w:val="SCCCounselPartyRoleChar"/>
          <w:szCs w:val="24"/>
        </w:rPr>
        <w:t>’</w:t>
      </w:r>
      <w:r w:rsidR="00EA56A9" w:rsidRPr="004B58A2">
        <w:rPr>
          <w:rStyle w:val="SCCCounselPartyRoleChar"/>
          <w:szCs w:val="24"/>
        </w:rPr>
        <w:t>Association canadienne des radiodiffuseurs</w:t>
      </w:r>
      <w:r w:rsidRPr="004B58A2">
        <w:rPr>
          <w:rStyle w:val="SCCCounselPartyRoleChar"/>
          <w:szCs w:val="24"/>
        </w:rPr>
        <w:t>.</w:t>
      </w:r>
    </w:p>
    <w:p w:rsidR="007A0F8A" w:rsidRPr="004B58A2" w:rsidRDefault="00030898" w:rsidP="007175EC">
      <w:pPr>
        <w:pStyle w:val="SCCNormalDoubleSpacing"/>
        <w:spacing w:after="480"/>
        <w:rPr>
          <w:szCs w:val="24"/>
        </w:rPr>
      </w:pPr>
      <w:r w:rsidRPr="004B58A2">
        <w:rPr>
          <w:rStyle w:val="SCCCounselNameChar"/>
          <w:szCs w:val="24"/>
        </w:rPr>
        <w:tab/>
        <w:t xml:space="preserve">Marek </w:t>
      </w:r>
      <w:proofErr w:type="spellStart"/>
      <w:r w:rsidRPr="004B58A2">
        <w:rPr>
          <w:rStyle w:val="SCCCounselNameChar"/>
          <w:szCs w:val="24"/>
        </w:rPr>
        <w:t>Nitoslawski</w:t>
      </w:r>
      <w:proofErr w:type="spellEnd"/>
      <w:r w:rsidRPr="004B58A2">
        <w:rPr>
          <w:rStyle w:val="SCCCounselSeparatorChar"/>
          <w:szCs w:val="24"/>
        </w:rPr>
        <w:t xml:space="preserve"> et </w:t>
      </w:r>
      <w:proofErr w:type="spellStart"/>
      <w:r w:rsidRPr="004B58A2">
        <w:rPr>
          <w:rStyle w:val="SCCCounselNameChar"/>
          <w:szCs w:val="24"/>
        </w:rPr>
        <w:t>Joanie</w:t>
      </w:r>
      <w:proofErr w:type="spellEnd"/>
      <w:r w:rsidRPr="004B58A2">
        <w:rPr>
          <w:rStyle w:val="SCCCounselNameChar"/>
          <w:szCs w:val="24"/>
        </w:rPr>
        <w:t xml:space="preserve"> </w:t>
      </w:r>
      <w:proofErr w:type="spellStart"/>
      <w:r w:rsidRPr="004B58A2">
        <w:rPr>
          <w:rStyle w:val="SCCCounselNameChar"/>
          <w:szCs w:val="24"/>
        </w:rPr>
        <w:t>Lapalme</w:t>
      </w:r>
      <w:proofErr w:type="spellEnd"/>
      <w:r w:rsidRPr="004B58A2">
        <w:rPr>
          <w:rStyle w:val="SCCCounselPartyRoleChar"/>
          <w:szCs w:val="24"/>
        </w:rPr>
        <w:t>, pour l</w:t>
      </w:r>
      <w:r w:rsidR="005F3E4F" w:rsidRPr="004B58A2">
        <w:rPr>
          <w:rStyle w:val="SCCCounselPartyRoleChar"/>
          <w:szCs w:val="24"/>
        </w:rPr>
        <w:t>’</w:t>
      </w:r>
      <w:r w:rsidRPr="004B58A2">
        <w:rPr>
          <w:rStyle w:val="SCCCounselPartyRoleChar"/>
          <w:szCs w:val="24"/>
        </w:rPr>
        <w:t>intimée</w:t>
      </w:r>
      <w:r w:rsidR="00EA56A9" w:rsidRPr="004B58A2">
        <w:rPr>
          <w:rStyle w:val="SCCCounselPartyRoleChar"/>
          <w:szCs w:val="24"/>
        </w:rPr>
        <w:t xml:space="preserve"> la Société </w:t>
      </w:r>
      <w:proofErr w:type="spellStart"/>
      <w:r w:rsidR="00EA56A9" w:rsidRPr="004B58A2">
        <w:rPr>
          <w:rStyle w:val="SCCCounselPartyRoleChar"/>
          <w:szCs w:val="24"/>
        </w:rPr>
        <w:t>Radio</w:t>
      </w:r>
      <w:r w:rsidR="005A6AC9" w:rsidRPr="004B58A2">
        <w:rPr>
          <w:rStyle w:val="SCCCounselPartyRoleChar"/>
          <w:szCs w:val="24"/>
        </w:rPr>
        <w:noBreakHyphen/>
      </w:r>
      <w:r w:rsidR="00EA56A9" w:rsidRPr="004B58A2">
        <w:rPr>
          <w:rStyle w:val="SCCCounselPartyRoleChar"/>
          <w:szCs w:val="24"/>
        </w:rPr>
        <w:t>Canada</w:t>
      </w:r>
      <w:proofErr w:type="spellEnd"/>
      <w:r w:rsidRPr="004B58A2">
        <w:rPr>
          <w:rStyle w:val="SCCCounselPartyRoleChar"/>
          <w:szCs w:val="24"/>
        </w:rPr>
        <w:t>.</w:t>
      </w:r>
    </w:p>
    <w:p w:rsidR="007A0F8A" w:rsidRPr="004B58A2" w:rsidRDefault="00030898" w:rsidP="007175EC">
      <w:pPr>
        <w:pStyle w:val="SCCNormalDoubleSpacing"/>
        <w:spacing w:after="480"/>
        <w:rPr>
          <w:szCs w:val="24"/>
        </w:rPr>
      </w:pPr>
      <w:r w:rsidRPr="004B58A2">
        <w:rPr>
          <w:rStyle w:val="SCCCounselNameChar"/>
          <w:szCs w:val="24"/>
        </w:rPr>
        <w:tab/>
      </w:r>
      <w:r w:rsidR="00EA56A9" w:rsidRPr="004B58A2">
        <w:rPr>
          <w:rStyle w:val="SCCCounselNameChar"/>
          <w:i w:val="0"/>
          <w:szCs w:val="24"/>
        </w:rPr>
        <w:t xml:space="preserve">Argumentation écrite seulement par </w:t>
      </w:r>
      <w:r w:rsidRPr="004B58A2">
        <w:rPr>
          <w:rStyle w:val="SCCCounselNameChar"/>
          <w:szCs w:val="24"/>
        </w:rPr>
        <w:t xml:space="preserve">David </w:t>
      </w:r>
      <w:proofErr w:type="spellStart"/>
      <w:r w:rsidRPr="004B58A2">
        <w:rPr>
          <w:rStyle w:val="SCCCounselNameChar"/>
          <w:szCs w:val="24"/>
        </w:rPr>
        <w:t>Fewer</w:t>
      </w:r>
      <w:proofErr w:type="spellEnd"/>
      <w:r w:rsidRPr="004B58A2">
        <w:rPr>
          <w:rStyle w:val="SCCCounselSeparatorChar"/>
          <w:szCs w:val="24"/>
        </w:rPr>
        <w:t xml:space="preserve"> et </w:t>
      </w:r>
      <w:r w:rsidRPr="004B58A2">
        <w:rPr>
          <w:rStyle w:val="SCCCounselNameChar"/>
          <w:szCs w:val="24"/>
        </w:rPr>
        <w:t xml:space="preserve">Jeremy de </w:t>
      </w:r>
      <w:proofErr w:type="spellStart"/>
      <w:r w:rsidRPr="004B58A2">
        <w:rPr>
          <w:rStyle w:val="SCCCounselNameChar"/>
          <w:szCs w:val="24"/>
        </w:rPr>
        <w:t>Beer</w:t>
      </w:r>
      <w:proofErr w:type="spellEnd"/>
      <w:r w:rsidRPr="004B58A2">
        <w:rPr>
          <w:rStyle w:val="SCCCounselPartyRoleChar"/>
          <w:szCs w:val="24"/>
        </w:rPr>
        <w:t>, pour l</w:t>
      </w:r>
      <w:r w:rsidR="005F3E4F" w:rsidRPr="004B58A2">
        <w:rPr>
          <w:rStyle w:val="SCCCounselPartyRoleChar"/>
          <w:szCs w:val="24"/>
        </w:rPr>
        <w:t>’</w:t>
      </w:r>
      <w:r w:rsidRPr="004B58A2">
        <w:rPr>
          <w:rStyle w:val="SCCCounselPartyRoleChar"/>
          <w:szCs w:val="24"/>
        </w:rPr>
        <w:t>intervenante.</w:t>
      </w:r>
    </w:p>
    <w:p w:rsidR="00C468F0" w:rsidRPr="004B58A2" w:rsidRDefault="00D35DF3" w:rsidP="00C468F0">
      <w:pPr>
        <w:pStyle w:val="JudgeJuge"/>
        <w:spacing w:before="480"/>
        <w:rPr>
          <w:smallCaps w:val="0"/>
          <w:lang w:val="fr-FR"/>
        </w:rPr>
      </w:pPr>
      <w:r w:rsidRPr="004B58A2">
        <w:rPr>
          <w:lang w:val="fr-FR"/>
        </w:rPr>
        <w:tab/>
      </w:r>
      <w:r w:rsidRPr="004B58A2">
        <w:rPr>
          <w:smallCaps w:val="0"/>
          <w:lang w:val="fr-FR"/>
        </w:rPr>
        <w:t>Version française du jugement de la Cour rendu par</w:t>
      </w:r>
    </w:p>
    <w:p w:rsidR="00C468F0" w:rsidRPr="004B58A2" w:rsidRDefault="00C468F0" w:rsidP="00C468F0">
      <w:pPr>
        <w:pStyle w:val="JudgeJuge"/>
        <w:spacing w:before="480"/>
        <w:rPr>
          <w:lang w:val="fr-FR"/>
        </w:rPr>
      </w:pPr>
      <w:r w:rsidRPr="004B58A2">
        <w:rPr>
          <w:lang w:val="fr-FR"/>
        </w:rPr>
        <w:tab/>
        <w:t xml:space="preserve">Le juge LeBel — </w:t>
      </w:r>
    </w:p>
    <w:p w:rsidR="00C468F0" w:rsidRPr="004B58A2" w:rsidRDefault="00C468F0" w:rsidP="00D35DF3">
      <w:pPr>
        <w:pStyle w:val="TitleTitre-AltT"/>
        <w:keepNext/>
        <w:tabs>
          <w:tab w:val="clear" w:pos="360"/>
          <w:tab w:val="left" w:pos="540"/>
        </w:tabs>
        <w:ind w:left="540" w:hanging="540"/>
        <w:rPr>
          <w:lang w:val="fr-FR"/>
        </w:rPr>
      </w:pPr>
      <w:r w:rsidRPr="004B58A2">
        <w:rPr>
          <w:lang w:val="fr-FR"/>
        </w:rPr>
        <w:t>I.</w:t>
      </w:r>
      <w:r w:rsidRPr="004B58A2">
        <w:rPr>
          <w:lang w:val="fr-FR"/>
        </w:rPr>
        <w:tab/>
      </w:r>
      <w:r w:rsidRPr="004B58A2">
        <w:rPr>
          <w:u w:val="single"/>
          <w:lang w:val="fr-FR"/>
        </w:rPr>
        <w:t>Introduction</w:t>
      </w:r>
      <w:r w:rsidR="00CF43E9" w:rsidRPr="004B58A2">
        <w:rPr>
          <w:lang w:val="fr-FR"/>
        </w:rPr>
        <w:t xml:space="preserve"> </w:t>
      </w:r>
    </w:p>
    <w:p w:rsidR="00C468F0" w:rsidRPr="004B58A2" w:rsidRDefault="00C468F0" w:rsidP="00C468F0">
      <w:pPr>
        <w:pStyle w:val="ParaNoNdepar-AltN"/>
        <w:rPr>
          <w:lang w:val="fr-FR"/>
        </w:rPr>
      </w:pPr>
      <w:r w:rsidRPr="004B58A2">
        <w:rPr>
          <w:lang w:val="fr-FR"/>
        </w:rPr>
        <w:t xml:space="preserve">Le présent pourvoi porte sur l’interprétation de la définition d’« enregistrement sonore » qui figure à l’art. 2 de la </w:t>
      </w:r>
      <w:r w:rsidRPr="004B58A2">
        <w:rPr>
          <w:i/>
          <w:lang w:val="fr-FR"/>
        </w:rPr>
        <w:t>Loi sur le droit d’auteur</w:t>
      </w:r>
      <w:r w:rsidR="00CF43E9" w:rsidRPr="004B58A2">
        <w:rPr>
          <w:lang w:val="fr-FR"/>
        </w:rPr>
        <w:t xml:space="preserve">, L.R.C. </w:t>
      </w:r>
      <w:r w:rsidR="00CF43E9" w:rsidRPr="004B58A2">
        <w:rPr>
          <w:lang w:val="fr-FR"/>
        </w:rPr>
        <w:lastRenderedPageBreak/>
        <w:t>1985, ch. C-</w:t>
      </w:r>
      <w:r w:rsidRPr="004B58A2">
        <w:rPr>
          <w:lang w:val="fr-FR"/>
        </w:rPr>
        <w:t>42 (la « Loi ») et, plus précisément, sur le sens du terme non défini « bande sonore » qui s’y trouve.  La Loi</w:t>
      </w:r>
      <w:r w:rsidRPr="004B58A2">
        <w:rPr>
          <w:i/>
          <w:lang w:val="fr-FR"/>
        </w:rPr>
        <w:t xml:space="preserve"> </w:t>
      </w:r>
      <w:r w:rsidRPr="004B58A2">
        <w:rPr>
          <w:lang w:val="fr-FR"/>
        </w:rPr>
        <w:t xml:space="preserve">confère aux </w:t>
      </w:r>
      <w:proofErr w:type="spellStart"/>
      <w:r w:rsidRPr="004B58A2">
        <w:rPr>
          <w:lang w:val="fr-FR"/>
        </w:rPr>
        <w:t>artistes</w:t>
      </w:r>
      <w:r w:rsidRPr="004B58A2">
        <w:rPr>
          <w:lang w:val="fr-FR"/>
        </w:rPr>
        <w:noBreakHyphen/>
        <w:t>interprètes</w:t>
      </w:r>
      <w:proofErr w:type="spellEnd"/>
      <w:r w:rsidRPr="004B58A2">
        <w:rPr>
          <w:lang w:val="fr-FR"/>
        </w:rPr>
        <w:t xml:space="preserve"> et aux producteurs d’enregistrements sonores le droit à une rémunération pour l’exécution ou la représentation en public ou la communication au public par télécommunication de leurs enregistrements sonores publiés, </w:t>
      </w:r>
      <w:r w:rsidRPr="004B58A2">
        <w:rPr>
          <w:rFonts w:cs="Times New Roman"/>
          <w:szCs w:val="24"/>
          <w:lang w:val="fr-FR"/>
        </w:rPr>
        <w:t>à l’exclusion des retransmissions</w:t>
      </w:r>
      <w:r w:rsidRPr="004B58A2">
        <w:rPr>
          <w:rFonts w:ascii="Verdana" w:hAnsi="Verdana"/>
          <w:sz w:val="18"/>
          <w:szCs w:val="18"/>
          <w:lang w:val="fr-FR"/>
        </w:rPr>
        <w:t xml:space="preserve">.  </w:t>
      </w:r>
      <w:r w:rsidRPr="004B58A2">
        <w:rPr>
          <w:lang w:val="fr-FR"/>
        </w:rPr>
        <w:t>Tout compte fait, la question dont la Cour est saisie est celle de savoir si la radiodiffusion d’enregistrements sonores incorporés à la bande sonore d’une œuvre cinématographique peut être sujette à l’application d’un tarif en vertu de la Loi ou si de telles radiodiffusions en sont exclues compte tenu de la définition de l’expression « enregistrement sonore » énoncée à l’art. 2.</w:t>
      </w:r>
    </w:p>
    <w:p w:rsidR="00C468F0" w:rsidRPr="004B58A2" w:rsidRDefault="00C468F0" w:rsidP="00C468F0">
      <w:pPr>
        <w:pStyle w:val="ParaNoNdepar-AltN"/>
        <w:rPr>
          <w:lang w:val="fr-FR"/>
        </w:rPr>
      </w:pPr>
      <w:r w:rsidRPr="004B58A2">
        <w:rPr>
          <w:lang w:val="fr-FR"/>
        </w:rPr>
        <w:t xml:space="preserve">L’appelante, </w:t>
      </w:r>
      <w:proofErr w:type="spellStart"/>
      <w:r w:rsidRPr="004B58A2">
        <w:rPr>
          <w:lang w:val="fr-FR"/>
        </w:rPr>
        <w:t>Ré:Sonne</w:t>
      </w:r>
      <w:proofErr w:type="spellEnd"/>
      <w:r w:rsidRPr="004B58A2">
        <w:rPr>
          <w:lang w:val="fr-FR"/>
        </w:rPr>
        <w:t>, fait valoir que le terme « bande sonore » utilisé à l’art. 2 renvoie uniquement à l’ensemble des sons qui accompagnent une œuvre cinématographique et non à ses éléments constitutifs.  Elle est d’avis que puisque les enregistrements sonores préexistants incorporés à une bande sonore en forment des éléments constitutifs, par opposition à l’ensemble des sons qui accompagne une œuvre cinématographique, ils ne sont pas visés par la portée du terme « bande sonore » qui figure à l’art. 2.</w:t>
      </w:r>
    </w:p>
    <w:p w:rsidR="00C468F0" w:rsidRPr="004B58A2" w:rsidRDefault="00C468F0" w:rsidP="00C468F0">
      <w:pPr>
        <w:pStyle w:val="ParaNoNdepar-AltN"/>
        <w:rPr>
          <w:lang w:val="fr-FR"/>
        </w:rPr>
      </w:pPr>
      <w:r w:rsidRPr="004B58A2">
        <w:rPr>
          <w:lang w:val="fr-FR"/>
        </w:rPr>
        <w:t>Pour les motifs qui suivent, je suis d’avis que le pourvoi doit être rejeté.  Une application appropriée des principes d’interprétation législative amène à conclure que la thèse de l’appelante est indéfendable.</w:t>
      </w:r>
    </w:p>
    <w:p w:rsidR="00C468F0" w:rsidRPr="004B58A2" w:rsidRDefault="00C468F0" w:rsidP="00D35DF3">
      <w:pPr>
        <w:pStyle w:val="TitleTitre-AltT"/>
        <w:keepNext/>
        <w:tabs>
          <w:tab w:val="clear" w:pos="360"/>
          <w:tab w:val="left" w:pos="540"/>
        </w:tabs>
        <w:ind w:left="540" w:hanging="540"/>
        <w:rPr>
          <w:lang w:val="fr-FR"/>
        </w:rPr>
      </w:pPr>
      <w:r w:rsidRPr="004B58A2">
        <w:rPr>
          <w:lang w:val="fr-FR"/>
        </w:rPr>
        <w:lastRenderedPageBreak/>
        <w:t>II.</w:t>
      </w:r>
      <w:r w:rsidRPr="004B58A2">
        <w:rPr>
          <w:lang w:val="fr-FR"/>
        </w:rPr>
        <w:tab/>
      </w:r>
      <w:r w:rsidRPr="004B58A2">
        <w:rPr>
          <w:u w:val="single"/>
          <w:lang w:val="fr-FR"/>
        </w:rPr>
        <w:t>Faits et historique judiciaire</w:t>
      </w:r>
    </w:p>
    <w:p w:rsidR="00C468F0" w:rsidRPr="004B58A2" w:rsidRDefault="00C468F0" w:rsidP="00D35DF3">
      <w:pPr>
        <w:pStyle w:val="TitleTitre-AltT"/>
        <w:keepNext/>
        <w:tabs>
          <w:tab w:val="clear" w:pos="360"/>
          <w:tab w:val="left" w:pos="540"/>
        </w:tabs>
        <w:ind w:left="540" w:hanging="540"/>
        <w:rPr>
          <w:lang w:val="fr-FR"/>
        </w:rPr>
      </w:pPr>
      <w:r w:rsidRPr="004B58A2">
        <w:rPr>
          <w:lang w:val="fr-FR"/>
        </w:rPr>
        <w:t>A.</w:t>
      </w:r>
      <w:r w:rsidRPr="004B58A2">
        <w:rPr>
          <w:lang w:val="fr-FR"/>
        </w:rPr>
        <w:tab/>
      </w:r>
      <w:r w:rsidRPr="004B58A2">
        <w:rPr>
          <w:i/>
          <w:lang w:val="fr-FR"/>
        </w:rPr>
        <w:t>Les faits</w:t>
      </w:r>
    </w:p>
    <w:p w:rsidR="00C468F0" w:rsidRPr="004B58A2" w:rsidRDefault="00C468F0" w:rsidP="00C468F0">
      <w:pPr>
        <w:pStyle w:val="ParaNoNdepar-AltN"/>
        <w:rPr>
          <w:lang w:val="fr-FR"/>
        </w:rPr>
      </w:pPr>
      <w:proofErr w:type="spellStart"/>
      <w:r w:rsidRPr="004B58A2">
        <w:rPr>
          <w:lang w:val="fr-FR"/>
        </w:rPr>
        <w:t>Ré:Sonne</w:t>
      </w:r>
      <w:proofErr w:type="spellEnd"/>
      <w:r w:rsidRPr="004B58A2">
        <w:rPr>
          <w:lang w:val="fr-FR"/>
        </w:rPr>
        <w:t xml:space="preserve"> est une société de gestion autorisée par la Commission du droit d’auteur </w:t>
      </w:r>
      <w:r w:rsidR="00596603">
        <w:rPr>
          <w:lang w:val="fr-FR"/>
        </w:rPr>
        <w:t xml:space="preserve">du </w:t>
      </w:r>
      <w:r w:rsidRPr="004B58A2">
        <w:rPr>
          <w:lang w:val="fr-FR"/>
        </w:rPr>
        <w:t xml:space="preserve">Canada (la « Commission ») à percevoir une rémunération équitable en vertu du par. 19(1) de la Loi pour l’exécution en public ou la communication au public par télécommunication de l’enregistrement sonore publié d’œuvres musicales. </w:t>
      </w:r>
    </w:p>
    <w:p w:rsidR="00C468F0" w:rsidRPr="004B58A2" w:rsidRDefault="00C468F0" w:rsidP="00C468F0">
      <w:pPr>
        <w:pStyle w:val="ParaNoNdepar-AltN"/>
        <w:rPr>
          <w:lang w:val="fr-FR"/>
        </w:rPr>
      </w:pPr>
      <w:r w:rsidRPr="004B58A2">
        <w:rPr>
          <w:lang w:val="fr-FR"/>
        </w:rPr>
        <w:t xml:space="preserve">Le 28 mars 2008, </w:t>
      </w:r>
      <w:proofErr w:type="spellStart"/>
      <w:r w:rsidRPr="004B58A2">
        <w:rPr>
          <w:lang w:val="fr-FR"/>
        </w:rPr>
        <w:t>Ré:Sonne</w:t>
      </w:r>
      <w:proofErr w:type="spellEnd"/>
      <w:r w:rsidRPr="004B58A2">
        <w:rPr>
          <w:lang w:val="fr-FR"/>
        </w:rPr>
        <w:t xml:space="preserve"> </w:t>
      </w:r>
      <w:r w:rsidRPr="004B58A2">
        <w:rPr>
          <w:rFonts w:cs="Times New Roman"/>
          <w:lang w:val="fr-FR"/>
        </w:rPr>
        <w:t>—</w:t>
      </w:r>
      <w:r w:rsidRPr="004B58A2">
        <w:rPr>
          <w:lang w:val="fr-FR"/>
        </w:rPr>
        <w:t xml:space="preserve"> autrefois connue sous le nom de Société canadienne de gestion des droits voisins </w:t>
      </w:r>
      <w:r w:rsidRPr="004B58A2">
        <w:rPr>
          <w:rFonts w:cs="Times New Roman"/>
          <w:lang w:val="fr-FR"/>
        </w:rPr>
        <w:t xml:space="preserve">— a déposé deux projets de tarifs (les tarifs 7 et 9) en application du par. 67.1(1) de la Loi, pour </w:t>
      </w:r>
      <w:r w:rsidRPr="004B58A2">
        <w:rPr>
          <w:lang w:val="fr-FR"/>
        </w:rPr>
        <w:t>l’exécution en public ou la communication au public par télécommunication, au Canada, d’enregistrements sonores publiés contenant des œuvres musicales et des prestations d’</w:t>
      </w:r>
      <w:proofErr w:type="spellStart"/>
      <w:r w:rsidRPr="004B58A2">
        <w:rPr>
          <w:lang w:val="fr-FR"/>
        </w:rPr>
        <w:t>artistes</w:t>
      </w:r>
      <w:r w:rsidRPr="004B58A2">
        <w:rPr>
          <w:lang w:val="fr-FR"/>
        </w:rPr>
        <w:noBreakHyphen/>
        <w:t>inter</w:t>
      </w:r>
      <w:r w:rsidR="00D35DF3" w:rsidRPr="004B58A2">
        <w:rPr>
          <w:lang w:val="fr-FR"/>
        </w:rPr>
        <w:t>prètes</w:t>
      </w:r>
      <w:proofErr w:type="spellEnd"/>
      <w:r w:rsidR="00D35DF3" w:rsidRPr="004B58A2">
        <w:rPr>
          <w:lang w:val="fr-FR"/>
        </w:rPr>
        <w:t xml:space="preserve"> de ces œuvres.  Le tarif </w:t>
      </w:r>
      <w:r w:rsidRPr="004B58A2">
        <w:rPr>
          <w:lang w:val="fr-FR"/>
        </w:rPr>
        <w:t>7 établissait une redevance pour l’utilisation d’enregistrements sonores intégrés dans un film par un cinéma ou par un autre établissement</w:t>
      </w:r>
      <w:r w:rsidR="00D35DF3" w:rsidRPr="004B58A2">
        <w:rPr>
          <w:lang w:val="fr-FR"/>
        </w:rPr>
        <w:t xml:space="preserve"> projetant des films.  Le tarif </w:t>
      </w:r>
      <w:r w:rsidRPr="004B58A2">
        <w:rPr>
          <w:lang w:val="fr-FR"/>
        </w:rPr>
        <w:t>9 visait l’utilisation d’enregistrements sonores lors d’une télédiffusion commerciale en direct, ou par une télévision spécialisée, payante ou autre.</w:t>
      </w:r>
    </w:p>
    <w:p w:rsidR="00C468F0" w:rsidRPr="004B58A2" w:rsidRDefault="00C468F0" w:rsidP="00C468F0">
      <w:pPr>
        <w:pStyle w:val="ParaNoNdepar-AltN"/>
        <w:rPr>
          <w:lang w:val="fr-FR"/>
        </w:rPr>
      </w:pPr>
      <w:r w:rsidRPr="004B58A2">
        <w:rPr>
          <w:lang w:val="fr-FR"/>
        </w:rPr>
        <w:t xml:space="preserve">Les intimées ont contesté les projets de tarifs, pour le motif que la définition d’« enregistrement sonore » énoncée dans la Loi exclurait </w:t>
      </w:r>
      <w:r w:rsidRPr="004B58A2">
        <w:rPr>
          <w:lang w:val="fr-CA"/>
        </w:rPr>
        <w:t xml:space="preserve">la bande sonore </w:t>
      </w:r>
      <w:r w:rsidRPr="004B58A2">
        <w:rPr>
          <w:lang w:val="fr-CA"/>
        </w:rPr>
        <w:lastRenderedPageBreak/>
        <w:t xml:space="preserve">d’une </w:t>
      </w:r>
      <w:r w:rsidR="00D35DF3" w:rsidRPr="004B58A2">
        <w:rPr>
          <w:lang w:val="fr-CA"/>
        </w:rPr>
        <w:t xml:space="preserve">œuvre cinématographique.  L’article </w:t>
      </w:r>
      <w:r w:rsidRPr="004B58A2">
        <w:rPr>
          <w:lang w:val="fr-CA"/>
        </w:rPr>
        <w:t xml:space="preserve">2 définit le terme </w:t>
      </w:r>
      <w:r w:rsidRPr="004B58A2">
        <w:rPr>
          <w:lang w:val="fr-FR"/>
        </w:rPr>
        <w:t>« enregistrement sonore » comme suit :</w:t>
      </w:r>
    </w:p>
    <w:p w:rsidR="00C468F0" w:rsidRPr="004B58A2" w:rsidRDefault="00C468F0" w:rsidP="00D35DF3">
      <w:pPr>
        <w:pStyle w:val="Citation-AltC"/>
        <w:tabs>
          <w:tab w:val="left" w:pos="1170"/>
        </w:tabs>
        <w:ind w:left="1620" w:hanging="1710"/>
        <w:rPr>
          <w:lang w:val="fr-FR"/>
        </w:rPr>
      </w:pPr>
      <w:r w:rsidRPr="004B58A2">
        <w:rPr>
          <w:lang w:val="fr-CA"/>
        </w:rPr>
        <w:tab/>
        <w:t>« </w:t>
      </w:r>
      <w:proofErr w:type="gramStart"/>
      <w:r w:rsidRPr="004B58A2">
        <w:rPr>
          <w:lang w:val="fr-CA"/>
        </w:rPr>
        <w:t>enregistrement</w:t>
      </w:r>
      <w:proofErr w:type="gramEnd"/>
      <w:r w:rsidRPr="004B58A2">
        <w:rPr>
          <w:lang w:val="fr-CA"/>
        </w:rPr>
        <w:t xml:space="preserve"> sonore »  Enregistrement constitué de sons provenant ou non de l’exécution d’une œuvre et fixés sur un support matériel quelconque; </w:t>
      </w:r>
      <w:r w:rsidRPr="004B58A2">
        <w:rPr>
          <w:u w:val="single"/>
          <w:lang w:val="fr-CA"/>
        </w:rPr>
        <w:t xml:space="preserve">est exclue de la présente définition la bande sonore d’une œuvre cinématographique lorsqu’elle accompagne </w:t>
      </w:r>
      <w:proofErr w:type="spellStart"/>
      <w:r w:rsidRPr="004B58A2">
        <w:rPr>
          <w:u w:val="single"/>
          <w:lang w:val="fr-CA"/>
        </w:rPr>
        <w:t>celle</w:t>
      </w:r>
      <w:r w:rsidRPr="004B58A2">
        <w:rPr>
          <w:u w:val="single"/>
          <w:lang w:val="fr-CA"/>
        </w:rPr>
        <w:noBreakHyphen/>
        <w:t>ci</w:t>
      </w:r>
      <w:proofErr w:type="spellEnd"/>
      <w:r w:rsidRPr="004B58A2">
        <w:rPr>
          <w:lang w:val="fr-CA"/>
        </w:rPr>
        <w:t>.</w:t>
      </w:r>
    </w:p>
    <w:p w:rsidR="00C468F0" w:rsidRPr="004B58A2" w:rsidRDefault="00C468F0" w:rsidP="00C468F0">
      <w:pPr>
        <w:pStyle w:val="ParaNoNdepar-AltN"/>
        <w:rPr>
          <w:lang w:val="fr-FR"/>
        </w:rPr>
      </w:pPr>
      <w:r w:rsidRPr="004B58A2">
        <w:rPr>
          <w:lang w:val="fr-FR"/>
        </w:rPr>
        <w:t xml:space="preserve">Selon </w:t>
      </w:r>
      <w:proofErr w:type="spellStart"/>
      <w:r w:rsidRPr="004B58A2">
        <w:rPr>
          <w:lang w:val="fr-FR"/>
        </w:rPr>
        <w:t>Ré:Sonne</w:t>
      </w:r>
      <w:proofErr w:type="spellEnd"/>
      <w:r w:rsidRPr="004B58A2">
        <w:rPr>
          <w:lang w:val="fr-FR"/>
        </w:rPr>
        <w:t>, correctement interprétée, la définition d’« enregistrement sonore » n’exclut pas un enregistrement sonore préexistant qui est intégré à une bande sonore.  En effet, d’après l’appelante, l’exclusion vise plutôt à combiner les droits relatifs aux éléments visuels d’une production cinématographique et ceux relatifs aux éléments sonores de la production en question et à protéger ces droits dans le cadre d’une nouvelle œuvre définie comme une « œuvre cinématographique ».</w:t>
      </w:r>
    </w:p>
    <w:p w:rsidR="00C468F0" w:rsidRPr="004B58A2" w:rsidRDefault="00C468F0" w:rsidP="00C468F0">
      <w:pPr>
        <w:pStyle w:val="ParaNoNdepar-AltN"/>
        <w:rPr>
          <w:lang w:val="fr-FR"/>
        </w:rPr>
      </w:pPr>
      <w:r w:rsidRPr="004B58A2">
        <w:rPr>
          <w:lang w:val="fr-FR"/>
        </w:rPr>
        <w:t xml:space="preserve">Selon les intimées, </w:t>
      </w:r>
      <w:proofErr w:type="spellStart"/>
      <w:r w:rsidRPr="004B58A2">
        <w:rPr>
          <w:lang w:val="fr-FR"/>
        </w:rPr>
        <w:t>Ré:Sonne</w:t>
      </w:r>
      <w:proofErr w:type="spellEnd"/>
      <w:r w:rsidRPr="004B58A2">
        <w:rPr>
          <w:lang w:val="fr-FR"/>
        </w:rPr>
        <w:t xml:space="preserve"> ne pouvait prétendre à aucun droit de percevoir une rémunération équitable en application de la Loi compte tenu du sens ordinaire du terme « bande sonore » qui figure dans la définition d’« enregistrement sonore ».  Les intimées ont d’ailleurs demandé que la question préliminaire suivante soit tranchée : </w:t>
      </w:r>
    </w:p>
    <w:p w:rsidR="00C468F0" w:rsidRPr="004B58A2" w:rsidRDefault="00C468F0" w:rsidP="00C468F0">
      <w:pPr>
        <w:pStyle w:val="Citation-AltC"/>
        <w:ind w:hanging="1166"/>
        <w:rPr>
          <w:lang w:val="fr-FR"/>
        </w:rPr>
      </w:pPr>
      <w:r w:rsidRPr="004B58A2">
        <w:rPr>
          <w:lang w:val="fr-FR"/>
        </w:rPr>
        <w:tab/>
        <w:t>[</w:t>
      </w:r>
      <w:r w:rsidRPr="004B58A2">
        <w:rPr>
          <w:smallCaps/>
          <w:lang w:val="fr-FR"/>
        </w:rPr>
        <w:t>traduction</w:t>
      </w:r>
      <w:r w:rsidRPr="004B58A2">
        <w:rPr>
          <w:lang w:val="fr-FR"/>
        </w:rPr>
        <w:t xml:space="preserve">]  Quelqu’un </w:t>
      </w:r>
      <w:proofErr w:type="spellStart"/>
      <w:r w:rsidRPr="004B58A2">
        <w:rPr>
          <w:lang w:val="fr-FR"/>
        </w:rPr>
        <w:t>a</w:t>
      </w:r>
      <w:r w:rsidRPr="004B58A2">
        <w:rPr>
          <w:lang w:val="fr-FR"/>
        </w:rPr>
        <w:noBreakHyphen/>
        <w:t>t</w:t>
      </w:r>
      <w:r w:rsidRPr="004B58A2">
        <w:rPr>
          <w:lang w:val="fr-FR"/>
        </w:rPr>
        <w:noBreakHyphen/>
        <w:t>il</w:t>
      </w:r>
      <w:proofErr w:type="spellEnd"/>
      <w:r w:rsidRPr="004B58A2">
        <w:rPr>
          <w:lang w:val="fr-FR"/>
        </w:rPr>
        <w:t xml:space="preserve"> le droit de recevoir une rémunérat</w:t>
      </w:r>
      <w:r w:rsidR="00D35DF3" w:rsidRPr="004B58A2">
        <w:rPr>
          <w:lang w:val="fr-FR"/>
        </w:rPr>
        <w:t xml:space="preserve">ion équitable au titre de l’article </w:t>
      </w:r>
      <w:r w:rsidRPr="004B58A2">
        <w:rPr>
          <w:lang w:val="fr-FR"/>
        </w:rPr>
        <w:t xml:space="preserve">19 de la </w:t>
      </w:r>
      <w:r w:rsidRPr="004B58A2">
        <w:rPr>
          <w:i/>
          <w:lang w:val="fr-FR"/>
        </w:rPr>
        <w:t>Loi sur le droit d’auteur</w:t>
      </w:r>
      <w:r w:rsidRPr="004B58A2">
        <w:rPr>
          <w:lang w:val="fr-FR"/>
        </w:rPr>
        <w:t xml:space="preserve"> lorsqu’un enregistrement sonore publié fait partie de la bande sonore qui accompagne a) un film exécuté en public ou b) une émission de télévision communiquée au public par télécommunication?</w:t>
      </w:r>
    </w:p>
    <w:p w:rsidR="00C468F0" w:rsidRPr="004B58A2" w:rsidRDefault="00C468F0" w:rsidP="00C468F0">
      <w:pPr>
        <w:pStyle w:val="ContinueParaSuitedupar-AltP"/>
        <w:rPr>
          <w:lang w:val="fr-FR"/>
        </w:rPr>
      </w:pPr>
      <w:r w:rsidRPr="004B58A2">
        <w:rPr>
          <w:lang w:val="fr-FR"/>
        </w:rPr>
        <w:lastRenderedPageBreak/>
        <w:t xml:space="preserve">La Commission a répondu par la négative, a refusé d’homologuer les tarifs et a ordonné que les tarifs soient retirés du projet de tarif publié dans la </w:t>
      </w:r>
      <w:r w:rsidRPr="004B58A2">
        <w:rPr>
          <w:i/>
          <w:lang w:val="fr-FR"/>
        </w:rPr>
        <w:t>Gazette du Canada</w:t>
      </w:r>
      <w:r w:rsidRPr="004B58A2">
        <w:rPr>
          <w:lang w:val="fr-FR"/>
        </w:rPr>
        <w:t xml:space="preserve">, Partie I, le 31 mai 2008.  La Cour d’appel fédérale, saisie d’un contrôle judiciaire, a maintenu la décision.  </w:t>
      </w:r>
      <w:proofErr w:type="spellStart"/>
      <w:r w:rsidRPr="004B58A2">
        <w:rPr>
          <w:lang w:val="fr-FR"/>
        </w:rPr>
        <w:t>Ré:Sonne</w:t>
      </w:r>
      <w:proofErr w:type="spellEnd"/>
      <w:r w:rsidRPr="004B58A2">
        <w:rPr>
          <w:lang w:val="fr-FR"/>
        </w:rPr>
        <w:t xml:space="preserve"> interjette maintenant appel devant la Cour.</w:t>
      </w:r>
    </w:p>
    <w:p w:rsidR="00C468F0" w:rsidRPr="004B58A2" w:rsidRDefault="00C468F0" w:rsidP="00C468F0">
      <w:pPr>
        <w:pStyle w:val="TitleTitre-AltT"/>
        <w:keepNext/>
        <w:tabs>
          <w:tab w:val="clear" w:pos="360"/>
          <w:tab w:val="left" w:pos="450"/>
        </w:tabs>
        <w:ind w:left="450" w:hanging="450"/>
        <w:rPr>
          <w:lang w:val="fr-FR"/>
        </w:rPr>
      </w:pPr>
      <w:r w:rsidRPr="004B58A2">
        <w:rPr>
          <w:lang w:val="fr-FR"/>
        </w:rPr>
        <w:t>B.</w:t>
      </w:r>
      <w:r w:rsidRPr="004B58A2">
        <w:rPr>
          <w:lang w:val="fr-FR"/>
        </w:rPr>
        <w:tab/>
      </w:r>
      <w:r w:rsidRPr="004B58A2">
        <w:rPr>
          <w:i/>
          <w:lang w:val="fr-FR"/>
        </w:rPr>
        <w:t>La décision de la Commission du droit d’auteur (</w:t>
      </w:r>
      <w:r w:rsidR="00596603">
        <w:rPr>
          <w:i/>
          <w:lang w:val="fr-FR"/>
        </w:rPr>
        <w:t>en ligne</w:t>
      </w:r>
      <w:r w:rsidRPr="004B58A2">
        <w:rPr>
          <w:i/>
          <w:lang w:val="fr-FR"/>
        </w:rPr>
        <w:t>)</w:t>
      </w:r>
    </w:p>
    <w:p w:rsidR="00C468F0" w:rsidRPr="004B58A2" w:rsidRDefault="00C468F0" w:rsidP="00C468F0">
      <w:pPr>
        <w:pStyle w:val="ParaNoNdepar-AltN"/>
        <w:rPr>
          <w:lang w:val="fr-FR"/>
        </w:rPr>
      </w:pPr>
      <w:r w:rsidRPr="004B58A2">
        <w:rPr>
          <w:lang w:val="fr-FR"/>
        </w:rPr>
        <w:t xml:space="preserve">Après avoir cité les dispositions législatives pertinentes et passé en revue les principes d’interprétation législative, la Commission a circonscrit comme suit la question à trancher : </w:t>
      </w:r>
      <w:proofErr w:type="gramStart"/>
      <w:r w:rsidR="00D35DF3" w:rsidRPr="004B58A2">
        <w:rPr>
          <w:lang w:val="fr-FR"/>
        </w:rPr>
        <w:t>« </w:t>
      </w:r>
      <w:r w:rsidRPr="004B58A2">
        <w:rPr>
          <w:lang w:val="fr-FR"/>
        </w:rPr>
        <w:t>.</w:t>
      </w:r>
      <w:proofErr w:type="gramEnd"/>
      <w:r w:rsidRPr="004B58A2">
        <w:rPr>
          <w:lang w:val="fr-FR"/>
        </w:rPr>
        <w:t> . . quand un enregistrement sonore préexistant q</w:t>
      </w:r>
      <w:r w:rsidR="00D35DF3" w:rsidRPr="004B58A2">
        <w:rPr>
          <w:lang w:val="fr-FR"/>
        </w:rPr>
        <w:t>ui est subséquemment incorporé dans</w:t>
      </w:r>
      <w:r w:rsidRPr="004B58A2">
        <w:rPr>
          <w:lang w:val="fr-FR"/>
        </w:rPr>
        <w:t xml:space="preserve"> une bande sonore </w:t>
      </w:r>
      <w:r w:rsidR="00D35DF3" w:rsidRPr="004B58A2">
        <w:rPr>
          <w:lang w:val="fr-FR"/>
        </w:rPr>
        <w:t xml:space="preserve">ne constitue plus </w:t>
      </w:r>
      <w:r w:rsidRPr="004B58A2">
        <w:rPr>
          <w:lang w:val="fr-FR"/>
        </w:rPr>
        <w:t>un enregistrement sonore »</w:t>
      </w:r>
      <w:r w:rsidR="00133F9D">
        <w:rPr>
          <w:lang w:val="fr-FR"/>
        </w:rPr>
        <w:t>?</w:t>
      </w:r>
      <w:r w:rsidRPr="004B58A2">
        <w:rPr>
          <w:lang w:val="fr-FR"/>
        </w:rPr>
        <w:t xml:space="preserve">  Comme la définition du terme « enregistrement sonore » exclut la bande sonore d’une œuvre cinématographique qui accompagne l’œuvre en question, la décision portait sur l’interprétation du terme défini « enregistrement sonore » et du terme non défini « bande sonore » lorsqu’il est rattaché à des enregistrements sonores préexistants.</w:t>
      </w:r>
    </w:p>
    <w:p w:rsidR="00C468F0" w:rsidRPr="004B58A2" w:rsidRDefault="00C468F0" w:rsidP="00C468F0">
      <w:pPr>
        <w:pStyle w:val="ParaNoNdepar-AltN"/>
        <w:rPr>
          <w:lang w:val="fr-FR"/>
        </w:rPr>
      </w:pPr>
      <w:r w:rsidRPr="004B58A2">
        <w:rPr>
          <w:lang w:val="fr-FR"/>
        </w:rPr>
        <w:t xml:space="preserve">La Commission a convenu que l’exclusion ne peut avoir une incidence sur les enregistrements sonores préexistants incorporés à une bande sonore que de l’une ou l’autre de trois manières : </w:t>
      </w:r>
      <w:r w:rsidR="001A0DF7" w:rsidRPr="004B58A2">
        <w:rPr>
          <w:lang w:val="fr-FR"/>
        </w:rPr>
        <w:t>(</w:t>
      </w:r>
      <w:r w:rsidRPr="004B58A2">
        <w:rPr>
          <w:lang w:val="fr-FR"/>
        </w:rPr>
        <w:t xml:space="preserve">1) l’enregistrement ne ferait plus l’objet d’une protection à titre d’enregistrement sonore; </w:t>
      </w:r>
      <w:r w:rsidR="001A0DF7" w:rsidRPr="004B58A2">
        <w:rPr>
          <w:lang w:val="fr-FR"/>
        </w:rPr>
        <w:t>(</w:t>
      </w:r>
      <w:r w:rsidRPr="004B58A2">
        <w:rPr>
          <w:lang w:val="fr-FR"/>
        </w:rPr>
        <w:t xml:space="preserve">2) l’enregistrement demeurerait un enregistrement sonore, sauf lorsqu’il est incorporé à une bande sonore qui </w:t>
      </w:r>
      <w:r w:rsidRPr="004B58A2">
        <w:rPr>
          <w:lang w:val="fr-FR"/>
        </w:rPr>
        <w:lastRenderedPageBreak/>
        <w:t xml:space="preserve">accompagne une œuvre cinématographique; ou </w:t>
      </w:r>
      <w:r w:rsidR="001A0DF7" w:rsidRPr="004B58A2">
        <w:rPr>
          <w:lang w:val="fr-FR"/>
        </w:rPr>
        <w:t>(</w:t>
      </w:r>
      <w:r w:rsidRPr="004B58A2">
        <w:rPr>
          <w:lang w:val="fr-FR"/>
        </w:rPr>
        <w:t xml:space="preserve">3) l’enregistrement resterait un enregistrement sonore même en tant qu’élément d’une bande sonore qui accompagne une œuvre cinématographique.  La Commission a précisé que l’appelante préconisait la troisième interprétation, les intimées la deuxième et personne la première.  </w:t>
      </w:r>
    </w:p>
    <w:p w:rsidR="00C468F0" w:rsidRPr="004B58A2" w:rsidRDefault="00C468F0" w:rsidP="00C468F0">
      <w:pPr>
        <w:pStyle w:val="ParaNoNdepar-AltN"/>
        <w:rPr>
          <w:rFonts w:cs="Times New Roman"/>
          <w:szCs w:val="24"/>
          <w:lang w:val="fr-FR"/>
        </w:rPr>
      </w:pPr>
      <w:r w:rsidRPr="004B58A2">
        <w:rPr>
          <w:lang w:val="fr-FR"/>
        </w:rPr>
        <w:t xml:space="preserve">L’appelante a soutenu que c’est la bande sonore en tant que tout, soit l’ensemble des sons, qui est exclue de la définition d’« enregistrement sonore ».  Selon ses prétentions l’exclusion en question vise à réunir tous les éléments audio et visuels d’un film pour en faire un seul sujet de droits d’auteur et pour protéger tous ces éléments en tant qu’« œuvre cinématographique ».  À son avis, cela était devenu nécessaire parce que le droit d’auteur protégeait les films bien avant qu’ils ne recèlent de capacités audio.  Ainsi, les sons incorporés aux films étaient protégés à la fois en tant qu’œuvres cinématographiques et en tant qu’autres supports </w:t>
      </w:r>
      <w:r w:rsidRPr="004B58A2">
        <w:rPr>
          <w:rFonts w:cs="Times New Roman"/>
          <w:szCs w:val="24"/>
          <w:lang w:val="fr-FR"/>
        </w:rPr>
        <w:t>à l’aide desquels les sons peuvent être reproduits mécaniquement.  Or, cette double protection créait des problèmes.  L’exclusion comprise dans la définition assurerait donc, selon l’appelante, qu’une bande sonore soit traitée comme partie intégrante d’une œuvre cinématographique et n’est pas protégée séparément, à moins qu’elle n’accompagne pas l’œuvre cinématographique.  Ainsi, l’exclusion n’aurait aucune incidence sur un enregistrement sonore préexistant, soit un enregistrement sonore incorporé ultérieurement à la bande sonore d’un film qui resterait un enregistrement sonore même quand la bande sonore accompagne le film.</w:t>
      </w:r>
    </w:p>
    <w:p w:rsidR="00C468F0" w:rsidRPr="004B58A2" w:rsidRDefault="00C468F0" w:rsidP="00C468F0">
      <w:pPr>
        <w:pStyle w:val="ParaNoNdepar-AltN"/>
        <w:rPr>
          <w:lang w:val="fr-FR"/>
        </w:rPr>
      </w:pPr>
      <w:r w:rsidRPr="004B58A2">
        <w:rPr>
          <w:lang w:val="fr-FR"/>
        </w:rPr>
        <w:lastRenderedPageBreak/>
        <w:t>Les intimées ont fait valoir que l’exclusion prévue à la définition d’« enregistrement sonore » vise la bande sonore et toutes ses composantes, y compris tout enregistrement sonore préexistant.  Toujours selon les intimées, l’enregistrement resterait un « enregistrement sonore » sauf lorsque la bande sonore accompagne le film.  Le droit d’auteur visant l’enregistrement sonore ne s’éteindrait donc pas, puisque la bande sonore et tout enregistrement sonore préexistant intégré à l’œuvre cinématographique demeureraient des enregistrements sonores lorsqu’ils n’accompagnent pas le film.</w:t>
      </w:r>
    </w:p>
    <w:p w:rsidR="00C468F0" w:rsidRPr="004B58A2" w:rsidRDefault="00C468F0" w:rsidP="00C468F0">
      <w:pPr>
        <w:pStyle w:val="ParaNoNdepar-AltN"/>
        <w:rPr>
          <w:lang w:val="fr-FR"/>
        </w:rPr>
      </w:pPr>
      <w:r w:rsidRPr="004B58A2">
        <w:rPr>
          <w:lang w:val="fr-FR"/>
        </w:rPr>
        <w:t>La prétention de l’appelante selon laquelle il existe une distinction entre la bande sonore et les éléments qui la constituent n’a pas convaincu la Commission.  Cette dernière a souligné que, pour faire droit à cet argument, il faudrait ajouter à la définition des mots tels « </w:t>
      </w:r>
      <w:r w:rsidR="001A0DF7" w:rsidRPr="004B58A2">
        <w:rPr>
          <w:lang w:val="fr-FR"/>
        </w:rPr>
        <w:t>l’</w:t>
      </w:r>
      <w:r w:rsidRPr="004B58A2">
        <w:rPr>
          <w:lang w:val="fr-FR"/>
        </w:rPr>
        <w:t>ensemble de » ou « toute partie de » avant le terme « </w:t>
      </w:r>
      <w:r w:rsidR="001A0DF7" w:rsidRPr="004B58A2">
        <w:rPr>
          <w:lang w:val="fr-FR"/>
        </w:rPr>
        <w:t xml:space="preserve">la </w:t>
      </w:r>
      <w:r w:rsidRPr="004B58A2">
        <w:rPr>
          <w:lang w:val="fr-FR"/>
        </w:rPr>
        <w:t xml:space="preserve">bande sonore ».  La Commission a noté ce qui suit au par. 28 : </w:t>
      </w:r>
    </w:p>
    <w:p w:rsidR="00C468F0" w:rsidRPr="004B58A2" w:rsidRDefault="00C468F0" w:rsidP="00C468F0">
      <w:pPr>
        <w:pStyle w:val="Citation-AltC"/>
        <w:ind w:hanging="1166"/>
        <w:rPr>
          <w:lang w:val="fr-FR"/>
        </w:rPr>
      </w:pPr>
      <w:r w:rsidRPr="004B58A2">
        <w:rPr>
          <w:lang w:val="fr-FR"/>
        </w:rPr>
        <w:tab/>
        <w:t>Un enregistrement sonore est constitué de sons.  Si la bande sonore n’est pas un enregistrement sonore lorsqu’elle accompagne le film, les sons qui la constituent ne le sont pas non plus.  Il n’est pas nécessaire de préciser que « toute partie » de la bande sonore n’est pas un enregistrement sonore si tous les éléments qui la constitue</w:t>
      </w:r>
      <w:r w:rsidR="00133F9D">
        <w:rPr>
          <w:lang w:val="fr-FR"/>
        </w:rPr>
        <w:t>nt</w:t>
      </w:r>
      <w:r w:rsidRPr="004B58A2">
        <w:rPr>
          <w:lang w:val="fr-FR"/>
        </w:rPr>
        <w:t xml:space="preserve"> n’en sont pas un. </w:t>
      </w:r>
    </w:p>
    <w:p w:rsidR="00C468F0" w:rsidRPr="004B58A2" w:rsidRDefault="00C468F0" w:rsidP="00C468F0">
      <w:pPr>
        <w:pStyle w:val="ParaNoNdepar-AltN"/>
        <w:rPr>
          <w:lang w:val="fr-FR"/>
        </w:rPr>
      </w:pPr>
      <w:r w:rsidRPr="004B58A2">
        <w:rPr>
          <w:lang w:val="fr-FR"/>
        </w:rPr>
        <w:t xml:space="preserve">La Commission a conclu que l’interprétation préconisée par les intimées était la seule qui aboutissait à « des résultats cohérents et logiques » (par. 29).  Elle a examiné une disposition semblable de la Loi, l’art. 17, qui prévoit que </w:t>
      </w:r>
      <w:r w:rsidRPr="004B58A2">
        <w:rPr>
          <w:rFonts w:cs="Times New Roman"/>
          <w:szCs w:val="24"/>
          <w:lang w:val="fr-FR"/>
        </w:rPr>
        <w:t>« [d]ès lors qu’il autorise l’incorporation de sa prestation » dans un film, l’</w:t>
      </w:r>
      <w:proofErr w:type="spellStart"/>
      <w:r w:rsidRPr="004B58A2">
        <w:rPr>
          <w:rFonts w:cs="Times New Roman"/>
          <w:szCs w:val="24"/>
          <w:lang w:val="fr-FR"/>
        </w:rPr>
        <w:t>artiste</w:t>
      </w:r>
      <w:r w:rsidRPr="004B58A2">
        <w:rPr>
          <w:rFonts w:cs="Times New Roman"/>
          <w:szCs w:val="24"/>
          <w:lang w:val="fr-FR"/>
        </w:rPr>
        <w:noBreakHyphen/>
        <w:t>interprète</w:t>
      </w:r>
      <w:proofErr w:type="spellEnd"/>
      <w:r w:rsidRPr="004B58A2">
        <w:rPr>
          <w:rFonts w:cs="Times New Roman"/>
          <w:szCs w:val="24"/>
          <w:lang w:val="fr-FR"/>
        </w:rPr>
        <w:t xml:space="preserve"> ne </w:t>
      </w:r>
      <w:r w:rsidRPr="004B58A2">
        <w:rPr>
          <w:rFonts w:cs="Times New Roman"/>
          <w:szCs w:val="24"/>
          <w:lang w:val="fr-FR"/>
        </w:rPr>
        <w:lastRenderedPageBreak/>
        <w:t xml:space="preserve">peut plus réclamer de droit d’auteur à l’égard de la prestation en question.  Même s’il n’existe pas d’équivalent à l’art. 17 en ce qui a trait aux enregistrements sonores, on en arrive au même résultat.  La Commission a signalé ce qui suit, au par. 31 : </w:t>
      </w:r>
    </w:p>
    <w:p w:rsidR="00C468F0" w:rsidRPr="004B58A2" w:rsidRDefault="00C468F0" w:rsidP="00C468F0">
      <w:pPr>
        <w:pStyle w:val="Citation-AltC"/>
        <w:ind w:hanging="1166"/>
        <w:rPr>
          <w:lang w:val="fr-FR"/>
        </w:rPr>
      </w:pPr>
      <w:r w:rsidRPr="004B58A2">
        <w:rPr>
          <w:lang w:val="fr-FR"/>
        </w:rPr>
        <w:tab/>
        <w:t>L’</w:t>
      </w:r>
      <w:proofErr w:type="spellStart"/>
      <w:r w:rsidRPr="004B58A2">
        <w:rPr>
          <w:lang w:val="fr-FR"/>
        </w:rPr>
        <w:t>artiste</w:t>
      </w:r>
      <w:r w:rsidRPr="004B58A2">
        <w:rPr>
          <w:lang w:val="fr-FR"/>
        </w:rPr>
        <w:noBreakHyphen/>
        <w:t>interprète</w:t>
      </w:r>
      <w:proofErr w:type="spellEnd"/>
      <w:r w:rsidRPr="004B58A2">
        <w:rPr>
          <w:lang w:val="fr-FR"/>
        </w:rPr>
        <w:t xml:space="preserve"> et le producteur</w:t>
      </w:r>
      <w:r w:rsidR="00DE40A6">
        <w:rPr>
          <w:lang w:val="fr-FR"/>
        </w:rPr>
        <w:t>,</w:t>
      </w:r>
      <w:r w:rsidRPr="004B58A2">
        <w:rPr>
          <w:lang w:val="fr-FR"/>
        </w:rPr>
        <w:t xml:space="preserve"> ayant autorisé l’incorporation d’une prestation ou d’un enregistrement sonore dans la bande sonore d’un film</w:t>
      </w:r>
      <w:r w:rsidR="001A0DF7" w:rsidRPr="004B58A2">
        <w:rPr>
          <w:lang w:val="fr-FR"/>
        </w:rPr>
        <w:t>,</w:t>
      </w:r>
      <w:r w:rsidRPr="004B58A2">
        <w:rPr>
          <w:lang w:val="fr-FR"/>
        </w:rPr>
        <w:t xml:space="preserve"> sont empêchés d’exercer à la fois leur droit d’auteur respectif (y compris le droit de location) et leur droit à rémunération, lorsque la bande sonore accompagne le film. Lorsque la bande sonore n’accompagne pas le film, tous le</w:t>
      </w:r>
      <w:r w:rsidR="00DE40A6">
        <w:rPr>
          <w:lang w:val="fr-FR"/>
        </w:rPr>
        <w:t>urs</w:t>
      </w:r>
      <w:r w:rsidRPr="004B58A2">
        <w:rPr>
          <w:lang w:val="fr-FR"/>
        </w:rPr>
        <w:t xml:space="preserve"> droits continuent d’exister. </w:t>
      </w:r>
    </w:p>
    <w:p w:rsidR="00C468F0" w:rsidRPr="004B58A2" w:rsidRDefault="00C468F0" w:rsidP="00C468F0">
      <w:pPr>
        <w:pStyle w:val="ParaNoNdepar-AltN"/>
        <w:rPr>
          <w:lang w:val="fr-FR"/>
        </w:rPr>
      </w:pPr>
      <w:r w:rsidRPr="004B58A2">
        <w:rPr>
          <w:lang w:val="fr-FR"/>
        </w:rPr>
        <w:t xml:space="preserve">La Commission a mentionné que les </w:t>
      </w:r>
      <w:proofErr w:type="spellStart"/>
      <w:r w:rsidRPr="004B58A2">
        <w:rPr>
          <w:lang w:val="fr-FR"/>
        </w:rPr>
        <w:t>artistes</w:t>
      </w:r>
      <w:r w:rsidRPr="004B58A2">
        <w:rPr>
          <w:lang w:val="fr-FR"/>
        </w:rPr>
        <w:noBreakHyphen/>
        <w:t>interprètes</w:t>
      </w:r>
      <w:proofErr w:type="spellEnd"/>
      <w:r w:rsidRPr="004B58A2">
        <w:rPr>
          <w:lang w:val="fr-FR"/>
        </w:rPr>
        <w:t xml:space="preserve"> peuvent « recevoir des droits de suite pour la diffusion d’un film </w:t>
      </w:r>
      <w:r w:rsidR="001A0DF7" w:rsidRPr="004B58A2">
        <w:rPr>
          <w:lang w:val="fr-FR"/>
        </w:rPr>
        <w:t>incorporant</w:t>
      </w:r>
      <w:r w:rsidRPr="004B58A2">
        <w:rPr>
          <w:lang w:val="fr-FR"/>
        </w:rPr>
        <w:t xml:space="preserve"> une prestation en vertu du par</w:t>
      </w:r>
      <w:r w:rsidR="001A0DF7" w:rsidRPr="004B58A2">
        <w:rPr>
          <w:lang w:val="fr-FR"/>
        </w:rPr>
        <w:t>agraphe</w:t>
      </w:r>
      <w:r w:rsidRPr="004B58A2">
        <w:rPr>
          <w:lang w:val="fr-FR"/>
        </w:rPr>
        <w:t xml:space="preserve"> 17(2) », et a conclu que, aussi limité soit ce droit, il « est incompatible avec l’existence d’un droit </w:t>
      </w:r>
      <w:r w:rsidR="00DE40A6">
        <w:rPr>
          <w:lang w:val="fr-FR"/>
        </w:rPr>
        <w:t>à</w:t>
      </w:r>
      <w:r w:rsidRPr="004B58A2">
        <w:rPr>
          <w:lang w:val="fr-FR"/>
        </w:rPr>
        <w:t xml:space="preserve"> rémunération pour la même prestation » (par. 32).</w:t>
      </w:r>
    </w:p>
    <w:p w:rsidR="00C468F0" w:rsidRPr="004B58A2" w:rsidRDefault="00C468F0" w:rsidP="00C468F0">
      <w:pPr>
        <w:pStyle w:val="ParaNoNdepar-AltN"/>
        <w:rPr>
          <w:lang w:val="fr-FR"/>
        </w:rPr>
      </w:pPr>
      <w:r w:rsidRPr="004B58A2">
        <w:rPr>
          <w:lang w:val="fr-FR"/>
        </w:rPr>
        <w:t xml:space="preserve">La Commission a fait référence aux discussions qui se sont tenues devant le Comité permanent du patrimoine canadien avant la modification de la Loi et a conclu que si « le législateur avait eu l’intention de cibler la télévision à l’article 19 de la </w:t>
      </w:r>
      <w:r w:rsidRPr="004B58A2">
        <w:rPr>
          <w:i/>
          <w:lang w:val="fr-FR"/>
        </w:rPr>
        <w:t>Loi</w:t>
      </w:r>
      <w:r w:rsidRPr="004B58A2">
        <w:rPr>
          <w:lang w:val="fr-FR"/>
        </w:rPr>
        <w:t xml:space="preserve">, il n’aurait pas établi un régime préférentiel pour la radio » (par. 34), soit un régime qui ne s’applique pas à la « télévision ».  En outre, le Comité avait clairement indiqué qu’il n’y avait aucune intention, à l’art. 19, d’inclure une rémunération équitable pour un enregistrement sonore qui accompagne un film ou une émission télévisée.  La bande sonore allait être un enregistrement sonore et donnerait droit à </w:t>
      </w:r>
      <w:r w:rsidRPr="004B58A2">
        <w:rPr>
          <w:lang w:val="fr-FR"/>
        </w:rPr>
        <w:lastRenderedPageBreak/>
        <w:t>une rémunération équitable lorsqu’elle serait diffusée séparément du film ou de l’émission télévisée.</w:t>
      </w:r>
    </w:p>
    <w:p w:rsidR="00C468F0" w:rsidRPr="004B58A2" w:rsidRDefault="00C468F0" w:rsidP="00C468F0">
      <w:pPr>
        <w:pStyle w:val="ParaNoNdepar-AltN"/>
        <w:rPr>
          <w:lang w:val="fr-FR"/>
        </w:rPr>
      </w:pPr>
      <w:r w:rsidRPr="004B58A2">
        <w:rPr>
          <w:lang w:val="fr-FR"/>
        </w:rPr>
        <w:t xml:space="preserve">La Commission a rejeté l’argument selon lequel cette interprétation de la Loi contreviendrait à la </w:t>
      </w:r>
      <w:r w:rsidR="001A0DF7" w:rsidRPr="004B58A2">
        <w:rPr>
          <w:i/>
          <w:lang w:val="fr-FR"/>
        </w:rPr>
        <w:t>Convention internationale</w:t>
      </w:r>
      <w:r w:rsidR="00287356" w:rsidRPr="004B58A2">
        <w:rPr>
          <w:i/>
          <w:lang w:val="fr-FR"/>
        </w:rPr>
        <w:t xml:space="preserve"> sur la protection des art</w:t>
      </w:r>
      <w:r w:rsidRPr="004B58A2">
        <w:rPr>
          <w:i/>
          <w:lang w:val="fr-FR"/>
        </w:rPr>
        <w:t>istes interprètes ou exécutants, des producteurs de phonogrammes et des organismes de radiodiffusion</w:t>
      </w:r>
      <w:r w:rsidRPr="004B58A2">
        <w:rPr>
          <w:lang w:val="fr-FR"/>
        </w:rPr>
        <w:t>, 496 R.T.N.U. 43 (la «</w:t>
      </w:r>
      <w:r w:rsidRPr="004B58A2">
        <w:rPr>
          <w:i/>
          <w:lang w:val="fr-FR"/>
        </w:rPr>
        <w:t> Convention de Rome </w:t>
      </w:r>
      <w:r w:rsidRPr="004B58A2">
        <w:rPr>
          <w:lang w:val="fr-FR"/>
        </w:rPr>
        <w:t>»).  Ell</w:t>
      </w:r>
      <w:r w:rsidR="00151DED">
        <w:rPr>
          <w:lang w:val="fr-FR"/>
        </w:rPr>
        <w:t>e a jugé que l’art. 19 a été ins</w:t>
      </w:r>
      <w:r w:rsidRPr="004B58A2">
        <w:rPr>
          <w:lang w:val="fr-FR"/>
        </w:rPr>
        <w:t xml:space="preserve">éré dans la Loi justement pour que le Canada se conforme à la </w:t>
      </w:r>
      <w:r w:rsidRPr="004B58A2">
        <w:rPr>
          <w:i/>
          <w:lang w:val="fr-FR"/>
        </w:rPr>
        <w:t>Convention de Rome</w:t>
      </w:r>
      <w:r w:rsidRPr="004B58A2">
        <w:rPr>
          <w:lang w:val="fr-FR"/>
        </w:rPr>
        <w:t xml:space="preserve">, qui, entre autres choses, garantit aux </w:t>
      </w:r>
      <w:proofErr w:type="spellStart"/>
      <w:r w:rsidRPr="004B58A2">
        <w:rPr>
          <w:lang w:val="fr-FR"/>
        </w:rPr>
        <w:t>artistes</w:t>
      </w:r>
      <w:r w:rsidRPr="004B58A2">
        <w:rPr>
          <w:lang w:val="fr-FR"/>
        </w:rPr>
        <w:noBreakHyphen/>
        <w:t>interprètes</w:t>
      </w:r>
      <w:proofErr w:type="spellEnd"/>
      <w:r w:rsidRPr="004B58A2">
        <w:rPr>
          <w:lang w:val="fr-FR"/>
        </w:rPr>
        <w:t xml:space="preserve"> et aux producteurs de « phonogra</w:t>
      </w:r>
      <w:r w:rsidR="00DE40A6">
        <w:rPr>
          <w:lang w:val="fr-FR"/>
        </w:rPr>
        <w:t>mmes</w:t>
      </w:r>
      <w:r w:rsidRPr="004B58A2">
        <w:rPr>
          <w:lang w:val="fr-FR"/>
        </w:rPr>
        <w:t xml:space="preserve"> » le droit à une rémunération </w:t>
      </w:r>
      <w:r w:rsidR="00DE40A6">
        <w:rPr>
          <w:lang w:val="fr-FR"/>
        </w:rPr>
        <w:t>équitable quand leurs phonogramm</w:t>
      </w:r>
      <w:r w:rsidRPr="004B58A2">
        <w:rPr>
          <w:lang w:val="fr-FR"/>
        </w:rPr>
        <w:t>es sont « utilisé[s] directement pour la radiodiffusion ou pour une communication quelconque au public » (</w:t>
      </w:r>
      <w:r w:rsidR="005E5074">
        <w:rPr>
          <w:lang w:val="fr-FR"/>
        </w:rPr>
        <w:t>article</w:t>
      </w:r>
      <w:r w:rsidRPr="004B58A2">
        <w:rPr>
          <w:lang w:val="fr-FR"/>
        </w:rPr>
        <w:t xml:space="preserve"> 12). La Commission a précisé au par. 38 que « la </w:t>
      </w:r>
      <w:r w:rsidRPr="004B58A2">
        <w:rPr>
          <w:i/>
          <w:lang w:val="fr-FR"/>
        </w:rPr>
        <w:t xml:space="preserve">Convention </w:t>
      </w:r>
      <w:r w:rsidRPr="004B58A2">
        <w:rPr>
          <w:lang w:val="fr-FR"/>
        </w:rPr>
        <w:t xml:space="preserve">prévoit expressément qu’aucune protection n’est exigée dans le cas de l’utilisation indirecte d’un enregistrement sonore, par exemple lorsqu’il est incorporé dans une bande sonore ».  La Commission a aussi conclu que l’argument de l’appelante fondé sur les lois et sur la jurisprudence d’Australie, des </w:t>
      </w:r>
      <w:proofErr w:type="spellStart"/>
      <w:r w:rsidRPr="004B58A2">
        <w:rPr>
          <w:lang w:val="fr-FR"/>
        </w:rPr>
        <w:t>États</w:t>
      </w:r>
      <w:r w:rsidRPr="004B58A2">
        <w:rPr>
          <w:lang w:val="fr-FR"/>
        </w:rPr>
        <w:noBreakHyphen/>
        <w:t>Unis</w:t>
      </w:r>
      <w:proofErr w:type="spellEnd"/>
      <w:r w:rsidRPr="004B58A2">
        <w:rPr>
          <w:lang w:val="fr-FR"/>
        </w:rPr>
        <w:t xml:space="preserve"> et du </w:t>
      </w:r>
      <w:proofErr w:type="spellStart"/>
      <w:r w:rsidRPr="004B58A2">
        <w:rPr>
          <w:lang w:val="fr-FR"/>
        </w:rPr>
        <w:t>Royaume</w:t>
      </w:r>
      <w:r w:rsidRPr="004B58A2">
        <w:rPr>
          <w:lang w:val="fr-FR"/>
        </w:rPr>
        <w:noBreakHyphen/>
        <w:t>Uni</w:t>
      </w:r>
      <w:proofErr w:type="spellEnd"/>
      <w:r w:rsidRPr="004B58A2">
        <w:rPr>
          <w:lang w:val="fr-FR"/>
        </w:rPr>
        <w:t xml:space="preserve"> n’était pas pertinent.</w:t>
      </w:r>
    </w:p>
    <w:p w:rsidR="00C468F0" w:rsidRPr="004B58A2" w:rsidRDefault="00C468F0" w:rsidP="00C468F0">
      <w:pPr>
        <w:pStyle w:val="ParaNoNdepar-AltN"/>
        <w:rPr>
          <w:lang w:val="fr-FR"/>
        </w:rPr>
      </w:pPr>
      <w:r w:rsidRPr="004B58A2">
        <w:rPr>
          <w:lang w:val="fr-FR"/>
        </w:rPr>
        <w:t xml:space="preserve">Enfin, la Commission a conclu que les projets de tarifs 7 et 9 n’étaient « pas fondés en droit et ne </w:t>
      </w:r>
      <w:proofErr w:type="gramStart"/>
      <w:r w:rsidRPr="004B58A2">
        <w:rPr>
          <w:lang w:val="fr-FR"/>
        </w:rPr>
        <w:t>p[</w:t>
      </w:r>
      <w:proofErr w:type="spellStart"/>
      <w:proofErr w:type="gramEnd"/>
      <w:r w:rsidRPr="004B58A2">
        <w:rPr>
          <w:lang w:val="fr-FR"/>
        </w:rPr>
        <w:t>ouvaient</w:t>
      </w:r>
      <w:proofErr w:type="spellEnd"/>
      <w:r w:rsidRPr="004B58A2">
        <w:rPr>
          <w:lang w:val="fr-FR"/>
        </w:rPr>
        <w:t>] donc pas être homologués » (par. 44).</w:t>
      </w:r>
    </w:p>
    <w:p w:rsidR="00C468F0" w:rsidRPr="004B58A2" w:rsidRDefault="00C468F0" w:rsidP="008D33BC">
      <w:pPr>
        <w:pStyle w:val="TitleTitre-AltT"/>
        <w:keepNext/>
        <w:tabs>
          <w:tab w:val="clear" w:pos="360"/>
          <w:tab w:val="left" w:pos="540"/>
        </w:tabs>
        <w:ind w:left="540" w:hanging="540"/>
        <w:rPr>
          <w:lang w:val="fr-FR"/>
        </w:rPr>
      </w:pPr>
      <w:r w:rsidRPr="004B58A2">
        <w:rPr>
          <w:lang w:val="fr-FR"/>
        </w:rPr>
        <w:lastRenderedPageBreak/>
        <w:t>C.</w:t>
      </w:r>
      <w:r w:rsidRPr="004B58A2">
        <w:rPr>
          <w:lang w:val="fr-FR"/>
        </w:rPr>
        <w:tab/>
      </w:r>
      <w:r w:rsidRPr="004B58A2">
        <w:rPr>
          <w:i/>
          <w:lang w:val="fr-FR"/>
        </w:rPr>
        <w:t>La décision de la Cour d’appel fédérale (</w:t>
      </w:r>
      <w:proofErr w:type="spellStart"/>
      <w:r w:rsidR="00DE40A6">
        <w:rPr>
          <w:i/>
          <w:lang w:val="fr-FR"/>
        </w:rPr>
        <w:t>CanLII</w:t>
      </w:r>
      <w:proofErr w:type="spellEnd"/>
      <w:r w:rsidRPr="004B58A2">
        <w:rPr>
          <w:i/>
          <w:lang w:val="fr-FR"/>
        </w:rPr>
        <w:t>)</w:t>
      </w:r>
    </w:p>
    <w:p w:rsidR="00C468F0" w:rsidRPr="004B58A2" w:rsidRDefault="00C468F0" w:rsidP="00C468F0">
      <w:pPr>
        <w:pStyle w:val="ParaNoNdepar-AltN"/>
        <w:rPr>
          <w:lang w:val="fr-FR"/>
        </w:rPr>
      </w:pPr>
      <w:r w:rsidRPr="004B58A2">
        <w:rPr>
          <w:lang w:val="fr-FR"/>
        </w:rPr>
        <w:t xml:space="preserve">La Cour d’appel fédérale a traité brièvement de la question de la norme de contrôle applicable, précisant qu’« il n’y </w:t>
      </w:r>
      <w:proofErr w:type="gramStart"/>
      <w:r w:rsidRPr="004B58A2">
        <w:rPr>
          <w:lang w:val="fr-FR"/>
        </w:rPr>
        <w:t>a[</w:t>
      </w:r>
      <w:proofErr w:type="spellStart"/>
      <w:proofErr w:type="gramEnd"/>
      <w:r w:rsidRPr="004B58A2">
        <w:rPr>
          <w:lang w:val="fr-FR"/>
        </w:rPr>
        <w:t>vait</w:t>
      </w:r>
      <w:proofErr w:type="spellEnd"/>
      <w:r w:rsidR="008D33BC" w:rsidRPr="004B58A2">
        <w:rPr>
          <w:lang w:val="fr-FR"/>
        </w:rPr>
        <w:t xml:space="preserve">] pas lieu de l’examiner </w:t>
      </w:r>
      <w:proofErr w:type="spellStart"/>
      <w:r w:rsidR="008D33BC" w:rsidRPr="004B58A2">
        <w:rPr>
          <w:lang w:val="fr-FR"/>
        </w:rPr>
        <w:t>puisqu</w:t>
      </w:r>
      <w:proofErr w:type="spellEnd"/>
      <w:r w:rsidRPr="004B58A2">
        <w:rPr>
          <w:lang w:val="fr-FR"/>
        </w:rPr>
        <w:t>[</w:t>
      </w:r>
      <w:r w:rsidR="008D33BC" w:rsidRPr="004B58A2">
        <w:rPr>
          <w:lang w:val="fr-FR"/>
        </w:rPr>
        <w:t>’</w:t>
      </w:r>
      <w:r w:rsidRPr="004B58A2">
        <w:rPr>
          <w:lang w:val="fr-FR"/>
        </w:rPr>
        <w:t xml:space="preserve">elle] </w:t>
      </w:r>
      <w:proofErr w:type="spellStart"/>
      <w:r w:rsidRPr="004B58A2">
        <w:rPr>
          <w:lang w:val="fr-FR"/>
        </w:rPr>
        <w:t>estim</w:t>
      </w:r>
      <w:proofErr w:type="spellEnd"/>
      <w:r w:rsidRPr="004B58A2">
        <w:rPr>
          <w:lang w:val="fr-FR"/>
        </w:rPr>
        <w:t xml:space="preserve">[ait], essentiellement pour les motifs exposés par la Commission, que </w:t>
      </w:r>
      <w:proofErr w:type="spellStart"/>
      <w:r w:rsidRPr="004B58A2">
        <w:rPr>
          <w:lang w:val="fr-FR"/>
        </w:rPr>
        <w:t>celle</w:t>
      </w:r>
      <w:r w:rsidRPr="004B58A2">
        <w:rPr>
          <w:lang w:val="fr-FR"/>
        </w:rPr>
        <w:noBreakHyphen/>
        <w:t>ci</w:t>
      </w:r>
      <w:proofErr w:type="spellEnd"/>
      <w:r w:rsidRPr="004B58A2">
        <w:rPr>
          <w:lang w:val="fr-FR"/>
        </w:rPr>
        <w:t xml:space="preserve"> a[</w:t>
      </w:r>
      <w:proofErr w:type="spellStart"/>
      <w:r w:rsidRPr="004B58A2">
        <w:rPr>
          <w:lang w:val="fr-FR"/>
        </w:rPr>
        <w:t>vait</w:t>
      </w:r>
      <w:proofErr w:type="spellEnd"/>
      <w:r w:rsidRPr="004B58A2">
        <w:rPr>
          <w:lang w:val="fr-FR"/>
        </w:rPr>
        <w:t>] correctement statué » (par. 9).</w:t>
      </w:r>
    </w:p>
    <w:p w:rsidR="00C468F0" w:rsidRPr="004B58A2" w:rsidRDefault="00C468F0" w:rsidP="00C468F0">
      <w:pPr>
        <w:pStyle w:val="ParaNoNdepar-AltN"/>
        <w:rPr>
          <w:lang w:val="fr-FR"/>
        </w:rPr>
      </w:pPr>
      <w:r w:rsidRPr="004B58A2">
        <w:rPr>
          <w:lang w:val="fr-FR"/>
        </w:rPr>
        <w:t xml:space="preserve">Après avoir souscrit à la décision de la Commission à cet égard, la Cour d’appel fédérale a formulé des commentaires à trois égards.  Premièrement, elle s’est penchée sur la prétention de l’appelante selon laquelle, compte tenu de la décision de la Commission, les enregistrements sonores incorporés à des bandes sonores pourraient </w:t>
      </w:r>
      <w:r w:rsidR="008D33BC" w:rsidRPr="004B58A2">
        <w:rPr>
          <w:lang w:val="fr-FR"/>
        </w:rPr>
        <w:t>(</w:t>
      </w:r>
      <w:r w:rsidRPr="004B58A2">
        <w:rPr>
          <w:lang w:val="fr-FR"/>
        </w:rPr>
        <w:t>1) être publiés sur l</w:t>
      </w:r>
      <w:r w:rsidR="00DE40A6">
        <w:rPr>
          <w:lang w:val="fr-FR"/>
        </w:rPr>
        <w:t>’Internet ou disséminés</w:t>
      </w:r>
      <w:r w:rsidRPr="004B58A2">
        <w:rPr>
          <w:lang w:val="fr-FR"/>
        </w:rPr>
        <w:t xml:space="preserve"> autrement; ou </w:t>
      </w:r>
      <w:r w:rsidR="008D33BC" w:rsidRPr="004B58A2">
        <w:rPr>
          <w:lang w:val="fr-FR"/>
        </w:rPr>
        <w:t>(</w:t>
      </w:r>
      <w:r w:rsidRPr="004B58A2">
        <w:rPr>
          <w:lang w:val="fr-FR"/>
        </w:rPr>
        <w:t>2) être extraits d’un DVD puis publiés, sans que l’</w:t>
      </w:r>
      <w:proofErr w:type="spellStart"/>
      <w:r w:rsidRPr="004B58A2">
        <w:rPr>
          <w:lang w:val="fr-FR"/>
        </w:rPr>
        <w:t>artiste</w:t>
      </w:r>
      <w:r w:rsidRPr="004B58A2">
        <w:rPr>
          <w:lang w:val="fr-FR"/>
        </w:rPr>
        <w:noBreakHyphen/>
        <w:t>interprète</w:t>
      </w:r>
      <w:proofErr w:type="spellEnd"/>
      <w:r w:rsidRPr="004B58A2">
        <w:rPr>
          <w:lang w:val="fr-FR"/>
        </w:rPr>
        <w:t xml:space="preserve"> ou le producteur ne dispose de quelque recours que ce soit ou ne puisse sollicite</w:t>
      </w:r>
      <w:r w:rsidR="00DE40A6">
        <w:rPr>
          <w:lang w:val="fr-FR"/>
        </w:rPr>
        <w:t>r de mesure de réparation.  La c</w:t>
      </w:r>
      <w:r w:rsidRPr="004B58A2">
        <w:rPr>
          <w:lang w:val="fr-FR"/>
        </w:rPr>
        <w:t>our a conclu que l’incorporation non autorisée d’une prestation incluse dans une œuvre cinématographique contreviendrait à la Loi</w:t>
      </w:r>
      <w:r w:rsidRPr="004B58A2">
        <w:rPr>
          <w:i/>
          <w:lang w:val="fr-FR"/>
        </w:rPr>
        <w:t>.</w:t>
      </w:r>
      <w:r w:rsidRPr="004B58A2">
        <w:rPr>
          <w:lang w:val="fr-FR"/>
        </w:rPr>
        <w:t xml:space="preserve">  Elle a, en outre, noté que dès lors qu’un enregistrement sonore préexistant était extrait de la bande sonore qui accompagne une œuvre cinématographique, il jouissait à nouveau des mesures de protection offertes aux </w:t>
      </w:r>
      <w:proofErr w:type="spellStart"/>
      <w:r w:rsidRPr="004B58A2">
        <w:rPr>
          <w:lang w:val="fr-FR"/>
        </w:rPr>
        <w:t>artistes</w:t>
      </w:r>
      <w:r w:rsidRPr="004B58A2">
        <w:rPr>
          <w:lang w:val="fr-FR"/>
        </w:rPr>
        <w:noBreakHyphen/>
        <w:t>interprètes</w:t>
      </w:r>
      <w:proofErr w:type="spellEnd"/>
      <w:r w:rsidRPr="004B58A2">
        <w:rPr>
          <w:lang w:val="fr-FR"/>
        </w:rPr>
        <w:t xml:space="preserve"> et aux producteurs par la Loi pour les enregistrements sonores isolés.</w:t>
      </w:r>
    </w:p>
    <w:p w:rsidR="00C468F0" w:rsidRPr="004B58A2" w:rsidRDefault="00C468F0" w:rsidP="00C468F0">
      <w:pPr>
        <w:pStyle w:val="ParaNoNdepar-AltN"/>
        <w:rPr>
          <w:lang w:val="fr-FR"/>
        </w:rPr>
      </w:pPr>
      <w:r w:rsidRPr="004B58A2">
        <w:rPr>
          <w:lang w:val="fr-FR"/>
        </w:rPr>
        <w:t xml:space="preserve">Deuxièmement, la Cour d’appel a traité de l’argument de l’appelante selon lequel la Loi ne serait pas en phase avec les lois étrangères similaires si elle </w:t>
      </w:r>
      <w:r w:rsidRPr="004B58A2">
        <w:rPr>
          <w:lang w:val="fr-FR"/>
        </w:rPr>
        <w:lastRenderedPageBreak/>
        <w:t xml:space="preserve">n’accordait pas le droit à une rémunération équitable aux artistes et aux compagnies d’enregistrement.  La Cour d’appel a jugé que la jurisprudence d’Australie et du </w:t>
      </w:r>
      <w:proofErr w:type="spellStart"/>
      <w:r w:rsidRPr="004B58A2">
        <w:rPr>
          <w:lang w:val="fr-FR"/>
        </w:rPr>
        <w:t>Royaume</w:t>
      </w:r>
      <w:r w:rsidRPr="004B58A2">
        <w:rPr>
          <w:lang w:val="fr-FR"/>
        </w:rPr>
        <w:noBreakHyphen/>
        <w:t>Uni</w:t>
      </w:r>
      <w:proofErr w:type="spellEnd"/>
      <w:r w:rsidRPr="004B58A2">
        <w:rPr>
          <w:lang w:val="fr-FR"/>
        </w:rPr>
        <w:t xml:space="preserve"> sur laquelle s’est fondée l’appelante ne lui était d’aucun secours puisqu’elle portait sur des lois fondamentalement différentes de la nôtre. </w:t>
      </w:r>
    </w:p>
    <w:p w:rsidR="00C468F0" w:rsidRPr="004B58A2" w:rsidRDefault="00C468F0" w:rsidP="00C468F0">
      <w:pPr>
        <w:pStyle w:val="ParaNoNdepar-AltN"/>
        <w:rPr>
          <w:lang w:val="fr-FR"/>
        </w:rPr>
      </w:pPr>
      <w:r w:rsidRPr="004B58A2">
        <w:rPr>
          <w:lang w:val="fr-FR"/>
        </w:rPr>
        <w:t xml:space="preserve">L’appelante a aussi fait valoir devant la Cour d’appel que la </w:t>
      </w:r>
      <w:r w:rsidR="00A10FD6">
        <w:rPr>
          <w:lang w:val="fr-FR"/>
        </w:rPr>
        <w:t>Loi est incompatible avec l’article</w:t>
      </w:r>
      <w:r w:rsidRPr="004B58A2">
        <w:rPr>
          <w:lang w:val="fr-FR"/>
        </w:rPr>
        <w:t xml:space="preserve"> 10 de la </w:t>
      </w:r>
      <w:r w:rsidRPr="004B58A2">
        <w:rPr>
          <w:i/>
          <w:lang w:val="fr-FR"/>
        </w:rPr>
        <w:t>Convention de Rome</w:t>
      </w:r>
      <w:r w:rsidRPr="004B58A2">
        <w:rPr>
          <w:lang w:val="fr-FR"/>
        </w:rPr>
        <w:t xml:space="preserve"> qui prévoit que les producteurs de phonogrammes jouissent du droit d’autoriser ou d’interdire la reproduction directe ou indirecte de leurs phonogrammes.  La Cour d’appel a jugé que cet argument échouait parce qu’il </w:t>
      </w:r>
      <w:r w:rsidR="008D33BC" w:rsidRPr="004B58A2">
        <w:rPr>
          <w:rFonts w:cs="Times New Roman"/>
          <w:lang w:val="fr-FR"/>
        </w:rPr>
        <w:t>«</w:t>
      </w:r>
      <w:r w:rsidR="008D33BC" w:rsidRPr="004B58A2">
        <w:rPr>
          <w:lang w:val="fr-FR"/>
        </w:rPr>
        <w:t xml:space="preserve"> </w:t>
      </w:r>
      <w:r w:rsidRPr="004B58A2">
        <w:rPr>
          <w:lang w:val="fr-FR"/>
        </w:rPr>
        <w:t xml:space="preserve">ne </w:t>
      </w:r>
      <w:r w:rsidR="00B007C0">
        <w:rPr>
          <w:lang w:val="fr-FR"/>
        </w:rPr>
        <w:t>[</w:t>
      </w:r>
      <w:r w:rsidRPr="004B58A2">
        <w:rPr>
          <w:lang w:val="fr-FR"/>
        </w:rPr>
        <w:t>tenait</w:t>
      </w:r>
      <w:r w:rsidR="008D33BC" w:rsidRPr="004B58A2">
        <w:rPr>
          <w:lang w:val="fr-FR"/>
        </w:rPr>
        <w:t>]</w:t>
      </w:r>
      <w:r w:rsidRPr="004B58A2">
        <w:rPr>
          <w:lang w:val="fr-FR"/>
        </w:rPr>
        <w:t xml:space="preserve"> pas compte de la définition de</w:t>
      </w:r>
      <w:r w:rsidR="008D33BC" w:rsidRPr="004B58A2">
        <w:rPr>
          <w:lang w:val="fr-FR"/>
        </w:rPr>
        <w:t xml:space="preserve"> </w:t>
      </w:r>
      <w:r w:rsidR="008D33BC" w:rsidRPr="004B58A2">
        <w:rPr>
          <w:rFonts w:cs="Times New Roman"/>
          <w:lang w:val="fr-FR"/>
        </w:rPr>
        <w:t>“</w:t>
      </w:r>
      <w:r w:rsidRPr="004B58A2">
        <w:rPr>
          <w:lang w:val="fr-FR"/>
        </w:rPr>
        <w:t>phonogramme</w:t>
      </w:r>
      <w:r w:rsidR="008D33BC" w:rsidRPr="004B58A2">
        <w:rPr>
          <w:rFonts w:cs="Times New Roman"/>
          <w:lang w:val="fr-FR"/>
        </w:rPr>
        <w:t>”</w:t>
      </w:r>
      <w:r w:rsidR="008D33BC" w:rsidRPr="004B58A2">
        <w:rPr>
          <w:lang w:val="fr-FR"/>
        </w:rPr>
        <w:t xml:space="preserve"> énoncée à la Convention (article</w:t>
      </w:r>
      <w:r w:rsidRPr="004B58A2">
        <w:rPr>
          <w:lang w:val="fr-FR"/>
        </w:rPr>
        <w:t xml:space="preserve"> 3, </w:t>
      </w:r>
      <w:r w:rsidR="008D33BC" w:rsidRPr="004B58A2">
        <w:rPr>
          <w:lang w:val="fr-FR"/>
        </w:rPr>
        <w:t>alinéa</w:t>
      </w:r>
      <w:r w:rsidRPr="004B58A2">
        <w:rPr>
          <w:lang w:val="fr-FR"/>
        </w:rPr>
        <w:t xml:space="preserve"> b)), selon laquelle il s’agit de toute fixation exclusivement sonore </w:t>
      </w:r>
      <w:r w:rsidR="008D33BC" w:rsidRPr="004B58A2">
        <w:rPr>
          <w:lang w:val="fr-FR"/>
        </w:rPr>
        <w:t xml:space="preserve">des sons, dont il découle que </w:t>
      </w:r>
      <w:r w:rsidR="008D33BC" w:rsidRPr="004B58A2">
        <w:rPr>
          <w:rFonts w:cs="Times New Roman"/>
          <w:lang w:val="fr-FR"/>
        </w:rPr>
        <w:t>“</w:t>
      </w:r>
      <w:r w:rsidRPr="004B58A2">
        <w:rPr>
          <w:lang w:val="fr-FR"/>
        </w:rPr>
        <w:t>[s]ont donc exclus [. . .] les fixations d’images (cinéma) ou d’images et de sons (télévision)</w:t>
      </w:r>
      <w:r w:rsidR="008D33BC" w:rsidRPr="004B58A2">
        <w:rPr>
          <w:rFonts w:cs="Times New Roman"/>
          <w:lang w:val="fr-FR"/>
        </w:rPr>
        <w:t>”</w:t>
      </w:r>
      <w:r w:rsidRPr="004B58A2">
        <w:rPr>
          <w:lang w:val="fr-FR"/>
        </w:rPr>
        <w:t> » (par. 13).</w:t>
      </w:r>
    </w:p>
    <w:p w:rsidR="00C468F0" w:rsidRPr="004B58A2" w:rsidRDefault="00C468F0" w:rsidP="00C468F0">
      <w:pPr>
        <w:pStyle w:val="ParaNoNdepar-AltN"/>
        <w:rPr>
          <w:lang w:val="fr-FR"/>
        </w:rPr>
      </w:pPr>
      <w:r w:rsidRPr="004B58A2">
        <w:rPr>
          <w:lang w:val="fr-FR"/>
        </w:rPr>
        <w:t>Finalement, la Cour d’appel a examiné la thèse de l’appelante selon laquelle la diffusion en direct ne constitue par une communication au public d’une « œuvre cinématographique » au sens de l’art</w:t>
      </w:r>
      <w:r w:rsidR="002E4533" w:rsidRPr="004B58A2">
        <w:rPr>
          <w:lang w:val="fr-FR"/>
        </w:rPr>
        <w:t>.</w:t>
      </w:r>
      <w:r w:rsidRPr="004B58A2">
        <w:rPr>
          <w:lang w:val="fr-FR"/>
        </w:rPr>
        <w:t> 2 de la Loi et qu’elle peut donc être sujette à l’application d’un tarif.  Elle a toutefois refusé d’accueillir la demande de contrôle judiciaire pour ce « motif [. . .] limité » soulignant, en outre, que cet argument n’avait ni été soulevé dans l’avis de demande ni été soumis à la Commission.  La Cour d’appel n’avait donc aucune raison de contrôler la décision de la Commission sur ce fondement.</w:t>
      </w:r>
    </w:p>
    <w:p w:rsidR="00C468F0" w:rsidRPr="004B58A2" w:rsidRDefault="00C468F0" w:rsidP="00C468F0">
      <w:pPr>
        <w:pStyle w:val="ParaNoNdepar-AltN"/>
        <w:rPr>
          <w:lang w:val="fr-FR"/>
        </w:rPr>
      </w:pPr>
      <w:r w:rsidRPr="004B58A2">
        <w:rPr>
          <w:lang w:val="fr-FR"/>
        </w:rPr>
        <w:lastRenderedPageBreak/>
        <w:t>La Cour d’appel a donc rejeté la demande de contrôle judiciaire.</w:t>
      </w:r>
    </w:p>
    <w:p w:rsidR="00C468F0" w:rsidRPr="004B58A2" w:rsidRDefault="00C468F0" w:rsidP="002E4533">
      <w:pPr>
        <w:pStyle w:val="TitleTitre-AltT"/>
        <w:keepNext/>
        <w:tabs>
          <w:tab w:val="clear" w:pos="360"/>
          <w:tab w:val="left" w:pos="540"/>
        </w:tabs>
        <w:ind w:left="540" w:hanging="540"/>
        <w:rPr>
          <w:lang w:val="fr-FR"/>
        </w:rPr>
      </w:pPr>
      <w:r w:rsidRPr="004B58A2">
        <w:rPr>
          <w:lang w:val="fr-FR"/>
        </w:rPr>
        <w:t>III.</w:t>
      </w:r>
      <w:r w:rsidRPr="004B58A2">
        <w:rPr>
          <w:lang w:val="fr-FR"/>
        </w:rPr>
        <w:tab/>
      </w:r>
      <w:r w:rsidRPr="004B58A2">
        <w:rPr>
          <w:u w:val="single"/>
          <w:lang w:val="fr-FR"/>
        </w:rPr>
        <w:t>Analyse</w:t>
      </w:r>
    </w:p>
    <w:p w:rsidR="00C468F0" w:rsidRPr="004B58A2" w:rsidRDefault="00C468F0" w:rsidP="002E4533">
      <w:pPr>
        <w:pStyle w:val="TitleTitre-AltT"/>
        <w:keepNext/>
        <w:tabs>
          <w:tab w:val="clear" w:pos="360"/>
          <w:tab w:val="left" w:pos="540"/>
        </w:tabs>
        <w:ind w:left="540" w:hanging="540"/>
        <w:rPr>
          <w:i/>
          <w:lang w:val="fr-FR"/>
        </w:rPr>
      </w:pPr>
      <w:r w:rsidRPr="004B58A2">
        <w:rPr>
          <w:lang w:val="fr-FR"/>
        </w:rPr>
        <w:t>A.</w:t>
      </w:r>
      <w:r w:rsidRPr="004B58A2">
        <w:rPr>
          <w:lang w:val="fr-FR"/>
        </w:rPr>
        <w:tab/>
      </w:r>
      <w:r w:rsidRPr="004B58A2">
        <w:rPr>
          <w:i/>
          <w:lang w:val="fr-FR"/>
        </w:rPr>
        <w:t>Questions en litige</w:t>
      </w:r>
    </w:p>
    <w:p w:rsidR="00C468F0" w:rsidRPr="004B58A2" w:rsidRDefault="00C468F0" w:rsidP="00C468F0">
      <w:pPr>
        <w:pStyle w:val="ParaNoNdepar-AltN"/>
        <w:rPr>
          <w:lang w:val="fr-FR"/>
        </w:rPr>
      </w:pPr>
      <w:r w:rsidRPr="004B58A2">
        <w:rPr>
          <w:lang w:val="fr-FR"/>
        </w:rPr>
        <w:t xml:space="preserve">Le présent pourvoi porte principalement sur l’application de principes bien connus d’interprétation législative.  En effet, la question que doit trancher la Cour est la suivante : les enregistrements sonores préexistants incorporés à une bande sonore </w:t>
      </w:r>
      <w:proofErr w:type="spellStart"/>
      <w:r w:rsidRPr="004B58A2">
        <w:rPr>
          <w:lang w:val="fr-FR"/>
        </w:rPr>
        <w:t>sont</w:t>
      </w:r>
      <w:r w:rsidRPr="004B58A2">
        <w:rPr>
          <w:lang w:val="fr-FR"/>
        </w:rPr>
        <w:noBreakHyphen/>
        <w:t>ils</w:t>
      </w:r>
      <w:proofErr w:type="spellEnd"/>
      <w:r w:rsidRPr="004B58A2">
        <w:rPr>
          <w:lang w:val="fr-FR"/>
        </w:rPr>
        <w:t xml:space="preserve"> visés par le terme non défini « bande sonore » utilisé dans la définition que donne l’art. 2 de la Loi au terme « enregistrement sonore »? Autrement dit, puisque seul un « enregistrement sonore » peut donner droit à l’application d’un tarif en vertu de l’art. 19, la reproduction d’un enregistrement sonore préexistant qui fait partie intégrante de la bande sonore d’une œuvre cinématographique </w:t>
      </w:r>
      <w:proofErr w:type="spellStart"/>
      <w:r w:rsidRPr="004B58A2">
        <w:rPr>
          <w:lang w:val="fr-FR"/>
        </w:rPr>
        <w:t>peut</w:t>
      </w:r>
      <w:r w:rsidRPr="004B58A2">
        <w:rPr>
          <w:lang w:val="fr-FR"/>
        </w:rPr>
        <w:noBreakHyphen/>
        <w:t>elle</w:t>
      </w:r>
      <w:proofErr w:type="spellEnd"/>
      <w:r w:rsidRPr="004B58A2">
        <w:rPr>
          <w:lang w:val="fr-FR"/>
        </w:rPr>
        <w:t xml:space="preserve"> donner droit à l’application d’un tarif quand la bande sonore en question accompagne une œuvre cinématographique?</w:t>
      </w:r>
    </w:p>
    <w:p w:rsidR="00C468F0" w:rsidRPr="004B58A2" w:rsidRDefault="00C468F0" w:rsidP="00C468F0">
      <w:pPr>
        <w:pStyle w:val="ParaNoNdepar-AltN"/>
        <w:rPr>
          <w:lang w:val="fr-FR"/>
        </w:rPr>
      </w:pPr>
      <w:r w:rsidRPr="004B58A2">
        <w:rPr>
          <w:lang w:val="fr-FR"/>
        </w:rPr>
        <w:t xml:space="preserve">Pour les motifs qui suivent, je conclus que, indépendamment de la norme de contrôle, la Commission a bien interprété le terme « bande sonore ».  Par conséquent, un enregistrement sonore préexistant qui fait partie d’une bande sonore ne peut pas donner droit à l’application d’un tarif quand cette dernière accompagne une œuvre cinématographique. </w:t>
      </w:r>
    </w:p>
    <w:p w:rsidR="00C468F0" w:rsidRPr="004B58A2" w:rsidRDefault="00C468F0" w:rsidP="002E4533">
      <w:pPr>
        <w:pStyle w:val="TitleTitre-AltT"/>
        <w:keepNext/>
        <w:tabs>
          <w:tab w:val="clear" w:pos="360"/>
          <w:tab w:val="left" w:pos="540"/>
        </w:tabs>
        <w:ind w:left="540" w:hanging="540"/>
        <w:rPr>
          <w:i/>
          <w:lang w:val="fr-FR"/>
        </w:rPr>
      </w:pPr>
      <w:r w:rsidRPr="004B58A2">
        <w:rPr>
          <w:lang w:val="fr-FR"/>
        </w:rPr>
        <w:lastRenderedPageBreak/>
        <w:t>B.</w:t>
      </w:r>
      <w:r w:rsidRPr="004B58A2">
        <w:rPr>
          <w:lang w:val="fr-FR"/>
        </w:rPr>
        <w:tab/>
      </w:r>
      <w:r w:rsidRPr="004B58A2">
        <w:rPr>
          <w:i/>
          <w:lang w:val="fr-FR"/>
        </w:rPr>
        <w:t>La norme de contrôle</w:t>
      </w:r>
    </w:p>
    <w:p w:rsidR="00C468F0" w:rsidRPr="004B58A2" w:rsidRDefault="00C468F0" w:rsidP="00C468F0">
      <w:pPr>
        <w:pStyle w:val="ParaNoNdepar-AltN"/>
        <w:rPr>
          <w:lang w:val="fr-FR"/>
        </w:rPr>
      </w:pPr>
      <w:r w:rsidRPr="004B58A2">
        <w:rPr>
          <w:lang w:val="fr-FR"/>
        </w:rPr>
        <w:t>Il est inutile de nous attarder sur la norme de contrôle.  L’issue du présent pourvoi ne dépend pas de l’application de l’une ou de l’autre des deux normes de contrôle puisque, quoi qu’il en soit, la décision de la Commission était correcte.</w:t>
      </w:r>
    </w:p>
    <w:p w:rsidR="00C468F0" w:rsidRPr="004B58A2" w:rsidRDefault="00C468F0" w:rsidP="002E4533">
      <w:pPr>
        <w:pStyle w:val="TitleTitre-AltT"/>
        <w:keepNext/>
        <w:tabs>
          <w:tab w:val="clear" w:pos="360"/>
          <w:tab w:val="left" w:pos="540"/>
        </w:tabs>
        <w:ind w:left="540" w:hanging="540"/>
        <w:rPr>
          <w:lang w:val="fr-CA"/>
        </w:rPr>
      </w:pPr>
      <w:r w:rsidRPr="004B58A2">
        <w:rPr>
          <w:lang w:val="fr-CA"/>
        </w:rPr>
        <w:t>C.</w:t>
      </w:r>
      <w:r w:rsidRPr="004B58A2">
        <w:rPr>
          <w:lang w:val="fr-CA"/>
        </w:rPr>
        <w:tab/>
      </w:r>
      <w:r w:rsidRPr="004B58A2">
        <w:rPr>
          <w:i/>
          <w:lang w:val="fr-CA"/>
        </w:rPr>
        <w:t xml:space="preserve">Le </w:t>
      </w:r>
      <w:r w:rsidRPr="004B58A2">
        <w:rPr>
          <w:i/>
          <w:lang w:val="fr-FR"/>
        </w:rPr>
        <w:t>régime</w:t>
      </w:r>
      <w:r w:rsidRPr="004B58A2">
        <w:rPr>
          <w:i/>
          <w:lang w:val="fr-CA"/>
        </w:rPr>
        <w:t xml:space="preserve"> législatif</w:t>
      </w:r>
    </w:p>
    <w:p w:rsidR="00C468F0" w:rsidRPr="004B58A2" w:rsidRDefault="00C468F0" w:rsidP="00C468F0">
      <w:pPr>
        <w:pStyle w:val="ParaNoNdepar-AltN"/>
        <w:rPr>
          <w:lang w:val="fr-FR"/>
        </w:rPr>
      </w:pPr>
      <w:r w:rsidRPr="004B58A2">
        <w:rPr>
          <w:lang w:val="fr-FR"/>
        </w:rPr>
        <w:t xml:space="preserve">En vertu de l’art. 19 de la Loi, l’appelante a le droit de percevoir une rémunération équitable au nom des </w:t>
      </w:r>
      <w:proofErr w:type="spellStart"/>
      <w:r w:rsidRPr="004B58A2">
        <w:rPr>
          <w:lang w:val="fr-FR"/>
        </w:rPr>
        <w:t>artistes</w:t>
      </w:r>
      <w:r w:rsidRPr="004B58A2">
        <w:rPr>
          <w:lang w:val="fr-FR"/>
        </w:rPr>
        <w:noBreakHyphen/>
        <w:t>interprètes</w:t>
      </w:r>
      <w:proofErr w:type="spellEnd"/>
      <w:r w:rsidRPr="004B58A2">
        <w:rPr>
          <w:lang w:val="fr-FR"/>
        </w:rPr>
        <w:t xml:space="preserve"> et des producteurs d’enregistrements sonores lorsque leurs enregistrements font l’objet d’une exécution en public ou d’une communication au public par télécommunication.  Le droit de percevoir ces redevances a été ajouté à la Loi en 1997 en tant qu’élément d’un ensemble de « droits voisins » visant les enregistrements sonores, des droits </w:t>
      </w:r>
      <w:r w:rsidRPr="004B58A2">
        <w:rPr>
          <w:rFonts w:cs="Times New Roman"/>
          <w:lang w:val="fr-FR"/>
        </w:rPr>
        <w:t>—</w:t>
      </w:r>
      <w:r w:rsidRPr="004B58A2">
        <w:rPr>
          <w:lang w:val="fr-FR"/>
        </w:rPr>
        <w:t xml:space="preserve"> qui se distinguent des droits d’auteur traditionnels </w:t>
      </w:r>
      <w:r w:rsidRPr="004B58A2">
        <w:rPr>
          <w:rFonts w:cs="Times New Roman"/>
          <w:lang w:val="fr-FR"/>
        </w:rPr>
        <w:t>—</w:t>
      </w:r>
      <w:r w:rsidRPr="004B58A2">
        <w:rPr>
          <w:lang w:val="fr-FR"/>
        </w:rPr>
        <w:t xml:space="preserve"> conférés aux créateurs d’œuvres musicales comme les compositeurs et les paroliers (L.C. 1997, ch. 24).  Ces nouveaux droits voisins ont été ajoutés par le législateur afin de satisfaire aux obligations qui incombent au Canada en tant que signataire de la </w:t>
      </w:r>
      <w:r w:rsidRPr="004B58A2">
        <w:rPr>
          <w:i/>
          <w:lang w:val="fr-FR"/>
        </w:rPr>
        <w:t>Convention de Rome</w:t>
      </w:r>
      <w:r w:rsidR="00F23528">
        <w:rPr>
          <w:lang w:val="fr-FR"/>
        </w:rPr>
        <w:t>.  En plus de l’article</w:t>
      </w:r>
      <w:r w:rsidRPr="004B58A2">
        <w:rPr>
          <w:lang w:val="fr-FR"/>
        </w:rPr>
        <w:t xml:space="preserve"> 12 de cette convention, qui confère le droit à une rémunération équitable quand un phonogramme « est utilisé directement pour la radiodiffusion ou pour une communication quelconque au public », </w:t>
      </w:r>
      <w:r w:rsidR="006E7B76">
        <w:rPr>
          <w:rFonts w:cs="Times New Roman"/>
          <w:lang w:val="fr-FR"/>
        </w:rPr>
        <w:t>son article</w:t>
      </w:r>
      <w:r w:rsidRPr="004B58A2">
        <w:rPr>
          <w:rFonts w:cs="Times New Roman"/>
          <w:lang w:val="fr-FR"/>
        </w:rPr>
        <w:t> 10 prévoit en outre que « [l]</w:t>
      </w:r>
      <w:r w:rsidRPr="004B58A2">
        <w:rPr>
          <w:lang w:val="fr-FR"/>
        </w:rPr>
        <w:t>es producteurs de phonogrammes jouissent du droit d’autoriser ou d’interdire la reproduction directe ou indirecte de leurs phonogrammes</w:t>
      </w:r>
      <w:r w:rsidR="002E4533" w:rsidRPr="004B58A2">
        <w:rPr>
          <w:lang w:val="fr-FR"/>
        </w:rPr>
        <w:t>.</w:t>
      </w:r>
      <w:r w:rsidRPr="004B58A2">
        <w:rPr>
          <w:rFonts w:cs="Times New Roman"/>
          <w:lang w:val="fr-FR"/>
        </w:rPr>
        <w:t> »</w:t>
      </w:r>
    </w:p>
    <w:p w:rsidR="00C468F0" w:rsidRPr="004B58A2" w:rsidRDefault="00C468F0" w:rsidP="00C468F0">
      <w:pPr>
        <w:pStyle w:val="ParaNoNdepar-AltN"/>
        <w:rPr>
          <w:lang w:val="fr-FR"/>
        </w:rPr>
      </w:pPr>
      <w:r w:rsidRPr="004B58A2">
        <w:rPr>
          <w:lang w:val="fr-FR"/>
        </w:rPr>
        <w:lastRenderedPageBreak/>
        <w:t xml:space="preserve">Comme je l’ai déjà mentionné, le droit de percevoir une redevance au nom des </w:t>
      </w:r>
      <w:proofErr w:type="spellStart"/>
      <w:r w:rsidRPr="004B58A2">
        <w:rPr>
          <w:lang w:val="fr-FR"/>
        </w:rPr>
        <w:t>artistes</w:t>
      </w:r>
      <w:r w:rsidRPr="004B58A2">
        <w:rPr>
          <w:lang w:val="fr-FR"/>
        </w:rPr>
        <w:noBreakHyphen/>
        <w:t>interprètes</w:t>
      </w:r>
      <w:proofErr w:type="spellEnd"/>
      <w:r w:rsidRPr="004B58A2">
        <w:rPr>
          <w:lang w:val="fr-FR"/>
        </w:rPr>
        <w:t xml:space="preserve"> et des producteurs d’enregistrements sonores, même s’il est prévu à l’art. 19, dépend de la définition du terme « enregistrement sonore » qui figure à l’art. 2 de la Loi.  Cette définition a une incidence sur les limites du droit en question.  À moins que ce qui est exécuté ou communiqué au public par télécommunication soit un « enregistrement sonore », il ne saurait y avoir de droit de percevoir des redevances pour cette exécution ou cette communication. </w:t>
      </w:r>
    </w:p>
    <w:p w:rsidR="00C468F0" w:rsidRPr="004B58A2" w:rsidRDefault="00C468F0" w:rsidP="00C468F0">
      <w:pPr>
        <w:pStyle w:val="ParaNoNdepar-AltN"/>
        <w:rPr>
          <w:lang w:val="fr-FR"/>
        </w:rPr>
      </w:pPr>
      <w:r w:rsidRPr="004B58A2">
        <w:rPr>
          <w:lang w:val="fr-FR"/>
        </w:rPr>
        <w:t>Les dispositions pertinentes de la Loi sont les suivantes :</w:t>
      </w:r>
    </w:p>
    <w:p w:rsidR="00C468F0" w:rsidRPr="004B58A2" w:rsidRDefault="002E4533" w:rsidP="002E4533">
      <w:pPr>
        <w:pStyle w:val="Citation-AltC"/>
        <w:tabs>
          <w:tab w:val="left" w:pos="1620"/>
        </w:tabs>
        <w:spacing w:after="240"/>
        <w:ind w:left="1168" w:hanging="1168"/>
        <w:contextualSpacing w:val="0"/>
        <w:rPr>
          <w:lang w:val="fr-CA"/>
        </w:rPr>
      </w:pPr>
      <w:r w:rsidRPr="004B58A2">
        <w:rPr>
          <w:b/>
          <w:lang w:val="fr-CA"/>
        </w:rPr>
        <w:tab/>
      </w:r>
      <w:r w:rsidRPr="004B58A2">
        <w:rPr>
          <w:b/>
          <w:lang w:val="fr-CA"/>
        </w:rPr>
        <w:tab/>
      </w:r>
      <w:r w:rsidR="00C468F0" w:rsidRPr="004B58A2">
        <w:rPr>
          <w:b/>
          <w:lang w:val="fr-CA"/>
        </w:rPr>
        <w:t>2.  </w:t>
      </w:r>
      <w:r w:rsidR="00C468F0" w:rsidRPr="004B58A2">
        <w:rPr>
          <w:lang w:val="fr-CA"/>
        </w:rPr>
        <w:t>Les définitions qui suivent s’appliquent à la présente loi.</w:t>
      </w:r>
    </w:p>
    <w:p w:rsidR="00C468F0" w:rsidRPr="004B58A2" w:rsidRDefault="00C468F0" w:rsidP="00C468F0">
      <w:pPr>
        <w:pStyle w:val="Citation-AltC"/>
        <w:spacing w:after="240"/>
        <w:ind w:left="1168"/>
        <w:contextualSpacing w:val="0"/>
        <w:jc w:val="center"/>
        <w:rPr>
          <w:lang w:val="fr-CA"/>
        </w:rPr>
      </w:pPr>
      <w:r w:rsidRPr="004B58A2">
        <w:rPr>
          <w:lang w:val="fr-CA"/>
        </w:rPr>
        <w:t>. . .</w:t>
      </w:r>
    </w:p>
    <w:p w:rsidR="00C468F0" w:rsidRPr="004B58A2" w:rsidRDefault="002E4533" w:rsidP="002E4533">
      <w:pPr>
        <w:pStyle w:val="Citation-AltC"/>
        <w:tabs>
          <w:tab w:val="left" w:pos="1170"/>
        </w:tabs>
        <w:spacing w:after="240"/>
        <w:ind w:left="1620" w:hanging="1620"/>
        <w:contextualSpacing w:val="0"/>
        <w:rPr>
          <w:lang w:val="fr-CA"/>
        </w:rPr>
      </w:pPr>
      <w:r w:rsidRPr="004B58A2">
        <w:rPr>
          <w:lang w:val="fr-CA"/>
        </w:rPr>
        <w:tab/>
      </w:r>
      <w:r w:rsidR="00C468F0" w:rsidRPr="004B58A2">
        <w:rPr>
          <w:lang w:val="fr-CA"/>
        </w:rPr>
        <w:t>« </w:t>
      </w:r>
      <w:proofErr w:type="gramStart"/>
      <w:r w:rsidR="00C468F0" w:rsidRPr="004B58A2">
        <w:rPr>
          <w:lang w:val="fr-FR"/>
        </w:rPr>
        <w:t>enregistrement</w:t>
      </w:r>
      <w:proofErr w:type="gramEnd"/>
      <w:r w:rsidR="00C468F0" w:rsidRPr="004B58A2">
        <w:rPr>
          <w:lang w:val="fr-CA"/>
        </w:rPr>
        <w:t xml:space="preserve"> sonore » Enregistrement constitué de sons provenant ou non de l’exécution d’une œuvre et fixés sur un support matériel quelconque; </w:t>
      </w:r>
      <w:r w:rsidR="00C468F0" w:rsidRPr="004B58A2">
        <w:rPr>
          <w:u w:val="single"/>
          <w:lang w:val="fr-CA"/>
        </w:rPr>
        <w:t xml:space="preserve">est exclue de la présente définition la bande sonore d’une œuvre cinématographique lorsqu’elle accompagne </w:t>
      </w:r>
      <w:proofErr w:type="spellStart"/>
      <w:r w:rsidR="00C468F0" w:rsidRPr="004B58A2">
        <w:rPr>
          <w:u w:val="single"/>
          <w:lang w:val="fr-CA"/>
        </w:rPr>
        <w:t>celle</w:t>
      </w:r>
      <w:r w:rsidR="00C468F0" w:rsidRPr="004B58A2">
        <w:rPr>
          <w:u w:val="single"/>
          <w:lang w:val="fr-CA"/>
        </w:rPr>
        <w:noBreakHyphen/>
        <w:t>ci</w:t>
      </w:r>
      <w:proofErr w:type="spellEnd"/>
      <w:r w:rsidR="00C468F0" w:rsidRPr="004B58A2">
        <w:rPr>
          <w:lang w:val="fr-CA"/>
        </w:rPr>
        <w:t>.</w:t>
      </w:r>
    </w:p>
    <w:p w:rsidR="00C468F0" w:rsidRPr="004B58A2" w:rsidRDefault="00C468F0" w:rsidP="00C468F0">
      <w:pPr>
        <w:pStyle w:val="Citation-AltC"/>
        <w:spacing w:after="240"/>
        <w:ind w:left="1168"/>
        <w:contextualSpacing w:val="0"/>
        <w:jc w:val="center"/>
        <w:rPr>
          <w:lang w:val="fr-CA"/>
        </w:rPr>
      </w:pPr>
      <w:r w:rsidRPr="004B58A2">
        <w:rPr>
          <w:lang w:val="fr-CA"/>
        </w:rPr>
        <w:t>. . .</w:t>
      </w:r>
    </w:p>
    <w:p w:rsidR="00C468F0" w:rsidRPr="004B58A2" w:rsidRDefault="002E4533" w:rsidP="002E4533">
      <w:pPr>
        <w:pStyle w:val="Citation-AltC"/>
        <w:tabs>
          <w:tab w:val="left" w:pos="1620"/>
        </w:tabs>
        <w:spacing w:after="240"/>
        <w:ind w:left="1168" w:hanging="1168"/>
        <w:contextualSpacing w:val="0"/>
        <w:rPr>
          <w:lang w:val="fr-CA"/>
        </w:rPr>
      </w:pPr>
      <w:r w:rsidRPr="004B58A2">
        <w:rPr>
          <w:b/>
          <w:lang w:val="fr-CA"/>
        </w:rPr>
        <w:tab/>
      </w:r>
      <w:r w:rsidRPr="004B58A2">
        <w:rPr>
          <w:b/>
          <w:lang w:val="fr-CA"/>
        </w:rPr>
        <w:tab/>
      </w:r>
      <w:r w:rsidR="00C468F0" w:rsidRPr="004B58A2">
        <w:rPr>
          <w:b/>
          <w:lang w:val="fr-CA"/>
        </w:rPr>
        <w:t>19.</w:t>
      </w:r>
      <w:r w:rsidR="00C468F0" w:rsidRPr="004B58A2">
        <w:rPr>
          <w:b/>
          <w:lang w:val="fr-CA"/>
        </w:rPr>
        <w:tab/>
      </w:r>
      <w:r w:rsidR="00C468F0" w:rsidRPr="004B58A2">
        <w:rPr>
          <w:lang w:val="fr-CA"/>
        </w:rPr>
        <w:t>(</w:t>
      </w:r>
      <w:r w:rsidRPr="004B58A2">
        <w:rPr>
          <w:lang w:val="fr-CA"/>
        </w:rPr>
        <w:t xml:space="preserve">1)  </w:t>
      </w:r>
      <w:r w:rsidR="00C468F0" w:rsidRPr="004B58A2">
        <w:rPr>
          <w:lang w:val="fr-CA"/>
        </w:rPr>
        <w:t>Sous réserve de l’article 20, l’</w:t>
      </w:r>
      <w:proofErr w:type="spellStart"/>
      <w:r w:rsidR="00C468F0" w:rsidRPr="004B58A2">
        <w:rPr>
          <w:lang w:val="fr-CA"/>
        </w:rPr>
        <w:t>artiste</w:t>
      </w:r>
      <w:r w:rsidR="00C468F0" w:rsidRPr="004B58A2">
        <w:rPr>
          <w:lang w:val="fr-CA"/>
        </w:rPr>
        <w:noBreakHyphen/>
        <w:t>interprète</w:t>
      </w:r>
      <w:proofErr w:type="spellEnd"/>
      <w:r w:rsidR="00C468F0" w:rsidRPr="004B58A2">
        <w:rPr>
          <w:lang w:val="fr-CA"/>
        </w:rPr>
        <w:t xml:space="preserve"> et le producteur ont chacun droit à une rémunération équitable pour l’exécution en public ou la communication au public par télécommunication — à l’exclusion de toute retransmission — de l’</w:t>
      </w:r>
      <w:r w:rsidR="00C468F0" w:rsidRPr="004B58A2">
        <w:rPr>
          <w:u w:val="single"/>
          <w:lang w:val="fr-CA"/>
        </w:rPr>
        <w:t>enregistrement sonore</w:t>
      </w:r>
      <w:r w:rsidR="00C468F0" w:rsidRPr="004B58A2">
        <w:rPr>
          <w:lang w:val="fr-CA"/>
        </w:rPr>
        <w:t xml:space="preserve"> publié.</w:t>
      </w:r>
    </w:p>
    <w:p w:rsidR="00C468F0" w:rsidRPr="004B58A2" w:rsidRDefault="002E4533" w:rsidP="002E4533">
      <w:pPr>
        <w:pStyle w:val="Citation-AltC"/>
        <w:tabs>
          <w:tab w:val="left" w:pos="1620"/>
        </w:tabs>
        <w:spacing w:after="240"/>
        <w:ind w:left="1168" w:hanging="1168"/>
        <w:contextualSpacing w:val="0"/>
        <w:rPr>
          <w:lang w:val="fr-CA"/>
        </w:rPr>
      </w:pPr>
      <w:r w:rsidRPr="004B58A2">
        <w:rPr>
          <w:lang w:val="fr-CA"/>
        </w:rPr>
        <w:tab/>
      </w:r>
      <w:r w:rsidRPr="004B58A2">
        <w:rPr>
          <w:lang w:val="fr-CA"/>
        </w:rPr>
        <w:tab/>
      </w:r>
      <w:r w:rsidR="00C468F0" w:rsidRPr="004B58A2">
        <w:rPr>
          <w:lang w:val="fr-CA"/>
        </w:rPr>
        <w:t>(2)</w:t>
      </w:r>
      <w:r w:rsidR="00C468F0" w:rsidRPr="004B58A2">
        <w:rPr>
          <w:lang w:val="fr-CA"/>
        </w:rPr>
        <w:tab/>
        <w:t>En vue de cette rémunération, quiconque exécute en public ou communique au public par télécommunication l’enregistrement sonore publié doit verser des redevances :</w:t>
      </w:r>
    </w:p>
    <w:p w:rsidR="00C468F0" w:rsidRPr="004B58A2" w:rsidRDefault="002E4533" w:rsidP="002E4533">
      <w:pPr>
        <w:pStyle w:val="Citation-AltC"/>
        <w:tabs>
          <w:tab w:val="left" w:pos="1620"/>
        </w:tabs>
        <w:ind w:left="1620" w:hanging="1890"/>
        <w:rPr>
          <w:lang w:val="fr-CA"/>
        </w:rPr>
      </w:pPr>
      <w:r w:rsidRPr="004B58A2">
        <w:rPr>
          <w:i/>
          <w:lang w:val="fr-CA"/>
        </w:rPr>
        <w:tab/>
      </w:r>
      <w:r w:rsidR="00C468F0" w:rsidRPr="004B58A2">
        <w:rPr>
          <w:i/>
          <w:lang w:val="fr-CA"/>
        </w:rPr>
        <w:t>a</w:t>
      </w:r>
      <w:r w:rsidR="00C468F0" w:rsidRPr="004B58A2">
        <w:rPr>
          <w:lang w:val="fr-CA"/>
        </w:rPr>
        <w:t>)</w:t>
      </w:r>
      <w:r w:rsidR="00C468F0" w:rsidRPr="004B58A2">
        <w:rPr>
          <w:lang w:val="fr-CA"/>
        </w:rPr>
        <w:tab/>
        <w:t>dans le cas de l’enregistrement sonore d’une œuvre musicale, à la société de gestion chargée, en vertu de la par</w:t>
      </w:r>
      <w:r w:rsidRPr="004B58A2">
        <w:rPr>
          <w:lang w:val="fr-CA"/>
        </w:rPr>
        <w:t>tie VII, de les percevoir;</w:t>
      </w:r>
      <w:r w:rsidR="00B007C0">
        <w:rPr>
          <w:lang w:val="fr-CA"/>
        </w:rPr>
        <w:t xml:space="preserve"> . . .</w:t>
      </w:r>
    </w:p>
    <w:p w:rsidR="00C468F0" w:rsidRPr="004B58A2" w:rsidRDefault="00C468F0" w:rsidP="00C468F0">
      <w:pPr>
        <w:pStyle w:val="ParaNoNdepar-AltN"/>
        <w:rPr>
          <w:lang w:val="fr-FR"/>
        </w:rPr>
      </w:pPr>
      <w:r w:rsidRPr="004B58A2">
        <w:rPr>
          <w:lang w:val="fr-FR"/>
        </w:rPr>
        <w:lastRenderedPageBreak/>
        <w:t xml:space="preserve">Je le répète, le terme « bande sonore » utilisé dans la définition que l’art. 2 donne d’« enregistrement sonore » n’est pas défini.  </w:t>
      </w:r>
    </w:p>
    <w:p w:rsidR="00C468F0" w:rsidRPr="004B58A2" w:rsidRDefault="00C468F0" w:rsidP="002E4533">
      <w:pPr>
        <w:pStyle w:val="TitleTitre-AltT"/>
        <w:keepNext/>
        <w:tabs>
          <w:tab w:val="clear" w:pos="360"/>
          <w:tab w:val="left" w:pos="540"/>
        </w:tabs>
        <w:ind w:left="540" w:hanging="540"/>
        <w:rPr>
          <w:lang w:val="fr-CA"/>
        </w:rPr>
      </w:pPr>
      <w:r w:rsidRPr="004B58A2">
        <w:rPr>
          <w:lang w:val="fr-CA"/>
        </w:rPr>
        <w:t>D.</w:t>
      </w:r>
      <w:r w:rsidRPr="004B58A2">
        <w:rPr>
          <w:lang w:val="fr-CA"/>
        </w:rPr>
        <w:tab/>
      </w:r>
      <w:r w:rsidRPr="004B58A2">
        <w:rPr>
          <w:i/>
          <w:lang w:val="fr-CA"/>
        </w:rPr>
        <w:t>Interprétation législative</w:t>
      </w:r>
    </w:p>
    <w:p w:rsidR="00C468F0" w:rsidRPr="004B58A2" w:rsidRDefault="00C468F0" w:rsidP="00C468F0">
      <w:pPr>
        <w:pStyle w:val="ParaNoNdepar-AltN"/>
        <w:rPr>
          <w:lang w:val="en-US"/>
        </w:rPr>
      </w:pPr>
      <w:r w:rsidRPr="004B58A2">
        <w:rPr>
          <w:lang w:val="fr-FR"/>
        </w:rPr>
        <w:t>La Cour a souvent réitéré que l’interprétation législative vise à discerner l’intention du législateur à partir des termes employés, compte tenu du contexte global et du sens ordinaire et grammatical qui s’harmonise avec l’esprit de la Loi, son objet et l’intention du législateur (</w:t>
      </w:r>
      <w:proofErr w:type="spellStart"/>
      <w:r w:rsidRPr="004B58A2">
        <w:rPr>
          <w:i/>
          <w:lang w:val="fr-FR"/>
        </w:rPr>
        <w:t>Rizzo</w:t>
      </w:r>
      <w:proofErr w:type="spellEnd"/>
      <w:r w:rsidRPr="004B58A2">
        <w:rPr>
          <w:i/>
          <w:lang w:val="fr-FR"/>
        </w:rPr>
        <w:t xml:space="preserve"> &amp; </w:t>
      </w:r>
      <w:proofErr w:type="spellStart"/>
      <w:r w:rsidRPr="004B58A2">
        <w:rPr>
          <w:i/>
          <w:lang w:val="fr-FR"/>
        </w:rPr>
        <w:t>Rizzo</w:t>
      </w:r>
      <w:proofErr w:type="spellEnd"/>
      <w:r w:rsidRPr="004B58A2">
        <w:rPr>
          <w:i/>
          <w:lang w:val="fr-FR"/>
        </w:rPr>
        <w:t xml:space="preserve"> </w:t>
      </w:r>
      <w:proofErr w:type="spellStart"/>
      <w:r w:rsidRPr="004B58A2">
        <w:rPr>
          <w:i/>
          <w:lang w:val="fr-FR"/>
        </w:rPr>
        <w:t>Shoes</w:t>
      </w:r>
      <w:proofErr w:type="spellEnd"/>
      <w:r w:rsidRPr="004B58A2">
        <w:rPr>
          <w:i/>
          <w:lang w:val="fr-FR"/>
        </w:rPr>
        <w:t xml:space="preserve"> Ltd. </w:t>
      </w:r>
      <w:r w:rsidRPr="004B58A2">
        <w:rPr>
          <w:i/>
          <w:lang w:val="en-US"/>
        </w:rPr>
        <w:t>(Re)</w:t>
      </w:r>
      <w:r w:rsidRPr="004B58A2">
        <w:rPr>
          <w:lang w:val="en-US"/>
        </w:rPr>
        <w:t xml:space="preserve">, [1998] 1 R.C.S. 27, </w:t>
      </w:r>
      <w:proofErr w:type="spellStart"/>
      <w:r w:rsidRPr="004B58A2">
        <w:rPr>
          <w:lang w:val="en-US"/>
        </w:rPr>
        <w:t>citant</w:t>
      </w:r>
      <w:proofErr w:type="spellEnd"/>
      <w:r w:rsidRPr="004B58A2">
        <w:rPr>
          <w:lang w:val="en-US"/>
        </w:rPr>
        <w:t xml:space="preserve"> E.</w:t>
      </w:r>
      <w:r w:rsidR="002E4533" w:rsidRPr="004B58A2">
        <w:rPr>
          <w:lang w:val="en-US"/>
        </w:rPr>
        <w:t xml:space="preserve"> </w:t>
      </w:r>
      <w:r w:rsidRPr="004B58A2">
        <w:rPr>
          <w:lang w:val="en-US"/>
        </w:rPr>
        <w:t xml:space="preserve">A. </w:t>
      </w:r>
      <w:proofErr w:type="spellStart"/>
      <w:r w:rsidRPr="004B58A2">
        <w:rPr>
          <w:lang w:val="en-US"/>
        </w:rPr>
        <w:t>Driedger</w:t>
      </w:r>
      <w:proofErr w:type="spellEnd"/>
      <w:r w:rsidRPr="004B58A2">
        <w:rPr>
          <w:lang w:val="en-US"/>
        </w:rPr>
        <w:t xml:space="preserve">, </w:t>
      </w:r>
      <w:r w:rsidRPr="004B58A2">
        <w:rPr>
          <w:i/>
          <w:lang w:val="en-US"/>
        </w:rPr>
        <w:t>Construction of Statutes</w:t>
      </w:r>
      <w:r w:rsidRPr="004B58A2">
        <w:rPr>
          <w:lang w:val="en-US"/>
        </w:rPr>
        <w:t xml:space="preserve"> (2</w:t>
      </w:r>
      <w:r w:rsidRPr="004B58A2">
        <w:rPr>
          <w:vertAlign w:val="superscript"/>
          <w:lang w:val="en-US"/>
        </w:rPr>
        <w:t>e</w:t>
      </w:r>
      <w:r w:rsidRPr="004B58A2">
        <w:rPr>
          <w:lang w:val="en-US"/>
        </w:rPr>
        <w:t xml:space="preserve"> </w:t>
      </w:r>
      <w:proofErr w:type="spellStart"/>
      <w:r w:rsidRPr="004B58A2">
        <w:rPr>
          <w:lang w:val="en-US"/>
        </w:rPr>
        <w:t>éd</w:t>
      </w:r>
      <w:proofErr w:type="spellEnd"/>
      <w:r w:rsidRPr="004B58A2">
        <w:rPr>
          <w:lang w:val="en-US"/>
        </w:rPr>
        <w:t>. 1983), p. 87).</w:t>
      </w:r>
    </w:p>
    <w:p w:rsidR="00C468F0" w:rsidRPr="004B58A2" w:rsidRDefault="00C468F0" w:rsidP="00C468F0">
      <w:pPr>
        <w:pStyle w:val="ParaNoNdepar-AltN"/>
        <w:rPr>
          <w:lang w:val="fr-FR"/>
        </w:rPr>
      </w:pPr>
      <w:r w:rsidRPr="004B58A2">
        <w:rPr>
          <w:lang w:val="fr-FR"/>
        </w:rPr>
        <w:t>Même si les lois peuvent être interprétées de manière téléologique, leur interprétation doit néanmoins respecter les mots choisis par le législateur.  En outre, l’historique législatif peut aider considérablement à discerner l’intention qu’avait le législateur lorsqu’il a choisi le libellé particulier d’un texte législatif.</w:t>
      </w:r>
    </w:p>
    <w:p w:rsidR="00C468F0" w:rsidRPr="004B58A2" w:rsidRDefault="00C468F0" w:rsidP="00C468F0">
      <w:pPr>
        <w:pStyle w:val="ParaNoNdepar-AltN"/>
        <w:rPr>
          <w:lang w:val="fr-FR"/>
        </w:rPr>
      </w:pPr>
      <w:r w:rsidRPr="004B58A2">
        <w:rPr>
          <w:lang w:val="fr-FR"/>
        </w:rPr>
        <w:t>En l’espèce, nous devons amorcer l’interprétation législative par les mots qui figurent à l’art. 2.</w:t>
      </w:r>
    </w:p>
    <w:p w:rsidR="00C468F0" w:rsidRPr="004B58A2" w:rsidRDefault="00C468F0" w:rsidP="00C468F0">
      <w:pPr>
        <w:pStyle w:val="ParaNoNdepar-AltN"/>
        <w:rPr>
          <w:lang w:val="fr-FR"/>
        </w:rPr>
      </w:pPr>
      <w:r w:rsidRPr="004B58A2">
        <w:rPr>
          <w:lang w:val="fr-FR"/>
        </w:rPr>
        <w:t xml:space="preserve">Selon cette disposition, un </w:t>
      </w:r>
      <w:r w:rsidRPr="004B58A2">
        <w:rPr>
          <w:rStyle w:val="definedterm"/>
          <w:rFonts w:cs="Times New Roman"/>
          <w:szCs w:val="24"/>
          <w:shd w:val="clear" w:color="auto" w:fill="FFFFFF"/>
          <w:lang w:val="fr-FR"/>
        </w:rPr>
        <w:t>« enregistrement sonore »</w:t>
      </w:r>
      <w:r w:rsidRPr="004B58A2">
        <w:rPr>
          <w:lang w:val="fr-FR"/>
        </w:rPr>
        <w:t xml:space="preserve"> est un enregistrement constitué de sons, dont « est exclue [. . .] la bande sonore d’une œuvre cinématographique lorsqu’elle accompagne </w:t>
      </w:r>
      <w:proofErr w:type="spellStart"/>
      <w:r w:rsidRPr="004B58A2">
        <w:rPr>
          <w:lang w:val="fr-FR"/>
        </w:rPr>
        <w:t>celle</w:t>
      </w:r>
      <w:r w:rsidRPr="004B58A2">
        <w:rPr>
          <w:lang w:val="fr-FR"/>
        </w:rPr>
        <w:noBreakHyphen/>
        <w:t>ci</w:t>
      </w:r>
      <w:proofErr w:type="spellEnd"/>
      <w:r w:rsidRPr="004B58A2">
        <w:rPr>
          <w:lang w:val="fr-FR"/>
        </w:rPr>
        <w:t xml:space="preserve"> ».  Ainsi, une « bande sonore » </w:t>
      </w:r>
      <w:r w:rsidRPr="004B58A2">
        <w:rPr>
          <w:lang w:val="fr-FR"/>
        </w:rPr>
        <w:lastRenderedPageBreak/>
        <w:t xml:space="preserve">est un </w:t>
      </w:r>
      <w:r w:rsidRPr="004B58A2">
        <w:rPr>
          <w:rStyle w:val="definedterm"/>
          <w:rFonts w:cs="Times New Roman"/>
          <w:szCs w:val="24"/>
          <w:shd w:val="clear" w:color="auto" w:fill="FFFFFF"/>
          <w:lang w:val="fr-FR"/>
        </w:rPr>
        <w:t>« enregistrement sonore » sauf quand elle accompagne un film.  S’il en était autrement, l’exclusion serait superflue.</w:t>
      </w:r>
    </w:p>
    <w:p w:rsidR="00C468F0" w:rsidRPr="004B58A2" w:rsidRDefault="00C468F0" w:rsidP="00C468F0">
      <w:pPr>
        <w:pStyle w:val="ParaNoNdepar-AltN"/>
        <w:rPr>
          <w:lang w:val="fr-FR"/>
        </w:rPr>
      </w:pPr>
      <w:r w:rsidRPr="004B58A2">
        <w:rPr>
          <w:lang w:val="fr-FR"/>
        </w:rPr>
        <w:t>Lorsqu’il accompagne un film, l’enregistrement de sons qui constituent une bande sonore n’est pas visé par la définition d’</w:t>
      </w:r>
      <w:r w:rsidR="002E4533" w:rsidRPr="004B58A2">
        <w:rPr>
          <w:lang w:val="fr-FR"/>
        </w:rPr>
        <w:t>« </w:t>
      </w:r>
      <w:r w:rsidRPr="004B58A2">
        <w:rPr>
          <w:lang w:val="fr-FR"/>
        </w:rPr>
        <w:t xml:space="preserve">enregistrement sonore » et ne </w:t>
      </w:r>
      <w:r w:rsidR="002E4533" w:rsidRPr="004B58A2">
        <w:rPr>
          <w:lang w:val="fr-FR"/>
        </w:rPr>
        <w:t xml:space="preserve">déclenche </w:t>
      </w:r>
      <w:r w:rsidRPr="004B58A2">
        <w:rPr>
          <w:lang w:val="fr-FR"/>
        </w:rPr>
        <w:t>pas l’application de l’art. 19.  Un enregistrement sonore préexistant est constitué de sons enregistrés.  Or, la Loi ne précise pas que l’enregistrement préexistant d’un « son » qui accompagne un film ne peut pas constituer une « bande sonore » au sens où il faut l’entendre pour l’application de l’art. 2.  À mon avis, un enregistrement sonore préexistant ne peut pas être exclu du sens de « bande sonore », à moins que le législateur exprime explicitement une telle intention dans la Loi.  Il aurait pu le faire, par exemple, en excluant uniquement « l’ensemble des sons qui constituent une bande sonore ».</w:t>
      </w:r>
    </w:p>
    <w:p w:rsidR="00C468F0" w:rsidRPr="004B58A2" w:rsidRDefault="00C468F0" w:rsidP="00C468F0">
      <w:pPr>
        <w:pStyle w:val="ParaNoNdepar-AltN"/>
        <w:rPr>
          <w:lang w:val="fr-FR"/>
        </w:rPr>
      </w:pPr>
      <w:r w:rsidRPr="004B58A2">
        <w:rPr>
          <w:lang w:val="fr-FR"/>
        </w:rPr>
        <w:t>L’historique législatif confirme notre interprétation.</w:t>
      </w:r>
    </w:p>
    <w:p w:rsidR="00C468F0" w:rsidRPr="004B58A2" w:rsidRDefault="00C468F0" w:rsidP="00C468F0">
      <w:pPr>
        <w:pStyle w:val="ParaNoNdepar-AltN"/>
        <w:rPr>
          <w:lang w:val="fr-FR"/>
        </w:rPr>
      </w:pPr>
      <w:r w:rsidRPr="004B58A2">
        <w:rPr>
          <w:lang w:val="fr-FR"/>
        </w:rPr>
        <w:t xml:space="preserve">Dans sa décision de première instance, la Commission a fait référence à certains commentaires instructifs formulés lors de séances du Comité permanent du patrimoine canadien quant aux dispositions qui font l’objet du présent litige.  La Commission a cité ces commentaires et résumé comme suit leur importance (par. 36) : </w:t>
      </w:r>
    </w:p>
    <w:p w:rsidR="00C468F0" w:rsidRPr="004B58A2" w:rsidRDefault="00C468F0" w:rsidP="00C468F0">
      <w:pPr>
        <w:pStyle w:val="Citation-AltC"/>
        <w:spacing w:after="240"/>
        <w:ind w:hanging="1166"/>
        <w:contextualSpacing w:val="0"/>
        <w:rPr>
          <w:lang w:val="fr-FR"/>
        </w:rPr>
      </w:pPr>
      <w:r w:rsidRPr="004B58A2">
        <w:rPr>
          <w:lang w:val="fr-FR"/>
        </w:rPr>
        <w:tab/>
        <w:t xml:space="preserve">. . . la définition d’« enregistrement sonore » a été modifiée à l’étape du Comité afin de s’assurer qu’une bande sonore ne soit pas un </w:t>
      </w:r>
      <w:r w:rsidRPr="004B58A2">
        <w:rPr>
          <w:lang w:val="fr-FR"/>
        </w:rPr>
        <w:lastRenderedPageBreak/>
        <w:t xml:space="preserve">enregistrement et, par conséquent, qu’elle ne donne pas droit à une rémunération équitable lorsqu’elle accompagne un film ou une émission de télévision, alors que la bande sonore serait un enregistrement et donnerait droit à une rémunération équitable lorsqu’elle est exécutée séparément du film ou de l’émission en question.  Les commentaires suivants formulés au cours de l’audience du Comité permanent du patrimoine canadien sont instructifs sur ce point :  </w:t>
      </w:r>
    </w:p>
    <w:p w:rsidR="00C468F0" w:rsidRPr="004B58A2" w:rsidRDefault="00C468F0" w:rsidP="00872450">
      <w:pPr>
        <w:pStyle w:val="Citation-AltC"/>
        <w:spacing w:after="240"/>
        <w:ind w:left="1620" w:hanging="1620"/>
        <w:contextualSpacing w:val="0"/>
        <w:rPr>
          <w:lang w:val="fr-FR"/>
        </w:rPr>
      </w:pPr>
      <w:r w:rsidRPr="004B58A2">
        <w:rPr>
          <w:lang w:val="fr-FR"/>
        </w:rPr>
        <w:tab/>
        <w:t xml:space="preserve">M. Abbott [député] : </w:t>
      </w:r>
      <w:r w:rsidR="00872450" w:rsidRPr="004B58A2">
        <w:rPr>
          <w:lang w:val="fr-FR"/>
        </w:rPr>
        <w:t>[</w:t>
      </w:r>
      <w:r w:rsidRPr="004B58A2">
        <w:rPr>
          <w:lang w:val="fr-FR"/>
        </w:rPr>
        <w:t>. . .</w:t>
      </w:r>
      <w:r w:rsidR="00872450" w:rsidRPr="004B58A2">
        <w:rPr>
          <w:lang w:val="fr-FR"/>
        </w:rPr>
        <w:t>]</w:t>
      </w:r>
      <w:r w:rsidRPr="004B58A2">
        <w:rPr>
          <w:lang w:val="fr-FR"/>
        </w:rPr>
        <w:t xml:space="preserve">  Dans la version actuelle du projet de loi, une bande sonore disponible en disque compact ne pourrait bénéficier des droits en question.  </w:t>
      </w:r>
      <w:proofErr w:type="spellStart"/>
      <w:r w:rsidRPr="004B58A2">
        <w:rPr>
          <w:lang w:val="fr-FR"/>
        </w:rPr>
        <w:t>Est</w:t>
      </w:r>
      <w:r w:rsidRPr="004B58A2">
        <w:rPr>
          <w:lang w:val="fr-FR"/>
        </w:rPr>
        <w:noBreakHyphen/>
        <w:t>ce</w:t>
      </w:r>
      <w:proofErr w:type="spellEnd"/>
      <w:r w:rsidRPr="004B58A2">
        <w:rPr>
          <w:lang w:val="fr-FR"/>
        </w:rPr>
        <w:t xml:space="preserve"> bien ce que vous dites?</w:t>
      </w:r>
    </w:p>
    <w:p w:rsidR="00C468F0" w:rsidRPr="004B58A2" w:rsidRDefault="00C468F0" w:rsidP="00274EC8">
      <w:pPr>
        <w:pStyle w:val="Citation-AltC"/>
        <w:spacing w:after="240"/>
        <w:ind w:left="1620" w:hanging="1620"/>
        <w:contextualSpacing w:val="0"/>
        <w:rPr>
          <w:lang w:val="fr-FR"/>
        </w:rPr>
      </w:pPr>
      <w:r w:rsidRPr="004B58A2">
        <w:rPr>
          <w:lang w:val="fr-FR"/>
        </w:rPr>
        <w:tab/>
        <w:t>M. Bouchard [ministère du Patrimoine canadien] : Dans la version actuelle, c’est exact.</w:t>
      </w:r>
    </w:p>
    <w:p w:rsidR="00C468F0" w:rsidRPr="004B58A2" w:rsidRDefault="00C468F0" w:rsidP="00274EC8">
      <w:pPr>
        <w:pStyle w:val="Citation-AltC"/>
        <w:spacing w:after="240"/>
        <w:ind w:left="1620" w:hanging="1620"/>
        <w:contextualSpacing w:val="0"/>
        <w:rPr>
          <w:lang w:val="fr-FR"/>
        </w:rPr>
      </w:pPr>
      <w:r w:rsidRPr="004B58A2">
        <w:rPr>
          <w:lang w:val="fr-FR"/>
        </w:rPr>
        <w:tab/>
        <w:t xml:space="preserve">M. Abbott : Mais le rajout des mots « lorsqu’elle accompagne » la rend admissible aux droits voisins. </w:t>
      </w:r>
      <w:proofErr w:type="spellStart"/>
      <w:r w:rsidRPr="004B58A2">
        <w:rPr>
          <w:lang w:val="fr-FR"/>
        </w:rPr>
        <w:t>Est</w:t>
      </w:r>
      <w:r w:rsidRPr="004B58A2">
        <w:rPr>
          <w:lang w:val="fr-FR"/>
        </w:rPr>
        <w:noBreakHyphen/>
        <w:t>ce</w:t>
      </w:r>
      <w:proofErr w:type="spellEnd"/>
      <w:r w:rsidRPr="004B58A2">
        <w:rPr>
          <w:lang w:val="fr-FR"/>
        </w:rPr>
        <w:t xml:space="preserve"> bien exact?</w:t>
      </w:r>
    </w:p>
    <w:p w:rsidR="00C468F0" w:rsidRPr="004B58A2" w:rsidRDefault="00C468F0" w:rsidP="00274EC8">
      <w:pPr>
        <w:pStyle w:val="Citation-AltC"/>
        <w:spacing w:after="240"/>
        <w:ind w:left="1620" w:hanging="1620"/>
        <w:contextualSpacing w:val="0"/>
        <w:rPr>
          <w:lang w:val="fr-FR"/>
        </w:rPr>
      </w:pPr>
      <w:r w:rsidRPr="004B58A2">
        <w:rPr>
          <w:lang w:val="fr-FR"/>
        </w:rPr>
        <w:tab/>
        <w:t>M</w:t>
      </w:r>
      <w:r w:rsidRPr="004B58A2">
        <w:rPr>
          <w:vertAlign w:val="superscript"/>
          <w:lang w:val="fr-FR"/>
        </w:rPr>
        <w:t>me</w:t>
      </w:r>
      <w:r w:rsidRPr="004B58A2">
        <w:rPr>
          <w:lang w:val="fr-FR"/>
        </w:rPr>
        <w:t> Katz : Oui, c’est exact.</w:t>
      </w:r>
    </w:p>
    <w:p w:rsidR="00C468F0" w:rsidRPr="004B58A2" w:rsidRDefault="00C468F0" w:rsidP="00274EC8">
      <w:pPr>
        <w:pStyle w:val="Citation-AltC"/>
        <w:spacing w:after="240"/>
        <w:ind w:left="1620" w:hanging="1620"/>
        <w:contextualSpacing w:val="0"/>
        <w:rPr>
          <w:lang w:val="fr-FR"/>
        </w:rPr>
      </w:pPr>
      <w:r w:rsidRPr="004B58A2">
        <w:rPr>
          <w:lang w:val="fr-FR"/>
        </w:rPr>
        <w:tab/>
        <w:t>[. . .]</w:t>
      </w:r>
    </w:p>
    <w:p w:rsidR="00C468F0" w:rsidRPr="004B58A2" w:rsidRDefault="00C468F0" w:rsidP="00274EC8">
      <w:pPr>
        <w:pStyle w:val="Citation-AltC"/>
        <w:spacing w:after="240"/>
        <w:ind w:left="1620" w:hanging="1620"/>
        <w:contextualSpacing w:val="0"/>
        <w:rPr>
          <w:lang w:val="fr-FR"/>
        </w:rPr>
      </w:pPr>
      <w:r w:rsidRPr="004B58A2">
        <w:rPr>
          <w:lang w:val="fr-FR"/>
        </w:rPr>
        <w:tab/>
        <w:t>M. </w:t>
      </w:r>
      <w:proofErr w:type="spellStart"/>
      <w:r w:rsidRPr="004B58A2">
        <w:rPr>
          <w:lang w:val="fr-FR"/>
        </w:rPr>
        <w:t>Richstone</w:t>
      </w:r>
      <w:proofErr w:type="spellEnd"/>
      <w:r w:rsidRPr="004B58A2">
        <w:rPr>
          <w:lang w:val="fr-FR"/>
        </w:rPr>
        <w:t xml:space="preserve"> [ministère de la Justice] :</w:t>
      </w:r>
    </w:p>
    <w:p w:rsidR="00C468F0" w:rsidRPr="004B58A2" w:rsidRDefault="00C468F0" w:rsidP="00274EC8">
      <w:pPr>
        <w:pStyle w:val="Citation-AltC"/>
        <w:spacing w:after="240"/>
        <w:ind w:left="1620" w:hanging="1620"/>
        <w:contextualSpacing w:val="0"/>
        <w:rPr>
          <w:lang w:val="fr-FR"/>
        </w:rPr>
      </w:pPr>
      <w:r w:rsidRPr="004B58A2">
        <w:rPr>
          <w:lang w:val="fr-FR"/>
        </w:rPr>
        <w:tab/>
        <w:t xml:space="preserve">Je voudrais simplement ajouter qu’on trouve dans le projet de loi les mots « partie intégrante », qui causent des soucis à bien du monde au plan technique.  Que signifie « partie intégrante »?  </w:t>
      </w:r>
      <w:proofErr w:type="spellStart"/>
      <w:r w:rsidRPr="004B58A2">
        <w:rPr>
          <w:lang w:val="fr-FR"/>
        </w:rPr>
        <w:t>Va</w:t>
      </w:r>
      <w:r w:rsidRPr="004B58A2">
        <w:rPr>
          <w:lang w:val="fr-FR"/>
        </w:rPr>
        <w:noBreakHyphen/>
        <w:t>t</w:t>
      </w:r>
      <w:r w:rsidRPr="004B58A2">
        <w:rPr>
          <w:lang w:val="fr-FR"/>
        </w:rPr>
        <w:noBreakHyphen/>
        <w:t>il</w:t>
      </w:r>
      <w:proofErr w:type="spellEnd"/>
      <w:r w:rsidRPr="004B58A2">
        <w:rPr>
          <w:lang w:val="fr-FR"/>
        </w:rPr>
        <w:t xml:space="preserve"> falloir appliquer un test conceptuel ou un test matériel?</w:t>
      </w:r>
    </w:p>
    <w:p w:rsidR="00C468F0" w:rsidRPr="004B58A2" w:rsidRDefault="00C468F0" w:rsidP="00274EC8">
      <w:pPr>
        <w:pStyle w:val="Citation-AltC"/>
        <w:spacing w:after="240"/>
        <w:ind w:left="1620" w:hanging="1620"/>
        <w:contextualSpacing w:val="0"/>
        <w:rPr>
          <w:lang w:val="fr-FR"/>
        </w:rPr>
      </w:pPr>
      <w:r w:rsidRPr="004B58A2">
        <w:rPr>
          <w:lang w:val="fr-FR"/>
        </w:rPr>
        <w:tab/>
        <w:t xml:space="preserve">Souvent, la bande sonore d’un film ne fait pas matériellement partie intégrante du film si elle est jouée en même temps.  C’est pourquoi on a choisi les mots « lorsqu’elle accompagne ».  C’est une formule qu’on retrouve dans les législations des </w:t>
      </w:r>
      <w:proofErr w:type="spellStart"/>
      <w:r w:rsidRPr="004B58A2">
        <w:rPr>
          <w:lang w:val="fr-FR"/>
        </w:rPr>
        <w:t>États</w:t>
      </w:r>
      <w:r w:rsidRPr="004B58A2">
        <w:rPr>
          <w:lang w:val="fr-FR"/>
        </w:rPr>
        <w:noBreakHyphen/>
        <w:t>Unis</w:t>
      </w:r>
      <w:proofErr w:type="spellEnd"/>
      <w:r w:rsidRPr="004B58A2">
        <w:rPr>
          <w:lang w:val="fr-FR"/>
        </w:rPr>
        <w:t xml:space="preserve"> et du Commonwealth.</w:t>
      </w:r>
    </w:p>
    <w:p w:rsidR="00C468F0" w:rsidRPr="004B58A2" w:rsidRDefault="00C468F0" w:rsidP="00274EC8">
      <w:pPr>
        <w:pStyle w:val="Citation-AltC"/>
        <w:ind w:left="1627" w:hanging="1627"/>
        <w:contextualSpacing w:val="0"/>
        <w:rPr>
          <w:lang w:val="fr-FR"/>
        </w:rPr>
      </w:pPr>
      <w:r w:rsidRPr="004B58A2">
        <w:rPr>
          <w:lang w:val="fr-FR"/>
        </w:rPr>
        <w:tab/>
        <w:t>Lorsque la bande sonore accompagne une œuvre cinématographique, elle fait partie de cette œuvre cinématographique.  Lorsqu’elle n’accompagne p</w:t>
      </w:r>
      <w:r w:rsidR="00274EC8" w:rsidRPr="004B58A2">
        <w:rPr>
          <w:lang w:val="fr-FR"/>
        </w:rPr>
        <w:t>as une œuvre cinématographique,</w:t>
      </w:r>
      <w:r w:rsidRPr="004B58A2">
        <w:rPr>
          <w:lang w:val="fr-FR"/>
        </w:rPr>
        <w:t xml:space="preserve"> c’est</w:t>
      </w:r>
      <w:r w:rsidRPr="004B58A2">
        <w:rPr>
          <w:lang w:val="fr-FR"/>
        </w:rPr>
        <w:noBreakHyphen/>
      </w:r>
      <w:proofErr w:type="spellStart"/>
      <w:r w:rsidRPr="004B58A2">
        <w:rPr>
          <w:lang w:val="fr-FR"/>
        </w:rPr>
        <w:t>à</w:t>
      </w:r>
      <w:r w:rsidRPr="004B58A2">
        <w:rPr>
          <w:lang w:val="fr-FR"/>
        </w:rPr>
        <w:noBreakHyphen/>
        <w:t>dire</w:t>
      </w:r>
      <w:proofErr w:type="spellEnd"/>
      <w:r w:rsidRPr="004B58A2">
        <w:rPr>
          <w:lang w:val="fr-FR"/>
        </w:rPr>
        <w:t xml:space="preserve"> lorsqu’elle est vendue, exploitée ou présentée à part, e</w:t>
      </w:r>
      <w:r w:rsidR="00274EC8" w:rsidRPr="004B58A2">
        <w:rPr>
          <w:lang w:val="fr-FR"/>
        </w:rPr>
        <w:t>n tant qu’enregistrement sonore,</w:t>
      </w:r>
      <w:r w:rsidRPr="004B58A2">
        <w:rPr>
          <w:lang w:val="fr-FR"/>
        </w:rPr>
        <w:t xml:space="preserve"> elle est alors protégée à ce titre.</w:t>
      </w:r>
      <w:r w:rsidR="00274EC8" w:rsidRPr="004B58A2">
        <w:rPr>
          <w:lang w:val="fr-FR"/>
        </w:rPr>
        <w:t xml:space="preserve">  </w:t>
      </w:r>
      <w:r w:rsidRPr="004B58A2">
        <w:rPr>
          <w:lang w:val="fr-FR"/>
        </w:rPr>
        <w:t>[</w:t>
      </w:r>
      <w:r w:rsidR="00F401FB" w:rsidRPr="004B58A2">
        <w:rPr>
          <w:lang w:val="fr-FR"/>
        </w:rPr>
        <w:t>Italiques</w:t>
      </w:r>
      <w:r w:rsidRPr="004B58A2">
        <w:rPr>
          <w:lang w:val="fr-FR"/>
        </w:rPr>
        <w:t xml:space="preserve"> omis; passages entre crochets dans l’original.]</w:t>
      </w:r>
    </w:p>
    <w:p w:rsidR="00C468F0" w:rsidRPr="004B58A2" w:rsidRDefault="00C468F0" w:rsidP="00C468F0">
      <w:pPr>
        <w:pStyle w:val="ParaNoNdepar-AltN"/>
        <w:rPr>
          <w:lang w:val="fr-FR"/>
        </w:rPr>
      </w:pPr>
      <w:r w:rsidRPr="004B58A2">
        <w:rPr>
          <w:lang w:val="fr-FR"/>
        </w:rPr>
        <w:lastRenderedPageBreak/>
        <w:t xml:space="preserve">Ces commentaires confirment que le verbe « accompagne » ouvrirait la voie à une rémunération en vertu de l’art. 19 pour une bande sonore fixée sur un CD alors qu’elle ne donnerait pas droit à une telle rémunération si elle n’était pas fixée sur un tel support.  Il est difficile d’imaginer que le commentaire relatif à « une bande sonore </w:t>
      </w:r>
      <w:r w:rsidR="00274EC8" w:rsidRPr="004B58A2">
        <w:rPr>
          <w:lang w:val="fr-FR"/>
        </w:rPr>
        <w:t xml:space="preserve">disponible </w:t>
      </w:r>
      <w:r w:rsidRPr="004B58A2">
        <w:rPr>
          <w:lang w:val="fr-FR"/>
        </w:rPr>
        <w:t xml:space="preserve">en disque compact » ferait référence à un CD qui contiendrait </w:t>
      </w:r>
      <w:r w:rsidR="00274EC8" w:rsidRPr="004B58A2">
        <w:rPr>
          <w:lang w:val="fr-FR"/>
        </w:rPr>
        <w:t>[</w:t>
      </w:r>
      <w:r w:rsidR="00274EC8" w:rsidRPr="004B58A2">
        <w:rPr>
          <w:smallCaps/>
          <w:lang w:val="fr-FR"/>
        </w:rPr>
        <w:t>traduction</w:t>
      </w:r>
      <w:r w:rsidR="00274EC8" w:rsidRPr="004B58A2">
        <w:rPr>
          <w:lang w:val="fr-FR"/>
        </w:rPr>
        <w:t xml:space="preserve">] </w:t>
      </w:r>
      <w:r w:rsidRPr="004B58A2">
        <w:rPr>
          <w:lang w:val="fr-FR"/>
        </w:rPr>
        <w:t>« l’ensemble des sons qui accompagnent un film en tant que tout ».  Pourtant,  l’appelante recommande vivement l’adoption de cette interprétation de l’expression « bande sonore » par la Cour.  Si cette interprétation était la bonne, le CD en question devrait comprendre, non seulement les enregistrements préexistants, mais également tous les dialogues, les effets sonores, la musique d’ambiance et les bruits du film.  Il ne pourrait pas comprendre uniquement les enregistrements sonores préexistants utilisés dans un film.</w:t>
      </w:r>
    </w:p>
    <w:p w:rsidR="00C468F0" w:rsidRPr="004B58A2" w:rsidRDefault="00C468F0" w:rsidP="00C468F0">
      <w:pPr>
        <w:pStyle w:val="ParaNoNdepar-AltN"/>
        <w:rPr>
          <w:lang w:val="fr-FR"/>
        </w:rPr>
      </w:pPr>
      <w:r w:rsidRPr="004B58A2">
        <w:rPr>
          <w:lang w:val="fr-FR"/>
        </w:rPr>
        <w:t xml:space="preserve">L’interprétation de l’appelante doit être rejetée. </w:t>
      </w:r>
    </w:p>
    <w:p w:rsidR="00C468F0" w:rsidRPr="004B58A2" w:rsidRDefault="00C468F0" w:rsidP="00274EC8">
      <w:pPr>
        <w:pStyle w:val="TitleTitre-AltT"/>
        <w:keepNext/>
        <w:tabs>
          <w:tab w:val="clear" w:pos="360"/>
          <w:tab w:val="left" w:pos="540"/>
        </w:tabs>
        <w:ind w:left="540" w:hanging="540"/>
        <w:rPr>
          <w:lang w:val="fr-CA"/>
        </w:rPr>
      </w:pPr>
      <w:r w:rsidRPr="004B58A2">
        <w:rPr>
          <w:lang w:val="fr-CA"/>
        </w:rPr>
        <w:t>E.</w:t>
      </w:r>
      <w:r w:rsidRPr="004B58A2">
        <w:rPr>
          <w:lang w:val="fr-CA"/>
        </w:rPr>
        <w:tab/>
      </w:r>
      <w:r w:rsidRPr="004B58A2">
        <w:rPr>
          <w:i/>
          <w:lang w:val="fr-CA"/>
        </w:rPr>
        <w:t>Droit comparatif et règles internationales</w:t>
      </w:r>
    </w:p>
    <w:p w:rsidR="00C468F0" w:rsidRPr="004B58A2" w:rsidRDefault="00C468F0" w:rsidP="00C468F0">
      <w:pPr>
        <w:pStyle w:val="ParaNoNdepar-AltN"/>
        <w:rPr>
          <w:lang w:val="fr-FR"/>
        </w:rPr>
      </w:pPr>
      <w:r w:rsidRPr="004B58A2">
        <w:rPr>
          <w:lang w:val="fr-FR"/>
        </w:rPr>
        <w:t>L’appelante prétend que la jurisprudence étrangère appuie sa thèse. En fait, cette jurisprudence énonce clairement les différences importantes qui existent entre la législation canadienne sur le droit d’auteur et la législation étrangère en cette matière sur laquelle ces décisions ont été fondées.</w:t>
      </w:r>
    </w:p>
    <w:p w:rsidR="00C468F0" w:rsidRPr="004B58A2" w:rsidRDefault="00C468F0" w:rsidP="00C468F0">
      <w:pPr>
        <w:pStyle w:val="ParaNoNdepar-AltN"/>
        <w:rPr>
          <w:lang w:val="fr-FR"/>
        </w:rPr>
      </w:pPr>
      <w:r w:rsidRPr="004B58A2">
        <w:rPr>
          <w:lang w:val="fr-FR"/>
        </w:rPr>
        <w:lastRenderedPageBreak/>
        <w:t xml:space="preserve">La </w:t>
      </w:r>
      <w:r w:rsidRPr="004B58A2">
        <w:rPr>
          <w:i/>
          <w:lang w:val="fr-FR"/>
        </w:rPr>
        <w:t xml:space="preserve">Copyright </w:t>
      </w:r>
      <w:proofErr w:type="spellStart"/>
      <w:r w:rsidRPr="004B58A2">
        <w:rPr>
          <w:i/>
          <w:lang w:val="fr-FR"/>
        </w:rPr>
        <w:t>Act</w:t>
      </w:r>
      <w:proofErr w:type="spellEnd"/>
      <w:r w:rsidRPr="000B4B41">
        <w:rPr>
          <w:i/>
          <w:lang w:val="fr-FR"/>
        </w:rPr>
        <w:t>,</w:t>
      </w:r>
      <w:r w:rsidRPr="004B58A2">
        <w:rPr>
          <w:lang w:val="fr-FR"/>
        </w:rPr>
        <w:t xml:space="preserve"> </w:t>
      </w:r>
      <w:r w:rsidRPr="004B58A2">
        <w:rPr>
          <w:i/>
          <w:lang w:val="fr-FR"/>
        </w:rPr>
        <w:t>1956</w:t>
      </w:r>
      <w:r w:rsidRPr="004B58A2">
        <w:rPr>
          <w:lang w:val="fr-FR"/>
        </w:rPr>
        <w:t>, ch. 74</w:t>
      </w:r>
      <w:r w:rsidR="00274EC8" w:rsidRPr="004B58A2">
        <w:rPr>
          <w:lang w:val="fr-FR"/>
        </w:rPr>
        <w:t xml:space="preserve">, du Royaume-Uni donne une définition du terme </w:t>
      </w:r>
      <w:r w:rsidRPr="004B58A2">
        <w:rPr>
          <w:lang w:val="fr-FR"/>
        </w:rPr>
        <w:t>«</w:t>
      </w:r>
      <w:r w:rsidR="00F401FB" w:rsidRPr="004B58A2">
        <w:rPr>
          <w:lang w:val="fr-FR"/>
        </w:rPr>
        <w:t xml:space="preserve"> </w:t>
      </w:r>
      <w:proofErr w:type="spellStart"/>
      <w:r w:rsidR="00F401FB" w:rsidRPr="004B58A2">
        <w:rPr>
          <w:i/>
          <w:lang w:val="fr-FR"/>
        </w:rPr>
        <w:t>sound</w:t>
      </w:r>
      <w:proofErr w:type="spellEnd"/>
      <w:r w:rsidR="00F401FB" w:rsidRPr="004B58A2">
        <w:rPr>
          <w:i/>
          <w:lang w:val="fr-FR"/>
        </w:rPr>
        <w:t xml:space="preserve"> </w:t>
      </w:r>
      <w:proofErr w:type="spellStart"/>
      <w:r w:rsidR="00F401FB" w:rsidRPr="004B58A2">
        <w:rPr>
          <w:i/>
          <w:lang w:val="fr-FR"/>
        </w:rPr>
        <w:t>recording</w:t>
      </w:r>
      <w:proofErr w:type="spellEnd"/>
      <w:r w:rsidRPr="004B58A2">
        <w:rPr>
          <w:lang w:val="fr-FR"/>
        </w:rPr>
        <w:t xml:space="preserve"> » </w:t>
      </w:r>
      <w:r w:rsidR="00274EC8" w:rsidRPr="004B58A2">
        <w:rPr>
          <w:lang w:val="fr-FR"/>
        </w:rPr>
        <w:t xml:space="preserve">(enregistrement sonore)  </w:t>
      </w:r>
      <w:r w:rsidRPr="004B58A2">
        <w:rPr>
          <w:lang w:val="fr-FR"/>
        </w:rPr>
        <w:t xml:space="preserve">qui est fondamentalement différente de celle qui figure dans la loi canadienne.  La portion pertinente du par. 12(9) se lit comme suit : </w:t>
      </w:r>
    </w:p>
    <w:p w:rsidR="00C468F0" w:rsidRPr="004B58A2" w:rsidRDefault="00C468F0" w:rsidP="00F401FB">
      <w:pPr>
        <w:pStyle w:val="Citation-AltC"/>
        <w:tabs>
          <w:tab w:val="left" w:pos="1710"/>
        </w:tabs>
        <w:ind w:hanging="1166"/>
        <w:contextualSpacing w:val="0"/>
        <w:rPr>
          <w:lang w:val="fr-FR"/>
        </w:rPr>
      </w:pPr>
      <w:r w:rsidRPr="004B58A2">
        <w:rPr>
          <w:lang w:val="fr-FR"/>
        </w:rPr>
        <w:tab/>
      </w:r>
      <w:r w:rsidRPr="004B58A2">
        <w:rPr>
          <w:lang w:val="fr-FR"/>
        </w:rPr>
        <w:tab/>
      </w:r>
      <w:r w:rsidR="00F401FB" w:rsidRPr="004B58A2">
        <w:rPr>
          <w:lang w:val="fr-CA"/>
        </w:rPr>
        <w:t>[</w:t>
      </w:r>
      <w:r w:rsidR="00F401FB" w:rsidRPr="004B58A2">
        <w:rPr>
          <w:smallCaps/>
          <w:lang w:val="fr-CA"/>
        </w:rPr>
        <w:t>traduction</w:t>
      </w:r>
      <w:r w:rsidR="00F401FB" w:rsidRPr="004B58A2">
        <w:rPr>
          <w:lang w:val="fr-CA"/>
        </w:rPr>
        <w:t xml:space="preserve">] </w:t>
      </w:r>
      <w:r w:rsidRPr="004B58A2">
        <w:rPr>
          <w:lang w:val="fr-FR"/>
        </w:rPr>
        <w:t xml:space="preserve">Dans la présente Loi, « enregistrement sonore » s’entend d’un </w:t>
      </w:r>
      <w:r w:rsidRPr="004B58A2">
        <w:rPr>
          <w:u w:val="single"/>
          <w:lang w:val="fr-FR"/>
        </w:rPr>
        <w:t>ensemble de sons</w:t>
      </w:r>
      <w:r w:rsidRPr="004B58A2">
        <w:rPr>
          <w:lang w:val="fr-FR"/>
        </w:rPr>
        <w:t xml:space="preserve"> intégrés à un support quel qu’il soit et reproductibles grâce à lui, sauf une bande sonore associée à un film cinématographique;</w:t>
      </w:r>
    </w:p>
    <w:p w:rsidR="00C468F0" w:rsidRPr="004B58A2" w:rsidRDefault="00C468F0" w:rsidP="00C468F0">
      <w:pPr>
        <w:pStyle w:val="ParaNoNdepar-AltN"/>
        <w:rPr>
          <w:lang w:val="fr-FR"/>
        </w:rPr>
      </w:pPr>
      <w:r w:rsidRPr="004B58A2">
        <w:rPr>
          <w:lang w:val="fr-FR"/>
        </w:rPr>
        <w:t xml:space="preserve">La </w:t>
      </w:r>
      <w:r w:rsidRPr="004B58A2">
        <w:rPr>
          <w:i/>
          <w:lang w:val="fr-FR"/>
        </w:rPr>
        <w:t xml:space="preserve">Copyright </w:t>
      </w:r>
      <w:proofErr w:type="spellStart"/>
      <w:r w:rsidRPr="004B58A2">
        <w:rPr>
          <w:i/>
          <w:lang w:val="fr-FR"/>
        </w:rPr>
        <w:t>Act</w:t>
      </w:r>
      <w:proofErr w:type="spellEnd"/>
      <w:r w:rsidRPr="004B58A2">
        <w:rPr>
          <w:lang w:val="fr-FR"/>
        </w:rPr>
        <w:t xml:space="preserve"> </w:t>
      </w:r>
      <w:r w:rsidRPr="004B58A2">
        <w:rPr>
          <w:i/>
          <w:lang w:val="fr-FR"/>
        </w:rPr>
        <w:t>1968</w:t>
      </w:r>
      <w:r w:rsidRPr="004B58A2">
        <w:rPr>
          <w:lang w:val="fr-FR"/>
        </w:rPr>
        <w:t>, n</w:t>
      </w:r>
      <w:r w:rsidRPr="004B58A2">
        <w:rPr>
          <w:vertAlign w:val="superscript"/>
          <w:lang w:val="fr-FR"/>
        </w:rPr>
        <w:t>o</w:t>
      </w:r>
      <w:r w:rsidR="00F401FB" w:rsidRPr="004B58A2">
        <w:rPr>
          <w:lang w:val="fr-FR"/>
        </w:rPr>
        <w:t xml:space="preserve"> 63, d’Australie définit le terme </w:t>
      </w:r>
      <w:r w:rsidRPr="004B58A2">
        <w:rPr>
          <w:lang w:val="fr-FR"/>
        </w:rPr>
        <w:t>« </w:t>
      </w:r>
      <w:proofErr w:type="spellStart"/>
      <w:r w:rsidR="00F401FB" w:rsidRPr="004B58A2">
        <w:rPr>
          <w:i/>
          <w:lang w:val="fr-FR"/>
        </w:rPr>
        <w:t>sound</w:t>
      </w:r>
      <w:proofErr w:type="spellEnd"/>
      <w:r w:rsidR="00F401FB" w:rsidRPr="004B58A2">
        <w:rPr>
          <w:i/>
          <w:lang w:val="fr-FR"/>
        </w:rPr>
        <w:t xml:space="preserve"> </w:t>
      </w:r>
      <w:proofErr w:type="spellStart"/>
      <w:r w:rsidR="00F401FB" w:rsidRPr="004B58A2">
        <w:rPr>
          <w:i/>
          <w:lang w:val="fr-FR"/>
        </w:rPr>
        <w:t>recording</w:t>
      </w:r>
      <w:proofErr w:type="spellEnd"/>
      <w:r w:rsidRPr="004B58A2">
        <w:rPr>
          <w:lang w:val="fr-FR"/>
        </w:rPr>
        <w:t> »</w:t>
      </w:r>
      <w:r w:rsidR="00F401FB" w:rsidRPr="004B58A2">
        <w:rPr>
          <w:lang w:val="fr-FR"/>
        </w:rPr>
        <w:t xml:space="preserve"> (enregistrement sonore)</w:t>
      </w:r>
      <w:r w:rsidRPr="004B58A2">
        <w:rPr>
          <w:lang w:val="fr-FR"/>
        </w:rPr>
        <w:t xml:space="preserve"> comme un [</w:t>
      </w:r>
      <w:r w:rsidRPr="004B58A2">
        <w:rPr>
          <w:smallCaps/>
          <w:lang w:val="fr-FR"/>
        </w:rPr>
        <w:t>traduction</w:t>
      </w:r>
      <w:r w:rsidRPr="004B58A2">
        <w:rPr>
          <w:lang w:val="fr-FR"/>
        </w:rPr>
        <w:t>] « </w:t>
      </w:r>
      <w:r w:rsidRPr="004B58A2">
        <w:rPr>
          <w:u w:val="single"/>
          <w:lang w:val="fr-FR"/>
        </w:rPr>
        <w:t>ensemble</w:t>
      </w:r>
      <w:r w:rsidRPr="004B58A2">
        <w:rPr>
          <w:lang w:val="fr-FR"/>
        </w:rPr>
        <w:t xml:space="preserve"> de sons intégrés à un support (art. 10) ».  Le terme « </w:t>
      </w:r>
      <w:proofErr w:type="spellStart"/>
      <w:r w:rsidR="00F401FB" w:rsidRPr="004B58A2">
        <w:rPr>
          <w:i/>
          <w:lang w:val="fr-FR"/>
        </w:rPr>
        <w:t>cinematograph</w:t>
      </w:r>
      <w:proofErr w:type="spellEnd"/>
      <w:r w:rsidR="00F401FB" w:rsidRPr="004B58A2">
        <w:rPr>
          <w:i/>
          <w:lang w:val="fr-FR"/>
        </w:rPr>
        <w:t xml:space="preserve"> film</w:t>
      </w:r>
      <w:r w:rsidRPr="004B58A2">
        <w:rPr>
          <w:lang w:val="fr-FR"/>
        </w:rPr>
        <w:t> »</w:t>
      </w:r>
      <w:r w:rsidR="00F401FB" w:rsidRPr="004B58A2">
        <w:rPr>
          <w:lang w:val="fr-FR"/>
        </w:rPr>
        <w:t xml:space="preserve"> (film cinématographique)</w:t>
      </w:r>
      <w:r w:rsidR="004F480F">
        <w:rPr>
          <w:lang w:val="fr-FR"/>
        </w:rPr>
        <w:t>, y est défini comme </w:t>
      </w:r>
    </w:p>
    <w:p w:rsidR="00C468F0" w:rsidRPr="004B58A2" w:rsidRDefault="00C468F0" w:rsidP="00F401FB">
      <w:pPr>
        <w:pStyle w:val="Citation-AltC"/>
        <w:keepNext/>
        <w:tabs>
          <w:tab w:val="left" w:pos="1710"/>
        </w:tabs>
        <w:ind w:hanging="1166"/>
        <w:contextualSpacing w:val="0"/>
        <w:rPr>
          <w:lang w:val="fr-FR"/>
        </w:rPr>
      </w:pPr>
      <w:r w:rsidRPr="004B58A2">
        <w:rPr>
          <w:lang w:val="fr-FR"/>
        </w:rPr>
        <w:tab/>
      </w:r>
      <w:r w:rsidR="00F401FB" w:rsidRPr="004B58A2">
        <w:rPr>
          <w:lang w:val="fr-FR"/>
        </w:rPr>
        <w:t>[</w:t>
      </w:r>
      <w:r w:rsidR="00F401FB" w:rsidRPr="004B58A2">
        <w:rPr>
          <w:smallCaps/>
          <w:lang w:val="fr-CA"/>
        </w:rPr>
        <w:t>traduction</w:t>
      </w:r>
      <w:r w:rsidR="00F401FB" w:rsidRPr="004B58A2">
        <w:rPr>
          <w:lang w:val="fr-FR"/>
        </w:rPr>
        <w:t xml:space="preserve">] </w:t>
      </w:r>
      <w:r w:rsidRPr="004B58A2">
        <w:rPr>
          <w:lang w:val="fr-FR"/>
        </w:rPr>
        <w:t>l’</w:t>
      </w:r>
      <w:r w:rsidRPr="004B58A2">
        <w:rPr>
          <w:u w:val="single"/>
          <w:lang w:val="fr-FR"/>
        </w:rPr>
        <w:t>ensemble</w:t>
      </w:r>
      <w:r w:rsidRPr="004B58A2">
        <w:rPr>
          <w:lang w:val="fr-FR"/>
        </w:rPr>
        <w:t xml:space="preserve"> des images visuelles intégrées dans un article ou objet de manière à être en mesure d’utiliser l’article ou l’objet </w:t>
      </w:r>
      <w:r w:rsidR="000B4B41">
        <w:rPr>
          <w:lang w:val="fr-FR"/>
        </w:rPr>
        <w:t>[</w:t>
      </w:r>
      <w:r w:rsidRPr="004B58A2">
        <w:rPr>
          <w:lang w:val="fr-FR"/>
        </w:rPr>
        <w:t>. . .</w:t>
      </w:r>
      <w:r w:rsidR="000B4B41">
        <w:rPr>
          <w:lang w:val="fr-FR"/>
        </w:rPr>
        <w:t>]</w:t>
      </w:r>
      <w:r w:rsidRPr="004B58A2">
        <w:rPr>
          <w:lang w:val="fr-FR"/>
        </w:rPr>
        <w:t xml:space="preserve"> et comprend l’</w:t>
      </w:r>
      <w:r w:rsidRPr="007151E8">
        <w:rPr>
          <w:u w:val="single"/>
          <w:lang w:val="fr-FR"/>
        </w:rPr>
        <w:t>ensemble</w:t>
      </w:r>
      <w:r w:rsidRPr="004B58A2">
        <w:rPr>
          <w:lang w:val="fr-FR"/>
        </w:rPr>
        <w:t xml:space="preserve"> des sons intégrés à une bande sonore associée à de telles images;  [art. 10]</w:t>
      </w:r>
    </w:p>
    <w:p w:rsidR="00C468F0" w:rsidRPr="004B58A2" w:rsidRDefault="00C468F0" w:rsidP="00C468F0">
      <w:pPr>
        <w:pStyle w:val="ParaNoNdepar-AltN"/>
        <w:rPr>
          <w:lang w:val="fr-FR"/>
        </w:rPr>
      </w:pPr>
      <w:r w:rsidRPr="004B58A2">
        <w:rPr>
          <w:lang w:val="fr-FR"/>
        </w:rPr>
        <w:t xml:space="preserve">Ces définitions </w:t>
      </w:r>
      <w:r w:rsidRPr="004B58A2">
        <w:rPr>
          <w:rFonts w:cs="Times New Roman"/>
          <w:lang w:val="fr-FR"/>
        </w:rPr>
        <w:t>—</w:t>
      </w:r>
      <w:r w:rsidRPr="004B58A2">
        <w:rPr>
          <w:lang w:val="fr-FR"/>
        </w:rPr>
        <w:t xml:space="preserve"> contrairement à celle de la loi canadienne </w:t>
      </w:r>
      <w:r w:rsidRPr="004B58A2">
        <w:rPr>
          <w:rFonts w:cs="Times New Roman"/>
          <w:lang w:val="fr-FR"/>
        </w:rPr>
        <w:t>—</w:t>
      </w:r>
      <w:r w:rsidRPr="004B58A2">
        <w:rPr>
          <w:lang w:val="fr-FR"/>
        </w:rPr>
        <w:t xml:space="preserve"> font référence au concept d’« ensemble » de sons.  La différence entre les lois canadienne et étrangères est suffisamment manifeste pour écarter toute valeur probante qu’auraient pu autrement avoir les causes qui ont appliqué ce concept fondé sur les lois étrangères.</w:t>
      </w:r>
    </w:p>
    <w:p w:rsidR="00C468F0" w:rsidRPr="004B58A2" w:rsidRDefault="00C468F0" w:rsidP="00C468F0">
      <w:pPr>
        <w:pStyle w:val="ParaNoNdepar-AltN"/>
        <w:rPr>
          <w:lang w:val="fr-FR"/>
        </w:rPr>
      </w:pPr>
      <w:r w:rsidRPr="004B58A2">
        <w:rPr>
          <w:lang w:val="fr-FR"/>
        </w:rPr>
        <w:lastRenderedPageBreak/>
        <w:t xml:space="preserve">La décision sur laquelle l’appelante se fonde le plus a été rendue par la Haute Cour d’Australie dans </w:t>
      </w:r>
      <w:proofErr w:type="spellStart"/>
      <w:r w:rsidRPr="004B58A2">
        <w:rPr>
          <w:i/>
          <w:lang w:val="fr-FR"/>
        </w:rPr>
        <w:t>Phonographic</w:t>
      </w:r>
      <w:proofErr w:type="spellEnd"/>
      <w:r w:rsidRPr="004B58A2">
        <w:rPr>
          <w:i/>
          <w:lang w:val="fr-FR"/>
        </w:rPr>
        <w:t xml:space="preserve"> Performance Co. of </w:t>
      </w:r>
      <w:proofErr w:type="spellStart"/>
      <w:r w:rsidRPr="004B58A2">
        <w:rPr>
          <w:i/>
          <w:lang w:val="fr-FR"/>
        </w:rPr>
        <w:t>Australia</w:t>
      </w:r>
      <w:proofErr w:type="spellEnd"/>
      <w:r w:rsidRPr="004B58A2">
        <w:rPr>
          <w:i/>
          <w:lang w:val="fr-FR"/>
        </w:rPr>
        <w:t xml:space="preserve"> Ltd. c. </w:t>
      </w:r>
      <w:proofErr w:type="spellStart"/>
      <w:r w:rsidRPr="004B58A2">
        <w:rPr>
          <w:i/>
          <w:lang w:val="fr-FR"/>
        </w:rPr>
        <w:t>Federation</w:t>
      </w:r>
      <w:proofErr w:type="spellEnd"/>
      <w:r w:rsidRPr="004B58A2">
        <w:rPr>
          <w:i/>
          <w:lang w:val="fr-FR"/>
        </w:rPr>
        <w:t xml:space="preserve"> of </w:t>
      </w:r>
      <w:proofErr w:type="spellStart"/>
      <w:r w:rsidRPr="004B58A2">
        <w:rPr>
          <w:i/>
          <w:lang w:val="fr-FR"/>
        </w:rPr>
        <w:t>Australian</w:t>
      </w:r>
      <w:proofErr w:type="spellEnd"/>
      <w:r w:rsidRPr="004B58A2">
        <w:rPr>
          <w:i/>
          <w:lang w:val="fr-FR"/>
        </w:rPr>
        <w:t xml:space="preserve"> Commercial </w:t>
      </w:r>
      <w:proofErr w:type="spellStart"/>
      <w:r w:rsidRPr="004B58A2">
        <w:rPr>
          <w:i/>
          <w:lang w:val="fr-FR"/>
        </w:rPr>
        <w:t>Television</w:t>
      </w:r>
      <w:proofErr w:type="spellEnd"/>
      <w:r w:rsidRPr="004B58A2">
        <w:rPr>
          <w:i/>
          <w:lang w:val="fr-FR"/>
        </w:rPr>
        <w:t xml:space="preserve"> Stations</w:t>
      </w:r>
      <w:r w:rsidRPr="004B58A2">
        <w:rPr>
          <w:lang w:val="fr-FR"/>
        </w:rPr>
        <w:t>, [1998] HCA 39, 195 C.L.R. 158.  Dans cette affaire, la Haute Cour était saisie d’une question similaire à celle que nous devons traiter en l’espèce.  En se fondant sur les définitions qui figurent dans la loi australienne, la Haute Cour a conclu que [</w:t>
      </w:r>
      <w:r w:rsidRPr="004B58A2">
        <w:rPr>
          <w:smallCaps/>
          <w:lang w:val="fr-FR"/>
        </w:rPr>
        <w:t>traduction</w:t>
      </w:r>
      <w:r w:rsidRPr="004B58A2">
        <w:rPr>
          <w:lang w:val="fr-FR"/>
        </w:rPr>
        <w:t xml:space="preserve">] « [c]e que la loi estime ne pas être un enregistrement sonore est </w:t>
      </w:r>
      <w:r w:rsidRPr="004B58A2">
        <w:rPr>
          <w:u w:val="single"/>
          <w:lang w:val="fr-FR"/>
        </w:rPr>
        <w:t>l’ensemble des sons enregistrés sous une forme particulière : la bande sonore</w:t>
      </w:r>
      <w:r w:rsidRPr="004B58A2">
        <w:rPr>
          <w:lang w:val="fr-FR"/>
        </w:rPr>
        <w:t> » (par. 22 (je souligne)).  Toutefois, la loi en cause dans cette affaire était différente de la loi canadienne et, pire, la Haute Cour était très divisée quant à la question, deux juges ayant été dissidents.</w:t>
      </w:r>
    </w:p>
    <w:p w:rsidR="00C468F0" w:rsidRPr="004B58A2" w:rsidRDefault="00C468F0" w:rsidP="00C468F0">
      <w:pPr>
        <w:pStyle w:val="ParaNoNdepar-AltN"/>
        <w:rPr>
          <w:lang w:val="fr-FR"/>
        </w:rPr>
      </w:pPr>
      <w:r w:rsidRPr="004B58A2">
        <w:rPr>
          <w:lang w:val="fr-FR"/>
        </w:rPr>
        <w:t xml:space="preserve">En l’espèce, l’appelante avance essentiellement les mêmes arguments que ceux invoqués dans la cause australienne et demande à la Cour de conclure comme l’ont fait les juges majoritaires de la Haute Cour d’Australie.  Or, non seulement la Cour n’est-elle pas liée par ce précédent, mais, en outre, ce dernier ne convainc pas dans le contexte de la présente espèce.  Comme l’a souligné la Cour d’appel fédérale dans la présente affaire, les arrêts étrangers sur lesquels se fonde l’appelante ne peuvent nous guider et ne servent qu’à mettre en évidence les différences entre la loi canadienne et celles d’autres pays. </w:t>
      </w:r>
    </w:p>
    <w:p w:rsidR="00C468F0" w:rsidRPr="004B58A2" w:rsidRDefault="00C468F0" w:rsidP="00C468F0">
      <w:pPr>
        <w:pStyle w:val="ParaNoNdepar-AltN"/>
        <w:rPr>
          <w:lang w:val="fr-FR"/>
        </w:rPr>
      </w:pPr>
      <w:r w:rsidRPr="004B58A2">
        <w:rPr>
          <w:lang w:val="fr-FR"/>
        </w:rPr>
        <w:t xml:space="preserve">L’appelante fait aussi valoir que la Loi est incompatible avec la </w:t>
      </w:r>
      <w:r w:rsidRPr="004B58A2">
        <w:rPr>
          <w:i/>
          <w:lang w:val="fr-FR"/>
        </w:rPr>
        <w:t>Convention de Rome</w:t>
      </w:r>
      <w:r w:rsidRPr="004B58A2">
        <w:rPr>
          <w:lang w:val="fr-FR"/>
        </w:rPr>
        <w:t>.</w:t>
      </w:r>
    </w:p>
    <w:p w:rsidR="00C468F0" w:rsidRPr="004B58A2" w:rsidRDefault="00C468F0" w:rsidP="00C468F0">
      <w:pPr>
        <w:pStyle w:val="ParaNoNdepar-AltN"/>
        <w:rPr>
          <w:lang w:val="fr-FR"/>
        </w:rPr>
      </w:pPr>
      <w:r w:rsidRPr="004B58A2">
        <w:rPr>
          <w:lang w:val="fr-FR"/>
        </w:rPr>
        <w:lastRenderedPageBreak/>
        <w:t xml:space="preserve">Comme je l’ai déjà mentionné, la </w:t>
      </w:r>
      <w:r w:rsidRPr="004B58A2">
        <w:rPr>
          <w:i/>
          <w:lang w:val="fr-FR"/>
        </w:rPr>
        <w:t>Convention de Rome</w:t>
      </w:r>
      <w:r w:rsidRPr="004B58A2">
        <w:rPr>
          <w:lang w:val="fr-FR"/>
        </w:rPr>
        <w:t xml:space="preserve"> énonce que « [l]es producteurs de phonogrammes jouissent du droit d’autoriser ou d’interdire la reproduction directe ou indirec</w:t>
      </w:r>
      <w:r w:rsidR="00474E13">
        <w:rPr>
          <w:lang w:val="fr-FR"/>
        </w:rPr>
        <w:t>te de leurs phonogrammes » (article</w:t>
      </w:r>
      <w:r w:rsidRPr="004B58A2">
        <w:rPr>
          <w:lang w:val="fr-FR"/>
        </w:rPr>
        <w:t xml:space="preserve"> 10).  L’appelante soutient que les producteurs de bandes sonores n’auraient pas ce droit si un enregistrement sonore préexistant était une bande sonore.  Elle en conclut que la Loi, compte tenu de l’interprétation qu’en donne la Cour d’appel fédérale, contrevient à la </w:t>
      </w:r>
      <w:r w:rsidRPr="004B58A2">
        <w:rPr>
          <w:i/>
          <w:lang w:val="fr-FR"/>
        </w:rPr>
        <w:t>Convention de Rome</w:t>
      </w:r>
      <w:r w:rsidRPr="004B58A2">
        <w:rPr>
          <w:lang w:val="fr-FR"/>
        </w:rPr>
        <w:t xml:space="preserve">.  </w:t>
      </w:r>
    </w:p>
    <w:p w:rsidR="00C468F0" w:rsidRPr="004B58A2" w:rsidRDefault="00C468F0" w:rsidP="00C468F0">
      <w:pPr>
        <w:pStyle w:val="ParaNoNdepar-AltN"/>
        <w:rPr>
          <w:lang w:val="fr-FR"/>
        </w:rPr>
      </w:pPr>
      <w:r w:rsidRPr="004B58A2">
        <w:rPr>
          <w:lang w:val="fr-FR"/>
        </w:rPr>
        <w:t>L</w:t>
      </w:r>
      <w:r w:rsidR="00FE2CB7">
        <w:rPr>
          <w:lang w:val="fr-FR"/>
        </w:rPr>
        <w:t>’appelante omet d’évoquer l’article</w:t>
      </w:r>
      <w:r w:rsidRPr="004B58A2">
        <w:rPr>
          <w:lang w:val="fr-FR"/>
        </w:rPr>
        <w:t xml:space="preserve"> 3 de la </w:t>
      </w:r>
      <w:r w:rsidRPr="004B58A2">
        <w:rPr>
          <w:i/>
          <w:lang w:val="fr-FR"/>
        </w:rPr>
        <w:t>Convention de Rome</w:t>
      </w:r>
      <w:r w:rsidRPr="004B58A2">
        <w:rPr>
          <w:lang w:val="fr-FR"/>
        </w:rPr>
        <w:t xml:space="preserve">, qui définit le « phonogramme » comme « toute fixation exclusivement sonore des sons provenant d’une exécution ou d’autres sons ».  Ainsi, l’exclusion d’une bande sonore de la définition d’« enregistrement sonore » lorsqu’elle accompagne une œuvre cinématographique est compatible avec la </w:t>
      </w:r>
      <w:r w:rsidRPr="004B58A2">
        <w:rPr>
          <w:i/>
          <w:lang w:val="fr-FR"/>
        </w:rPr>
        <w:t>Convention de Rome</w:t>
      </w:r>
      <w:r w:rsidRPr="004B58A2">
        <w:rPr>
          <w:lang w:val="fr-FR"/>
        </w:rPr>
        <w:t xml:space="preserve"> puisque l’exclusion ne vise pas « toute fixation exclusivement sonore ».</w:t>
      </w:r>
    </w:p>
    <w:p w:rsidR="00C468F0" w:rsidRPr="004B58A2" w:rsidRDefault="00C468F0" w:rsidP="00C468F0">
      <w:pPr>
        <w:pStyle w:val="ParaNoNdepar-AltN"/>
        <w:rPr>
          <w:lang w:val="fr-FR"/>
        </w:rPr>
      </w:pPr>
      <w:r w:rsidRPr="004B58A2">
        <w:rPr>
          <w:lang w:val="fr-FR"/>
        </w:rPr>
        <w:t xml:space="preserve">Contrairement à ce qu’affirme l’appelante, l’enregistrement « piraté » (reproduit) d’un enregistrement sonore préexistant qui accompagne un film serait sujet au droit d’auteur.  Comme l’a souligné la Cour d’appel fédérale, dès lors qu’un enregistrement sonore préexistant est extrait de la bande sonore qui accompagne une œuvre cinématographique, la protection qui vise les enregistrements sonores s’applique de nouveau à lui.  Il n’y a donc aucune violation de la </w:t>
      </w:r>
      <w:r w:rsidRPr="004B58A2">
        <w:rPr>
          <w:i/>
          <w:lang w:val="fr-FR"/>
        </w:rPr>
        <w:t>Convention de Rome</w:t>
      </w:r>
      <w:r w:rsidRPr="004B58A2">
        <w:rPr>
          <w:lang w:val="fr-FR"/>
        </w:rPr>
        <w:t>.</w:t>
      </w:r>
    </w:p>
    <w:p w:rsidR="00C468F0" w:rsidRPr="004B58A2" w:rsidRDefault="00C468F0" w:rsidP="00C468F0">
      <w:pPr>
        <w:pStyle w:val="ParaNoNdepar-AltN"/>
        <w:rPr>
          <w:lang w:val="fr-FR"/>
        </w:rPr>
      </w:pPr>
      <w:r w:rsidRPr="004B58A2">
        <w:rPr>
          <w:lang w:val="fr-FR"/>
        </w:rPr>
        <w:lastRenderedPageBreak/>
        <w:t xml:space="preserve">Comme la Cour l’a précisé dans </w:t>
      </w:r>
      <w:r w:rsidRPr="004B58A2">
        <w:rPr>
          <w:i/>
          <w:lang w:val="fr-FR"/>
        </w:rPr>
        <w:t xml:space="preserve">National Corn </w:t>
      </w:r>
      <w:proofErr w:type="spellStart"/>
      <w:r w:rsidRPr="004B58A2">
        <w:rPr>
          <w:i/>
          <w:lang w:val="fr-FR"/>
        </w:rPr>
        <w:t>Growers</w:t>
      </w:r>
      <w:proofErr w:type="spellEnd"/>
      <w:r w:rsidRPr="004B58A2">
        <w:rPr>
          <w:i/>
          <w:lang w:val="fr-FR"/>
        </w:rPr>
        <w:t xml:space="preserve"> </w:t>
      </w:r>
      <w:proofErr w:type="spellStart"/>
      <w:r w:rsidRPr="004B58A2">
        <w:rPr>
          <w:i/>
          <w:lang w:val="fr-FR"/>
        </w:rPr>
        <w:t>Assn</w:t>
      </w:r>
      <w:proofErr w:type="spellEnd"/>
      <w:r w:rsidRPr="004B58A2">
        <w:rPr>
          <w:i/>
          <w:lang w:val="fr-FR"/>
        </w:rPr>
        <w:t>. c. Canada (Tribunal des importations)</w:t>
      </w:r>
      <w:r w:rsidRPr="004B58A2">
        <w:rPr>
          <w:lang w:val="fr-FR"/>
        </w:rPr>
        <w:t xml:space="preserve">, [1990] 2 R.C.S. 1324, « lorsque le texte de la loi nationale s’y prête, on devrait en outre s’efforcer d’adopter une interprétation qui soit compatible avec les obligations internationales en question » (p. 1371).  En l’espèce, l’interprétation de la Commission est compatible avec les obligations qui incombent au Canada en application de la </w:t>
      </w:r>
      <w:r w:rsidRPr="004B58A2">
        <w:rPr>
          <w:i/>
          <w:lang w:val="fr-FR"/>
        </w:rPr>
        <w:t>Convention de Rome</w:t>
      </w:r>
      <w:r w:rsidRPr="004B58A2">
        <w:rPr>
          <w:lang w:val="fr-FR"/>
        </w:rPr>
        <w:t>.</w:t>
      </w:r>
    </w:p>
    <w:p w:rsidR="00C468F0" w:rsidRPr="004B58A2" w:rsidRDefault="00C468F0" w:rsidP="00F401FB">
      <w:pPr>
        <w:pStyle w:val="TitleTitre-AltT"/>
        <w:keepNext/>
        <w:tabs>
          <w:tab w:val="clear" w:pos="360"/>
          <w:tab w:val="left" w:pos="540"/>
        </w:tabs>
        <w:ind w:left="540" w:hanging="540"/>
        <w:rPr>
          <w:lang w:val="fr-CA"/>
        </w:rPr>
      </w:pPr>
      <w:r w:rsidRPr="004B58A2">
        <w:rPr>
          <w:lang w:val="fr-CA"/>
        </w:rPr>
        <w:t>IV.</w:t>
      </w:r>
      <w:r w:rsidRPr="004B58A2">
        <w:rPr>
          <w:lang w:val="fr-CA"/>
        </w:rPr>
        <w:tab/>
      </w:r>
      <w:r w:rsidRPr="004B58A2">
        <w:rPr>
          <w:u w:val="single"/>
          <w:lang w:val="fr-CA"/>
        </w:rPr>
        <w:t>Conclusion</w:t>
      </w:r>
    </w:p>
    <w:p w:rsidR="00C468F0" w:rsidRPr="004B58A2" w:rsidRDefault="00C468F0" w:rsidP="00C468F0">
      <w:pPr>
        <w:pStyle w:val="ParaNoNdepar-AltN"/>
        <w:rPr>
          <w:lang w:val="fr-FR"/>
        </w:rPr>
      </w:pPr>
      <w:r w:rsidRPr="004B58A2">
        <w:rPr>
          <w:lang w:val="fr-FR"/>
        </w:rPr>
        <w:t>La Commission n’a pas commis d’erreur en concluant que le terme « bande sonore » comprend les enregistrements sonores préexistants et que ces enregistrements sont donc exclus de la définition d’« enregistrement sonore » lorsqu’ils accompagnent une œuvre cinématographique.  Cette interprétation du terme « bande sonore » est compatible avec l’esprit de la Loi, l’intention du législateur et les obligations internationales du Canada.  Contrairement à ce que suggère l’appelante, elle ne mène pas à des résultats absurdes.</w:t>
      </w:r>
    </w:p>
    <w:p w:rsidR="00C468F0" w:rsidRPr="004B58A2" w:rsidRDefault="00C468F0" w:rsidP="00C468F0">
      <w:pPr>
        <w:pStyle w:val="ParaNoNdepar-AltN"/>
        <w:rPr>
          <w:lang w:val="fr-FR"/>
        </w:rPr>
      </w:pPr>
      <w:r w:rsidRPr="004B58A2">
        <w:rPr>
          <w:lang w:val="fr-FR"/>
        </w:rPr>
        <w:t xml:space="preserve">Pour ces motifs, je suis d’avis de rejeter le pourvoi avec dépens. </w:t>
      </w:r>
    </w:p>
    <w:p w:rsidR="0033393C" w:rsidRPr="004B58A2" w:rsidRDefault="0033393C" w:rsidP="007175EC">
      <w:pPr>
        <w:pStyle w:val="SCCNormalDoubleSpacing"/>
        <w:spacing w:after="480"/>
        <w:rPr>
          <w:szCs w:val="24"/>
        </w:rPr>
      </w:pPr>
      <w:r w:rsidRPr="004B58A2">
        <w:rPr>
          <w:szCs w:val="24"/>
        </w:rPr>
        <w:tab/>
      </w:r>
      <w:r w:rsidR="00726882" w:rsidRPr="004B58A2">
        <w:rPr>
          <w:i/>
          <w:szCs w:val="24"/>
        </w:rPr>
        <w:t xml:space="preserve">Pourvoi </w:t>
      </w:r>
      <w:r w:rsidR="008208CC" w:rsidRPr="004B58A2">
        <w:rPr>
          <w:i/>
          <w:szCs w:val="24"/>
        </w:rPr>
        <w:t>rejeté avec dépens</w:t>
      </w:r>
      <w:r w:rsidR="00726882" w:rsidRPr="004B58A2">
        <w:rPr>
          <w:i/>
          <w:szCs w:val="24"/>
        </w:rPr>
        <w:t>.</w:t>
      </w:r>
    </w:p>
    <w:p w:rsidR="00B07E07" w:rsidRPr="004B58A2" w:rsidRDefault="00B07E07" w:rsidP="007175EC">
      <w:pPr>
        <w:pStyle w:val="SCCLawFirm"/>
        <w:spacing w:after="480"/>
        <w:rPr>
          <w:szCs w:val="24"/>
        </w:rPr>
      </w:pPr>
      <w:r w:rsidRPr="004B58A2">
        <w:rPr>
          <w:szCs w:val="24"/>
        </w:rPr>
        <w:tab/>
        <w:t>Procureurs de l</w:t>
      </w:r>
      <w:r w:rsidR="005F3E4F" w:rsidRPr="004B58A2">
        <w:rPr>
          <w:szCs w:val="24"/>
        </w:rPr>
        <w:t>’</w:t>
      </w:r>
      <w:r w:rsidRPr="004B58A2">
        <w:rPr>
          <w:szCs w:val="24"/>
        </w:rPr>
        <w:t>appelante</w:t>
      </w:r>
      <w:r w:rsidR="005A6AC9" w:rsidRPr="004B58A2">
        <w:rPr>
          <w:szCs w:val="24"/>
        </w:rPr>
        <w:t> :</w:t>
      </w:r>
      <w:r w:rsidR="007175EC" w:rsidRPr="004B58A2">
        <w:rPr>
          <w:szCs w:val="24"/>
        </w:rPr>
        <w:t> </w:t>
      </w:r>
      <w:r w:rsidRPr="004B58A2">
        <w:rPr>
          <w:szCs w:val="24"/>
        </w:rPr>
        <w:t xml:space="preserve">Osler, </w:t>
      </w:r>
      <w:proofErr w:type="spellStart"/>
      <w:r w:rsidRPr="004B58A2">
        <w:rPr>
          <w:szCs w:val="24"/>
        </w:rPr>
        <w:t>Hoskin</w:t>
      </w:r>
      <w:proofErr w:type="spellEnd"/>
      <w:r w:rsidRPr="004B58A2">
        <w:rPr>
          <w:szCs w:val="24"/>
        </w:rPr>
        <w:t xml:space="preserve"> &amp; Harcourt, Toronto.</w:t>
      </w:r>
    </w:p>
    <w:p w:rsidR="00B07E07" w:rsidRPr="004B58A2" w:rsidRDefault="00B07E07" w:rsidP="007175EC">
      <w:pPr>
        <w:pStyle w:val="SCCLawFirm"/>
        <w:spacing w:after="480"/>
        <w:rPr>
          <w:szCs w:val="24"/>
        </w:rPr>
      </w:pPr>
      <w:r w:rsidRPr="004B58A2">
        <w:rPr>
          <w:szCs w:val="24"/>
        </w:rPr>
        <w:lastRenderedPageBreak/>
        <w:tab/>
        <w:t>Procureurs de l</w:t>
      </w:r>
      <w:r w:rsidR="005F3E4F" w:rsidRPr="004B58A2">
        <w:rPr>
          <w:szCs w:val="24"/>
        </w:rPr>
        <w:t>’</w:t>
      </w:r>
      <w:r w:rsidRPr="004B58A2">
        <w:rPr>
          <w:szCs w:val="24"/>
        </w:rPr>
        <w:t>intimée la Fédération des associations de propriétaires de cinémas du Canada</w:t>
      </w:r>
      <w:r w:rsidR="005A6AC9" w:rsidRPr="004B58A2">
        <w:rPr>
          <w:szCs w:val="24"/>
        </w:rPr>
        <w:t> :</w:t>
      </w:r>
      <w:r w:rsidR="007175EC" w:rsidRPr="004B58A2">
        <w:rPr>
          <w:szCs w:val="24"/>
        </w:rPr>
        <w:t> </w:t>
      </w:r>
      <w:proofErr w:type="spellStart"/>
      <w:r w:rsidRPr="004B58A2">
        <w:rPr>
          <w:szCs w:val="24"/>
        </w:rPr>
        <w:t>McMillan</w:t>
      </w:r>
      <w:proofErr w:type="spellEnd"/>
      <w:r w:rsidRPr="004B58A2">
        <w:rPr>
          <w:szCs w:val="24"/>
        </w:rPr>
        <w:t>, Toronto.</w:t>
      </w:r>
    </w:p>
    <w:p w:rsidR="00B07E07" w:rsidRPr="004B58A2" w:rsidRDefault="00B07E07" w:rsidP="007175EC">
      <w:pPr>
        <w:pStyle w:val="SCCLawFirm"/>
        <w:spacing w:after="480"/>
        <w:rPr>
          <w:szCs w:val="24"/>
        </w:rPr>
      </w:pPr>
      <w:r w:rsidRPr="004B58A2">
        <w:rPr>
          <w:szCs w:val="24"/>
        </w:rPr>
        <w:tab/>
        <w:t xml:space="preserve">Procureurs des intimées </w:t>
      </w:r>
      <w:r w:rsidR="00F52FB9" w:rsidRPr="004B58A2">
        <w:rPr>
          <w:szCs w:val="24"/>
        </w:rPr>
        <w:t xml:space="preserve">Rogers Communications Inc., Shaw Communications Inc., Bell </w:t>
      </w:r>
      <w:proofErr w:type="spellStart"/>
      <w:r w:rsidR="00F52FB9" w:rsidRPr="004B58A2">
        <w:rPr>
          <w:szCs w:val="24"/>
        </w:rPr>
        <w:t>ExpressVu</w:t>
      </w:r>
      <w:proofErr w:type="spellEnd"/>
      <w:r w:rsidR="00F52FB9" w:rsidRPr="004B58A2">
        <w:rPr>
          <w:szCs w:val="24"/>
        </w:rPr>
        <w:t xml:space="preserve"> LLP, </w:t>
      </w:r>
      <w:proofErr w:type="spellStart"/>
      <w:r w:rsidR="00F52FB9" w:rsidRPr="004B58A2">
        <w:rPr>
          <w:szCs w:val="24"/>
        </w:rPr>
        <w:t>Cogeco</w:t>
      </w:r>
      <w:proofErr w:type="spellEnd"/>
      <w:r w:rsidR="00F52FB9" w:rsidRPr="004B58A2">
        <w:rPr>
          <w:szCs w:val="24"/>
        </w:rPr>
        <w:t xml:space="preserve"> Câble </w:t>
      </w:r>
      <w:proofErr w:type="spellStart"/>
      <w:r w:rsidR="00F52FB9" w:rsidRPr="004B58A2">
        <w:rPr>
          <w:szCs w:val="24"/>
        </w:rPr>
        <w:t>inc</w:t>
      </w:r>
      <w:proofErr w:type="spellEnd"/>
      <w:r w:rsidR="00F52FB9" w:rsidRPr="004B58A2">
        <w:rPr>
          <w:szCs w:val="24"/>
        </w:rPr>
        <w:t xml:space="preserve">., </w:t>
      </w:r>
      <w:proofErr w:type="spellStart"/>
      <w:r w:rsidR="00F52FB9" w:rsidRPr="004B58A2">
        <w:rPr>
          <w:szCs w:val="24"/>
        </w:rPr>
        <w:t>EastLink</w:t>
      </w:r>
      <w:proofErr w:type="spellEnd"/>
      <w:r w:rsidR="00F52FB9" w:rsidRPr="004B58A2">
        <w:rPr>
          <w:szCs w:val="24"/>
        </w:rPr>
        <w:t>, Quebecor Media et Société TELUS Communications</w:t>
      </w:r>
      <w:r w:rsidR="005A6AC9" w:rsidRPr="004B58A2">
        <w:rPr>
          <w:szCs w:val="24"/>
        </w:rPr>
        <w:t> :</w:t>
      </w:r>
      <w:r w:rsidR="007175EC" w:rsidRPr="004B58A2">
        <w:rPr>
          <w:szCs w:val="24"/>
        </w:rPr>
        <w:t> </w:t>
      </w:r>
      <w:proofErr w:type="spellStart"/>
      <w:r w:rsidRPr="004B58A2">
        <w:rPr>
          <w:szCs w:val="24"/>
        </w:rPr>
        <w:t>Fasken</w:t>
      </w:r>
      <w:proofErr w:type="spellEnd"/>
      <w:r w:rsidRPr="004B58A2">
        <w:rPr>
          <w:szCs w:val="24"/>
        </w:rPr>
        <w:t xml:space="preserve"> Martineau </w:t>
      </w:r>
      <w:proofErr w:type="spellStart"/>
      <w:r w:rsidRPr="004B58A2">
        <w:rPr>
          <w:szCs w:val="24"/>
        </w:rPr>
        <w:t>DuMoulin</w:t>
      </w:r>
      <w:proofErr w:type="spellEnd"/>
      <w:r w:rsidRPr="004B58A2">
        <w:rPr>
          <w:szCs w:val="24"/>
        </w:rPr>
        <w:t>, Ottawa.</w:t>
      </w:r>
    </w:p>
    <w:p w:rsidR="00B07E07" w:rsidRPr="004B58A2" w:rsidRDefault="00B07E07" w:rsidP="007175EC">
      <w:pPr>
        <w:pStyle w:val="SCCLawFirm"/>
        <w:spacing w:after="480"/>
        <w:rPr>
          <w:szCs w:val="24"/>
        </w:rPr>
      </w:pPr>
      <w:r w:rsidRPr="004B58A2">
        <w:rPr>
          <w:szCs w:val="24"/>
        </w:rPr>
        <w:tab/>
        <w:t>Procureurs de l</w:t>
      </w:r>
      <w:r w:rsidR="005F3E4F" w:rsidRPr="004B58A2">
        <w:rPr>
          <w:szCs w:val="24"/>
        </w:rPr>
        <w:t>’</w:t>
      </w:r>
      <w:r w:rsidRPr="004B58A2">
        <w:rPr>
          <w:szCs w:val="24"/>
        </w:rPr>
        <w:t>intimée l</w:t>
      </w:r>
      <w:r w:rsidR="005F3E4F" w:rsidRPr="004B58A2">
        <w:rPr>
          <w:szCs w:val="24"/>
        </w:rPr>
        <w:t>’</w:t>
      </w:r>
      <w:r w:rsidRPr="004B58A2">
        <w:rPr>
          <w:szCs w:val="24"/>
        </w:rPr>
        <w:t>Association canadienne des radiodiffuseurs</w:t>
      </w:r>
      <w:r w:rsidR="005A6AC9" w:rsidRPr="004B58A2">
        <w:rPr>
          <w:szCs w:val="24"/>
        </w:rPr>
        <w:t> :</w:t>
      </w:r>
      <w:r w:rsidR="007175EC" w:rsidRPr="004B58A2">
        <w:rPr>
          <w:szCs w:val="24"/>
        </w:rPr>
        <w:t> </w:t>
      </w:r>
      <w:r w:rsidRPr="004B58A2">
        <w:rPr>
          <w:szCs w:val="24"/>
        </w:rPr>
        <w:t xml:space="preserve">Hayes </w:t>
      </w:r>
      <w:proofErr w:type="spellStart"/>
      <w:r w:rsidRPr="004B58A2">
        <w:rPr>
          <w:szCs w:val="24"/>
        </w:rPr>
        <w:t>eLaw</w:t>
      </w:r>
      <w:proofErr w:type="spellEnd"/>
      <w:r w:rsidRPr="004B58A2">
        <w:rPr>
          <w:szCs w:val="24"/>
        </w:rPr>
        <w:t>, Toronto.</w:t>
      </w:r>
    </w:p>
    <w:p w:rsidR="00B07E07" w:rsidRPr="004B58A2" w:rsidRDefault="00B07E07" w:rsidP="007175EC">
      <w:pPr>
        <w:pStyle w:val="SCCLawFirm"/>
        <w:spacing w:after="480"/>
        <w:rPr>
          <w:szCs w:val="24"/>
        </w:rPr>
      </w:pPr>
      <w:r w:rsidRPr="004B58A2">
        <w:rPr>
          <w:szCs w:val="24"/>
        </w:rPr>
        <w:tab/>
        <w:t>Procureurs de l</w:t>
      </w:r>
      <w:r w:rsidR="005F3E4F" w:rsidRPr="004B58A2">
        <w:rPr>
          <w:szCs w:val="24"/>
        </w:rPr>
        <w:t>’</w:t>
      </w:r>
      <w:r w:rsidRPr="004B58A2">
        <w:rPr>
          <w:szCs w:val="24"/>
        </w:rPr>
        <w:t xml:space="preserve">intimée la Société </w:t>
      </w:r>
      <w:proofErr w:type="spellStart"/>
      <w:r w:rsidRPr="004B58A2">
        <w:rPr>
          <w:szCs w:val="24"/>
        </w:rPr>
        <w:t>Radio</w:t>
      </w:r>
      <w:r w:rsidR="005A6AC9" w:rsidRPr="004B58A2">
        <w:rPr>
          <w:szCs w:val="24"/>
        </w:rPr>
        <w:noBreakHyphen/>
      </w:r>
      <w:r w:rsidRPr="004B58A2">
        <w:rPr>
          <w:szCs w:val="24"/>
        </w:rPr>
        <w:t>Canada</w:t>
      </w:r>
      <w:proofErr w:type="spellEnd"/>
      <w:r w:rsidR="005A6AC9" w:rsidRPr="004B58A2">
        <w:rPr>
          <w:szCs w:val="24"/>
        </w:rPr>
        <w:t> :</w:t>
      </w:r>
      <w:r w:rsidR="007175EC" w:rsidRPr="004B58A2">
        <w:rPr>
          <w:szCs w:val="24"/>
        </w:rPr>
        <w:t> </w:t>
      </w:r>
      <w:proofErr w:type="spellStart"/>
      <w:r w:rsidRPr="004B58A2">
        <w:rPr>
          <w:szCs w:val="24"/>
        </w:rPr>
        <w:t>Fasken</w:t>
      </w:r>
      <w:proofErr w:type="spellEnd"/>
      <w:r w:rsidRPr="004B58A2">
        <w:rPr>
          <w:szCs w:val="24"/>
        </w:rPr>
        <w:t xml:space="preserve"> Martineau </w:t>
      </w:r>
      <w:proofErr w:type="spellStart"/>
      <w:r w:rsidRPr="004B58A2">
        <w:rPr>
          <w:szCs w:val="24"/>
        </w:rPr>
        <w:t>DuMoulin</w:t>
      </w:r>
      <w:proofErr w:type="spellEnd"/>
      <w:r w:rsidRPr="004B58A2">
        <w:rPr>
          <w:szCs w:val="24"/>
        </w:rPr>
        <w:t>, Montréal.</w:t>
      </w:r>
    </w:p>
    <w:p w:rsidR="0043088E" w:rsidRPr="004B58A2" w:rsidRDefault="00B07E07" w:rsidP="00C468F0">
      <w:pPr>
        <w:pStyle w:val="SCCLawFirm"/>
        <w:rPr>
          <w:b/>
          <w:i w:val="0"/>
          <w:szCs w:val="24"/>
        </w:rPr>
      </w:pPr>
      <w:r w:rsidRPr="004B58A2">
        <w:rPr>
          <w:szCs w:val="24"/>
        </w:rPr>
        <w:tab/>
        <w:t>Procureur de l</w:t>
      </w:r>
      <w:r w:rsidR="005F3E4F" w:rsidRPr="004B58A2">
        <w:rPr>
          <w:szCs w:val="24"/>
        </w:rPr>
        <w:t>’</w:t>
      </w:r>
      <w:r w:rsidRPr="004B58A2">
        <w:rPr>
          <w:szCs w:val="24"/>
        </w:rPr>
        <w:t>intervenante</w:t>
      </w:r>
      <w:r w:rsidR="005A6AC9" w:rsidRPr="004B58A2">
        <w:rPr>
          <w:szCs w:val="24"/>
        </w:rPr>
        <w:t> :</w:t>
      </w:r>
      <w:r w:rsidR="007175EC" w:rsidRPr="004B58A2">
        <w:rPr>
          <w:szCs w:val="24"/>
        </w:rPr>
        <w:t> </w:t>
      </w:r>
      <w:r w:rsidR="00F52FB9" w:rsidRPr="004B58A2">
        <w:rPr>
          <w:szCs w:val="24"/>
        </w:rPr>
        <w:t>Université d</w:t>
      </w:r>
      <w:r w:rsidR="005F3E4F" w:rsidRPr="004B58A2">
        <w:rPr>
          <w:szCs w:val="24"/>
        </w:rPr>
        <w:t>’</w:t>
      </w:r>
      <w:r w:rsidR="00F52FB9" w:rsidRPr="004B58A2">
        <w:rPr>
          <w:szCs w:val="24"/>
        </w:rPr>
        <w:t>Ottawa</w:t>
      </w:r>
      <w:r w:rsidRPr="004B58A2">
        <w:rPr>
          <w:szCs w:val="24"/>
        </w:rPr>
        <w:t>, Ottawa.</w:t>
      </w:r>
    </w:p>
    <w:p w:rsidR="00C468F0" w:rsidRPr="004B58A2" w:rsidRDefault="00C468F0" w:rsidP="00C468F0">
      <w:pPr>
        <w:pStyle w:val="SCCNormalDoubleSpacing"/>
      </w:pPr>
    </w:p>
    <w:sectPr w:rsidR="00C468F0" w:rsidRPr="004B58A2" w:rsidSect="00A4069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56" w:rsidRDefault="00287356">
      <w:r>
        <w:separator/>
      </w:r>
    </w:p>
  </w:endnote>
  <w:endnote w:type="continuationSeparator" w:id="0">
    <w:p w:rsidR="00287356" w:rsidRDefault="0028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56" w:rsidRDefault="0028735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56" w:rsidRDefault="0028735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56" w:rsidRDefault="00287356">
      <w:r>
        <w:separator/>
      </w:r>
    </w:p>
  </w:footnote>
  <w:footnote w:type="continuationSeparator" w:id="0">
    <w:p w:rsidR="00287356" w:rsidRDefault="0028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56" w:rsidRDefault="0028735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782"/>
      <w:docPartObj>
        <w:docPartGallery w:val="Page Numbers (Top of Page)"/>
        <w:docPartUnique/>
      </w:docPartObj>
    </w:sdtPr>
    <w:sdtContent>
      <w:p w:rsidR="00287356" w:rsidRDefault="00287356">
        <w:pPr>
          <w:pStyle w:val="Header"/>
          <w:jc w:val="center"/>
        </w:pPr>
        <w:r>
          <w:t xml:space="preserve">- </w:t>
        </w:r>
        <w:fldSimple w:instr=" PAGE   \* MERGEFORMAT ">
          <w:r w:rsidR="00927549">
            <w:rPr>
              <w:noProof/>
            </w:rPr>
            <w:t>2</w:t>
          </w:r>
        </w:fldSimple>
        <w:r>
          <w:t xml:space="preserve"> -</w:t>
        </w:r>
      </w:p>
    </w:sdtContent>
  </w:sdt>
  <w:p w:rsidR="00287356" w:rsidRDefault="00287356"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9E2173"/>
    <w:multiLevelType w:val="hybridMultilevel"/>
    <w:tmpl w:val="FEC8C1D6"/>
    <w:lvl w:ilvl="0" w:tplc="D16215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5A2AB2"/>
    <w:multiLevelType w:val="hybridMultilevel"/>
    <w:tmpl w:val="9CF04FC0"/>
    <w:lvl w:ilvl="0" w:tplc="34341BBA">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0A20DC"/>
    <w:multiLevelType w:val="hybridMultilevel"/>
    <w:tmpl w:val="F1CEEF1C"/>
    <w:lvl w:ilvl="0" w:tplc="A6B631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5E4C91"/>
    <w:multiLevelType w:val="multilevel"/>
    <w:tmpl w:val="4ECC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lvlOverride w:ilvl="0">
      <w:startOverride w:val="1"/>
    </w:lvlOverride>
  </w:num>
  <w:num w:numId="8">
    <w:abstractNumId w:val="3"/>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12F6B"/>
    <w:rsid w:val="00025198"/>
    <w:rsid w:val="00030898"/>
    <w:rsid w:val="00041F2B"/>
    <w:rsid w:val="00043297"/>
    <w:rsid w:val="000461B2"/>
    <w:rsid w:val="00055A36"/>
    <w:rsid w:val="000578A3"/>
    <w:rsid w:val="00064563"/>
    <w:rsid w:val="000648CC"/>
    <w:rsid w:val="00065F21"/>
    <w:rsid w:val="00071FA7"/>
    <w:rsid w:val="00085D36"/>
    <w:rsid w:val="00094DE0"/>
    <w:rsid w:val="000A5321"/>
    <w:rsid w:val="000B4B41"/>
    <w:rsid w:val="000C59B8"/>
    <w:rsid w:val="000C69A3"/>
    <w:rsid w:val="000F4AA8"/>
    <w:rsid w:val="00111DE2"/>
    <w:rsid w:val="00116B38"/>
    <w:rsid w:val="0013109F"/>
    <w:rsid w:val="00133F9D"/>
    <w:rsid w:val="00135406"/>
    <w:rsid w:val="00135972"/>
    <w:rsid w:val="00140667"/>
    <w:rsid w:val="001426A9"/>
    <w:rsid w:val="00151DED"/>
    <w:rsid w:val="00154D7C"/>
    <w:rsid w:val="001570B0"/>
    <w:rsid w:val="00167456"/>
    <w:rsid w:val="00172A04"/>
    <w:rsid w:val="00172A21"/>
    <w:rsid w:val="00175A97"/>
    <w:rsid w:val="00180C26"/>
    <w:rsid w:val="00185394"/>
    <w:rsid w:val="001A0DF7"/>
    <w:rsid w:val="001A451D"/>
    <w:rsid w:val="001B33E0"/>
    <w:rsid w:val="001B4573"/>
    <w:rsid w:val="001C779F"/>
    <w:rsid w:val="001D2AC1"/>
    <w:rsid w:val="001D3F63"/>
    <w:rsid w:val="001F7673"/>
    <w:rsid w:val="00220FC2"/>
    <w:rsid w:val="00224FC0"/>
    <w:rsid w:val="00225EA4"/>
    <w:rsid w:val="00226EAF"/>
    <w:rsid w:val="00231F3A"/>
    <w:rsid w:val="002406EE"/>
    <w:rsid w:val="00244035"/>
    <w:rsid w:val="00263B22"/>
    <w:rsid w:val="002745CC"/>
    <w:rsid w:val="00274EC8"/>
    <w:rsid w:val="00287356"/>
    <w:rsid w:val="002B2EE2"/>
    <w:rsid w:val="002D39A4"/>
    <w:rsid w:val="002E1D24"/>
    <w:rsid w:val="002E4533"/>
    <w:rsid w:val="002E6705"/>
    <w:rsid w:val="002F696C"/>
    <w:rsid w:val="0030329A"/>
    <w:rsid w:val="00307AFD"/>
    <w:rsid w:val="0031086F"/>
    <w:rsid w:val="00310E05"/>
    <w:rsid w:val="0031414C"/>
    <w:rsid w:val="00314E01"/>
    <w:rsid w:val="0032089D"/>
    <w:rsid w:val="0033393C"/>
    <w:rsid w:val="0034770C"/>
    <w:rsid w:val="0035259D"/>
    <w:rsid w:val="00357570"/>
    <w:rsid w:val="00377224"/>
    <w:rsid w:val="003866EC"/>
    <w:rsid w:val="003913B9"/>
    <w:rsid w:val="00394476"/>
    <w:rsid w:val="003A2543"/>
    <w:rsid w:val="003A4C70"/>
    <w:rsid w:val="003A4E15"/>
    <w:rsid w:val="003C558C"/>
    <w:rsid w:val="003C799C"/>
    <w:rsid w:val="003D6D4F"/>
    <w:rsid w:val="003E1C71"/>
    <w:rsid w:val="003F327B"/>
    <w:rsid w:val="004059A7"/>
    <w:rsid w:val="00406166"/>
    <w:rsid w:val="00411300"/>
    <w:rsid w:val="00426659"/>
    <w:rsid w:val="0043088E"/>
    <w:rsid w:val="004439D8"/>
    <w:rsid w:val="00445DEE"/>
    <w:rsid w:val="00465132"/>
    <w:rsid w:val="00473A5A"/>
    <w:rsid w:val="00474E13"/>
    <w:rsid w:val="00480C90"/>
    <w:rsid w:val="0048396F"/>
    <w:rsid w:val="00493C18"/>
    <w:rsid w:val="00494CDC"/>
    <w:rsid w:val="004A600C"/>
    <w:rsid w:val="004B58A2"/>
    <w:rsid w:val="004C478D"/>
    <w:rsid w:val="004E6A2C"/>
    <w:rsid w:val="004F480F"/>
    <w:rsid w:val="005146B8"/>
    <w:rsid w:val="00521AE8"/>
    <w:rsid w:val="00525BB6"/>
    <w:rsid w:val="00527180"/>
    <w:rsid w:val="00536719"/>
    <w:rsid w:val="005564A7"/>
    <w:rsid w:val="00562487"/>
    <w:rsid w:val="0058436F"/>
    <w:rsid w:val="00593C36"/>
    <w:rsid w:val="00596603"/>
    <w:rsid w:val="005A6AC9"/>
    <w:rsid w:val="005C3F34"/>
    <w:rsid w:val="005E4698"/>
    <w:rsid w:val="005E5074"/>
    <w:rsid w:val="005F3E4F"/>
    <w:rsid w:val="00625C35"/>
    <w:rsid w:val="00634E1B"/>
    <w:rsid w:val="00645057"/>
    <w:rsid w:val="00654858"/>
    <w:rsid w:val="006565F4"/>
    <w:rsid w:val="00666E10"/>
    <w:rsid w:val="00671BB4"/>
    <w:rsid w:val="00681AD1"/>
    <w:rsid w:val="006A56F1"/>
    <w:rsid w:val="006B5FF5"/>
    <w:rsid w:val="006C259F"/>
    <w:rsid w:val="006C5661"/>
    <w:rsid w:val="006D4790"/>
    <w:rsid w:val="006E0AB7"/>
    <w:rsid w:val="006E7B76"/>
    <w:rsid w:val="00700742"/>
    <w:rsid w:val="00701759"/>
    <w:rsid w:val="00702C6F"/>
    <w:rsid w:val="007151E8"/>
    <w:rsid w:val="007175EC"/>
    <w:rsid w:val="00726882"/>
    <w:rsid w:val="007411D2"/>
    <w:rsid w:val="00747136"/>
    <w:rsid w:val="00747288"/>
    <w:rsid w:val="00747DD3"/>
    <w:rsid w:val="00752F4E"/>
    <w:rsid w:val="007549C8"/>
    <w:rsid w:val="00762D30"/>
    <w:rsid w:val="00763377"/>
    <w:rsid w:val="00766D14"/>
    <w:rsid w:val="00767A0F"/>
    <w:rsid w:val="00771C2F"/>
    <w:rsid w:val="0077423E"/>
    <w:rsid w:val="00774B0B"/>
    <w:rsid w:val="007834A8"/>
    <w:rsid w:val="00792074"/>
    <w:rsid w:val="007A05F6"/>
    <w:rsid w:val="007A0F8A"/>
    <w:rsid w:val="007B6F4A"/>
    <w:rsid w:val="007E1C47"/>
    <w:rsid w:val="007E337A"/>
    <w:rsid w:val="007E5C70"/>
    <w:rsid w:val="007F2FF5"/>
    <w:rsid w:val="008128FE"/>
    <w:rsid w:val="00817190"/>
    <w:rsid w:val="008208CC"/>
    <w:rsid w:val="00826AF8"/>
    <w:rsid w:val="008322BD"/>
    <w:rsid w:val="00855307"/>
    <w:rsid w:val="00862CF3"/>
    <w:rsid w:val="00864CF8"/>
    <w:rsid w:val="00872450"/>
    <w:rsid w:val="00874914"/>
    <w:rsid w:val="00884591"/>
    <w:rsid w:val="00892E1A"/>
    <w:rsid w:val="008958F5"/>
    <w:rsid w:val="008A6558"/>
    <w:rsid w:val="008A727C"/>
    <w:rsid w:val="008A73E9"/>
    <w:rsid w:val="008C01DA"/>
    <w:rsid w:val="008C1D83"/>
    <w:rsid w:val="008D33BC"/>
    <w:rsid w:val="008E664A"/>
    <w:rsid w:val="008F16D9"/>
    <w:rsid w:val="008F346C"/>
    <w:rsid w:val="008F78E9"/>
    <w:rsid w:val="00902462"/>
    <w:rsid w:val="00927549"/>
    <w:rsid w:val="009403F3"/>
    <w:rsid w:val="00957FA2"/>
    <w:rsid w:val="00966913"/>
    <w:rsid w:val="00967374"/>
    <w:rsid w:val="0097543E"/>
    <w:rsid w:val="00983F3F"/>
    <w:rsid w:val="00985C69"/>
    <w:rsid w:val="0099079B"/>
    <w:rsid w:val="009B2C40"/>
    <w:rsid w:val="009B2F23"/>
    <w:rsid w:val="009B53E2"/>
    <w:rsid w:val="009B57B3"/>
    <w:rsid w:val="009D5AEB"/>
    <w:rsid w:val="009F383F"/>
    <w:rsid w:val="00A05F0E"/>
    <w:rsid w:val="00A10FD6"/>
    <w:rsid w:val="00A21107"/>
    <w:rsid w:val="00A21B90"/>
    <w:rsid w:val="00A24E15"/>
    <w:rsid w:val="00A2614D"/>
    <w:rsid w:val="00A40692"/>
    <w:rsid w:val="00A548CB"/>
    <w:rsid w:val="00A60B25"/>
    <w:rsid w:val="00A6242E"/>
    <w:rsid w:val="00A643E7"/>
    <w:rsid w:val="00A73C38"/>
    <w:rsid w:val="00A9173C"/>
    <w:rsid w:val="00AC6322"/>
    <w:rsid w:val="00AC7437"/>
    <w:rsid w:val="00AC7A44"/>
    <w:rsid w:val="00AF03C5"/>
    <w:rsid w:val="00B000D8"/>
    <w:rsid w:val="00B007C0"/>
    <w:rsid w:val="00B00F75"/>
    <w:rsid w:val="00B07E07"/>
    <w:rsid w:val="00B145B6"/>
    <w:rsid w:val="00B50C81"/>
    <w:rsid w:val="00B557F8"/>
    <w:rsid w:val="00B64972"/>
    <w:rsid w:val="00B66DD8"/>
    <w:rsid w:val="00B73E17"/>
    <w:rsid w:val="00B8145D"/>
    <w:rsid w:val="00B815FC"/>
    <w:rsid w:val="00B83634"/>
    <w:rsid w:val="00B93FBC"/>
    <w:rsid w:val="00BC6030"/>
    <w:rsid w:val="00C02092"/>
    <w:rsid w:val="00C057F7"/>
    <w:rsid w:val="00C0663B"/>
    <w:rsid w:val="00C24C8C"/>
    <w:rsid w:val="00C24D91"/>
    <w:rsid w:val="00C30552"/>
    <w:rsid w:val="00C41909"/>
    <w:rsid w:val="00C468F0"/>
    <w:rsid w:val="00C52532"/>
    <w:rsid w:val="00C53F14"/>
    <w:rsid w:val="00C55C2E"/>
    <w:rsid w:val="00C600CF"/>
    <w:rsid w:val="00C6084F"/>
    <w:rsid w:val="00C62A66"/>
    <w:rsid w:val="00C62A6F"/>
    <w:rsid w:val="00C67CA5"/>
    <w:rsid w:val="00C71458"/>
    <w:rsid w:val="00C71F58"/>
    <w:rsid w:val="00C77613"/>
    <w:rsid w:val="00C828E7"/>
    <w:rsid w:val="00C921DD"/>
    <w:rsid w:val="00C93426"/>
    <w:rsid w:val="00CA4D82"/>
    <w:rsid w:val="00CA6391"/>
    <w:rsid w:val="00CB2AF0"/>
    <w:rsid w:val="00CE3171"/>
    <w:rsid w:val="00CF1601"/>
    <w:rsid w:val="00CF2984"/>
    <w:rsid w:val="00CF43E9"/>
    <w:rsid w:val="00D00DB0"/>
    <w:rsid w:val="00D32086"/>
    <w:rsid w:val="00D35DF3"/>
    <w:rsid w:val="00D37A3F"/>
    <w:rsid w:val="00D45FCF"/>
    <w:rsid w:val="00D4667A"/>
    <w:rsid w:val="00D510BB"/>
    <w:rsid w:val="00D5435D"/>
    <w:rsid w:val="00D558EB"/>
    <w:rsid w:val="00D74F2E"/>
    <w:rsid w:val="00DA0590"/>
    <w:rsid w:val="00DA7741"/>
    <w:rsid w:val="00DC1788"/>
    <w:rsid w:val="00DE40A6"/>
    <w:rsid w:val="00DF0CA8"/>
    <w:rsid w:val="00DF44C7"/>
    <w:rsid w:val="00DF49A7"/>
    <w:rsid w:val="00E01106"/>
    <w:rsid w:val="00E07EE2"/>
    <w:rsid w:val="00E24573"/>
    <w:rsid w:val="00E377A1"/>
    <w:rsid w:val="00E43665"/>
    <w:rsid w:val="00E45109"/>
    <w:rsid w:val="00E46AE9"/>
    <w:rsid w:val="00E54B02"/>
    <w:rsid w:val="00E55E90"/>
    <w:rsid w:val="00E81F6A"/>
    <w:rsid w:val="00E97830"/>
    <w:rsid w:val="00EA03E5"/>
    <w:rsid w:val="00EA56A9"/>
    <w:rsid w:val="00EB675E"/>
    <w:rsid w:val="00EE0FAF"/>
    <w:rsid w:val="00EE2A92"/>
    <w:rsid w:val="00F00EB7"/>
    <w:rsid w:val="00F10DB8"/>
    <w:rsid w:val="00F2258E"/>
    <w:rsid w:val="00F23528"/>
    <w:rsid w:val="00F3215A"/>
    <w:rsid w:val="00F33658"/>
    <w:rsid w:val="00F36AB6"/>
    <w:rsid w:val="00F401FB"/>
    <w:rsid w:val="00F409CE"/>
    <w:rsid w:val="00F52FB9"/>
    <w:rsid w:val="00F84DF4"/>
    <w:rsid w:val="00F853FB"/>
    <w:rsid w:val="00F85C97"/>
    <w:rsid w:val="00FA2FE1"/>
    <w:rsid w:val="00FB2F41"/>
    <w:rsid w:val="00FC606D"/>
    <w:rsid w:val="00FD068D"/>
    <w:rsid w:val="00FD4F28"/>
    <w:rsid w:val="00FE2CB7"/>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C468F0"/>
    <w:pPr>
      <w:numPr>
        <w:numId w:val="7"/>
      </w:numPr>
      <w:spacing w:before="200" w:line="271" w:lineRule="auto"/>
      <w:outlineLvl w:val="2"/>
    </w:pPr>
    <w:rPr>
      <w:rFonts w:asciiTheme="majorHAnsi" w:eastAsiaTheme="majorEastAsia" w:hAnsiTheme="majorHAnsi" w:cstheme="majorBidi"/>
      <w:b/>
      <w:bCs/>
      <w:szCs w:val="24"/>
      <w:lang w:val="en-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uiPriority w:val="99"/>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F3215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definedterm">
    <w:name w:val="definedterm"/>
    <w:basedOn w:val="DefaultParagraphFont"/>
    <w:rsid w:val="00747136"/>
  </w:style>
  <w:style w:type="character" w:customStyle="1" w:styleId="Heading3Char">
    <w:name w:val="Heading 3 Char"/>
    <w:basedOn w:val="DefaultParagraphFont"/>
    <w:link w:val="Heading3"/>
    <w:uiPriority w:val="9"/>
    <w:rsid w:val="00C468F0"/>
    <w:rPr>
      <w:rFonts w:asciiTheme="majorHAnsi" w:eastAsiaTheme="majorEastAsia" w:hAnsiTheme="majorHAnsi" w:cstheme="majorBidi"/>
      <w:b/>
      <w:bCs/>
      <w:sz w:val="24"/>
      <w:szCs w:val="24"/>
      <w:lang w:eastAsia="en-US" w:bidi="en-US"/>
    </w:rPr>
  </w:style>
  <w:style w:type="paragraph" w:customStyle="1" w:styleId="SCCLsocOtherPartyRoleSeparator">
    <w:name w:val="SCC.Lsoc.OtherPartyRoleSeparator"/>
    <w:basedOn w:val="Normal"/>
    <w:next w:val="Normal"/>
    <w:link w:val="SCCLsocOtherPartyRoleSeparatorChar"/>
    <w:rsid w:val="00C468F0"/>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C468F0"/>
    <w:rPr>
      <w:rFonts w:eastAsiaTheme="minorHAnsi" w:cstheme="minorBidi"/>
      <w:sz w:val="24"/>
      <w:szCs w:val="22"/>
      <w:lang w:eastAsia="en-US"/>
    </w:rPr>
  </w:style>
  <w:style w:type="character" w:customStyle="1" w:styleId="SCCBanSummaryChar">
    <w:name w:val="SCC.BanSummary Char"/>
    <w:basedOn w:val="DefaultParagraphFont"/>
    <w:link w:val="SCCBanSummary"/>
    <w:rsid w:val="00C468F0"/>
    <w:rPr>
      <w:b/>
      <w:sz w:val="24"/>
      <w:lang w:val="fr-CA"/>
    </w:rPr>
  </w:style>
  <w:style w:type="table" w:styleId="TableGrid">
    <w:name w:val="Table Grid"/>
    <w:basedOn w:val="TableNormal"/>
    <w:uiPriority w:val="59"/>
    <w:rsid w:val="00C46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468F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468F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468F0"/>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468F0"/>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C468F0"/>
    <w:pPr>
      <w:ind w:left="720"/>
      <w:contextualSpacing/>
    </w:pPr>
    <w:rPr>
      <w:lang w:val="en-CA"/>
    </w:rPr>
  </w:style>
  <w:style w:type="paragraph" w:customStyle="1" w:styleId="definition1">
    <w:name w:val="definition1"/>
    <w:basedOn w:val="Normal"/>
    <w:rsid w:val="00C468F0"/>
    <w:pPr>
      <w:spacing w:before="120" w:after="100" w:afterAutospacing="1"/>
    </w:pPr>
    <w:rPr>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86CB-00B7-498C-9E37-8BFDA354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6101</Words>
  <Characters>33378</Characters>
  <Application>Microsoft Office Word</Application>
  <DocSecurity>0</DocSecurity>
  <Lines>278</Lines>
  <Paragraphs>78</Paragraphs>
  <ScaleCrop>false</ScaleCrop>
  <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2012-08-22T15:02:00Z</dcterms:created>
  <dcterms:modified xsi:type="dcterms:W3CDTF">2013-02-25T18:33:00Z</dcterms:modified>
</cp:coreProperties>
</file>