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541F" w14:textId="77777777" w:rsidR="009F436C" w:rsidRDefault="009F436C" w:rsidP="00382FEC"/>
    <w:p w14:paraId="2CA1338C" w14:textId="77777777" w:rsidR="001D76C4" w:rsidRDefault="001D76C4" w:rsidP="00382FEC"/>
    <w:p w14:paraId="12435420" w14:textId="77777777" w:rsidR="002D2D44" w:rsidRPr="006E7BAE" w:rsidRDefault="002D2D44" w:rsidP="00382FEC"/>
    <w:p w14:paraId="12435421" w14:textId="77777777" w:rsidR="009F436C" w:rsidRPr="006E7BAE" w:rsidRDefault="009F436C" w:rsidP="00382FEC"/>
    <w:p w14:paraId="12435422" w14:textId="77777777" w:rsidR="0016666F" w:rsidRPr="006E7BAE" w:rsidRDefault="0016666F" w:rsidP="00382FEC"/>
    <w:p w14:paraId="12435423" w14:textId="77777777" w:rsidR="0016666F" w:rsidRDefault="0016666F" w:rsidP="00382FEC"/>
    <w:p w14:paraId="12435424" w14:textId="77777777" w:rsidR="00D83B8C" w:rsidRDefault="00D83B8C" w:rsidP="00382FEC"/>
    <w:p w14:paraId="12435425" w14:textId="77777777" w:rsidR="008763A3" w:rsidRDefault="008763A3" w:rsidP="00382FEC"/>
    <w:p w14:paraId="22BCD817" w14:textId="77777777" w:rsidR="009E7C8A" w:rsidRDefault="009E7C8A" w:rsidP="00382FEC"/>
    <w:p w14:paraId="12435426" w14:textId="77777777" w:rsidR="00D83B8C" w:rsidRDefault="00D83B8C" w:rsidP="00382FEC"/>
    <w:p w14:paraId="12435427" w14:textId="77777777" w:rsidR="00D83B8C" w:rsidRDefault="00D83B8C" w:rsidP="00382FEC"/>
    <w:p w14:paraId="12435428" w14:textId="77777777" w:rsidR="00D83B8C" w:rsidRDefault="00D83B8C" w:rsidP="00382FEC"/>
    <w:p w14:paraId="12435429" w14:textId="77777777" w:rsidR="00D83B8C" w:rsidRPr="006E7BAE" w:rsidRDefault="00D83B8C" w:rsidP="00382FEC"/>
    <w:p w14:paraId="1243542A" w14:textId="77777777" w:rsidR="009F436C" w:rsidRPr="006E7BAE" w:rsidRDefault="009F436C" w:rsidP="00382FEC"/>
    <w:p w14:paraId="1243542B" w14:textId="77777777" w:rsidR="009F436C" w:rsidRPr="006E7BAE" w:rsidRDefault="003A37CF" w:rsidP="00AE2077">
      <w:pPr>
        <w:jc w:val="right"/>
      </w:pPr>
      <w:r w:rsidRPr="006E7BAE">
        <w:t xml:space="preserve">No. </w:t>
      </w:r>
      <w:r>
        <w:t>37674</w:t>
      </w:r>
      <w:r w:rsidR="0016666F" w:rsidRPr="006E7BAE">
        <w:t>     </w:t>
      </w:r>
    </w:p>
    <w:p w14:paraId="1243542C" w14:textId="77777777" w:rsidR="009F436C" w:rsidRPr="006E7BAE" w:rsidRDefault="009F436C" w:rsidP="00382FEC"/>
    <w:p w14:paraId="1243542D" w14:textId="77777777" w:rsidR="002568D3" w:rsidRPr="006E7BAE" w:rsidRDefault="002568D3" w:rsidP="00382FEC"/>
    <w:tbl>
      <w:tblPr>
        <w:tblW w:w="5038" w:type="pct"/>
        <w:tblLayout w:type="fixed"/>
        <w:tblCellMar>
          <w:top w:w="58" w:type="dxa"/>
          <w:left w:w="58" w:type="dxa"/>
          <w:bottom w:w="58" w:type="dxa"/>
          <w:right w:w="58" w:type="dxa"/>
        </w:tblCellMar>
        <w:tblLook w:val="0000" w:firstRow="0" w:lastRow="0" w:firstColumn="0" w:lastColumn="0" w:noHBand="0" w:noVBand="0"/>
      </w:tblPr>
      <w:tblGrid>
        <w:gridCol w:w="4319"/>
        <w:gridCol w:w="713"/>
        <w:gridCol w:w="4399"/>
      </w:tblGrid>
      <w:tr w:rsidR="00417FB7" w:rsidRPr="006E7BAE" w14:paraId="12435431" w14:textId="77777777" w:rsidTr="00A837B7">
        <w:tc>
          <w:tcPr>
            <w:tcW w:w="2290" w:type="pct"/>
          </w:tcPr>
          <w:p w14:paraId="1243542E" w14:textId="77777777" w:rsidR="00417FB7" w:rsidRPr="006E7BAE" w:rsidRDefault="0070420A" w:rsidP="0070420A">
            <w:r>
              <w:t xml:space="preserve">December </w:t>
            </w:r>
            <w:r w:rsidR="00B328CD">
              <w:t>2</w:t>
            </w:r>
            <w:r>
              <w:t>1</w:t>
            </w:r>
            <w:r w:rsidR="00B328CD">
              <w:t>, 2017</w:t>
            </w:r>
          </w:p>
        </w:tc>
        <w:tc>
          <w:tcPr>
            <w:tcW w:w="378" w:type="pct"/>
          </w:tcPr>
          <w:p w14:paraId="1243542F" w14:textId="77777777" w:rsidR="00417FB7" w:rsidRPr="006E7BAE" w:rsidRDefault="00417FB7" w:rsidP="00382FEC"/>
        </w:tc>
        <w:tc>
          <w:tcPr>
            <w:tcW w:w="2332" w:type="pct"/>
          </w:tcPr>
          <w:p w14:paraId="12435430" w14:textId="77777777" w:rsidR="00417FB7" w:rsidRPr="00D83B8C" w:rsidRDefault="00B328CD" w:rsidP="0070420A">
            <w:pPr>
              <w:rPr>
                <w:lang w:val="en-US"/>
              </w:rPr>
            </w:pPr>
            <w:r>
              <w:t>Le 2</w:t>
            </w:r>
            <w:r w:rsidR="0070420A">
              <w:t>1 d</w:t>
            </w:r>
            <w:r w:rsidR="0070420A">
              <w:rPr>
                <w:rFonts w:cs="Times New Roman"/>
              </w:rPr>
              <w:t>é</w:t>
            </w:r>
            <w:r w:rsidR="0070420A">
              <w:t>cembre</w:t>
            </w:r>
            <w:r>
              <w:t xml:space="preserve"> 2017</w:t>
            </w:r>
          </w:p>
        </w:tc>
      </w:tr>
      <w:tr w:rsidR="00E12A51" w:rsidRPr="006E7BAE" w14:paraId="12435435" w14:textId="77777777" w:rsidTr="00A837B7">
        <w:tc>
          <w:tcPr>
            <w:tcW w:w="2290" w:type="pct"/>
            <w:tcMar>
              <w:top w:w="0" w:type="dxa"/>
              <w:bottom w:w="0" w:type="dxa"/>
            </w:tcMar>
          </w:tcPr>
          <w:p w14:paraId="12435432" w14:textId="77777777" w:rsidR="00C2612E" w:rsidRPr="006E7BAE" w:rsidRDefault="00C2612E" w:rsidP="008262A3"/>
        </w:tc>
        <w:tc>
          <w:tcPr>
            <w:tcW w:w="378" w:type="pct"/>
            <w:tcMar>
              <w:top w:w="0" w:type="dxa"/>
              <w:bottom w:w="0" w:type="dxa"/>
            </w:tcMar>
          </w:tcPr>
          <w:p w14:paraId="12435433" w14:textId="77777777" w:rsidR="00E12A51" w:rsidRPr="006E7BAE" w:rsidRDefault="00E12A51" w:rsidP="00382FEC"/>
        </w:tc>
        <w:tc>
          <w:tcPr>
            <w:tcW w:w="2332" w:type="pct"/>
            <w:tcMar>
              <w:top w:w="0" w:type="dxa"/>
              <w:bottom w:w="0" w:type="dxa"/>
            </w:tcMar>
          </w:tcPr>
          <w:p w14:paraId="12435434" w14:textId="77777777" w:rsidR="00E12A51" w:rsidRPr="00D83B8C" w:rsidRDefault="00E12A51" w:rsidP="00816B78">
            <w:pPr>
              <w:rPr>
                <w:lang w:val="en-US"/>
              </w:rPr>
            </w:pPr>
          </w:p>
        </w:tc>
      </w:tr>
      <w:tr w:rsidR="00417FB7" w:rsidRPr="001D76C4" w14:paraId="12435439" w14:textId="77777777" w:rsidTr="00A837B7">
        <w:tc>
          <w:tcPr>
            <w:tcW w:w="2290" w:type="pct"/>
          </w:tcPr>
          <w:p w14:paraId="12435436" w14:textId="59060257" w:rsidR="00417FB7" w:rsidRPr="006E7BAE" w:rsidRDefault="00A837B7" w:rsidP="009E7C8A">
            <w:r>
              <w:t xml:space="preserve">Coram: </w:t>
            </w:r>
            <w:r w:rsidR="00417FB7" w:rsidRPr="006E7BAE">
              <w:t xml:space="preserve"> </w:t>
            </w:r>
            <w:r w:rsidR="001D76C4">
              <w:t xml:space="preserve">McLachlin C.J. </w:t>
            </w:r>
            <w:r>
              <w:t xml:space="preserve">and Abella, Moldaver, </w:t>
            </w:r>
            <w:r w:rsidR="009E7C8A" w:rsidRPr="009E7C8A">
              <w:t xml:space="preserve">Karakatsanis, </w:t>
            </w:r>
            <w:r w:rsidR="001D76C4">
              <w:t xml:space="preserve">Wagner, </w:t>
            </w:r>
            <w:r w:rsidR="009E7C8A" w:rsidRPr="009E7C8A">
              <w:t>Gascon, Côté, Brown and Rowe JJ.</w:t>
            </w:r>
          </w:p>
        </w:tc>
        <w:tc>
          <w:tcPr>
            <w:tcW w:w="378" w:type="pct"/>
          </w:tcPr>
          <w:p w14:paraId="12435437" w14:textId="77777777" w:rsidR="00417FB7" w:rsidRPr="006E7BAE" w:rsidRDefault="00417FB7" w:rsidP="00382FEC"/>
        </w:tc>
        <w:tc>
          <w:tcPr>
            <w:tcW w:w="2332" w:type="pct"/>
          </w:tcPr>
          <w:p w14:paraId="12435438" w14:textId="3F840686" w:rsidR="00417FB7" w:rsidRPr="006E7BAE" w:rsidRDefault="00417FB7" w:rsidP="00382FEC">
            <w:pPr>
              <w:rPr>
                <w:lang w:val="fr-CA"/>
              </w:rPr>
            </w:pPr>
            <w:r w:rsidRPr="006E7BAE">
              <w:rPr>
                <w:lang w:val="fr-CA"/>
              </w:rPr>
              <w:t xml:space="preserve">Coram : </w:t>
            </w:r>
            <w:r w:rsidRPr="0070420A">
              <w:rPr>
                <w:lang w:val="fr-CA"/>
              </w:rPr>
              <w:t>La juge en chef McLachlin</w:t>
            </w:r>
            <w:r w:rsidR="001D76C4">
              <w:rPr>
                <w:lang w:val="fr-CA"/>
              </w:rPr>
              <w:t xml:space="preserve"> </w:t>
            </w:r>
            <w:r w:rsidR="009E7C8A">
              <w:rPr>
                <w:lang w:val="fr-CA"/>
              </w:rPr>
              <w:t xml:space="preserve">et </w:t>
            </w:r>
            <w:r w:rsidRPr="0070420A">
              <w:rPr>
                <w:lang w:val="fr-CA"/>
              </w:rPr>
              <w:t>les juges Abella, Moldaver, Karakatsanis,</w:t>
            </w:r>
            <w:r w:rsidR="001D76C4">
              <w:rPr>
                <w:lang w:val="fr-CA"/>
              </w:rPr>
              <w:t xml:space="preserve"> Wagner,</w:t>
            </w:r>
            <w:r w:rsidRPr="0070420A">
              <w:rPr>
                <w:lang w:val="fr-CA"/>
              </w:rPr>
              <w:t xml:space="preserve"> Gascon, Côté, Brown et Rowe</w:t>
            </w:r>
          </w:p>
        </w:tc>
      </w:tr>
      <w:tr w:rsidR="00C2612E" w:rsidRPr="001D76C4" w14:paraId="1243543D" w14:textId="77777777" w:rsidTr="00A837B7">
        <w:tc>
          <w:tcPr>
            <w:tcW w:w="2290" w:type="pct"/>
            <w:tcMar>
              <w:top w:w="0" w:type="dxa"/>
              <w:bottom w:w="0" w:type="dxa"/>
            </w:tcMar>
          </w:tcPr>
          <w:p w14:paraId="1243543A" w14:textId="77777777" w:rsidR="00C2612E" w:rsidRPr="0070420A" w:rsidRDefault="00C2612E" w:rsidP="008262A3">
            <w:pPr>
              <w:rPr>
                <w:lang w:val="fr-CA"/>
              </w:rPr>
            </w:pPr>
          </w:p>
        </w:tc>
        <w:tc>
          <w:tcPr>
            <w:tcW w:w="378" w:type="pct"/>
            <w:tcMar>
              <w:top w:w="0" w:type="dxa"/>
              <w:bottom w:w="0" w:type="dxa"/>
            </w:tcMar>
          </w:tcPr>
          <w:p w14:paraId="1243543B" w14:textId="77777777" w:rsidR="00C2612E" w:rsidRPr="0070420A" w:rsidRDefault="00C2612E" w:rsidP="00382FEC">
            <w:pPr>
              <w:rPr>
                <w:lang w:val="fr-CA"/>
              </w:rPr>
            </w:pPr>
          </w:p>
        </w:tc>
        <w:tc>
          <w:tcPr>
            <w:tcW w:w="2332" w:type="pct"/>
            <w:tcMar>
              <w:top w:w="0" w:type="dxa"/>
              <w:bottom w:w="0" w:type="dxa"/>
            </w:tcMar>
          </w:tcPr>
          <w:p w14:paraId="1243543C" w14:textId="77777777" w:rsidR="00C2612E" w:rsidRPr="006E7BAE" w:rsidRDefault="00C2612E" w:rsidP="00382FEC">
            <w:pPr>
              <w:rPr>
                <w:lang w:val="fr-CA"/>
              </w:rPr>
            </w:pPr>
          </w:p>
        </w:tc>
      </w:tr>
      <w:tr w:rsidR="00824412" w:rsidRPr="006E7BAE" w14:paraId="1243544F" w14:textId="77777777" w:rsidTr="00A837B7">
        <w:tc>
          <w:tcPr>
            <w:tcW w:w="2290" w:type="pct"/>
          </w:tcPr>
          <w:p w14:paraId="1243543E" w14:textId="77777777" w:rsidR="004E2710" w:rsidRDefault="0070420A">
            <w:pPr>
              <w:pStyle w:val="SCCLsocPrefix"/>
            </w:pPr>
            <w:r>
              <w:t>BETWEEN:</w:t>
            </w:r>
            <w:r>
              <w:br/>
            </w:r>
          </w:p>
          <w:p w14:paraId="1243543F" w14:textId="5FDEC148" w:rsidR="0070420A" w:rsidRDefault="0070420A">
            <w:pPr>
              <w:pStyle w:val="SCCLsocParty"/>
            </w:pPr>
            <w:r>
              <w:t>Pembina County Water Resource District, City of Pembina, North Dakota, Township of Pembina, North Dakota, Township of Walhalla, North Dakota, City of Neche, North Dakota, Township of Neche, North Dakota, Township of Felson, North Dakota, Township of St. Joseph, North Dakota, Timothy L. Wilwand, Dennis K. Schaler, Richard Margerum and</w:t>
            </w:r>
          </w:p>
          <w:p w14:paraId="12435440" w14:textId="77777777" w:rsidR="004E2710" w:rsidRDefault="0070420A">
            <w:pPr>
              <w:pStyle w:val="SCCLsocParty"/>
            </w:pPr>
            <w:r>
              <w:t>Verlinda Margerum</w:t>
            </w:r>
            <w:r>
              <w:br/>
            </w:r>
          </w:p>
          <w:p w14:paraId="12435441" w14:textId="77777777" w:rsidR="004E2710" w:rsidRDefault="0070420A">
            <w:pPr>
              <w:pStyle w:val="SCCLsocPartyRole"/>
            </w:pPr>
            <w:r>
              <w:t>Applicants</w:t>
            </w:r>
            <w:r>
              <w:br/>
            </w:r>
          </w:p>
          <w:p w14:paraId="12435442" w14:textId="77777777" w:rsidR="004E2710" w:rsidRDefault="0070420A">
            <w:pPr>
              <w:pStyle w:val="SCCLsocVersus"/>
            </w:pPr>
            <w:r>
              <w:t>- and -</w:t>
            </w:r>
            <w:r>
              <w:br/>
            </w:r>
          </w:p>
          <w:p w14:paraId="12435443" w14:textId="77777777" w:rsidR="0070420A" w:rsidRDefault="0070420A">
            <w:pPr>
              <w:pStyle w:val="SCCLsocParty"/>
            </w:pPr>
            <w:r>
              <w:t>Government of Manitoba and</w:t>
            </w:r>
          </w:p>
          <w:p w14:paraId="12435444" w14:textId="77777777" w:rsidR="004E2710" w:rsidRDefault="0070420A">
            <w:pPr>
              <w:pStyle w:val="SCCLsocParty"/>
            </w:pPr>
            <w:r>
              <w:t>Rural Municipality of Rhineland</w:t>
            </w:r>
            <w:r>
              <w:br/>
            </w:r>
          </w:p>
          <w:p w14:paraId="12435445" w14:textId="77777777" w:rsidR="004E2710" w:rsidRDefault="0070420A">
            <w:pPr>
              <w:pStyle w:val="SCCLsocPartyRole"/>
            </w:pPr>
            <w:r>
              <w:t>Respondents</w:t>
            </w:r>
          </w:p>
        </w:tc>
        <w:tc>
          <w:tcPr>
            <w:tcW w:w="378" w:type="pct"/>
          </w:tcPr>
          <w:p w14:paraId="12435446" w14:textId="77777777" w:rsidR="00824412" w:rsidRPr="006E7BAE" w:rsidRDefault="00824412" w:rsidP="00375294"/>
        </w:tc>
        <w:tc>
          <w:tcPr>
            <w:tcW w:w="2332" w:type="pct"/>
          </w:tcPr>
          <w:p w14:paraId="12435447" w14:textId="77777777" w:rsidR="004E2710" w:rsidRDefault="0070420A">
            <w:pPr>
              <w:pStyle w:val="SCCLsocPrefix"/>
            </w:pPr>
            <w:r>
              <w:t>ENTRE :</w:t>
            </w:r>
            <w:r>
              <w:br/>
            </w:r>
          </w:p>
          <w:p w14:paraId="12435448" w14:textId="7FA9C2A4" w:rsidR="0070420A" w:rsidRDefault="0070420A">
            <w:pPr>
              <w:pStyle w:val="SCCLsocParty"/>
            </w:pPr>
            <w:r>
              <w:t xml:space="preserve">Pembina County Water Resource District, City of Pembina, North Dakota, Township of Pembina, North Dakota, Township of Walhalla, North Dakota, City of Neche, North Dakota, Township of Neche, North Dakota, Township of Felson, North Dakota, Township of St. Joseph, North Dakota, Timothy L. Wilwand, Dennis K. Schaler, Richard Margerum </w:t>
            </w:r>
            <w:r w:rsidR="00613656">
              <w:t>et</w:t>
            </w:r>
          </w:p>
          <w:p w14:paraId="12435449" w14:textId="77777777" w:rsidR="004E2710" w:rsidRPr="00A548B4" w:rsidRDefault="0070420A">
            <w:pPr>
              <w:pStyle w:val="SCCLsocParty"/>
              <w:rPr>
                <w:lang w:val="fr-CA"/>
              </w:rPr>
            </w:pPr>
            <w:r w:rsidRPr="00A548B4">
              <w:rPr>
                <w:lang w:val="fr-CA"/>
              </w:rPr>
              <w:t>Verlinda Margerum</w:t>
            </w:r>
            <w:r w:rsidRPr="00A548B4">
              <w:rPr>
                <w:lang w:val="fr-CA"/>
              </w:rPr>
              <w:br/>
            </w:r>
          </w:p>
          <w:p w14:paraId="1243544A" w14:textId="77777777" w:rsidR="004E2710" w:rsidRPr="0070420A" w:rsidRDefault="0070420A">
            <w:pPr>
              <w:pStyle w:val="SCCLsocPartyRole"/>
              <w:rPr>
                <w:lang w:val="fr-CA"/>
              </w:rPr>
            </w:pPr>
            <w:r w:rsidRPr="0070420A">
              <w:rPr>
                <w:lang w:val="fr-CA"/>
              </w:rPr>
              <w:t>Demandeurs</w:t>
            </w:r>
            <w:r w:rsidRPr="0070420A">
              <w:rPr>
                <w:lang w:val="fr-CA"/>
              </w:rPr>
              <w:br/>
            </w:r>
          </w:p>
          <w:p w14:paraId="1243544B" w14:textId="77777777" w:rsidR="004E2710" w:rsidRPr="0070420A" w:rsidRDefault="0070420A">
            <w:pPr>
              <w:pStyle w:val="SCCLsocVersus"/>
              <w:rPr>
                <w:lang w:val="fr-CA"/>
              </w:rPr>
            </w:pPr>
            <w:r w:rsidRPr="0070420A">
              <w:rPr>
                <w:lang w:val="fr-CA"/>
              </w:rPr>
              <w:t>- et -</w:t>
            </w:r>
            <w:r w:rsidRPr="0070420A">
              <w:rPr>
                <w:lang w:val="fr-CA"/>
              </w:rPr>
              <w:br/>
            </w:r>
          </w:p>
          <w:p w14:paraId="1243544C" w14:textId="77777777" w:rsidR="0070420A" w:rsidRDefault="0070420A">
            <w:pPr>
              <w:pStyle w:val="SCCLsocParty"/>
              <w:rPr>
                <w:lang w:val="fr-CA"/>
              </w:rPr>
            </w:pPr>
            <w:r w:rsidRPr="0070420A">
              <w:rPr>
                <w:lang w:val="fr-CA"/>
              </w:rPr>
              <w:t>Gouvernement de Manitoba</w:t>
            </w:r>
            <w:r>
              <w:rPr>
                <w:lang w:val="fr-CA"/>
              </w:rPr>
              <w:t xml:space="preserve"> et</w:t>
            </w:r>
          </w:p>
          <w:p w14:paraId="1243544D" w14:textId="77777777" w:rsidR="004E2710" w:rsidRPr="0070420A" w:rsidRDefault="0070420A">
            <w:pPr>
              <w:pStyle w:val="SCCLsocParty"/>
            </w:pPr>
            <w:r w:rsidRPr="0070420A">
              <w:t>Rural Municipality of Rhineland</w:t>
            </w:r>
            <w:r w:rsidRPr="0070420A">
              <w:br/>
            </w:r>
          </w:p>
          <w:p w14:paraId="1243544E" w14:textId="77777777" w:rsidR="004E2710" w:rsidRDefault="0070420A" w:rsidP="0070420A">
            <w:pPr>
              <w:pStyle w:val="SCCLsocPartyRole"/>
            </w:pPr>
            <w:r>
              <w:t>Intimés</w:t>
            </w:r>
          </w:p>
        </w:tc>
      </w:tr>
      <w:tr w:rsidR="00824412" w:rsidRPr="006E7BAE" w14:paraId="12435453" w14:textId="77777777" w:rsidTr="00A837B7">
        <w:tc>
          <w:tcPr>
            <w:tcW w:w="2290" w:type="pct"/>
            <w:tcMar>
              <w:top w:w="0" w:type="dxa"/>
              <w:bottom w:w="0" w:type="dxa"/>
            </w:tcMar>
          </w:tcPr>
          <w:p w14:paraId="12435450" w14:textId="77777777" w:rsidR="00824412" w:rsidRPr="006E7BAE" w:rsidRDefault="00824412" w:rsidP="00375294">
            <w:bookmarkStart w:id="0" w:name="_GoBack"/>
            <w:bookmarkEnd w:id="0"/>
          </w:p>
        </w:tc>
        <w:tc>
          <w:tcPr>
            <w:tcW w:w="378" w:type="pct"/>
            <w:tcMar>
              <w:top w:w="0" w:type="dxa"/>
              <w:bottom w:w="0" w:type="dxa"/>
            </w:tcMar>
          </w:tcPr>
          <w:p w14:paraId="12435451" w14:textId="77777777" w:rsidR="00824412" w:rsidRPr="006E7BAE" w:rsidRDefault="00824412" w:rsidP="00375294"/>
        </w:tc>
        <w:tc>
          <w:tcPr>
            <w:tcW w:w="2332" w:type="pct"/>
            <w:tcMar>
              <w:top w:w="0" w:type="dxa"/>
              <w:bottom w:w="0" w:type="dxa"/>
            </w:tcMar>
          </w:tcPr>
          <w:p w14:paraId="12435452" w14:textId="77777777" w:rsidR="00824412" w:rsidRPr="00D83B8C" w:rsidRDefault="00824412" w:rsidP="00B408F8">
            <w:pPr>
              <w:rPr>
                <w:lang w:val="en-US"/>
              </w:rPr>
            </w:pPr>
          </w:p>
        </w:tc>
      </w:tr>
      <w:tr w:rsidR="00824412" w:rsidRPr="001D76C4" w14:paraId="1243545B" w14:textId="77777777" w:rsidTr="00A837B7">
        <w:tc>
          <w:tcPr>
            <w:tcW w:w="2290" w:type="pct"/>
          </w:tcPr>
          <w:p w14:paraId="12435454" w14:textId="77777777" w:rsidR="00824412" w:rsidRPr="006E7BAE" w:rsidRDefault="00824412" w:rsidP="00C2612E">
            <w:pPr>
              <w:jc w:val="center"/>
            </w:pPr>
            <w:r w:rsidRPr="006E7BAE">
              <w:lastRenderedPageBreak/>
              <w:t>JUDGMENT</w:t>
            </w:r>
          </w:p>
          <w:p w14:paraId="12435455" w14:textId="77777777" w:rsidR="00824412" w:rsidRPr="006E7BAE" w:rsidRDefault="00824412" w:rsidP="00417FB7">
            <w:pPr>
              <w:jc w:val="center"/>
            </w:pPr>
          </w:p>
          <w:p w14:paraId="12435456" w14:textId="77777777" w:rsidR="00824412" w:rsidRPr="006E7BAE" w:rsidRDefault="00824412" w:rsidP="0070420A">
            <w:pPr>
              <w:jc w:val="both"/>
            </w:pPr>
            <w:r w:rsidRPr="006E7BAE">
              <w:t>The app</w:t>
            </w:r>
            <w:r w:rsidR="00011960" w:rsidRPr="006E7BAE">
              <w:t>lication for leave to appeal from the judgment of the</w:t>
            </w:r>
            <w:bookmarkStart w:id="1" w:name="BM_1_"/>
            <w:bookmarkEnd w:id="1"/>
            <w:r w:rsidRPr="006E7BAE">
              <w:t xml:space="preserve"> </w:t>
            </w:r>
            <w:r>
              <w:t>Federal Court of Appeal</w:t>
            </w:r>
            <w:r w:rsidRPr="006E7BAE">
              <w:t xml:space="preserve">, Number </w:t>
            </w:r>
            <w:r>
              <w:t>A-198-16, 2017 FCA 92</w:t>
            </w:r>
            <w:r w:rsidRPr="006E7BAE">
              <w:t xml:space="preserve">, dated </w:t>
            </w:r>
            <w:r>
              <w:t>May 3, 2017</w:t>
            </w:r>
            <w:r w:rsidR="0070420A">
              <w:t xml:space="preserve">, </w:t>
            </w:r>
            <w:r w:rsidR="00A548B4">
              <w:t xml:space="preserve">is </w:t>
            </w:r>
            <w:r w:rsidR="0070420A">
              <w:t>dismissed with costs</w:t>
            </w:r>
            <w:r w:rsidRPr="006E7BAE">
              <w:t>.</w:t>
            </w:r>
          </w:p>
        </w:tc>
        <w:tc>
          <w:tcPr>
            <w:tcW w:w="378" w:type="pct"/>
          </w:tcPr>
          <w:p w14:paraId="12435457" w14:textId="77777777" w:rsidR="00824412" w:rsidRPr="006E7BAE" w:rsidRDefault="00824412" w:rsidP="00417FB7">
            <w:pPr>
              <w:jc w:val="center"/>
            </w:pPr>
          </w:p>
        </w:tc>
        <w:tc>
          <w:tcPr>
            <w:tcW w:w="2332" w:type="pct"/>
          </w:tcPr>
          <w:p w14:paraId="12435458" w14:textId="77777777" w:rsidR="00824412" w:rsidRPr="006E7BAE" w:rsidRDefault="00824412" w:rsidP="00C2612E">
            <w:pPr>
              <w:jc w:val="center"/>
              <w:rPr>
                <w:lang w:val="fr-CA"/>
              </w:rPr>
            </w:pPr>
            <w:r w:rsidRPr="006E7BAE">
              <w:rPr>
                <w:lang w:val="fr-CA"/>
              </w:rPr>
              <w:t>JUGEMENT</w:t>
            </w:r>
          </w:p>
          <w:p w14:paraId="12435459" w14:textId="77777777" w:rsidR="00824412" w:rsidRPr="006E7BAE" w:rsidRDefault="00824412" w:rsidP="00417FB7">
            <w:pPr>
              <w:jc w:val="center"/>
              <w:rPr>
                <w:lang w:val="fr-CA"/>
              </w:rPr>
            </w:pPr>
          </w:p>
          <w:p w14:paraId="1243545A" w14:textId="77777777" w:rsidR="00824412" w:rsidRPr="006E7BAE" w:rsidRDefault="00824412" w:rsidP="0070420A">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0420A">
              <w:rPr>
                <w:lang w:val="fr-CA"/>
              </w:rPr>
              <w:t>Cour d’appel fédérale</w:t>
            </w:r>
            <w:r w:rsidRPr="006E7BAE">
              <w:rPr>
                <w:lang w:val="fr-CA"/>
              </w:rPr>
              <w:t xml:space="preserve">, numéro </w:t>
            </w:r>
            <w:r w:rsidRPr="0070420A">
              <w:rPr>
                <w:lang w:val="fr-CA"/>
              </w:rPr>
              <w:t>A-198-16, 2017 FCA 92</w:t>
            </w:r>
            <w:r w:rsidRPr="006E7BAE">
              <w:rPr>
                <w:lang w:val="fr-CA"/>
              </w:rPr>
              <w:t xml:space="preserve">, </w:t>
            </w:r>
            <w:r w:rsidR="00011960" w:rsidRPr="006E7BAE">
              <w:rPr>
                <w:lang w:val="fr-CA"/>
              </w:rPr>
              <w:t>daté du</w:t>
            </w:r>
            <w:r w:rsidRPr="006E7BAE">
              <w:rPr>
                <w:lang w:val="fr-CA"/>
              </w:rPr>
              <w:t xml:space="preserve"> </w:t>
            </w:r>
            <w:r w:rsidRPr="0070420A">
              <w:rPr>
                <w:lang w:val="fr-CA"/>
              </w:rPr>
              <w:t>3 mai 2017</w:t>
            </w:r>
            <w:r w:rsidRPr="006E7BAE">
              <w:rPr>
                <w:lang w:val="fr-CA"/>
              </w:rPr>
              <w:t xml:space="preserve">, est </w:t>
            </w:r>
            <w:r w:rsidR="0070420A">
              <w:rPr>
                <w:lang w:val="fr-CA"/>
              </w:rPr>
              <w:t xml:space="preserve">rejetée avec </w:t>
            </w:r>
            <w:r w:rsidR="00011960" w:rsidRPr="006E7BAE">
              <w:rPr>
                <w:lang w:val="fr-CA"/>
              </w:rPr>
              <w:t>dépens</w:t>
            </w:r>
            <w:r w:rsidRPr="006E7BAE">
              <w:rPr>
                <w:lang w:val="fr-CA"/>
              </w:rPr>
              <w:t>.</w:t>
            </w:r>
          </w:p>
        </w:tc>
      </w:tr>
    </w:tbl>
    <w:p w14:paraId="1243545C" w14:textId="77777777" w:rsidR="009F436C" w:rsidRPr="00D83B8C" w:rsidRDefault="009F436C" w:rsidP="00382FEC">
      <w:pPr>
        <w:rPr>
          <w:lang w:val="fr-CA"/>
        </w:rPr>
      </w:pPr>
    </w:p>
    <w:p w14:paraId="1243545D" w14:textId="77777777" w:rsidR="009F436C" w:rsidRDefault="009F436C" w:rsidP="00417FB7">
      <w:pPr>
        <w:jc w:val="center"/>
        <w:rPr>
          <w:lang w:val="fr-CA"/>
        </w:rPr>
      </w:pPr>
    </w:p>
    <w:p w14:paraId="6FC71B4E" w14:textId="77777777" w:rsidR="00635D16" w:rsidRPr="00D83B8C" w:rsidRDefault="00635D16" w:rsidP="00417FB7">
      <w:pPr>
        <w:jc w:val="center"/>
        <w:rPr>
          <w:lang w:val="fr-CA"/>
        </w:rPr>
      </w:pPr>
    </w:p>
    <w:p w14:paraId="1243545E" w14:textId="77777777" w:rsidR="009F436C" w:rsidRPr="00D83B8C" w:rsidRDefault="009F436C" w:rsidP="00417FB7">
      <w:pPr>
        <w:jc w:val="center"/>
        <w:rPr>
          <w:lang w:val="fr-CA"/>
        </w:rPr>
      </w:pPr>
    </w:p>
    <w:p w14:paraId="1243545F" w14:textId="77777777" w:rsidR="009F436C" w:rsidRPr="00A837B7" w:rsidRDefault="003A37CF" w:rsidP="00417FB7">
      <w:pPr>
        <w:jc w:val="center"/>
        <w:rPr>
          <w:lang w:val="en-US"/>
        </w:rPr>
      </w:pPr>
      <w:r w:rsidRPr="00A837B7">
        <w:rPr>
          <w:lang w:val="en-US"/>
        </w:rPr>
        <w:t>J.S.C.C.</w:t>
      </w:r>
    </w:p>
    <w:p w14:paraId="12435460" w14:textId="77777777" w:rsidR="008F53F3" w:rsidRPr="00A837B7" w:rsidRDefault="003A37CF" w:rsidP="00417FB7">
      <w:pPr>
        <w:jc w:val="center"/>
        <w:rPr>
          <w:lang w:val="en-US"/>
        </w:rPr>
      </w:pPr>
      <w:r w:rsidRPr="00A837B7">
        <w:rPr>
          <w:lang w:val="en-US"/>
        </w:rPr>
        <w:t>J.C.S.C.</w:t>
      </w:r>
    </w:p>
    <w:p w14:paraId="7C136E52" w14:textId="77777777" w:rsidR="00613656" w:rsidRPr="00A837B7" w:rsidRDefault="00613656" w:rsidP="00417FB7">
      <w:pPr>
        <w:jc w:val="center"/>
        <w:rPr>
          <w:lang w:val="en-US"/>
        </w:rPr>
      </w:pPr>
    </w:p>
    <w:p w14:paraId="107C2BFD" w14:textId="46FB2AAE" w:rsidR="00613656" w:rsidRPr="00A252FA" w:rsidRDefault="00613656" w:rsidP="0075023C">
      <w:pPr>
        <w:rPr>
          <w:lang w:val="fr-CA"/>
        </w:rPr>
      </w:pPr>
    </w:p>
    <w:sectPr w:rsidR="00613656" w:rsidRPr="00A252FA"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35463" w14:textId="77777777" w:rsidR="00B328CD" w:rsidRDefault="00B328CD">
      <w:r>
        <w:separator/>
      </w:r>
    </w:p>
  </w:endnote>
  <w:endnote w:type="continuationSeparator" w:id="0">
    <w:p w14:paraId="12435464"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35461" w14:textId="77777777" w:rsidR="00B328CD" w:rsidRDefault="00B328CD">
      <w:r>
        <w:separator/>
      </w:r>
    </w:p>
  </w:footnote>
  <w:footnote w:type="continuationSeparator" w:id="0">
    <w:p w14:paraId="12435462"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546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1337D8">
      <w:rPr>
        <w:noProof/>
        <w:szCs w:val="24"/>
      </w:rPr>
      <w:t>2</w:t>
    </w:r>
    <w:r w:rsidR="00EF707C" w:rsidRPr="00417FB7">
      <w:rPr>
        <w:szCs w:val="24"/>
      </w:rPr>
      <w:fldChar w:fldCharType="end"/>
    </w:r>
    <w:r>
      <w:rPr>
        <w:szCs w:val="24"/>
      </w:rPr>
      <w:t xml:space="preserve"> -</w:t>
    </w:r>
  </w:p>
  <w:p w14:paraId="12435466" w14:textId="77777777" w:rsidR="008F53F3" w:rsidRDefault="008F53F3" w:rsidP="008F53F3">
    <w:pPr>
      <w:rPr>
        <w:szCs w:val="24"/>
      </w:rPr>
    </w:pPr>
  </w:p>
  <w:p w14:paraId="12435467" w14:textId="77777777" w:rsidR="008F53F3" w:rsidRDefault="008F53F3" w:rsidP="008F53F3">
    <w:pPr>
      <w:rPr>
        <w:szCs w:val="24"/>
      </w:rPr>
    </w:pPr>
  </w:p>
  <w:p w14:paraId="12435468" w14:textId="77777777" w:rsidR="008F53F3" w:rsidRDefault="008F53F3" w:rsidP="008F53F3">
    <w:pPr>
      <w:tabs>
        <w:tab w:val="right" w:pos="9360"/>
      </w:tabs>
      <w:jc w:val="right"/>
      <w:rPr>
        <w:szCs w:val="24"/>
      </w:rPr>
    </w:pPr>
    <w:r>
      <w:rPr>
        <w:szCs w:val="24"/>
      </w:rPr>
      <w:t xml:space="preserve">No. </w:t>
    </w:r>
    <w:r>
      <w:t>37674</w:t>
    </w:r>
    <w:r>
      <w:rPr>
        <w:szCs w:val="24"/>
      </w:rPr>
      <w:t>     </w:t>
    </w:r>
  </w:p>
  <w:p w14:paraId="12435469"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337D8"/>
    <w:rsid w:val="0016666F"/>
    <w:rsid w:val="00167C15"/>
    <w:rsid w:val="001B3EC0"/>
    <w:rsid w:val="001D0116"/>
    <w:rsid w:val="001D4323"/>
    <w:rsid w:val="001D76C4"/>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4E2710"/>
    <w:rsid w:val="0055345D"/>
    <w:rsid w:val="00563E2C"/>
    <w:rsid w:val="00587869"/>
    <w:rsid w:val="00612913"/>
    <w:rsid w:val="00613656"/>
    <w:rsid w:val="00614908"/>
    <w:rsid w:val="00635D16"/>
    <w:rsid w:val="00650109"/>
    <w:rsid w:val="006E7BAE"/>
    <w:rsid w:val="00701109"/>
    <w:rsid w:val="0070420A"/>
    <w:rsid w:val="007372EA"/>
    <w:rsid w:val="0075023C"/>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E7C8A"/>
    <w:rsid w:val="009F26C4"/>
    <w:rsid w:val="009F436C"/>
    <w:rsid w:val="00A03153"/>
    <w:rsid w:val="00A103E3"/>
    <w:rsid w:val="00A252FA"/>
    <w:rsid w:val="00A548B4"/>
    <w:rsid w:val="00A837B7"/>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43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4493">
      <w:bodyDiv w:val="1"/>
      <w:marLeft w:val="0"/>
      <w:marRight w:val="0"/>
      <w:marTop w:val="0"/>
      <w:marBottom w:val="0"/>
      <w:divBdr>
        <w:top w:val="none" w:sz="0" w:space="0" w:color="auto"/>
        <w:left w:val="none" w:sz="0" w:space="0" w:color="auto"/>
        <w:bottom w:val="none" w:sz="0" w:space="0" w:color="auto"/>
        <w:right w:val="none" w:sz="0" w:space="0" w:color="auto"/>
      </w:divBdr>
    </w:div>
    <w:div w:id="1699308348">
      <w:bodyDiv w:val="1"/>
      <w:marLeft w:val="0"/>
      <w:marRight w:val="0"/>
      <w:marTop w:val="0"/>
      <w:marBottom w:val="0"/>
      <w:divBdr>
        <w:top w:val="none" w:sz="0" w:space="0" w:color="auto"/>
        <w:left w:val="none" w:sz="0" w:space="0" w:color="auto"/>
        <w:bottom w:val="none" w:sz="0" w:space="0" w:color="auto"/>
        <w:right w:val="none" w:sz="0" w:space="0" w:color="auto"/>
      </w:divBdr>
    </w:div>
    <w:div w:id="18849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12068</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2017-12-21T05:00:00+00:00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Wagner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C3869-43F3-43FF-8B65-1468670F056B}">
  <ds:schemaRefs>
    <ds:schemaRef ds:uri="http://schemas.microsoft.com/sharepoint/v3/contenttype/forms"/>
  </ds:schemaRefs>
</ds:datastoreItem>
</file>

<file path=customXml/itemProps2.xml><?xml version="1.0" encoding="utf-8"?>
<ds:datastoreItem xmlns:ds="http://schemas.openxmlformats.org/officeDocument/2006/customXml" ds:itemID="{8FDE5CA6-1978-4DF2-8C32-4F5B82942801}">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D9FC623F-0B27-4EDA-B0C4-FCEB42E7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2017-12-20T16:03:00Z</dcterms:created>
  <dcterms:modified xsi:type="dcterms:W3CDTF">2017-12-20T16:03:00Z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