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5C2A9" w14:textId="77777777" w:rsidR="009F436C" w:rsidRPr="006E7BAE" w:rsidRDefault="00E60D7E" w:rsidP="00AE2077">
      <w:pPr>
        <w:jc w:val="right"/>
      </w:pPr>
      <w:bookmarkStart w:id="0" w:name="_GoBack"/>
      <w:r>
        <w:t>No. </w:t>
      </w:r>
      <w:r w:rsidR="003A37CF">
        <w:t>39054</w:t>
      </w:r>
      <w:r>
        <w:t xml:space="preserve"> </w:t>
      </w:r>
      <w:r w:rsidR="0016666F" w:rsidRPr="006E7BAE">
        <w:t> </w:t>
      </w:r>
    </w:p>
    <w:bookmarkEnd w:id="0"/>
    <w:p w14:paraId="2CE5C2AA" w14:textId="77777777" w:rsidR="009F436C" w:rsidRPr="006E7BAE" w:rsidRDefault="009F436C" w:rsidP="00382FEC"/>
    <w:p w14:paraId="2CE5C2AB" w14:textId="77777777" w:rsidR="002568D3" w:rsidRPr="006E7BAE" w:rsidRDefault="002568D3" w:rsidP="00382FEC"/>
    <w:tbl>
      <w:tblPr>
        <w:tblW w:w="5048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489"/>
      </w:tblGrid>
      <w:tr w:rsidR="00417FB7" w:rsidRPr="006E7BAE" w14:paraId="2CE5C2AF" w14:textId="77777777" w:rsidTr="00887C60">
        <w:tc>
          <w:tcPr>
            <w:tcW w:w="2248" w:type="pct"/>
          </w:tcPr>
          <w:p w14:paraId="2CE5C2AC" w14:textId="77777777" w:rsidR="00417FB7" w:rsidRPr="006E7BAE" w:rsidRDefault="00543EDD" w:rsidP="00E60D7E">
            <w:r>
              <w:t xml:space="preserve">May </w:t>
            </w:r>
            <w:r w:rsidR="00E60D7E">
              <w:t>28</w:t>
            </w:r>
            <w:r>
              <w:t>, 2020</w:t>
            </w:r>
          </w:p>
        </w:tc>
        <w:tc>
          <w:tcPr>
            <w:tcW w:w="377" w:type="pct"/>
          </w:tcPr>
          <w:p w14:paraId="2CE5C2AD" w14:textId="77777777" w:rsidR="00417FB7" w:rsidRPr="006E7BAE" w:rsidRDefault="00417FB7" w:rsidP="00382FEC"/>
        </w:tc>
        <w:tc>
          <w:tcPr>
            <w:tcW w:w="2375" w:type="pct"/>
          </w:tcPr>
          <w:p w14:paraId="2CE5C2AE" w14:textId="77777777" w:rsidR="00417FB7" w:rsidRPr="00D83B8C" w:rsidRDefault="00543EDD" w:rsidP="00E60D7E">
            <w:pPr>
              <w:rPr>
                <w:lang w:val="en-US"/>
              </w:rPr>
            </w:pPr>
            <w:r>
              <w:t xml:space="preserve">Le </w:t>
            </w:r>
            <w:r w:rsidR="00E60D7E">
              <w:t>28</w:t>
            </w:r>
            <w:r>
              <w:t xml:space="preserve"> mai 2020</w:t>
            </w:r>
          </w:p>
        </w:tc>
      </w:tr>
      <w:tr w:rsidR="00E12A51" w:rsidRPr="006E7BAE" w14:paraId="2CE5C2B3" w14:textId="77777777" w:rsidTr="00887C60">
        <w:tc>
          <w:tcPr>
            <w:tcW w:w="2248" w:type="pct"/>
            <w:tcMar>
              <w:top w:w="0" w:type="dxa"/>
              <w:bottom w:w="0" w:type="dxa"/>
            </w:tcMar>
          </w:tcPr>
          <w:p w14:paraId="2CE5C2B0" w14:textId="77777777" w:rsidR="00C2612E" w:rsidRPr="006E7BAE" w:rsidRDefault="00C2612E" w:rsidP="008262A3"/>
        </w:tc>
        <w:tc>
          <w:tcPr>
            <w:tcW w:w="377" w:type="pct"/>
            <w:tcMar>
              <w:top w:w="0" w:type="dxa"/>
              <w:bottom w:w="0" w:type="dxa"/>
            </w:tcMar>
          </w:tcPr>
          <w:p w14:paraId="2CE5C2B1" w14:textId="77777777" w:rsidR="00E12A51" w:rsidRPr="006E7BAE" w:rsidRDefault="00E12A51" w:rsidP="00382FEC"/>
        </w:tc>
        <w:tc>
          <w:tcPr>
            <w:tcW w:w="2375" w:type="pct"/>
            <w:tcMar>
              <w:top w:w="0" w:type="dxa"/>
              <w:bottom w:w="0" w:type="dxa"/>
            </w:tcMar>
          </w:tcPr>
          <w:p w14:paraId="2CE5C2B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CE5C2C1" w14:textId="77777777" w:rsidTr="00887C60">
        <w:tc>
          <w:tcPr>
            <w:tcW w:w="2248" w:type="pct"/>
          </w:tcPr>
          <w:p w14:paraId="2CE5C2B4" w14:textId="77777777" w:rsidR="003A5DC3" w:rsidRPr="009048A0" w:rsidRDefault="00F7281A">
            <w:pPr>
              <w:pStyle w:val="SCCLsocPrefix"/>
            </w:pPr>
            <w:r w:rsidRPr="009048A0">
              <w:t>BETWEEN:</w:t>
            </w:r>
            <w:r w:rsidRPr="009048A0">
              <w:br/>
            </w:r>
          </w:p>
          <w:p w14:paraId="2CE5C2B5" w14:textId="77777777" w:rsidR="003A5DC3" w:rsidRPr="009048A0" w:rsidRDefault="00F7281A">
            <w:pPr>
              <w:pStyle w:val="SCCLsocParty"/>
            </w:pPr>
            <w:r w:rsidRPr="009048A0">
              <w:t>Moshe Segalovich</w:t>
            </w:r>
            <w:r w:rsidRPr="009048A0">
              <w:br/>
            </w:r>
          </w:p>
          <w:p w14:paraId="2CE5C2B6" w14:textId="77777777" w:rsidR="003A5DC3" w:rsidRPr="009048A0" w:rsidRDefault="00F7281A">
            <w:pPr>
              <w:pStyle w:val="SCCLsocPartyRole"/>
            </w:pPr>
            <w:r w:rsidRPr="009048A0">
              <w:t>Applicant</w:t>
            </w:r>
            <w:r w:rsidRPr="009048A0">
              <w:br/>
            </w:r>
          </w:p>
          <w:p w14:paraId="2CE5C2B7" w14:textId="77777777" w:rsidR="003A5DC3" w:rsidRPr="009048A0" w:rsidRDefault="00E60D7E">
            <w:pPr>
              <w:pStyle w:val="SCCLsocVersus"/>
            </w:pPr>
            <w:r w:rsidRPr="009048A0">
              <w:noBreakHyphen/>
            </w:r>
            <w:r w:rsidR="00F7281A" w:rsidRPr="009048A0">
              <w:t xml:space="preserve"> and </w:t>
            </w:r>
            <w:r w:rsidRPr="009048A0">
              <w:noBreakHyphen/>
            </w:r>
            <w:r w:rsidR="00F7281A" w:rsidRPr="009048A0">
              <w:br/>
            </w:r>
          </w:p>
          <w:p w14:paraId="2CE5C2B8" w14:textId="00D4AAEB" w:rsidR="003A5DC3" w:rsidRPr="009048A0" w:rsidRDefault="00F7281A">
            <w:pPr>
              <w:pStyle w:val="SCCLsocParty"/>
            </w:pPr>
            <w:r w:rsidRPr="009048A0">
              <w:t>C.S.T. Consultants Inc., Canadian Scholarship Trust Foundation, Heritage Educational Foundation, Kaleido Growth Inc. (formerly known as Universitas Management Inc.), Kaleido Foundation (formerly known as Universitas Foundation of Canada), Children</w:t>
            </w:r>
            <w:r w:rsidR="009048A0">
              <w:t>’</w:t>
            </w:r>
            <w:r w:rsidRPr="009048A0">
              <w:t>s Education Funds Inc., Children</w:t>
            </w:r>
            <w:r w:rsidR="009048A0">
              <w:t>’</w:t>
            </w:r>
            <w:r w:rsidRPr="009048A0">
              <w:t>s Educational Foundation of Canada, Global RESP Corporation, Global Educational Trust Foundation, Knowledge First Financial Inc.</w:t>
            </w:r>
            <w:r w:rsidR="009048A0">
              <w:t xml:space="preserve"> and</w:t>
            </w:r>
            <w:r w:rsidRPr="009048A0">
              <w:t xml:space="preserve"> Knowledge First Foundation, personally and in continuance of proceedings for Heritage Education Funds Inc.</w:t>
            </w:r>
            <w:r w:rsidRPr="009048A0">
              <w:br/>
            </w:r>
          </w:p>
          <w:p w14:paraId="2CE5C2B9" w14:textId="77777777" w:rsidR="003A5DC3" w:rsidRPr="009048A0" w:rsidRDefault="00F7281A">
            <w:pPr>
              <w:pStyle w:val="SCCLsocPartyRole"/>
            </w:pPr>
            <w:r w:rsidRPr="009048A0">
              <w:t>Respondents</w:t>
            </w:r>
          </w:p>
        </w:tc>
        <w:tc>
          <w:tcPr>
            <w:tcW w:w="377" w:type="pct"/>
          </w:tcPr>
          <w:p w14:paraId="2CE5C2BA" w14:textId="77777777" w:rsidR="00824412" w:rsidRPr="009048A0" w:rsidRDefault="00824412" w:rsidP="00375294"/>
        </w:tc>
        <w:tc>
          <w:tcPr>
            <w:tcW w:w="2375" w:type="pct"/>
          </w:tcPr>
          <w:p w14:paraId="2CE5C2BB" w14:textId="77777777" w:rsidR="003A5DC3" w:rsidRPr="009048A0" w:rsidRDefault="00F7281A">
            <w:pPr>
              <w:pStyle w:val="SCCLsocPrefix"/>
              <w:rPr>
                <w:lang w:val="fr-CA"/>
              </w:rPr>
            </w:pPr>
            <w:r w:rsidRPr="009048A0">
              <w:rPr>
                <w:lang w:val="fr-CA"/>
              </w:rPr>
              <w:t>ENTRE</w:t>
            </w:r>
            <w:r w:rsidR="00E60D7E" w:rsidRPr="009048A0">
              <w:rPr>
                <w:lang w:val="fr-CA"/>
              </w:rPr>
              <w:t> :</w:t>
            </w:r>
            <w:r w:rsidRPr="009048A0">
              <w:rPr>
                <w:lang w:val="fr-CA"/>
              </w:rPr>
              <w:br/>
            </w:r>
          </w:p>
          <w:p w14:paraId="2CE5C2BC" w14:textId="77777777" w:rsidR="003A5DC3" w:rsidRPr="009048A0" w:rsidRDefault="00F7281A">
            <w:pPr>
              <w:pStyle w:val="SCCLsocParty"/>
              <w:rPr>
                <w:lang w:val="fr-CA"/>
              </w:rPr>
            </w:pPr>
            <w:r w:rsidRPr="009048A0">
              <w:rPr>
                <w:lang w:val="fr-CA"/>
              </w:rPr>
              <w:t>Moshe Segalovich</w:t>
            </w:r>
            <w:r w:rsidRPr="009048A0">
              <w:rPr>
                <w:lang w:val="fr-CA"/>
              </w:rPr>
              <w:br/>
            </w:r>
          </w:p>
          <w:p w14:paraId="2CE5C2BD" w14:textId="77777777" w:rsidR="003A5DC3" w:rsidRPr="009048A0" w:rsidRDefault="00887C60">
            <w:pPr>
              <w:pStyle w:val="SCCLsocPartyRole"/>
              <w:rPr>
                <w:lang w:val="fr-CA"/>
              </w:rPr>
            </w:pPr>
            <w:r w:rsidRPr="009048A0">
              <w:rPr>
                <w:lang w:val="fr-CA"/>
              </w:rPr>
              <w:t>Demandeur</w:t>
            </w:r>
            <w:r w:rsidR="00F7281A" w:rsidRPr="009048A0">
              <w:rPr>
                <w:lang w:val="fr-CA"/>
              </w:rPr>
              <w:br/>
            </w:r>
          </w:p>
          <w:p w14:paraId="2CE5C2BE" w14:textId="77777777" w:rsidR="003A5DC3" w:rsidRPr="009048A0" w:rsidRDefault="00E60D7E">
            <w:pPr>
              <w:pStyle w:val="SCCLsocVersus"/>
              <w:rPr>
                <w:lang w:val="fr-CA"/>
              </w:rPr>
            </w:pPr>
            <w:r w:rsidRPr="009048A0">
              <w:rPr>
                <w:lang w:val="fr-CA"/>
              </w:rPr>
              <w:noBreakHyphen/>
            </w:r>
            <w:r w:rsidR="00F7281A" w:rsidRPr="009048A0">
              <w:rPr>
                <w:lang w:val="fr-CA"/>
              </w:rPr>
              <w:t xml:space="preserve"> et </w:t>
            </w:r>
            <w:r w:rsidRPr="009048A0">
              <w:rPr>
                <w:lang w:val="fr-CA"/>
              </w:rPr>
              <w:noBreakHyphen/>
            </w:r>
            <w:r w:rsidR="00F7281A" w:rsidRPr="009048A0">
              <w:rPr>
                <w:lang w:val="fr-CA"/>
              </w:rPr>
              <w:br/>
            </w:r>
          </w:p>
          <w:p w14:paraId="2CE5C2BF" w14:textId="1C8B0505" w:rsidR="00F7281A" w:rsidRPr="009048A0" w:rsidRDefault="00F7281A" w:rsidP="00F7281A">
            <w:pPr>
              <w:pStyle w:val="SCCLsocParty"/>
              <w:ind w:left="-69" w:firstLine="69"/>
              <w:rPr>
                <w:lang w:val="fr-CA"/>
              </w:rPr>
            </w:pPr>
            <w:r w:rsidRPr="009048A0">
              <w:rPr>
                <w:lang w:val="fr-CA"/>
              </w:rPr>
              <w:t>Consultants C.S.T. inc., Fondation fiduciaire canadienne de bourses d</w:t>
            </w:r>
            <w:r w:rsidR="009048A0">
              <w:rPr>
                <w:lang w:val="fr-CA"/>
              </w:rPr>
              <w:t>’</w:t>
            </w:r>
            <w:r w:rsidRPr="009048A0">
              <w:rPr>
                <w:lang w:val="fr-CA"/>
              </w:rPr>
              <w:t>études, Fondation éducationnelle Héritage, Kaleido Croissance inc.</w:t>
            </w:r>
            <w:r w:rsidR="00A033C4">
              <w:rPr>
                <w:lang w:val="fr-CA"/>
              </w:rPr>
              <w:t xml:space="preserve"> </w:t>
            </w:r>
            <w:r w:rsidRPr="009048A0">
              <w:rPr>
                <w:lang w:val="fr-CA"/>
              </w:rPr>
              <w:t>(anciennement connu</w:t>
            </w:r>
            <w:r w:rsidR="009048A0">
              <w:rPr>
                <w:lang w:val="fr-CA"/>
              </w:rPr>
              <w:t>e</w:t>
            </w:r>
            <w:r w:rsidRPr="009048A0">
              <w:rPr>
                <w:lang w:val="fr-CA"/>
              </w:rPr>
              <w:t xml:space="preserve"> sous le nom d</w:t>
            </w:r>
            <w:r w:rsidR="009048A0">
              <w:rPr>
                <w:lang w:val="fr-CA"/>
              </w:rPr>
              <w:t>’</w:t>
            </w:r>
            <w:r w:rsidRPr="009048A0">
              <w:rPr>
                <w:lang w:val="fr-CA"/>
              </w:rPr>
              <w:t>Universitas Management Inc.), Fondation Kaleido (anciennement connu</w:t>
            </w:r>
            <w:r w:rsidR="009048A0">
              <w:rPr>
                <w:lang w:val="fr-CA"/>
              </w:rPr>
              <w:t>e</w:t>
            </w:r>
            <w:r w:rsidRPr="009048A0">
              <w:rPr>
                <w:lang w:val="fr-CA"/>
              </w:rPr>
              <w:t xml:space="preserve"> sous le nom d</w:t>
            </w:r>
            <w:r w:rsidR="009048A0">
              <w:rPr>
                <w:lang w:val="fr-CA"/>
              </w:rPr>
              <w:t>’</w:t>
            </w:r>
            <w:r w:rsidRPr="009048A0">
              <w:rPr>
                <w:lang w:val="fr-CA"/>
              </w:rPr>
              <w:t>Universitas Foundation of Canada), Fonds d</w:t>
            </w:r>
            <w:r w:rsidR="009048A0">
              <w:rPr>
                <w:lang w:val="fr-CA"/>
              </w:rPr>
              <w:t>’</w:t>
            </w:r>
            <w:r w:rsidR="00A033C4">
              <w:rPr>
                <w:lang w:val="fr-CA"/>
              </w:rPr>
              <w:t>études pour les enfants i</w:t>
            </w:r>
            <w:r w:rsidRPr="009048A0">
              <w:rPr>
                <w:lang w:val="fr-CA"/>
              </w:rPr>
              <w:t>nc., Fondation pour l</w:t>
            </w:r>
            <w:r w:rsidR="009048A0">
              <w:rPr>
                <w:lang w:val="fr-CA"/>
              </w:rPr>
              <w:t>’</w:t>
            </w:r>
            <w:r w:rsidRPr="009048A0">
              <w:rPr>
                <w:lang w:val="fr-CA"/>
              </w:rPr>
              <w:t xml:space="preserve">éducation des enfants du Canada, Corporation REÉÉ Global, Global Educational Trust Foundation, Première financière du savoir </w:t>
            </w:r>
            <w:r w:rsidR="009048A0">
              <w:rPr>
                <w:lang w:val="fr-CA"/>
              </w:rPr>
              <w:t>i</w:t>
            </w:r>
            <w:r w:rsidRPr="009048A0">
              <w:rPr>
                <w:lang w:val="fr-CA"/>
              </w:rPr>
              <w:t>nc.</w:t>
            </w:r>
            <w:r w:rsidR="009048A0">
              <w:rPr>
                <w:lang w:val="fr-CA"/>
              </w:rPr>
              <w:t xml:space="preserve"> et</w:t>
            </w:r>
            <w:r w:rsidRPr="009048A0">
              <w:rPr>
                <w:lang w:val="fr-CA"/>
              </w:rPr>
              <w:t xml:space="preserve"> Première fondation du savoir</w:t>
            </w:r>
            <w:r w:rsidR="009048A0">
              <w:rPr>
                <w:lang w:val="fr-CA"/>
              </w:rPr>
              <w:t>, personnellement et en reprise d’instance pour Heritage Education Funds Inc.</w:t>
            </w:r>
            <w:r w:rsidRPr="009048A0">
              <w:rPr>
                <w:lang w:val="fr-CA"/>
              </w:rPr>
              <w:br/>
            </w:r>
          </w:p>
          <w:p w14:paraId="2CE5C2C0" w14:textId="77777777" w:rsidR="003A5DC3" w:rsidRPr="009048A0" w:rsidRDefault="00E60D7E">
            <w:pPr>
              <w:pStyle w:val="SCCLsocPartyRole"/>
            </w:pPr>
            <w:r w:rsidRPr="009048A0">
              <w:t>Intimée</w:t>
            </w:r>
            <w:r w:rsidR="00F7281A" w:rsidRPr="009048A0">
              <w:t>s</w:t>
            </w:r>
          </w:p>
        </w:tc>
      </w:tr>
      <w:tr w:rsidR="00824412" w:rsidRPr="006E7BAE" w14:paraId="2CE5C2C5" w14:textId="77777777" w:rsidTr="00887C60">
        <w:tc>
          <w:tcPr>
            <w:tcW w:w="2248" w:type="pct"/>
            <w:tcMar>
              <w:top w:w="0" w:type="dxa"/>
              <w:bottom w:w="0" w:type="dxa"/>
            </w:tcMar>
          </w:tcPr>
          <w:p w14:paraId="2CE5C2C2" w14:textId="77777777" w:rsidR="00824412" w:rsidRPr="006E7BAE" w:rsidRDefault="00824412" w:rsidP="00375294"/>
        </w:tc>
        <w:tc>
          <w:tcPr>
            <w:tcW w:w="377" w:type="pct"/>
            <w:tcMar>
              <w:top w:w="0" w:type="dxa"/>
              <w:bottom w:w="0" w:type="dxa"/>
            </w:tcMar>
          </w:tcPr>
          <w:p w14:paraId="2CE5C2C3" w14:textId="77777777" w:rsidR="00824412" w:rsidRPr="006E7BAE" w:rsidRDefault="00824412" w:rsidP="00375294"/>
        </w:tc>
        <w:tc>
          <w:tcPr>
            <w:tcW w:w="2375" w:type="pct"/>
            <w:tcMar>
              <w:top w:w="0" w:type="dxa"/>
              <w:bottom w:w="0" w:type="dxa"/>
            </w:tcMar>
          </w:tcPr>
          <w:p w14:paraId="2CE5C2C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033C4" w14:paraId="2CE5C2D0" w14:textId="77777777" w:rsidTr="00887C60">
        <w:tc>
          <w:tcPr>
            <w:tcW w:w="2248" w:type="pct"/>
          </w:tcPr>
          <w:p w14:paraId="2CE5C2C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CE5C2C7" w14:textId="77777777" w:rsidR="00824412" w:rsidRPr="006E7BAE" w:rsidRDefault="00824412" w:rsidP="00417FB7">
            <w:pPr>
              <w:jc w:val="center"/>
            </w:pPr>
          </w:p>
          <w:p w14:paraId="2CE5C2C8" w14:textId="77777777" w:rsidR="00887C60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E60D7E">
              <w:t>500</w:t>
            </w:r>
            <w:r w:rsidR="00E60D7E">
              <w:noBreakHyphen/>
              <w:t>09</w:t>
            </w:r>
            <w:r w:rsidR="00E60D7E">
              <w:noBreakHyphen/>
              <w:t>027725</w:t>
            </w:r>
            <w:r w:rsidR="00E60D7E">
              <w:noBreakHyphen/>
              <w:t>183</w:t>
            </w:r>
            <w:r w:rsidR="00E60D7E" w:rsidRPr="006E7BAE">
              <w:t>,</w:t>
            </w:r>
          </w:p>
          <w:p w14:paraId="2CE5C2C9" w14:textId="77777777" w:rsidR="00824412" w:rsidRDefault="00824412" w:rsidP="00011960">
            <w:pPr>
              <w:jc w:val="both"/>
            </w:pPr>
            <w:r>
              <w:lastRenderedPageBreak/>
              <w:t xml:space="preserve">2019 QCCA 2144, </w:t>
            </w:r>
            <w:r w:rsidRPr="006E7BAE">
              <w:t xml:space="preserve">dated </w:t>
            </w:r>
            <w:r>
              <w:t>December 11, 2019</w:t>
            </w:r>
            <w:r w:rsidR="00E60D7E">
              <w:t>,</w:t>
            </w:r>
            <w:r w:rsidRPr="006E7BAE">
              <w:t xml:space="preserve"> is </w:t>
            </w:r>
            <w:r w:rsidR="00E60D7E">
              <w:t>dismissed with costs</w:t>
            </w:r>
            <w:r w:rsidRPr="006E7BAE">
              <w:t>.</w:t>
            </w:r>
          </w:p>
          <w:p w14:paraId="2CE5C2CA" w14:textId="77777777" w:rsidR="003F6511" w:rsidRDefault="003F6511" w:rsidP="00011960">
            <w:pPr>
              <w:jc w:val="both"/>
            </w:pPr>
          </w:p>
          <w:p w14:paraId="2CE5C2CB" w14:textId="77777777" w:rsidR="003F6511" w:rsidRPr="006E7BAE" w:rsidRDefault="003F6511" w:rsidP="00011960">
            <w:pPr>
              <w:jc w:val="both"/>
            </w:pPr>
          </w:p>
        </w:tc>
        <w:tc>
          <w:tcPr>
            <w:tcW w:w="377" w:type="pct"/>
          </w:tcPr>
          <w:p w14:paraId="2CE5C2C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75" w:type="pct"/>
          </w:tcPr>
          <w:p w14:paraId="2CE5C2C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CE5C2C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CE5C2CF" w14:textId="77777777" w:rsidR="003F6511" w:rsidRPr="006E7BAE" w:rsidRDefault="00824412" w:rsidP="00E60D7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60D7E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E60D7E" w:rsidRPr="00E60D7E">
              <w:rPr>
                <w:lang w:val="fr-CA"/>
              </w:rPr>
              <w:t>500</w:t>
            </w:r>
            <w:r w:rsidR="00E60D7E">
              <w:rPr>
                <w:lang w:val="fr-CA"/>
              </w:rPr>
              <w:noBreakHyphen/>
            </w:r>
            <w:r w:rsidR="00E60D7E" w:rsidRPr="00E60D7E">
              <w:rPr>
                <w:lang w:val="fr-CA"/>
              </w:rPr>
              <w:t>09</w:t>
            </w:r>
            <w:r w:rsidR="00E60D7E">
              <w:rPr>
                <w:lang w:val="fr-CA"/>
              </w:rPr>
              <w:noBreakHyphen/>
            </w:r>
            <w:r w:rsidR="00E60D7E" w:rsidRPr="00E60D7E">
              <w:rPr>
                <w:lang w:val="fr-CA"/>
              </w:rPr>
              <w:t>027725</w:t>
            </w:r>
            <w:r w:rsidR="00E60D7E">
              <w:rPr>
                <w:lang w:val="fr-CA"/>
              </w:rPr>
              <w:noBreakHyphen/>
            </w:r>
            <w:r w:rsidR="00E60D7E" w:rsidRPr="00E60D7E">
              <w:rPr>
                <w:lang w:val="fr-CA"/>
              </w:rPr>
              <w:t>183</w:t>
            </w:r>
            <w:r w:rsidR="00E60D7E" w:rsidRPr="006E7BAE">
              <w:rPr>
                <w:lang w:val="fr-CA"/>
              </w:rPr>
              <w:t>,</w:t>
            </w:r>
            <w:r w:rsidR="00E60D7E">
              <w:rPr>
                <w:lang w:val="fr-CA"/>
              </w:rPr>
              <w:t xml:space="preserve"> </w:t>
            </w:r>
            <w:r w:rsidRPr="00E60D7E">
              <w:rPr>
                <w:lang w:val="fr-CA"/>
              </w:rPr>
              <w:t xml:space="preserve">2019 QCCA </w:t>
            </w:r>
            <w:r w:rsidRPr="00E60D7E">
              <w:rPr>
                <w:lang w:val="fr-CA"/>
              </w:rPr>
              <w:lastRenderedPageBreak/>
              <w:t xml:space="preserve">2144,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60D7E">
              <w:rPr>
                <w:lang w:val="fr-CA"/>
              </w:rPr>
              <w:t>11 décembre 2019</w:t>
            </w:r>
            <w:r w:rsidRPr="006E7BAE">
              <w:rPr>
                <w:lang w:val="fr-CA"/>
              </w:rPr>
              <w:t xml:space="preserve">, est </w:t>
            </w:r>
            <w:r w:rsidR="00E60D7E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CE5C2D1" w14:textId="77777777" w:rsidR="009F436C" w:rsidRPr="00D83B8C" w:rsidRDefault="009F436C" w:rsidP="00382FEC">
      <w:pPr>
        <w:rPr>
          <w:lang w:val="fr-CA"/>
        </w:rPr>
      </w:pPr>
    </w:p>
    <w:p w14:paraId="2CE5C2D2" w14:textId="77777777" w:rsidR="009F436C" w:rsidRPr="00D83B8C" w:rsidRDefault="009F436C" w:rsidP="00417FB7">
      <w:pPr>
        <w:jc w:val="center"/>
        <w:rPr>
          <w:lang w:val="fr-CA"/>
        </w:rPr>
      </w:pPr>
    </w:p>
    <w:p w14:paraId="2CE5C2D3" w14:textId="77777777" w:rsidR="009F436C" w:rsidRDefault="009F436C" w:rsidP="00417FB7">
      <w:pPr>
        <w:jc w:val="center"/>
        <w:rPr>
          <w:lang w:val="fr-CA"/>
        </w:rPr>
      </w:pPr>
    </w:p>
    <w:p w14:paraId="2CE5C2D4" w14:textId="77777777" w:rsidR="00E60D7E" w:rsidRPr="00D83B8C" w:rsidRDefault="00E60D7E" w:rsidP="00417FB7">
      <w:pPr>
        <w:jc w:val="center"/>
        <w:rPr>
          <w:lang w:val="fr-CA"/>
        </w:rPr>
      </w:pPr>
    </w:p>
    <w:p w14:paraId="2CE5C2D5" w14:textId="77777777" w:rsidR="009F436C" w:rsidRDefault="009F436C" w:rsidP="00417FB7">
      <w:pPr>
        <w:jc w:val="center"/>
        <w:rPr>
          <w:lang w:val="fr-CA"/>
        </w:rPr>
      </w:pPr>
    </w:p>
    <w:p w14:paraId="746B8D4B" w14:textId="77777777" w:rsidR="003A7886" w:rsidRDefault="003A7886" w:rsidP="00417FB7">
      <w:pPr>
        <w:jc w:val="center"/>
        <w:rPr>
          <w:lang w:val="fr-CA"/>
        </w:rPr>
      </w:pPr>
    </w:p>
    <w:p w14:paraId="5D186643" w14:textId="77777777" w:rsidR="003A7886" w:rsidRPr="00D83B8C" w:rsidRDefault="003A7886" w:rsidP="00417FB7">
      <w:pPr>
        <w:jc w:val="center"/>
        <w:rPr>
          <w:lang w:val="fr-CA"/>
        </w:rPr>
      </w:pPr>
    </w:p>
    <w:p w14:paraId="2CE5C2D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CE5C2D7" w14:textId="77777777" w:rsidR="008F53F3" w:rsidRPr="00A252FA" w:rsidRDefault="003A37CF" w:rsidP="00E60D7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CE5C2D8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5C2DB" w14:textId="77777777" w:rsidR="00983D48" w:rsidRDefault="00983D48">
      <w:r>
        <w:separator/>
      </w:r>
    </w:p>
  </w:endnote>
  <w:endnote w:type="continuationSeparator" w:id="0">
    <w:p w14:paraId="2CE5C2D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5C2D9" w14:textId="77777777" w:rsidR="00983D48" w:rsidRDefault="00983D48">
      <w:r>
        <w:separator/>
      </w:r>
    </w:p>
  </w:footnote>
  <w:footnote w:type="continuationSeparator" w:id="0">
    <w:p w14:paraId="2CE5C2D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5C2D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9384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CE5C2DE" w14:textId="77777777" w:rsidR="008F53F3" w:rsidRDefault="008F53F3" w:rsidP="008F53F3">
    <w:pPr>
      <w:rPr>
        <w:szCs w:val="24"/>
      </w:rPr>
    </w:pPr>
  </w:p>
  <w:p w14:paraId="2CE5C2DF" w14:textId="77777777" w:rsidR="008F53F3" w:rsidRDefault="008F53F3" w:rsidP="008F53F3">
    <w:pPr>
      <w:rPr>
        <w:szCs w:val="24"/>
      </w:rPr>
    </w:pPr>
  </w:p>
  <w:p w14:paraId="2CE5C2E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39054</w:t>
    </w:r>
    <w:r>
      <w:rPr>
        <w:szCs w:val="24"/>
      </w:rPr>
      <w:t>     </w:t>
    </w:r>
  </w:p>
  <w:p w14:paraId="2CE5C2E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CE5C2E2" w14:textId="77777777" w:rsidR="0073151A" w:rsidRDefault="0073151A" w:rsidP="0073151A"/>
      <w:p w14:paraId="2CE5C2E3" w14:textId="77777777" w:rsidR="0073151A" w:rsidRPr="006E7BAE" w:rsidRDefault="0073151A" w:rsidP="0073151A"/>
      <w:p w14:paraId="2CE5C2E4" w14:textId="77777777" w:rsidR="0073151A" w:rsidRPr="006E7BAE" w:rsidRDefault="0073151A" w:rsidP="0073151A"/>
      <w:p w14:paraId="2CE5C2E5" w14:textId="77777777" w:rsidR="0073151A" w:rsidRPr="006E7BAE" w:rsidRDefault="0073151A" w:rsidP="0073151A"/>
      <w:p w14:paraId="2CE5C2E6" w14:textId="77777777" w:rsidR="0073151A" w:rsidRDefault="0073151A" w:rsidP="0073151A"/>
      <w:p w14:paraId="2CE5C2E7" w14:textId="77777777" w:rsidR="0073151A" w:rsidRDefault="0073151A" w:rsidP="0073151A"/>
      <w:p w14:paraId="2CE5C2E8" w14:textId="77777777" w:rsidR="0073151A" w:rsidRDefault="0073151A" w:rsidP="0073151A"/>
      <w:p w14:paraId="2CE5C2E9" w14:textId="77777777" w:rsidR="0073151A" w:rsidRDefault="0073151A" w:rsidP="0073151A"/>
      <w:p w14:paraId="2CE5C2EA" w14:textId="77777777" w:rsidR="0073151A" w:rsidRDefault="0073151A" w:rsidP="0073151A"/>
      <w:p w14:paraId="2CE5C2EB" w14:textId="77777777" w:rsidR="0073151A" w:rsidRPr="006E7BAE" w:rsidRDefault="0073151A" w:rsidP="0073151A"/>
      <w:p w14:paraId="2CE5C2EC" w14:textId="77777777" w:rsidR="00ED265D" w:rsidRPr="0073151A" w:rsidRDefault="00E9384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5DC3"/>
    <w:rsid w:val="003A7886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7C60"/>
    <w:rsid w:val="00894E45"/>
    <w:rsid w:val="00895263"/>
    <w:rsid w:val="008A0569"/>
    <w:rsid w:val="008A153F"/>
    <w:rsid w:val="008F376B"/>
    <w:rsid w:val="008F53F3"/>
    <w:rsid w:val="009048A0"/>
    <w:rsid w:val="009305BF"/>
    <w:rsid w:val="00951EF6"/>
    <w:rsid w:val="0096638C"/>
    <w:rsid w:val="00971A08"/>
    <w:rsid w:val="00983D48"/>
    <w:rsid w:val="009B087B"/>
    <w:rsid w:val="009B161D"/>
    <w:rsid w:val="009D45DF"/>
    <w:rsid w:val="009E0D8D"/>
    <w:rsid w:val="009E0F71"/>
    <w:rsid w:val="009E7A46"/>
    <w:rsid w:val="009F26C4"/>
    <w:rsid w:val="009F436C"/>
    <w:rsid w:val="00A03153"/>
    <w:rsid w:val="00A033C4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60D7E"/>
    <w:rsid w:val="00E736B9"/>
    <w:rsid w:val="00E777AD"/>
    <w:rsid w:val="00E93843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281A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CE5C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13479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2020-05-28T04:00:00+00:00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FB65CD-C75B-4A04-B765-AD1B5A828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F1A119-1939-4786-BABC-9908DB51800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5ABF09E-70B6-4201-915F-2F981E1258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2020-05-25T19:55:00Z</dcterms:created>
  <dcterms:modified xsi:type="dcterms:W3CDTF">2020-05-25T19:55:00Z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