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2E8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40361</w:t>
      </w:r>
      <w:r w:rsidR="0016666F" w:rsidRPr="006E7BAE">
        <w:t>     </w:t>
      </w:r>
    </w:p>
    <w:bookmarkEnd w:id="0"/>
    <w:p w14:paraId="1BD32E90" w14:textId="77777777" w:rsidR="009F436C" w:rsidRPr="006E7BAE" w:rsidRDefault="009F436C" w:rsidP="00382FEC"/>
    <w:p w14:paraId="1BD32E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D32E95" w14:textId="77777777" w:rsidTr="00C173B0">
        <w:tc>
          <w:tcPr>
            <w:tcW w:w="2269" w:type="pct"/>
          </w:tcPr>
          <w:p w14:paraId="1BD32E92" w14:textId="77777777" w:rsidR="00417FB7" w:rsidRPr="006E7BAE" w:rsidRDefault="0096168E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1BD32E93" w14:textId="77777777" w:rsidR="00417FB7" w:rsidRPr="006E7BAE" w:rsidRDefault="00417FB7" w:rsidP="00382FEC"/>
        </w:tc>
        <w:tc>
          <w:tcPr>
            <w:tcW w:w="2350" w:type="pct"/>
          </w:tcPr>
          <w:p w14:paraId="1BD32E94" w14:textId="77777777" w:rsidR="00417FB7" w:rsidRPr="00D83B8C" w:rsidRDefault="00543EDD" w:rsidP="005E7DD5">
            <w:pPr>
              <w:rPr>
                <w:lang w:val="en-US"/>
              </w:rPr>
            </w:pPr>
            <w:r>
              <w:t xml:space="preserve">Le </w:t>
            </w:r>
            <w:r w:rsidR="0096168E">
              <w:t>16 mars</w:t>
            </w:r>
            <w:r>
              <w:t xml:space="preserve"> 2023</w:t>
            </w:r>
          </w:p>
        </w:tc>
      </w:tr>
      <w:tr w:rsidR="00E12A51" w:rsidRPr="006E7BAE" w14:paraId="1BD32E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D32E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D32E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D32E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D32EAD" w14:textId="77777777" w:rsidTr="00C173B0">
        <w:tc>
          <w:tcPr>
            <w:tcW w:w="2269" w:type="pct"/>
          </w:tcPr>
          <w:p w14:paraId="1BD32E9B" w14:textId="77777777" w:rsidR="002F39DB" w:rsidRDefault="005E7DD5">
            <w:pPr>
              <w:pStyle w:val="SCCLsocPrefix"/>
            </w:pPr>
            <w:r>
              <w:t>BETWEEN:</w:t>
            </w:r>
          </w:p>
          <w:p w14:paraId="1BD32E9C" w14:textId="77777777" w:rsidR="005E7DD5" w:rsidRPr="005E7DD5" w:rsidRDefault="005E7DD5" w:rsidP="005E7DD5"/>
          <w:p w14:paraId="1BD32E9D" w14:textId="77777777" w:rsidR="002F39DB" w:rsidRDefault="005E7DD5">
            <w:pPr>
              <w:pStyle w:val="SCCLsocParty"/>
            </w:pPr>
            <w:r>
              <w:t>Douglas J. Kuny</w:t>
            </w:r>
            <w:r>
              <w:br/>
            </w:r>
          </w:p>
          <w:p w14:paraId="1BD32E9E" w14:textId="77777777" w:rsidR="002F39DB" w:rsidRDefault="005E7DD5">
            <w:pPr>
              <w:pStyle w:val="SCCLsocPartyRole"/>
            </w:pPr>
            <w:r>
              <w:t>Applicant</w:t>
            </w:r>
            <w:r>
              <w:br/>
            </w:r>
          </w:p>
          <w:p w14:paraId="1BD32E9F" w14:textId="77777777" w:rsidR="002F39DB" w:rsidRDefault="005E7DD5">
            <w:pPr>
              <w:pStyle w:val="SCCLsocVersus"/>
            </w:pPr>
            <w:r>
              <w:t>- and -</w:t>
            </w:r>
          </w:p>
          <w:p w14:paraId="1BD32EA0" w14:textId="77777777" w:rsidR="002F39DB" w:rsidRDefault="002F39DB"/>
          <w:p w14:paraId="1BD32EA1" w14:textId="77777777" w:rsidR="002F39DB" w:rsidRDefault="005E7DD5">
            <w:pPr>
              <w:pStyle w:val="SCCLsocParty"/>
            </w:pPr>
            <w:r>
              <w:t>Pullan Kammerloch Frohlinger and Pitblado LLP</w:t>
            </w:r>
            <w:r>
              <w:br/>
            </w:r>
          </w:p>
          <w:p w14:paraId="1BD32EA2" w14:textId="77777777" w:rsidR="002F39DB" w:rsidRDefault="005E7DD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D32EA3" w14:textId="77777777" w:rsidR="00824412" w:rsidRPr="006E7BAE" w:rsidRDefault="00824412" w:rsidP="00375294"/>
        </w:tc>
        <w:tc>
          <w:tcPr>
            <w:tcW w:w="2350" w:type="pct"/>
          </w:tcPr>
          <w:p w14:paraId="1BD32EA5" w14:textId="2EFE7FD3" w:rsidR="002F39DB" w:rsidRDefault="000229DE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5E7DD5" w:rsidRPr="001B3711">
              <w:rPr>
                <w:lang w:val="fr-CA"/>
              </w:rPr>
              <w:t>NTRE :</w:t>
            </w:r>
          </w:p>
          <w:p w14:paraId="1BD32EA6" w14:textId="77777777" w:rsidR="005E7DD5" w:rsidRPr="005E7DD5" w:rsidRDefault="005E7DD5" w:rsidP="005E7DD5">
            <w:pPr>
              <w:rPr>
                <w:lang w:val="fr-CA"/>
              </w:rPr>
            </w:pPr>
          </w:p>
          <w:p w14:paraId="1BD32EA7" w14:textId="77777777" w:rsidR="002F39DB" w:rsidRPr="001B3711" w:rsidRDefault="005E7DD5">
            <w:pPr>
              <w:pStyle w:val="SCCLsocParty"/>
              <w:rPr>
                <w:lang w:val="fr-CA"/>
              </w:rPr>
            </w:pPr>
            <w:r w:rsidRPr="001B3711">
              <w:rPr>
                <w:lang w:val="fr-CA"/>
              </w:rPr>
              <w:t>Douglas J. Kuny</w:t>
            </w:r>
            <w:r w:rsidRPr="001B3711">
              <w:rPr>
                <w:lang w:val="fr-CA"/>
              </w:rPr>
              <w:br/>
            </w:r>
          </w:p>
          <w:p w14:paraId="1BD32EA8" w14:textId="77777777" w:rsidR="002F39DB" w:rsidRPr="001B3711" w:rsidRDefault="005E7DD5">
            <w:pPr>
              <w:pStyle w:val="SCCLsocPartyRole"/>
              <w:rPr>
                <w:lang w:val="fr-CA"/>
              </w:rPr>
            </w:pPr>
            <w:r w:rsidRPr="001B3711">
              <w:rPr>
                <w:lang w:val="fr-CA"/>
              </w:rPr>
              <w:t>Demandeur</w:t>
            </w:r>
            <w:r w:rsidRPr="001B3711">
              <w:rPr>
                <w:lang w:val="fr-CA"/>
              </w:rPr>
              <w:br/>
            </w:r>
          </w:p>
          <w:p w14:paraId="1BD32EA9" w14:textId="77777777" w:rsidR="002F39DB" w:rsidRPr="002F3DC8" w:rsidRDefault="005E7DD5">
            <w:pPr>
              <w:pStyle w:val="SCCLsocVersus"/>
              <w:rPr>
                <w:lang w:val="fr-CA"/>
              </w:rPr>
            </w:pPr>
            <w:r w:rsidRPr="002F3DC8">
              <w:rPr>
                <w:lang w:val="fr-CA"/>
              </w:rPr>
              <w:t>- et -</w:t>
            </w:r>
          </w:p>
          <w:p w14:paraId="1BD32EAA" w14:textId="77777777" w:rsidR="002F39DB" w:rsidRPr="002F3DC8" w:rsidRDefault="002F39DB">
            <w:pPr>
              <w:rPr>
                <w:lang w:val="fr-CA"/>
              </w:rPr>
            </w:pPr>
          </w:p>
          <w:p w14:paraId="1BD32EAB" w14:textId="77777777" w:rsidR="002F39DB" w:rsidRPr="002F3DC8" w:rsidRDefault="005E7DD5">
            <w:pPr>
              <w:pStyle w:val="SCCLsocParty"/>
              <w:rPr>
                <w:lang w:val="fr-CA"/>
              </w:rPr>
            </w:pPr>
            <w:r w:rsidRPr="002F3DC8">
              <w:rPr>
                <w:lang w:val="fr-CA"/>
              </w:rPr>
              <w:t>Pullan Kammerloch Frohlinger et Pitblado LLP</w:t>
            </w:r>
            <w:r w:rsidRPr="002F3DC8">
              <w:rPr>
                <w:lang w:val="fr-CA"/>
              </w:rPr>
              <w:br/>
            </w:r>
          </w:p>
          <w:p w14:paraId="1BD32EAC" w14:textId="77777777" w:rsidR="002F39DB" w:rsidRDefault="005E7DD5" w:rsidP="005E7DD5">
            <w:pPr>
              <w:pStyle w:val="SCCLsocPartyRole"/>
            </w:pPr>
            <w:r>
              <w:t>Intimées</w:t>
            </w:r>
          </w:p>
        </w:tc>
      </w:tr>
      <w:tr w:rsidR="00824412" w:rsidRPr="006E7BAE" w14:paraId="1BD32E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D32E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D32E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D32E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168E" w14:paraId="1BD32EBA" w14:textId="77777777" w:rsidTr="00C173B0">
        <w:tc>
          <w:tcPr>
            <w:tcW w:w="2269" w:type="pct"/>
          </w:tcPr>
          <w:p w14:paraId="1BD32E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D32EB3" w14:textId="77777777" w:rsidR="00824412" w:rsidRPr="006E7BAE" w:rsidRDefault="00824412" w:rsidP="00417FB7">
            <w:pPr>
              <w:jc w:val="center"/>
            </w:pPr>
          </w:p>
          <w:p w14:paraId="1BD32EB4" w14:textId="747A89F5" w:rsidR="00824412" w:rsidRDefault="002F3DC8" w:rsidP="00011960">
            <w:pPr>
              <w:jc w:val="both"/>
            </w:pPr>
            <w:r>
              <w:t xml:space="preserve">The motion </w:t>
            </w:r>
            <w:r w:rsidR="00B87451">
              <w:t xml:space="preserve">to join two Court of Appeal </w:t>
            </w:r>
            <w:r w:rsidR="00462B51">
              <w:t xml:space="preserve">of Manitoba </w:t>
            </w:r>
            <w:r w:rsidR="00B87451">
              <w:t xml:space="preserve">files </w:t>
            </w:r>
            <w:r w:rsidR="00462B51">
              <w:t>in a single</w:t>
            </w:r>
            <w:r w:rsidR="00B87451">
              <w:t xml:space="preserve"> application for leave to appeal </w:t>
            </w:r>
            <w:r>
              <w:t xml:space="preserve">is granted.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 w:rsidR="005E7DD5">
              <w:t>s</w:t>
            </w:r>
            <w:r w:rsidR="00824412" w:rsidRPr="006E7BAE">
              <w:t xml:space="preserve"> </w:t>
            </w:r>
            <w:r w:rsidR="005E7DD5">
              <w:t>AI20-30-09529 and</w:t>
            </w:r>
            <w:r w:rsidR="00824412">
              <w:t xml:space="preserve"> AI20-30-09530</w:t>
            </w:r>
            <w:r w:rsidR="00824412" w:rsidRPr="006E7BAE">
              <w:t xml:space="preserve">, </w:t>
            </w:r>
            <w:r w:rsidR="00A80C7D" w:rsidRPr="00A80C7D">
              <w:t>2022 MBCA 17</w:t>
            </w:r>
            <w:r w:rsidR="00A80C7D">
              <w:t>,</w:t>
            </w:r>
            <w:r w:rsidR="00A80C7D" w:rsidRPr="00A80C7D">
              <w:t xml:space="preserve"> </w:t>
            </w:r>
            <w:r w:rsidR="00824412" w:rsidRPr="006E7BAE">
              <w:t xml:space="preserve">dated </w:t>
            </w:r>
            <w:r w:rsidR="00824412">
              <w:t>February 9, 2022</w:t>
            </w:r>
            <w:r w:rsidR="00F413BE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1BD32E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D32E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D32E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D32E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D32EB9" w14:textId="7325659C" w:rsidR="003F6511" w:rsidRPr="006E7BAE" w:rsidRDefault="002F3DC8" w:rsidP="002F3DC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deux dossiers de la Cour d’appel </w:t>
            </w:r>
            <w:r w:rsidR="00462B51" w:rsidRPr="00462B51">
              <w:rPr>
                <w:lang w:val="fr-CA"/>
              </w:rPr>
              <w:t xml:space="preserve">du Manitoba </w:t>
            </w:r>
            <w:r w:rsidR="00462B51">
              <w:rPr>
                <w:lang w:val="fr-CA"/>
              </w:rPr>
              <w:t>dans</w:t>
            </w:r>
            <w:r>
              <w:rPr>
                <w:lang w:val="fr-CA"/>
              </w:rPr>
              <w:t xml:space="preserve"> une seule demande d’autorisation d’appel est accueillie. 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3711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="005E7DD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96168E">
              <w:rPr>
                <w:lang w:val="fr-CA"/>
              </w:rPr>
              <w:t>AI20</w:t>
            </w:r>
            <w:r w:rsidR="0096168E">
              <w:rPr>
                <w:lang w:val="fr-CA"/>
              </w:rPr>
              <w:noBreakHyphen/>
            </w:r>
            <w:r w:rsidR="00824412" w:rsidRPr="001B3711">
              <w:rPr>
                <w:lang w:val="fr-CA"/>
              </w:rPr>
              <w:t>30-09529</w:t>
            </w:r>
            <w:r w:rsidR="005E7DD5">
              <w:rPr>
                <w:lang w:val="fr-CA"/>
              </w:rPr>
              <w:t xml:space="preserve"> et</w:t>
            </w:r>
            <w:r w:rsidR="00824412" w:rsidRPr="001B3711">
              <w:rPr>
                <w:lang w:val="fr-CA"/>
              </w:rPr>
              <w:t xml:space="preserve"> AI20-30-09530</w:t>
            </w:r>
            <w:r w:rsidR="00824412" w:rsidRPr="006E7BAE">
              <w:rPr>
                <w:lang w:val="fr-CA"/>
              </w:rPr>
              <w:t xml:space="preserve">, </w:t>
            </w:r>
            <w:r w:rsidR="00A80C7D" w:rsidRPr="00A80C7D">
              <w:rPr>
                <w:lang w:val="fr-CA"/>
              </w:rPr>
              <w:t>2022 MBCA 17</w:t>
            </w:r>
            <w:r w:rsidR="00A80C7D">
              <w:rPr>
                <w:lang w:val="fr-CA"/>
              </w:rPr>
              <w:t>,</w:t>
            </w:r>
            <w:r w:rsidR="00A80C7D" w:rsidRPr="00A80C7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5E7DD5">
              <w:rPr>
                <w:lang w:val="fr-CA"/>
              </w:rPr>
              <w:t>9</w:t>
            </w:r>
            <w:r w:rsidR="00A80C7D">
              <w:rPr>
                <w:lang w:val="fr-CA"/>
              </w:rPr>
              <w:t xml:space="preserve"> </w:t>
            </w:r>
            <w:r w:rsidR="005E7DD5">
              <w:rPr>
                <w:lang w:val="fr-CA"/>
              </w:rPr>
              <w:t>février</w:t>
            </w:r>
            <w:r w:rsidR="00A80C7D">
              <w:rPr>
                <w:lang w:val="fr-CA"/>
              </w:rPr>
              <w:t xml:space="preserve"> </w:t>
            </w:r>
            <w:r w:rsidR="00824412" w:rsidRPr="001B3711">
              <w:rPr>
                <w:lang w:val="fr-CA"/>
              </w:rPr>
              <w:t>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D32EBB" w14:textId="77777777" w:rsidR="009F436C" w:rsidRPr="00D83B8C" w:rsidRDefault="009F436C" w:rsidP="00382FEC">
      <w:pPr>
        <w:rPr>
          <w:lang w:val="fr-CA"/>
        </w:rPr>
      </w:pPr>
    </w:p>
    <w:p w14:paraId="1BD32EBC" w14:textId="77777777" w:rsidR="009F436C" w:rsidRDefault="009F436C" w:rsidP="00417FB7">
      <w:pPr>
        <w:jc w:val="center"/>
        <w:rPr>
          <w:lang w:val="fr-CA"/>
        </w:rPr>
      </w:pPr>
    </w:p>
    <w:p w14:paraId="537A28F1" w14:textId="77777777" w:rsidR="0047280A" w:rsidRPr="00D83B8C" w:rsidRDefault="0047280A" w:rsidP="00417FB7">
      <w:pPr>
        <w:jc w:val="center"/>
        <w:rPr>
          <w:lang w:val="fr-CA"/>
        </w:rPr>
      </w:pPr>
    </w:p>
    <w:p w14:paraId="1BD32EBD" w14:textId="77777777" w:rsidR="009F436C" w:rsidRPr="00D83B8C" w:rsidRDefault="009F436C" w:rsidP="00417FB7">
      <w:pPr>
        <w:jc w:val="center"/>
        <w:rPr>
          <w:lang w:val="fr-CA"/>
        </w:rPr>
      </w:pPr>
    </w:p>
    <w:p w14:paraId="1BD32E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D32EBF" w14:textId="77777777" w:rsidR="003A37CF" w:rsidRPr="00D83B8C" w:rsidRDefault="003A37CF" w:rsidP="005E7DD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2EC2" w14:textId="77777777" w:rsidR="00983D48" w:rsidRDefault="00983D48">
      <w:r>
        <w:separator/>
      </w:r>
    </w:p>
  </w:endnote>
  <w:endnote w:type="continuationSeparator" w:id="0">
    <w:p w14:paraId="1BD32E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2EC0" w14:textId="77777777" w:rsidR="00983D48" w:rsidRDefault="00983D48">
      <w:r>
        <w:separator/>
      </w:r>
    </w:p>
  </w:footnote>
  <w:footnote w:type="continuationSeparator" w:id="0">
    <w:p w14:paraId="1BD32E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2E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7DD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D32EC5" w14:textId="77777777" w:rsidR="008F53F3" w:rsidRDefault="008F53F3" w:rsidP="008F53F3">
    <w:pPr>
      <w:rPr>
        <w:szCs w:val="24"/>
      </w:rPr>
    </w:pPr>
  </w:p>
  <w:p w14:paraId="1BD32EC6" w14:textId="77777777" w:rsidR="008F53F3" w:rsidRDefault="008F53F3" w:rsidP="008F53F3">
    <w:pPr>
      <w:rPr>
        <w:szCs w:val="24"/>
      </w:rPr>
    </w:pPr>
  </w:p>
  <w:p w14:paraId="1BD32E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40361</w:t>
    </w:r>
    <w:r>
      <w:rPr>
        <w:szCs w:val="24"/>
      </w:rPr>
      <w:t>     </w:t>
    </w:r>
  </w:p>
  <w:p w14:paraId="1BD32E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D32EC9" w14:textId="77777777" w:rsidR="0073151A" w:rsidRDefault="0073151A" w:rsidP="0073151A"/>
      <w:p w14:paraId="1BD32ECA" w14:textId="77777777" w:rsidR="0073151A" w:rsidRPr="006E7BAE" w:rsidRDefault="0073151A" w:rsidP="0073151A"/>
      <w:p w14:paraId="1BD32ECB" w14:textId="77777777" w:rsidR="0073151A" w:rsidRPr="006E7BAE" w:rsidRDefault="0073151A" w:rsidP="0073151A"/>
      <w:p w14:paraId="1BD32ECC" w14:textId="77777777" w:rsidR="0073151A" w:rsidRPr="006E7BAE" w:rsidRDefault="0073151A" w:rsidP="0073151A"/>
      <w:p w14:paraId="1BD32ECD" w14:textId="77777777" w:rsidR="0073151A" w:rsidRDefault="0073151A" w:rsidP="0073151A"/>
      <w:p w14:paraId="1BD32ECE" w14:textId="77777777" w:rsidR="0073151A" w:rsidRDefault="0073151A" w:rsidP="0073151A"/>
      <w:p w14:paraId="1BD32ECF" w14:textId="77777777" w:rsidR="0073151A" w:rsidRDefault="0073151A" w:rsidP="0073151A"/>
      <w:p w14:paraId="1BD32ED0" w14:textId="77777777" w:rsidR="0073151A" w:rsidRDefault="0073151A" w:rsidP="0073151A"/>
      <w:p w14:paraId="1BD32ED1" w14:textId="77777777" w:rsidR="0073151A" w:rsidRDefault="0073151A" w:rsidP="0073151A"/>
      <w:p w14:paraId="1BD32ED2" w14:textId="77777777" w:rsidR="0073151A" w:rsidRPr="006E7BAE" w:rsidRDefault="0073151A" w:rsidP="0073151A"/>
      <w:p w14:paraId="1BD32ED3" w14:textId="77777777" w:rsidR="00ED265D" w:rsidRPr="0073151A" w:rsidRDefault="00222D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9D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ABC"/>
    <w:rsid w:val="0016666F"/>
    <w:rsid w:val="00167C15"/>
    <w:rsid w:val="001B3711"/>
    <w:rsid w:val="001B3EC0"/>
    <w:rsid w:val="001D0116"/>
    <w:rsid w:val="001D4323"/>
    <w:rsid w:val="001E1079"/>
    <w:rsid w:val="00203642"/>
    <w:rsid w:val="00212BA0"/>
    <w:rsid w:val="00222D2A"/>
    <w:rsid w:val="002523DE"/>
    <w:rsid w:val="002568D3"/>
    <w:rsid w:val="0026167A"/>
    <w:rsid w:val="0027284C"/>
    <w:rsid w:val="002B5FA6"/>
    <w:rsid w:val="002C6423"/>
    <w:rsid w:val="002D2D44"/>
    <w:rsid w:val="002F39DB"/>
    <w:rsid w:val="002F3DC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2B51"/>
    <w:rsid w:val="0047280A"/>
    <w:rsid w:val="004943CF"/>
    <w:rsid w:val="004956DA"/>
    <w:rsid w:val="004C2346"/>
    <w:rsid w:val="004D4658"/>
    <w:rsid w:val="00543EDD"/>
    <w:rsid w:val="0055345D"/>
    <w:rsid w:val="00563E2C"/>
    <w:rsid w:val="00587869"/>
    <w:rsid w:val="005E7DD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168E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C7D"/>
    <w:rsid w:val="00AB4A38"/>
    <w:rsid w:val="00AB5E22"/>
    <w:rsid w:val="00AE2077"/>
    <w:rsid w:val="00B158E3"/>
    <w:rsid w:val="00B328CD"/>
    <w:rsid w:val="00B408F8"/>
    <w:rsid w:val="00B5078E"/>
    <w:rsid w:val="00B60EDC"/>
    <w:rsid w:val="00B8745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57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13BE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D3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6FBDE-7685-42D5-900B-BA59081225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859BE83-0759-4467-B56A-BEC87D246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A662C-FF9A-43D9-87BB-8CBCD3FC9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2023-03-14T13:37:00Z</dcterms:created>
  <dcterms:modified xsi:type="dcterms:W3CDTF">2023-03-14T13:37:00Z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