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F6230" w14:textId="77777777" w:rsidR="009F436C" w:rsidRPr="006E7BAE" w:rsidRDefault="003A37CF" w:rsidP="00AE2077">
      <w:pPr>
        <w:jc w:val="right"/>
      </w:pPr>
      <w:bookmarkStart w:id="0" w:name="_GoBack"/>
      <w:bookmarkEnd w:id="0"/>
      <w:r w:rsidRPr="006E7BAE">
        <w:t xml:space="preserve">No. </w:t>
      </w:r>
      <w:r>
        <w:t>40556</w:t>
      </w:r>
      <w:r w:rsidR="0016666F" w:rsidRPr="006E7BAE">
        <w:t>     </w:t>
      </w:r>
    </w:p>
    <w:p w14:paraId="08BF6231" w14:textId="77777777" w:rsidR="009F436C" w:rsidRPr="006E7BAE" w:rsidRDefault="009F436C" w:rsidP="00382FEC"/>
    <w:p w14:paraId="08BF6232"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321"/>
        <w:gridCol w:w="640"/>
        <w:gridCol w:w="4399"/>
      </w:tblGrid>
      <w:tr w:rsidR="00417FB7" w:rsidRPr="006E7BAE" w14:paraId="08BF6236" w14:textId="77777777" w:rsidTr="00B840B2">
        <w:tc>
          <w:tcPr>
            <w:tcW w:w="2308" w:type="pct"/>
          </w:tcPr>
          <w:p w14:paraId="08BF6233" w14:textId="77777777" w:rsidR="00417FB7" w:rsidRPr="006E7BAE" w:rsidRDefault="00543EDD" w:rsidP="00A67376">
            <w:r>
              <w:t xml:space="preserve">May </w:t>
            </w:r>
            <w:r w:rsidR="00A67376">
              <w:t>25</w:t>
            </w:r>
            <w:r>
              <w:t>, 2023</w:t>
            </w:r>
          </w:p>
        </w:tc>
        <w:tc>
          <w:tcPr>
            <w:tcW w:w="342" w:type="pct"/>
          </w:tcPr>
          <w:p w14:paraId="08BF6234" w14:textId="77777777" w:rsidR="00417FB7" w:rsidRPr="006E7BAE" w:rsidRDefault="00417FB7" w:rsidP="00382FEC"/>
        </w:tc>
        <w:tc>
          <w:tcPr>
            <w:tcW w:w="2350" w:type="pct"/>
          </w:tcPr>
          <w:p w14:paraId="08BF6235" w14:textId="77777777" w:rsidR="00417FB7" w:rsidRPr="00D83B8C" w:rsidRDefault="00543EDD" w:rsidP="00A67376">
            <w:pPr>
              <w:rPr>
                <w:lang w:val="en-US"/>
              </w:rPr>
            </w:pPr>
            <w:r>
              <w:t xml:space="preserve">Le </w:t>
            </w:r>
            <w:r w:rsidR="00A67376">
              <w:t>25</w:t>
            </w:r>
            <w:r>
              <w:t xml:space="preserve"> mai 2023</w:t>
            </w:r>
          </w:p>
        </w:tc>
      </w:tr>
      <w:tr w:rsidR="00E12A51" w:rsidRPr="006E7BAE" w14:paraId="08BF623A" w14:textId="77777777" w:rsidTr="00B840B2">
        <w:tc>
          <w:tcPr>
            <w:tcW w:w="2308" w:type="pct"/>
            <w:tcMar>
              <w:top w:w="0" w:type="dxa"/>
              <w:bottom w:w="0" w:type="dxa"/>
            </w:tcMar>
          </w:tcPr>
          <w:p w14:paraId="08BF6237" w14:textId="77777777" w:rsidR="00C2612E" w:rsidRPr="006E7BAE" w:rsidRDefault="00C2612E" w:rsidP="008262A3"/>
        </w:tc>
        <w:tc>
          <w:tcPr>
            <w:tcW w:w="342" w:type="pct"/>
            <w:tcMar>
              <w:top w:w="0" w:type="dxa"/>
              <w:bottom w:w="0" w:type="dxa"/>
            </w:tcMar>
          </w:tcPr>
          <w:p w14:paraId="08BF6238" w14:textId="77777777" w:rsidR="00E12A51" w:rsidRPr="006E7BAE" w:rsidRDefault="00E12A51" w:rsidP="00382FEC"/>
        </w:tc>
        <w:tc>
          <w:tcPr>
            <w:tcW w:w="2350" w:type="pct"/>
            <w:tcMar>
              <w:top w:w="0" w:type="dxa"/>
              <w:bottom w:w="0" w:type="dxa"/>
            </w:tcMar>
          </w:tcPr>
          <w:p w14:paraId="08BF6239" w14:textId="77777777" w:rsidR="00E12A51" w:rsidRPr="00D83B8C" w:rsidRDefault="00E12A51" w:rsidP="00816B78">
            <w:pPr>
              <w:rPr>
                <w:lang w:val="en-US"/>
              </w:rPr>
            </w:pPr>
          </w:p>
        </w:tc>
      </w:tr>
      <w:tr w:rsidR="00824412" w:rsidRPr="006E7BAE" w14:paraId="08BF6250" w14:textId="77777777" w:rsidTr="00B840B2">
        <w:tc>
          <w:tcPr>
            <w:tcW w:w="2308" w:type="pct"/>
          </w:tcPr>
          <w:p w14:paraId="08BF623B" w14:textId="77777777" w:rsidR="00B9043D" w:rsidRDefault="00B9043D"/>
          <w:p w14:paraId="08BF623C" w14:textId="77777777" w:rsidR="00B9043D" w:rsidRDefault="00EF6169">
            <w:pPr>
              <w:pStyle w:val="SCCLsocPrefix"/>
            </w:pPr>
            <w:r>
              <w:t>BETWEEN:</w:t>
            </w:r>
          </w:p>
          <w:p w14:paraId="5AFB3DE9" w14:textId="77777777" w:rsidR="009D5114" w:rsidRPr="009D5114" w:rsidRDefault="009D5114" w:rsidP="009D5114"/>
          <w:p w14:paraId="08BF623D" w14:textId="77777777" w:rsidR="00B9043D" w:rsidRDefault="00EF6169">
            <w:pPr>
              <w:pStyle w:val="SCCLsocParty"/>
            </w:pPr>
            <w:r>
              <w:t>His Majesty the King in Right of the Province of British Columbia</w:t>
            </w:r>
            <w:r>
              <w:br/>
            </w:r>
          </w:p>
          <w:p w14:paraId="08BF623E" w14:textId="77777777" w:rsidR="00B9043D" w:rsidRDefault="00EF6169">
            <w:pPr>
              <w:pStyle w:val="SCCLsocPartyRole"/>
            </w:pPr>
            <w:r>
              <w:t>Applicant / Respondent on cross-appeal</w:t>
            </w:r>
            <w:r>
              <w:br/>
            </w:r>
          </w:p>
          <w:p w14:paraId="08BF623F" w14:textId="77777777" w:rsidR="00B9043D" w:rsidRDefault="00EF6169">
            <w:pPr>
              <w:pStyle w:val="SCCLsocVersus"/>
            </w:pPr>
            <w:r>
              <w:t>- and -</w:t>
            </w:r>
          </w:p>
          <w:p w14:paraId="08BF6240" w14:textId="77777777" w:rsidR="00B9043D" w:rsidRDefault="00B9043D"/>
          <w:p w14:paraId="08BF6241" w14:textId="57475DA0" w:rsidR="00B9043D" w:rsidRDefault="00EF6169">
            <w:pPr>
              <w:pStyle w:val="SCCLsocParty"/>
            </w:pPr>
            <w:r>
              <w:t>Apotex Inc., Bristol-Myers Squibb Canada, Bristol-Myers Squibb Company, Mylan Pharmaceutical ULC, Janssen Inc., Sandoz Canada Inc., Teva Canada Limited, Teva Canada Innovation G.P. – S.E.N.C., Actavis Pharma Company, Ranbaxy</w:t>
            </w:r>
            <w:r w:rsidR="009D5114">
              <w:t xml:space="preserve"> </w:t>
            </w:r>
            <w:r>
              <w:t>Pharmaceuticals Canada Inc., Pharmascience Inc., Imperial Distributors Canada Inc., LPG Inventory Solutions, McKesson Canada Corporation, Noramco Inc., Sanis Health Inc., Shoppers Drug Mart Inc., Valeant Canada LP</w:t>
            </w:r>
            <w:r w:rsidR="00F026B6">
              <w:t xml:space="preserve"> / Valeant Canada S.E.C.</w:t>
            </w:r>
            <w:r>
              <w:t>, Bausch Health Companies Inc., Paladin Labs, Endo Pharmaceuticals Inc., Endo International PLC</w:t>
            </w:r>
            <w:r w:rsidR="009D5114">
              <w:t xml:space="preserve"> and </w:t>
            </w:r>
            <w:r>
              <w:t>Endo Ventures Ltd.</w:t>
            </w:r>
            <w:r>
              <w:br/>
            </w:r>
          </w:p>
          <w:p w14:paraId="08BF6242" w14:textId="77777777" w:rsidR="00B9043D" w:rsidRDefault="00EF6169">
            <w:pPr>
              <w:pStyle w:val="SCCLsocPartyRole"/>
            </w:pPr>
            <w:r>
              <w:t>Respondents / Applicants on cross-appeal</w:t>
            </w:r>
            <w:r>
              <w:br/>
            </w:r>
          </w:p>
          <w:p w14:paraId="08BF6243" w14:textId="67DFAF65" w:rsidR="00B9043D" w:rsidRDefault="00F026B6">
            <w:pPr>
              <w:pStyle w:val="SCCLsocParty"/>
            </w:pPr>
            <w:r>
              <w:t xml:space="preserve">Apotex Pharmaceutical Holdings, Inc., Johnson &amp; Johnson, </w:t>
            </w:r>
            <w:r w:rsidR="00EF6169">
              <w:t xml:space="preserve">Ethypharm Inc., </w:t>
            </w:r>
            <w:r w:rsidR="0042379F">
              <w:t xml:space="preserve">Joddes Limited, </w:t>
            </w:r>
            <w:r w:rsidR="00EF6169">
              <w:t xml:space="preserve">Pro Doc Limitée, The Jean </w:t>
            </w:r>
            <w:r w:rsidR="00EF6169">
              <w:lastRenderedPageBreak/>
              <w:t xml:space="preserve">Coutu Group (PJC) Inc., Purdue Frederick Inc., Purdue Pharma Inc., Purdue Pharma L.P., The Purdue Frederick Company Inc., </w:t>
            </w:r>
            <w:r w:rsidR="0042379F">
              <w:t xml:space="preserve">Sun Pharmaceutical Industries Ltd., </w:t>
            </w:r>
            <w:r w:rsidR="00EF6169">
              <w:t xml:space="preserve">Hikma Pharmaceuticals PLC, Hikma Labs Inc., West-Ward Columbus Inc., Roxane Laboratories Inc., Boehringer Ingelheim (Canada) Ltd. / Boehringer Ingelheim (Canada) Ltée., </w:t>
            </w:r>
            <w:r w:rsidR="0042379F">
              <w:t xml:space="preserve">Teva Pharmaceuticals USA, Inc., Teva Pharmaceutical Industries Ltd., </w:t>
            </w:r>
            <w:r w:rsidR="00EF6169">
              <w:t>Amerisourcebergen Canada Corporation, Kohl &amp; Frisch Distribution Inc.</w:t>
            </w:r>
            <w:r w:rsidR="0042379F">
              <w:t>,</w:t>
            </w:r>
            <w:r w:rsidR="00EF6169">
              <w:t xml:space="preserve"> Kohl &amp; Frisch Limited, Procurity Inc., Procurity Pharmacy Services Inc., Unipharm Wholesale Drugs Ltd., McKesson Corporation</w:t>
            </w:r>
            <w:r w:rsidR="00733E1C">
              <w:t xml:space="preserve"> and</w:t>
            </w:r>
            <w:r w:rsidR="00EF6169">
              <w:t xml:space="preserve"> Nu-Quest Distribution Inc.</w:t>
            </w:r>
            <w:r w:rsidR="00EF6169">
              <w:br/>
            </w:r>
          </w:p>
          <w:p w14:paraId="08BF6244" w14:textId="77777777" w:rsidR="00B9043D" w:rsidRDefault="00EF6169">
            <w:pPr>
              <w:pStyle w:val="SCCLsocPartyRole"/>
            </w:pPr>
            <w:r>
              <w:t>Respondents</w:t>
            </w:r>
          </w:p>
        </w:tc>
        <w:tc>
          <w:tcPr>
            <w:tcW w:w="342" w:type="pct"/>
          </w:tcPr>
          <w:p w14:paraId="08BF6245" w14:textId="77777777" w:rsidR="00824412" w:rsidRPr="006E7BAE" w:rsidRDefault="00824412" w:rsidP="00375294"/>
        </w:tc>
        <w:tc>
          <w:tcPr>
            <w:tcW w:w="2350" w:type="pct"/>
          </w:tcPr>
          <w:p w14:paraId="08BF6246" w14:textId="77777777" w:rsidR="00B9043D" w:rsidRPr="008774A6" w:rsidRDefault="00B9043D">
            <w:pPr>
              <w:rPr>
                <w:lang w:val="fr-CA"/>
              </w:rPr>
            </w:pPr>
          </w:p>
          <w:p w14:paraId="08BF6247" w14:textId="77777777" w:rsidR="00B9043D" w:rsidRDefault="00EF6169">
            <w:pPr>
              <w:pStyle w:val="SCCLsocPrefix"/>
              <w:rPr>
                <w:lang w:val="fr-CA"/>
              </w:rPr>
            </w:pPr>
            <w:r w:rsidRPr="008774A6">
              <w:rPr>
                <w:lang w:val="fr-CA"/>
              </w:rPr>
              <w:t>ENTRE :</w:t>
            </w:r>
          </w:p>
          <w:p w14:paraId="7382FB1E" w14:textId="77777777" w:rsidR="009D5114" w:rsidRPr="009D5114" w:rsidRDefault="009D5114" w:rsidP="009D5114">
            <w:pPr>
              <w:rPr>
                <w:lang w:val="fr-CA"/>
              </w:rPr>
            </w:pPr>
          </w:p>
          <w:p w14:paraId="08BF6248" w14:textId="77777777" w:rsidR="00B9043D" w:rsidRPr="008774A6" w:rsidRDefault="00EF6169">
            <w:pPr>
              <w:pStyle w:val="SCCLsocParty"/>
              <w:rPr>
                <w:lang w:val="fr-CA"/>
              </w:rPr>
            </w:pPr>
            <w:r w:rsidRPr="008774A6">
              <w:rPr>
                <w:lang w:val="fr-CA"/>
              </w:rPr>
              <w:t>Sa Majesté le Roi du chef de la province de la Colombie-Britannique</w:t>
            </w:r>
            <w:r w:rsidRPr="008774A6">
              <w:rPr>
                <w:lang w:val="fr-CA"/>
              </w:rPr>
              <w:br/>
            </w:r>
          </w:p>
          <w:p w14:paraId="08BF6249" w14:textId="0B58A197" w:rsidR="00B9043D" w:rsidRPr="008774A6" w:rsidRDefault="008774A6">
            <w:pPr>
              <w:pStyle w:val="SCCLsocPartyRole"/>
              <w:rPr>
                <w:lang w:val="fr-CA"/>
              </w:rPr>
            </w:pPr>
            <w:r>
              <w:rPr>
                <w:lang w:val="fr-CA"/>
              </w:rPr>
              <w:t>Demandeur / Intimé</w:t>
            </w:r>
            <w:r w:rsidR="00EF6169" w:rsidRPr="008774A6">
              <w:rPr>
                <w:lang w:val="fr-CA"/>
              </w:rPr>
              <w:t xml:space="preserve"> à l</w:t>
            </w:r>
            <w:r w:rsidR="009D5114">
              <w:rPr>
                <w:lang w:val="fr-CA"/>
              </w:rPr>
              <w:t>’</w:t>
            </w:r>
            <w:r w:rsidR="00EF6169" w:rsidRPr="008774A6">
              <w:rPr>
                <w:lang w:val="fr-CA"/>
              </w:rPr>
              <w:t>appel incident</w:t>
            </w:r>
            <w:r w:rsidR="00EF6169" w:rsidRPr="008774A6">
              <w:rPr>
                <w:lang w:val="fr-CA"/>
              </w:rPr>
              <w:br/>
            </w:r>
          </w:p>
          <w:p w14:paraId="08BF624A" w14:textId="77777777" w:rsidR="00B9043D" w:rsidRDefault="00EF6169">
            <w:pPr>
              <w:pStyle w:val="SCCLsocVersus"/>
            </w:pPr>
            <w:r>
              <w:t>- et -</w:t>
            </w:r>
          </w:p>
          <w:p w14:paraId="08BF624B" w14:textId="77777777" w:rsidR="00B9043D" w:rsidRDefault="00B9043D"/>
          <w:p w14:paraId="542B6838" w14:textId="2675B25D" w:rsidR="003248D2" w:rsidRPr="005F7592" w:rsidRDefault="00EF6169" w:rsidP="005F7592">
            <w:pPr>
              <w:pStyle w:val="SCCLsocParty"/>
            </w:pPr>
            <w:r>
              <w:t xml:space="preserve">Apotex Inc., </w:t>
            </w:r>
            <w:r w:rsidR="003025F0">
              <w:t xml:space="preserve">La Société </w:t>
            </w:r>
            <w:r>
              <w:t xml:space="preserve">Bristol-Myers Squibb Canada, Bristol-Myers Squibb Company, Mylan Pharmaceutical ULC, Janssen Inc., Sandoz Canada Inc., Teva Canada Limitée, Teva Canada Innovation G.P. – S.E.N.C., Actavis Pharma Company, Ranbaxy Pharmaceuticals Canada Inc., Pharmascience Inc., Imperial Distributors Canada Inc., LPG Inventory Solutions, La Corporation McKesson Canada, Noramco Inc., Sanis Health Inc., Shoppers Drug Mart Inc., </w:t>
            </w:r>
            <w:r w:rsidR="00BB1C7F">
              <w:t xml:space="preserve">Valeant Canada LP / </w:t>
            </w:r>
            <w:r>
              <w:t>Valeant Canada S.E.C., Bausch Health Companies Inc., Paladin Labs, Endo Pharmaceuticals Inc., Endo International PLC</w:t>
            </w:r>
            <w:r w:rsidR="009D5114">
              <w:t xml:space="preserve"> et </w:t>
            </w:r>
            <w:r>
              <w:t>Endo Ventures Ltd.</w:t>
            </w:r>
            <w:r>
              <w:br/>
            </w:r>
          </w:p>
          <w:p w14:paraId="08BF624D" w14:textId="17941E3C" w:rsidR="00B9043D" w:rsidRPr="008774A6" w:rsidRDefault="00EF6169">
            <w:pPr>
              <w:pStyle w:val="SCCLsocPartyRole"/>
              <w:rPr>
                <w:lang w:val="fr-CA"/>
              </w:rPr>
            </w:pPr>
            <w:r w:rsidRPr="008774A6">
              <w:rPr>
                <w:lang w:val="fr-CA"/>
              </w:rPr>
              <w:t>Inti</w:t>
            </w:r>
            <w:r w:rsidR="008774A6">
              <w:rPr>
                <w:lang w:val="fr-CA"/>
              </w:rPr>
              <w:t xml:space="preserve">més / </w:t>
            </w:r>
            <w:r w:rsidR="005F7592">
              <w:rPr>
                <w:lang w:val="fr-CA"/>
              </w:rPr>
              <w:t>Demandeurs</w:t>
            </w:r>
            <w:r w:rsidRPr="008774A6">
              <w:rPr>
                <w:lang w:val="fr-CA"/>
              </w:rPr>
              <w:t xml:space="preserve"> à l</w:t>
            </w:r>
            <w:r w:rsidR="005F7592">
              <w:rPr>
                <w:lang w:val="fr-CA"/>
              </w:rPr>
              <w:t>’</w:t>
            </w:r>
            <w:r w:rsidRPr="008774A6">
              <w:rPr>
                <w:lang w:val="fr-CA"/>
              </w:rPr>
              <w:t>appel incident</w:t>
            </w:r>
            <w:r w:rsidRPr="008774A6">
              <w:rPr>
                <w:lang w:val="fr-CA"/>
              </w:rPr>
              <w:br/>
            </w:r>
          </w:p>
          <w:p w14:paraId="08BF624E" w14:textId="2858A8A8" w:rsidR="00B9043D" w:rsidRDefault="0042379F">
            <w:pPr>
              <w:pStyle w:val="SCCLsocParty"/>
            </w:pPr>
            <w:r>
              <w:t xml:space="preserve">Apotex Pharmaceutical Holdings, Inc., Johnson &amp; Johnson, </w:t>
            </w:r>
            <w:r w:rsidR="00EF6169">
              <w:t xml:space="preserve">Ethypharm Inc., </w:t>
            </w:r>
            <w:r>
              <w:t xml:space="preserve">Joddes Limited, </w:t>
            </w:r>
            <w:r w:rsidR="00EF6169">
              <w:t xml:space="preserve">Pro Doc Limitée, The Jean Coutu </w:t>
            </w:r>
            <w:r w:rsidR="00EF6169">
              <w:lastRenderedPageBreak/>
              <w:t xml:space="preserve">Group (PJC) Inc., Purdue Frederick Inc., Purdue Pharma Inc., Purdue Pharma L.P., The Purdue Frederick Company Inc., </w:t>
            </w:r>
            <w:r>
              <w:t xml:space="preserve">Sun Pharmaceutical Industries Ltd., </w:t>
            </w:r>
            <w:r w:rsidR="00EF6169">
              <w:t xml:space="preserve">Hikma Pharmaceuticals PLC, Hikma Labs Inc., West-Ward Columbus Inc., Roxane Laboratories Inc., Boehringer Ingelheim (Canada) Ltd. / Boehringer Ingelheim (Canada) Ltée., </w:t>
            </w:r>
            <w:r>
              <w:t xml:space="preserve">Teva Pharmaceuticals USA, Inc., Teva Pharmaceutical Industries Ltd., </w:t>
            </w:r>
            <w:r w:rsidR="00EF6169">
              <w:t>Amerisourcebergen Canada Corporation, Kohl &amp; Frisch Distribution Inc.</w:t>
            </w:r>
            <w:r>
              <w:t>,</w:t>
            </w:r>
            <w:r w:rsidR="00EF6169">
              <w:t xml:space="preserve"> Kohl &amp; Frisch Limited, Procurity Inc., Procurity Pharmacy Services Inc., Unipharm Wholesale Drugs Ltd., McKesson Corporation</w:t>
            </w:r>
            <w:r w:rsidR="00733E1C">
              <w:t xml:space="preserve"> et </w:t>
            </w:r>
            <w:r w:rsidR="00EF6169">
              <w:t>Nu-Quest Distribution Inc.</w:t>
            </w:r>
            <w:r w:rsidR="00EF6169">
              <w:br/>
            </w:r>
          </w:p>
          <w:p w14:paraId="3BDB0446" w14:textId="77777777" w:rsidR="00B840B2" w:rsidRPr="00B840B2" w:rsidRDefault="00B840B2" w:rsidP="00B840B2"/>
          <w:p w14:paraId="08BF624F" w14:textId="77777777" w:rsidR="00B9043D" w:rsidRDefault="008774A6">
            <w:pPr>
              <w:pStyle w:val="SCCLsocPartyRole"/>
            </w:pPr>
            <w:r>
              <w:t>Intimé</w:t>
            </w:r>
            <w:r w:rsidR="00EF6169">
              <w:t>s</w:t>
            </w:r>
          </w:p>
        </w:tc>
      </w:tr>
      <w:tr w:rsidR="00824412" w:rsidRPr="006E7BAE" w14:paraId="08BF6254" w14:textId="77777777" w:rsidTr="00B840B2">
        <w:tc>
          <w:tcPr>
            <w:tcW w:w="2308" w:type="pct"/>
            <w:tcMar>
              <w:top w:w="0" w:type="dxa"/>
              <w:bottom w:w="0" w:type="dxa"/>
            </w:tcMar>
          </w:tcPr>
          <w:p w14:paraId="08BF6251" w14:textId="77777777" w:rsidR="00824412" w:rsidRPr="006E7BAE" w:rsidRDefault="00824412" w:rsidP="00375294"/>
        </w:tc>
        <w:tc>
          <w:tcPr>
            <w:tcW w:w="342" w:type="pct"/>
            <w:tcMar>
              <w:top w:w="0" w:type="dxa"/>
              <w:bottom w:w="0" w:type="dxa"/>
            </w:tcMar>
          </w:tcPr>
          <w:p w14:paraId="08BF6252" w14:textId="77777777" w:rsidR="00824412" w:rsidRPr="006E7BAE" w:rsidRDefault="00824412" w:rsidP="00375294"/>
        </w:tc>
        <w:tc>
          <w:tcPr>
            <w:tcW w:w="2350" w:type="pct"/>
            <w:tcMar>
              <w:top w:w="0" w:type="dxa"/>
              <w:bottom w:w="0" w:type="dxa"/>
            </w:tcMar>
          </w:tcPr>
          <w:p w14:paraId="08BF6253" w14:textId="77777777" w:rsidR="00824412" w:rsidRPr="00D83B8C" w:rsidRDefault="00824412" w:rsidP="00B408F8">
            <w:pPr>
              <w:rPr>
                <w:lang w:val="en-US"/>
              </w:rPr>
            </w:pPr>
          </w:p>
        </w:tc>
      </w:tr>
      <w:tr w:rsidR="00824412" w:rsidRPr="00B840B2" w14:paraId="08BF626A" w14:textId="77777777" w:rsidTr="00B840B2">
        <w:tc>
          <w:tcPr>
            <w:tcW w:w="2308" w:type="pct"/>
          </w:tcPr>
          <w:p w14:paraId="08BF6255" w14:textId="77777777" w:rsidR="00824412" w:rsidRPr="006E7BAE" w:rsidRDefault="00824412" w:rsidP="00C2612E">
            <w:pPr>
              <w:jc w:val="center"/>
            </w:pPr>
            <w:r w:rsidRPr="006E7BAE">
              <w:t>JUDGMENT</w:t>
            </w:r>
          </w:p>
          <w:p w14:paraId="08BF6256" w14:textId="77777777" w:rsidR="00824412" w:rsidRPr="006E7BAE" w:rsidRDefault="00824412" w:rsidP="00417FB7">
            <w:pPr>
              <w:jc w:val="center"/>
            </w:pPr>
          </w:p>
          <w:p w14:paraId="08BF6257" w14:textId="3134F852" w:rsidR="00824412" w:rsidRDefault="00824412" w:rsidP="008774A6">
            <w:pPr>
              <w:jc w:val="both"/>
            </w:pPr>
            <w:r w:rsidRPr="006E7BAE">
              <w:t>The app</w:t>
            </w:r>
            <w:r w:rsidR="00011960" w:rsidRPr="006E7BAE">
              <w:t>lication for leave to appeal from the judgment</w:t>
            </w:r>
            <w:r w:rsidR="003662E4">
              <w:t>s</w:t>
            </w:r>
            <w:r w:rsidR="00011960" w:rsidRPr="006E7BAE">
              <w:t xml:space="preserve"> of the</w:t>
            </w:r>
            <w:bookmarkStart w:id="1" w:name="BM_1_"/>
            <w:bookmarkEnd w:id="1"/>
            <w:r w:rsidRPr="006E7BAE">
              <w:t xml:space="preserve"> </w:t>
            </w:r>
            <w:r>
              <w:t>Court of Appeal for British Columbia (Vancouver)</w:t>
            </w:r>
            <w:r w:rsidRPr="006E7BAE">
              <w:t>, Number</w:t>
            </w:r>
            <w:r w:rsidR="00733E1C">
              <w:t>s</w:t>
            </w:r>
            <w:r w:rsidRPr="006E7BAE">
              <w:t xml:space="preserve"> </w:t>
            </w:r>
            <w:r>
              <w:t xml:space="preserve"> CA48049</w:t>
            </w:r>
            <w:r w:rsidR="003025F0">
              <w:t xml:space="preserve">, </w:t>
            </w:r>
            <w:r>
              <w:t>CA48050</w:t>
            </w:r>
            <w:r w:rsidR="003025F0">
              <w:t xml:space="preserve">, </w:t>
            </w:r>
            <w:r>
              <w:t>CA48051, CA48052  CA48053</w:t>
            </w:r>
            <w:r w:rsidR="003025F0">
              <w:t>,</w:t>
            </w:r>
            <w:r>
              <w:t xml:space="preserve"> CA48054, CA48055</w:t>
            </w:r>
            <w:r w:rsidR="003025F0">
              <w:t>,</w:t>
            </w:r>
            <w:r>
              <w:t xml:space="preserve"> CA48056</w:t>
            </w:r>
            <w:r w:rsidR="003025F0">
              <w:t>,</w:t>
            </w:r>
            <w:r>
              <w:t xml:space="preserve"> CA48057, CA48058</w:t>
            </w:r>
            <w:r w:rsidR="003025F0">
              <w:t>,</w:t>
            </w:r>
            <w:r>
              <w:t xml:space="preserve"> CA48060, CA48062</w:t>
            </w:r>
            <w:r w:rsidR="003025F0">
              <w:t>,</w:t>
            </w:r>
            <w:r>
              <w:t xml:space="preserve"> </w:t>
            </w:r>
            <w:r w:rsidR="003025F0">
              <w:t xml:space="preserve">and </w:t>
            </w:r>
            <w:r>
              <w:t>CA48067</w:t>
            </w:r>
            <w:r w:rsidRPr="006E7BAE">
              <w:t xml:space="preserve">, </w:t>
            </w:r>
            <w:r w:rsidR="008774A6">
              <w:t xml:space="preserve">2022 BCCA 366, </w:t>
            </w:r>
            <w:r w:rsidRPr="006E7BAE">
              <w:t xml:space="preserve">dated </w:t>
            </w:r>
            <w:r>
              <w:t>November 2, 2022</w:t>
            </w:r>
            <w:r w:rsidR="003025F0">
              <w:t>,</w:t>
            </w:r>
            <w:r w:rsidRPr="006E7BAE">
              <w:t xml:space="preserve"> is </w:t>
            </w:r>
            <w:r w:rsidR="008774A6">
              <w:t>dismissed with costs to the respondents</w:t>
            </w:r>
            <w:r w:rsidR="00211DDA">
              <w:t>,</w:t>
            </w:r>
            <w:r w:rsidR="008774A6">
              <w:t xml:space="preserve"> </w:t>
            </w:r>
            <w:r w:rsidR="00CA2930">
              <w:t xml:space="preserve">Apotex Inc., Bristol-Myers Squibb Canada, Bristol-Myers Squibb Company, Mylan Pharmaceutical ULC, Janssen Inc., Sandoz Canada Inc., Teva Canada Limited, Teva Canada Innovation G.P. – S.E.N.C., Actavis Pharma Company, Ranbaxy Pharmaceuticals Canada Inc., Pharmascience Inc., Imperial Distributors Canada Inc., LPG Inventory Solutions, McKesson Canada Corporation, Noramco Inc., Sanis Health Inc., Shoppers Drug Mart Inc., Valeant Canada LP / Valeant Canada S.E.C., Bausch Health </w:t>
            </w:r>
            <w:r w:rsidR="00CA2930">
              <w:lastRenderedPageBreak/>
              <w:t>Companies Inc., Paladin Labs, Endo Pharmaceuticals Inc., Endo International PLC and Endo Ventures Ltd.</w:t>
            </w:r>
          </w:p>
          <w:p w14:paraId="08BF6258" w14:textId="77777777" w:rsidR="003F6511" w:rsidRDefault="003F6511" w:rsidP="00011960">
            <w:pPr>
              <w:jc w:val="both"/>
            </w:pPr>
          </w:p>
          <w:p w14:paraId="08BF6259" w14:textId="77777777" w:rsidR="008774A6" w:rsidRDefault="008774A6" w:rsidP="00011960">
            <w:pPr>
              <w:jc w:val="both"/>
            </w:pPr>
            <w:r>
              <w:t>The applications for leave to cross-appeal are dismissed with costs to the applicant.</w:t>
            </w:r>
          </w:p>
          <w:p w14:paraId="08BF625A" w14:textId="77777777" w:rsidR="008774A6" w:rsidRDefault="008774A6" w:rsidP="00011960">
            <w:pPr>
              <w:jc w:val="both"/>
            </w:pPr>
          </w:p>
          <w:p w14:paraId="08BF625B" w14:textId="77777777" w:rsidR="008774A6" w:rsidRDefault="008774A6" w:rsidP="00011960">
            <w:pPr>
              <w:jc w:val="both"/>
            </w:pPr>
          </w:p>
          <w:p w14:paraId="08BF625C" w14:textId="77777777" w:rsidR="008774A6" w:rsidRDefault="00FB1699" w:rsidP="00011960">
            <w:pPr>
              <w:jc w:val="both"/>
            </w:pPr>
            <w:r>
              <w:t>Côté and Rowe JJ. took no part in the judgment.</w:t>
            </w:r>
          </w:p>
          <w:p w14:paraId="08BF625D" w14:textId="77777777" w:rsidR="003F6511" w:rsidRPr="006E7BAE" w:rsidRDefault="003F6511" w:rsidP="00011960">
            <w:pPr>
              <w:jc w:val="both"/>
            </w:pPr>
          </w:p>
        </w:tc>
        <w:tc>
          <w:tcPr>
            <w:tcW w:w="342" w:type="pct"/>
          </w:tcPr>
          <w:p w14:paraId="08BF625E" w14:textId="77777777" w:rsidR="00824412" w:rsidRPr="006E7BAE" w:rsidRDefault="00824412" w:rsidP="00417FB7">
            <w:pPr>
              <w:jc w:val="center"/>
            </w:pPr>
          </w:p>
        </w:tc>
        <w:tc>
          <w:tcPr>
            <w:tcW w:w="2350" w:type="pct"/>
          </w:tcPr>
          <w:p w14:paraId="08BF625F" w14:textId="77777777" w:rsidR="00824412" w:rsidRPr="006E7BAE" w:rsidRDefault="00824412" w:rsidP="00C2612E">
            <w:pPr>
              <w:jc w:val="center"/>
              <w:rPr>
                <w:lang w:val="fr-CA"/>
              </w:rPr>
            </w:pPr>
            <w:r w:rsidRPr="006E7BAE">
              <w:rPr>
                <w:lang w:val="fr-CA"/>
              </w:rPr>
              <w:t>JUGEMENT</w:t>
            </w:r>
          </w:p>
          <w:p w14:paraId="08BF6260" w14:textId="77777777" w:rsidR="00824412" w:rsidRPr="006E7BAE" w:rsidRDefault="00824412" w:rsidP="00417FB7">
            <w:pPr>
              <w:jc w:val="center"/>
              <w:rPr>
                <w:lang w:val="fr-CA"/>
              </w:rPr>
            </w:pPr>
          </w:p>
          <w:p w14:paraId="08BF6261" w14:textId="5C3FCEA4" w:rsidR="003F6511" w:rsidRDefault="00824412" w:rsidP="008774A6">
            <w:pPr>
              <w:jc w:val="both"/>
              <w:rPr>
                <w:lang w:val="fr-CA"/>
              </w:rPr>
            </w:pPr>
            <w:r w:rsidRPr="006E7BAE">
              <w:rPr>
                <w:lang w:val="fr-CA"/>
              </w:rPr>
              <w:t>L</w:t>
            </w:r>
            <w:r w:rsidR="00011960" w:rsidRPr="006E7BAE">
              <w:rPr>
                <w:lang w:val="fr-CA"/>
              </w:rPr>
              <w:t>a demande d’autorisation d’appel de</w:t>
            </w:r>
            <w:r w:rsidR="00BB1C7F">
              <w:rPr>
                <w:lang w:val="fr-CA"/>
              </w:rPr>
              <w:t>s</w:t>
            </w:r>
            <w:r w:rsidR="00B840B2">
              <w:rPr>
                <w:lang w:val="fr-CA"/>
              </w:rPr>
              <w:t xml:space="preserve"> </w:t>
            </w:r>
            <w:r w:rsidR="00011960" w:rsidRPr="006E7BAE">
              <w:rPr>
                <w:lang w:val="fr-CA"/>
              </w:rPr>
              <w:t>arrêt</w:t>
            </w:r>
            <w:r w:rsidR="00CA2930">
              <w:rPr>
                <w:lang w:val="fr-CA"/>
              </w:rPr>
              <w:t>s</w:t>
            </w:r>
            <w:r w:rsidR="00011960" w:rsidRPr="006E7BAE">
              <w:rPr>
                <w:lang w:val="fr-CA"/>
              </w:rPr>
              <w:t xml:space="preserve"> de la</w:t>
            </w:r>
            <w:r w:rsidRPr="006E7BAE">
              <w:rPr>
                <w:lang w:val="fr-CA"/>
              </w:rPr>
              <w:t xml:space="preserve"> </w:t>
            </w:r>
            <w:r w:rsidRPr="008774A6">
              <w:rPr>
                <w:lang w:val="fr-CA"/>
              </w:rPr>
              <w:t>Cour d’appel de la Colombie-Britannique (Vancouver)</w:t>
            </w:r>
            <w:r w:rsidRPr="006E7BAE">
              <w:rPr>
                <w:lang w:val="fr-CA"/>
              </w:rPr>
              <w:t>, numéro</w:t>
            </w:r>
            <w:r w:rsidR="005F7592">
              <w:rPr>
                <w:lang w:val="fr-CA"/>
              </w:rPr>
              <w:t>s</w:t>
            </w:r>
            <w:r w:rsidRPr="006E7BAE">
              <w:rPr>
                <w:lang w:val="fr-CA"/>
              </w:rPr>
              <w:t xml:space="preserve"> </w:t>
            </w:r>
            <w:r w:rsidRPr="008774A6">
              <w:rPr>
                <w:lang w:val="fr-CA"/>
              </w:rPr>
              <w:t>CA48049</w:t>
            </w:r>
            <w:r w:rsidR="005F7592">
              <w:rPr>
                <w:lang w:val="fr-CA"/>
              </w:rPr>
              <w:t>,</w:t>
            </w:r>
            <w:r w:rsidRPr="008774A6">
              <w:rPr>
                <w:lang w:val="fr-CA"/>
              </w:rPr>
              <w:t xml:space="preserve"> CA48050</w:t>
            </w:r>
            <w:r w:rsidR="005F7592">
              <w:rPr>
                <w:lang w:val="fr-CA"/>
              </w:rPr>
              <w:t>,</w:t>
            </w:r>
            <w:r w:rsidRPr="008774A6">
              <w:rPr>
                <w:lang w:val="fr-CA"/>
              </w:rPr>
              <w:t xml:space="preserve"> CA48051, CA48052</w:t>
            </w:r>
            <w:r w:rsidR="005F7592">
              <w:rPr>
                <w:lang w:val="fr-CA"/>
              </w:rPr>
              <w:t>,</w:t>
            </w:r>
            <w:r w:rsidRPr="008774A6">
              <w:rPr>
                <w:lang w:val="fr-CA"/>
              </w:rPr>
              <w:t xml:space="preserve">  CA48053</w:t>
            </w:r>
            <w:r w:rsidR="005F7592">
              <w:rPr>
                <w:lang w:val="fr-CA"/>
              </w:rPr>
              <w:t>,</w:t>
            </w:r>
            <w:r w:rsidRPr="008774A6">
              <w:rPr>
                <w:lang w:val="fr-CA"/>
              </w:rPr>
              <w:t xml:space="preserve"> CA48054, CA48055</w:t>
            </w:r>
            <w:r w:rsidR="005F7592">
              <w:rPr>
                <w:lang w:val="fr-CA"/>
              </w:rPr>
              <w:t>,</w:t>
            </w:r>
            <w:r w:rsidRPr="008774A6">
              <w:rPr>
                <w:lang w:val="fr-CA"/>
              </w:rPr>
              <w:t xml:space="preserve"> CA48056</w:t>
            </w:r>
            <w:r w:rsidR="005F7592">
              <w:rPr>
                <w:lang w:val="fr-CA"/>
              </w:rPr>
              <w:t>,</w:t>
            </w:r>
            <w:r w:rsidRPr="008774A6">
              <w:rPr>
                <w:lang w:val="fr-CA"/>
              </w:rPr>
              <w:t xml:space="preserve"> CA48057, CA48058</w:t>
            </w:r>
            <w:r w:rsidR="005F7592">
              <w:rPr>
                <w:lang w:val="fr-CA"/>
              </w:rPr>
              <w:t>,</w:t>
            </w:r>
            <w:r w:rsidRPr="008774A6">
              <w:rPr>
                <w:lang w:val="fr-CA"/>
              </w:rPr>
              <w:t xml:space="preserve"> CA48060, CA48062</w:t>
            </w:r>
            <w:r w:rsidR="005F7592">
              <w:rPr>
                <w:lang w:val="fr-CA"/>
              </w:rPr>
              <w:t xml:space="preserve"> et </w:t>
            </w:r>
            <w:r w:rsidRPr="008774A6">
              <w:rPr>
                <w:lang w:val="fr-CA"/>
              </w:rPr>
              <w:t xml:space="preserve"> CA48067</w:t>
            </w:r>
            <w:r w:rsidRPr="006E7BAE">
              <w:rPr>
                <w:lang w:val="fr-CA"/>
              </w:rPr>
              <w:t xml:space="preserve">, </w:t>
            </w:r>
            <w:r w:rsidR="008774A6" w:rsidRPr="008774A6">
              <w:rPr>
                <w:lang w:val="fr-CA"/>
              </w:rPr>
              <w:t xml:space="preserve">2022 BCCA 366, </w:t>
            </w:r>
            <w:r w:rsidR="00011960" w:rsidRPr="006E7BAE">
              <w:rPr>
                <w:lang w:val="fr-CA"/>
              </w:rPr>
              <w:t>daté du</w:t>
            </w:r>
            <w:r w:rsidRPr="006E7BAE">
              <w:rPr>
                <w:lang w:val="fr-CA"/>
              </w:rPr>
              <w:t xml:space="preserve"> </w:t>
            </w:r>
            <w:r w:rsidRPr="008774A6">
              <w:rPr>
                <w:lang w:val="fr-CA"/>
              </w:rPr>
              <w:t>2 novembre 2022</w:t>
            </w:r>
            <w:r w:rsidRPr="006E7BAE">
              <w:rPr>
                <w:lang w:val="fr-CA"/>
              </w:rPr>
              <w:t xml:space="preserve">, est </w:t>
            </w:r>
            <w:r w:rsidR="008774A6">
              <w:rPr>
                <w:lang w:val="fr-CA"/>
              </w:rPr>
              <w:t>rejetée avec dépens aux intimé</w:t>
            </w:r>
            <w:r w:rsidR="005F7592">
              <w:rPr>
                <w:lang w:val="fr-CA"/>
              </w:rPr>
              <w:t>s,</w:t>
            </w:r>
            <w:r w:rsidR="008774A6">
              <w:rPr>
                <w:lang w:val="fr-CA"/>
              </w:rPr>
              <w:t xml:space="preserve"> </w:t>
            </w:r>
            <w:r w:rsidR="00BB1C7F" w:rsidRPr="00B840B2">
              <w:rPr>
                <w:lang w:val="fr-CA"/>
              </w:rPr>
              <w:t xml:space="preserve">Apotex Inc., La Société Bristol-Myers Squibb Canada, Bristol-Myers Squibb Company, Mylan Pharmaceutical ULC, Janssen Inc., Sandoz Canada Inc., Teva Canada Limitée, Teva Canada Innovation G.P. – S.E.N.C., Actavis Pharma Company, Ranbaxy Pharmaceuticals Canada Inc., Pharmascience Inc., Imperial Distributors Canada Inc., LPG Inventory Solutions, La Corporation McKesson Canada, Noramco Inc., Sanis Health Inc., Shoppers Drug Mart Inc., Valeant Canada LP / Valeant Canada S.E.C., Bausch Health Companies Inc., </w:t>
            </w:r>
            <w:r w:rsidR="00BB1C7F" w:rsidRPr="00B840B2">
              <w:rPr>
                <w:lang w:val="fr-CA"/>
              </w:rPr>
              <w:lastRenderedPageBreak/>
              <w:t>Paladin Labs, Endo Pharmaceuticals Inc., Endo International PLC et Endo Ventures Ltd.</w:t>
            </w:r>
          </w:p>
          <w:p w14:paraId="08BF6262" w14:textId="77777777" w:rsidR="008774A6" w:rsidRDefault="008774A6" w:rsidP="008774A6">
            <w:pPr>
              <w:jc w:val="both"/>
              <w:rPr>
                <w:lang w:val="fr-CA"/>
              </w:rPr>
            </w:pPr>
          </w:p>
          <w:p w14:paraId="08BF6265" w14:textId="2DA60E6C" w:rsidR="008774A6" w:rsidRDefault="008774A6" w:rsidP="008774A6">
            <w:pPr>
              <w:jc w:val="both"/>
              <w:rPr>
                <w:lang w:val="fr-CA"/>
              </w:rPr>
            </w:pPr>
            <w:r w:rsidRPr="00B840B2">
              <w:rPr>
                <w:lang w:val="fr-CA"/>
              </w:rPr>
              <w:t>Les demandes d’autorisation d’appel incident sont rejetées avec dépens au demandeur.</w:t>
            </w:r>
          </w:p>
          <w:p w14:paraId="08BF6266" w14:textId="77777777" w:rsidR="008774A6" w:rsidRDefault="008774A6" w:rsidP="008774A6">
            <w:pPr>
              <w:jc w:val="both"/>
              <w:rPr>
                <w:lang w:val="fr-CA"/>
              </w:rPr>
            </w:pPr>
          </w:p>
          <w:p w14:paraId="08BF6267" w14:textId="77777777" w:rsidR="008774A6" w:rsidRDefault="00FB1699" w:rsidP="008774A6">
            <w:pPr>
              <w:jc w:val="both"/>
              <w:rPr>
                <w:lang w:val="fr-CA"/>
              </w:rPr>
            </w:pPr>
            <w:r>
              <w:rPr>
                <w:lang w:val="fr-CA"/>
              </w:rPr>
              <w:t>Les juges Côté et Rowe n’ont pas participé au jugement.</w:t>
            </w:r>
          </w:p>
          <w:p w14:paraId="08BF6268" w14:textId="77777777" w:rsidR="00FB1699" w:rsidRDefault="00FB1699" w:rsidP="008774A6">
            <w:pPr>
              <w:jc w:val="both"/>
              <w:rPr>
                <w:lang w:val="fr-CA"/>
              </w:rPr>
            </w:pPr>
          </w:p>
          <w:p w14:paraId="08BF6269" w14:textId="77777777" w:rsidR="00FB1699" w:rsidRPr="006E7BAE" w:rsidRDefault="00FB1699" w:rsidP="008774A6">
            <w:pPr>
              <w:jc w:val="both"/>
              <w:rPr>
                <w:lang w:val="fr-CA"/>
              </w:rPr>
            </w:pPr>
          </w:p>
        </w:tc>
      </w:tr>
    </w:tbl>
    <w:p w14:paraId="08BF626B" w14:textId="77777777" w:rsidR="009F436C" w:rsidRPr="00D83B8C" w:rsidRDefault="009F436C" w:rsidP="00382FEC">
      <w:pPr>
        <w:rPr>
          <w:lang w:val="fr-CA"/>
        </w:rPr>
      </w:pPr>
    </w:p>
    <w:p w14:paraId="08BF626C" w14:textId="77777777" w:rsidR="009F436C" w:rsidRPr="00D83B8C" w:rsidRDefault="009F436C" w:rsidP="00417FB7">
      <w:pPr>
        <w:jc w:val="center"/>
        <w:rPr>
          <w:lang w:val="fr-CA"/>
        </w:rPr>
      </w:pPr>
    </w:p>
    <w:p w14:paraId="08BF626D" w14:textId="77777777" w:rsidR="009F436C" w:rsidRPr="00D83B8C" w:rsidRDefault="009F436C" w:rsidP="00417FB7">
      <w:pPr>
        <w:jc w:val="center"/>
        <w:rPr>
          <w:lang w:val="fr-CA"/>
        </w:rPr>
      </w:pPr>
    </w:p>
    <w:p w14:paraId="08BF626E" w14:textId="77777777" w:rsidR="009F436C" w:rsidRPr="00D83B8C" w:rsidRDefault="003A37CF" w:rsidP="00417FB7">
      <w:pPr>
        <w:jc w:val="center"/>
        <w:rPr>
          <w:lang w:val="fr-CA"/>
        </w:rPr>
      </w:pPr>
      <w:r w:rsidRPr="00D83B8C">
        <w:rPr>
          <w:lang w:val="fr-CA"/>
        </w:rPr>
        <w:t>C.J.C.</w:t>
      </w:r>
    </w:p>
    <w:p w14:paraId="08BF626F" w14:textId="77777777" w:rsidR="009F436C" w:rsidRPr="00D83B8C" w:rsidRDefault="003A37CF" w:rsidP="00417FB7">
      <w:pPr>
        <w:jc w:val="center"/>
        <w:rPr>
          <w:lang w:val="fr-CA"/>
        </w:rPr>
      </w:pPr>
      <w:r w:rsidRPr="00D83B8C">
        <w:rPr>
          <w:lang w:val="fr-CA"/>
        </w:rPr>
        <w:t>J.C.C.</w:t>
      </w:r>
    </w:p>
    <w:p w14:paraId="08BF6270" w14:textId="77777777" w:rsidR="009F436C" w:rsidRPr="00D83B8C" w:rsidRDefault="009F436C" w:rsidP="00417FB7">
      <w:pPr>
        <w:jc w:val="center"/>
        <w:rPr>
          <w:lang w:val="fr-CA"/>
        </w:rPr>
      </w:pPr>
    </w:p>
    <w:sectPr w:rsidR="009F436C"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F6273" w14:textId="77777777" w:rsidR="00983D48" w:rsidRDefault="00983D48">
      <w:r>
        <w:separator/>
      </w:r>
    </w:p>
  </w:endnote>
  <w:endnote w:type="continuationSeparator" w:id="0">
    <w:p w14:paraId="08BF6274"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F6271" w14:textId="77777777" w:rsidR="00983D48" w:rsidRDefault="00983D48">
      <w:r>
        <w:separator/>
      </w:r>
    </w:p>
  </w:footnote>
  <w:footnote w:type="continuationSeparator" w:id="0">
    <w:p w14:paraId="08BF6272"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F6275"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8A2686">
      <w:rPr>
        <w:noProof/>
        <w:szCs w:val="24"/>
      </w:rPr>
      <w:t>3</w:t>
    </w:r>
    <w:r w:rsidR="00EF707C" w:rsidRPr="00417FB7">
      <w:rPr>
        <w:szCs w:val="24"/>
      </w:rPr>
      <w:fldChar w:fldCharType="end"/>
    </w:r>
    <w:r>
      <w:rPr>
        <w:szCs w:val="24"/>
      </w:rPr>
      <w:t xml:space="preserve"> -</w:t>
    </w:r>
  </w:p>
  <w:p w14:paraId="08BF6276" w14:textId="77777777" w:rsidR="008F53F3" w:rsidRDefault="008F53F3" w:rsidP="008F53F3">
    <w:pPr>
      <w:rPr>
        <w:szCs w:val="24"/>
      </w:rPr>
    </w:pPr>
  </w:p>
  <w:p w14:paraId="08BF6277" w14:textId="77777777" w:rsidR="008F53F3" w:rsidRDefault="008F53F3" w:rsidP="008F53F3">
    <w:pPr>
      <w:rPr>
        <w:szCs w:val="24"/>
      </w:rPr>
    </w:pPr>
  </w:p>
  <w:p w14:paraId="08BF6278" w14:textId="77777777" w:rsidR="008F53F3" w:rsidRDefault="008F53F3" w:rsidP="008F53F3">
    <w:pPr>
      <w:tabs>
        <w:tab w:val="right" w:pos="9360"/>
      </w:tabs>
      <w:jc w:val="right"/>
      <w:rPr>
        <w:szCs w:val="24"/>
      </w:rPr>
    </w:pPr>
    <w:r>
      <w:rPr>
        <w:szCs w:val="24"/>
      </w:rPr>
      <w:t xml:space="preserve">No. </w:t>
    </w:r>
    <w:r>
      <w:t>40556</w:t>
    </w:r>
    <w:r>
      <w:rPr>
        <w:szCs w:val="24"/>
      </w:rPr>
      <w:t>     </w:t>
    </w:r>
  </w:p>
  <w:p w14:paraId="08BF6279"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08BF627A" w14:textId="77777777" w:rsidR="0073151A" w:rsidRDefault="0073151A" w:rsidP="0073151A"/>
      <w:p w14:paraId="08BF627B" w14:textId="77777777" w:rsidR="0073151A" w:rsidRPr="006E7BAE" w:rsidRDefault="0073151A" w:rsidP="0073151A"/>
      <w:p w14:paraId="08BF627C" w14:textId="77777777" w:rsidR="0073151A" w:rsidRPr="006E7BAE" w:rsidRDefault="0073151A" w:rsidP="0073151A"/>
      <w:p w14:paraId="08BF627D" w14:textId="77777777" w:rsidR="0073151A" w:rsidRPr="006E7BAE" w:rsidRDefault="0073151A" w:rsidP="0073151A"/>
      <w:p w14:paraId="08BF627E" w14:textId="77777777" w:rsidR="0073151A" w:rsidRDefault="0073151A" w:rsidP="0073151A"/>
      <w:p w14:paraId="08BF627F" w14:textId="77777777" w:rsidR="0073151A" w:rsidRDefault="0073151A" w:rsidP="0073151A"/>
      <w:p w14:paraId="08BF6280" w14:textId="77777777" w:rsidR="0073151A" w:rsidRDefault="0073151A" w:rsidP="0073151A"/>
      <w:p w14:paraId="08BF6281" w14:textId="77777777" w:rsidR="0073151A" w:rsidRDefault="0073151A" w:rsidP="0073151A"/>
      <w:p w14:paraId="08BF6282" w14:textId="77777777" w:rsidR="0073151A" w:rsidRDefault="0073151A" w:rsidP="0073151A"/>
      <w:p w14:paraId="08BF6283" w14:textId="77777777" w:rsidR="0073151A" w:rsidRPr="006E7BAE" w:rsidRDefault="0073151A" w:rsidP="0073151A"/>
      <w:p w14:paraId="08BF6284" w14:textId="77777777" w:rsidR="00ED265D" w:rsidRPr="0073151A" w:rsidRDefault="008A2686"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1DDA"/>
    <w:rsid w:val="00212BA0"/>
    <w:rsid w:val="002523DE"/>
    <w:rsid w:val="002568D3"/>
    <w:rsid w:val="0027284C"/>
    <w:rsid w:val="002B5FA6"/>
    <w:rsid w:val="002C6423"/>
    <w:rsid w:val="002D2D44"/>
    <w:rsid w:val="003025F0"/>
    <w:rsid w:val="0031097F"/>
    <w:rsid w:val="0031165C"/>
    <w:rsid w:val="003248D2"/>
    <w:rsid w:val="00326E5F"/>
    <w:rsid w:val="00335879"/>
    <w:rsid w:val="00356186"/>
    <w:rsid w:val="003662E4"/>
    <w:rsid w:val="00374E7D"/>
    <w:rsid w:val="00375294"/>
    <w:rsid w:val="00382FC7"/>
    <w:rsid w:val="00382FEC"/>
    <w:rsid w:val="00385A90"/>
    <w:rsid w:val="003A37CF"/>
    <w:rsid w:val="003B1F3D"/>
    <w:rsid w:val="003D3551"/>
    <w:rsid w:val="003F6511"/>
    <w:rsid w:val="00410EDC"/>
    <w:rsid w:val="00414694"/>
    <w:rsid w:val="00417FB7"/>
    <w:rsid w:val="0042379F"/>
    <w:rsid w:val="0042783F"/>
    <w:rsid w:val="004943CF"/>
    <w:rsid w:val="004956DA"/>
    <w:rsid w:val="004D4658"/>
    <w:rsid w:val="00543EDD"/>
    <w:rsid w:val="0055345D"/>
    <w:rsid w:val="00563E2C"/>
    <w:rsid w:val="00587869"/>
    <w:rsid w:val="005F7592"/>
    <w:rsid w:val="00612913"/>
    <w:rsid w:val="00614908"/>
    <w:rsid w:val="00650109"/>
    <w:rsid w:val="006E7BAE"/>
    <w:rsid w:val="00701109"/>
    <w:rsid w:val="0073151A"/>
    <w:rsid w:val="00733E1C"/>
    <w:rsid w:val="007372EA"/>
    <w:rsid w:val="00777612"/>
    <w:rsid w:val="0079129C"/>
    <w:rsid w:val="007917FE"/>
    <w:rsid w:val="007A54CC"/>
    <w:rsid w:val="007C5DE8"/>
    <w:rsid w:val="007E0D2D"/>
    <w:rsid w:val="007E68C7"/>
    <w:rsid w:val="00804BE2"/>
    <w:rsid w:val="00816B78"/>
    <w:rsid w:val="00824412"/>
    <w:rsid w:val="008262A3"/>
    <w:rsid w:val="00830BBE"/>
    <w:rsid w:val="0086042A"/>
    <w:rsid w:val="008763A3"/>
    <w:rsid w:val="008774A6"/>
    <w:rsid w:val="008813BC"/>
    <w:rsid w:val="00894E45"/>
    <w:rsid w:val="00895263"/>
    <w:rsid w:val="008A0569"/>
    <w:rsid w:val="008A153F"/>
    <w:rsid w:val="008A2686"/>
    <w:rsid w:val="008B1165"/>
    <w:rsid w:val="008F376B"/>
    <w:rsid w:val="008F53F3"/>
    <w:rsid w:val="009305BF"/>
    <w:rsid w:val="00951EF6"/>
    <w:rsid w:val="0096638C"/>
    <w:rsid w:val="00971A08"/>
    <w:rsid w:val="00983D48"/>
    <w:rsid w:val="009B161D"/>
    <w:rsid w:val="009D45DF"/>
    <w:rsid w:val="009D5114"/>
    <w:rsid w:val="009E0D8D"/>
    <w:rsid w:val="009E0F71"/>
    <w:rsid w:val="009E7A46"/>
    <w:rsid w:val="009F26C4"/>
    <w:rsid w:val="009F436C"/>
    <w:rsid w:val="00A03153"/>
    <w:rsid w:val="00A103E3"/>
    <w:rsid w:val="00A24849"/>
    <w:rsid w:val="00A252FA"/>
    <w:rsid w:val="00A67376"/>
    <w:rsid w:val="00AB4A38"/>
    <w:rsid w:val="00AB5E22"/>
    <w:rsid w:val="00AE2077"/>
    <w:rsid w:val="00AF02C8"/>
    <w:rsid w:val="00B158E3"/>
    <w:rsid w:val="00B328CD"/>
    <w:rsid w:val="00B408F8"/>
    <w:rsid w:val="00B5078E"/>
    <w:rsid w:val="00B60EDC"/>
    <w:rsid w:val="00B840B2"/>
    <w:rsid w:val="00B9043D"/>
    <w:rsid w:val="00BB1C7F"/>
    <w:rsid w:val="00BC39BE"/>
    <w:rsid w:val="00BD4E4C"/>
    <w:rsid w:val="00BF7644"/>
    <w:rsid w:val="00C1285B"/>
    <w:rsid w:val="00C173B0"/>
    <w:rsid w:val="00C17F71"/>
    <w:rsid w:val="00C2612E"/>
    <w:rsid w:val="00CA2930"/>
    <w:rsid w:val="00CB2B73"/>
    <w:rsid w:val="00CE249F"/>
    <w:rsid w:val="00CF17D0"/>
    <w:rsid w:val="00D42339"/>
    <w:rsid w:val="00D61AC2"/>
    <w:rsid w:val="00D83B8C"/>
    <w:rsid w:val="00DA4281"/>
    <w:rsid w:val="00DB1ADC"/>
    <w:rsid w:val="00DD4332"/>
    <w:rsid w:val="00E12A51"/>
    <w:rsid w:val="00E736B9"/>
    <w:rsid w:val="00E777AD"/>
    <w:rsid w:val="00EA4B61"/>
    <w:rsid w:val="00EC5EE0"/>
    <w:rsid w:val="00ED265D"/>
    <w:rsid w:val="00EE2A6C"/>
    <w:rsid w:val="00EF6169"/>
    <w:rsid w:val="00EF6754"/>
    <w:rsid w:val="00EF707C"/>
    <w:rsid w:val="00F026B6"/>
    <w:rsid w:val="00F06BF6"/>
    <w:rsid w:val="00F1759D"/>
    <w:rsid w:val="00F20569"/>
    <w:rsid w:val="00F40FBF"/>
    <w:rsid w:val="00F47372"/>
    <w:rsid w:val="00F5034C"/>
    <w:rsid w:val="00F55E4C"/>
    <w:rsid w:val="00F70D4F"/>
    <w:rsid w:val="00F747B4"/>
    <w:rsid w:val="00F76E97"/>
    <w:rsid w:val="00F84E07"/>
    <w:rsid w:val="00F874E6"/>
    <w:rsid w:val="00FB1699"/>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8BF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Wagner: Jamal: O'Bonsawin</AuthorContributor>
    <FolderNameEn xmlns="40ae4924-d04e-473c-aafa-3657aad971d6">Leave Application - Judgment on Leave Application</FolderNameEn>
    <Case xmlns="40ae4924-d04e-473c-aafa-3657aad971d6">14992</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2023-05-25T04:00:00+00:00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3dee402bf2b8bf15df82b1b612c0c23">
  <xsd:schema xmlns:xsd="http://www.w3.org/2001/XMLSchema" xmlns:xs="http://www.w3.org/2001/XMLSchema" xmlns:p="http://schemas.microsoft.com/office/2006/metadata/properties" xmlns:ns2="40ae4924-d04e-473c-aafa-3657aad971d6" targetNamespace="http://schemas.microsoft.com/office/2006/metadata/properties" ma:root="true" ma:fieldsID="490d4c87335d7e59909e19827dd282d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D8A87D-9FE0-4C08-AA18-0D3BF168C8E3}">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682B4D2E-EA4A-4B9F-B1C3-891E1C86A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4BCC67-20B6-43AB-A7F2-86EB13FBBC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2023-05-23T18:17:00Z</dcterms:created>
  <dcterms:modified xsi:type="dcterms:W3CDTF">2023-05-23T18:17:00Z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