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31097F" w:rsidRDefault="00BD2A96" w:rsidP="00AE2077">
      <w:pPr>
        <w:jc w:val="right"/>
      </w:pPr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33903</w:t>
      </w:r>
      <w:r w:rsidR="00E81C0B">
        <w:t>     </w:t>
      </w:r>
    </w:p>
    <w:p w:rsidR="009F436C" w:rsidRDefault="009F436C" w:rsidP="00382FEC"/>
    <w:p w:rsidR="003C744C" w:rsidRPr="0031097F" w:rsidRDefault="003C744C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2030E6" w:rsidTr="007F6C8E">
        <w:tc>
          <w:tcPr>
            <w:tcW w:w="2212" w:type="pct"/>
          </w:tcPr>
          <w:p w:rsidR="00417FB7" w:rsidRPr="0031097F" w:rsidRDefault="0002577E" w:rsidP="008262A3">
            <w:r>
              <w:t>Le 2</w:t>
            </w:r>
            <w:r w:rsidR="008C0902">
              <w:t>3</w:t>
            </w:r>
            <w:r>
              <w:t xml:space="preserve"> décembre 2010</w:t>
            </w:r>
          </w:p>
        </w:tc>
        <w:tc>
          <w:tcPr>
            <w:tcW w:w="372" w:type="pct"/>
          </w:tcPr>
          <w:p w:rsidR="00417FB7" w:rsidRPr="0031097F" w:rsidRDefault="00417FB7" w:rsidP="00382FEC"/>
        </w:tc>
        <w:tc>
          <w:tcPr>
            <w:tcW w:w="2416" w:type="pct"/>
          </w:tcPr>
          <w:p w:rsidR="00417FB7" w:rsidRPr="00011960" w:rsidRDefault="0002577E" w:rsidP="0027081E">
            <w:pPr>
              <w:rPr>
                <w:lang w:val="en-US"/>
              </w:rPr>
            </w:pPr>
            <w:proofErr w:type="spellStart"/>
            <w:r>
              <w:t>December</w:t>
            </w:r>
            <w:proofErr w:type="spellEnd"/>
            <w:r>
              <w:t xml:space="preserve"> 2</w:t>
            </w:r>
            <w:r w:rsidR="008C0902">
              <w:t>3</w:t>
            </w:r>
            <w:r>
              <w:t>, 2010</w:t>
            </w:r>
          </w:p>
        </w:tc>
      </w:tr>
      <w:tr w:rsidR="00E12A51" w:rsidRPr="002030E6" w:rsidTr="007F6C8E">
        <w:tc>
          <w:tcPr>
            <w:tcW w:w="2212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72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416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727ECC" w:rsidTr="007F6C8E">
        <w:tc>
          <w:tcPr>
            <w:tcW w:w="2212" w:type="pct"/>
          </w:tcPr>
          <w:p w:rsidR="00417FB7" w:rsidRPr="0031097F" w:rsidRDefault="00417FB7" w:rsidP="008C0902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72" w:type="pct"/>
          </w:tcPr>
          <w:p w:rsidR="00417FB7" w:rsidRPr="0031097F" w:rsidRDefault="00417FB7" w:rsidP="00382FEC"/>
        </w:tc>
        <w:tc>
          <w:tcPr>
            <w:tcW w:w="2416" w:type="pct"/>
          </w:tcPr>
          <w:p w:rsidR="00417FB7" w:rsidRPr="005635B6" w:rsidRDefault="007F41D5" w:rsidP="00382FEC">
            <w:pPr>
              <w:rPr>
                <w:lang w:val="en-US"/>
              </w:rPr>
            </w:pPr>
            <w:r w:rsidRPr="005635B6">
              <w:rPr>
                <w:lang w:val="en-US"/>
              </w:rPr>
              <w:t>Coram</w:t>
            </w:r>
            <w:r w:rsidR="00417FB7" w:rsidRPr="005635B6">
              <w:rPr>
                <w:lang w:val="en-US"/>
              </w:rPr>
              <w:t>:</w:t>
            </w:r>
            <w:r w:rsidRPr="005635B6">
              <w:rPr>
                <w:lang w:val="en-US"/>
              </w:rPr>
              <w:t xml:space="preserve"> </w:t>
            </w:r>
            <w:r w:rsidR="00417FB7" w:rsidRPr="005635B6">
              <w:rPr>
                <w:lang w:val="en-US"/>
              </w:rPr>
              <w:t xml:space="preserve"> </w:t>
            </w:r>
            <w:r w:rsidRPr="005635B6">
              <w:rPr>
                <w:lang w:val="en-US"/>
              </w:rPr>
              <w:t>LeBel, Deschamps and Charron JJ.</w:t>
            </w:r>
          </w:p>
        </w:tc>
      </w:tr>
      <w:tr w:rsidR="00C2612E" w:rsidRPr="00727ECC" w:rsidTr="007F6C8E">
        <w:tc>
          <w:tcPr>
            <w:tcW w:w="2212" w:type="pct"/>
          </w:tcPr>
          <w:p w:rsidR="00C2612E" w:rsidRPr="005635B6" w:rsidRDefault="00C2612E" w:rsidP="008262A3">
            <w:pPr>
              <w:rPr>
                <w:lang w:val="en-US"/>
              </w:rPr>
            </w:pPr>
          </w:p>
          <w:p w:rsidR="00C2612E" w:rsidRPr="005635B6" w:rsidRDefault="00C2612E" w:rsidP="008262A3">
            <w:pPr>
              <w:rPr>
                <w:lang w:val="en-US"/>
              </w:rPr>
            </w:pPr>
          </w:p>
        </w:tc>
        <w:tc>
          <w:tcPr>
            <w:tcW w:w="372" w:type="pct"/>
          </w:tcPr>
          <w:p w:rsidR="00C2612E" w:rsidRPr="005635B6" w:rsidRDefault="00C2612E" w:rsidP="00382FEC">
            <w:pPr>
              <w:rPr>
                <w:lang w:val="en-US"/>
              </w:rPr>
            </w:pPr>
          </w:p>
        </w:tc>
        <w:tc>
          <w:tcPr>
            <w:tcW w:w="2416" w:type="pct"/>
          </w:tcPr>
          <w:p w:rsidR="00C2612E" w:rsidRPr="005635B6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7F6C8E">
        <w:tc>
          <w:tcPr>
            <w:tcW w:w="2212" w:type="pct"/>
            <w:vAlign w:val="center"/>
          </w:tcPr>
          <w:p w:rsidR="006C3B9D" w:rsidRDefault="005635B6">
            <w:pPr>
              <w:pStyle w:val="SCCLsocPrefix"/>
            </w:pPr>
            <w:r>
              <w:t>ENTRE :</w:t>
            </w:r>
            <w:r>
              <w:br/>
            </w:r>
          </w:p>
          <w:p w:rsidR="006C3B9D" w:rsidRDefault="005635B6">
            <w:pPr>
              <w:pStyle w:val="SCCLsocParty"/>
            </w:pPr>
            <w:r>
              <w:t>Fédération des producteurs acéricoles du Québec</w:t>
            </w:r>
            <w:r>
              <w:br/>
            </w:r>
          </w:p>
          <w:p w:rsidR="006C3B9D" w:rsidRDefault="005635B6">
            <w:pPr>
              <w:pStyle w:val="SCCLsocPartyRole"/>
            </w:pPr>
            <w:r>
              <w:t>Demanderesse</w:t>
            </w:r>
            <w:r>
              <w:br/>
            </w:r>
          </w:p>
          <w:p w:rsidR="006C3B9D" w:rsidRDefault="005635B6">
            <w:pPr>
              <w:pStyle w:val="SCCLsocVersus"/>
            </w:pPr>
            <w:r>
              <w:t>- et -</w:t>
            </w:r>
            <w:r>
              <w:br/>
            </w:r>
          </w:p>
          <w:p w:rsidR="006C3B9D" w:rsidRDefault="005635B6">
            <w:pPr>
              <w:pStyle w:val="SCCLsocParty"/>
            </w:pPr>
            <w:r>
              <w:t>Henri Bourgoin, Régie des marchés agricoles et alimentaires du Québec</w:t>
            </w:r>
            <w:r w:rsidR="008C0902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6C3B9D" w:rsidRDefault="005635B6" w:rsidP="008C0902">
            <w:pPr>
              <w:pStyle w:val="SCCLsocPartyRole"/>
            </w:pPr>
            <w:r>
              <w:t>Intimés</w:t>
            </w:r>
          </w:p>
        </w:tc>
        <w:tc>
          <w:tcPr>
            <w:tcW w:w="372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416" w:type="pct"/>
            <w:vAlign w:val="center"/>
          </w:tcPr>
          <w:p w:rsidR="006C3B9D" w:rsidRDefault="005635B6">
            <w:pPr>
              <w:pStyle w:val="SCCLsocPrefix"/>
            </w:pPr>
            <w:r>
              <w:t>BETWEEN:</w:t>
            </w:r>
            <w:r>
              <w:br/>
            </w:r>
          </w:p>
          <w:p w:rsidR="006C3B9D" w:rsidRDefault="005635B6">
            <w:pPr>
              <w:pStyle w:val="SCCLsocParty"/>
            </w:pPr>
            <w:r>
              <w:t>Fédération des producteurs acéricoles du Québec</w:t>
            </w:r>
            <w:r>
              <w:br/>
            </w:r>
          </w:p>
          <w:p w:rsidR="006C3B9D" w:rsidRDefault="005635B6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6C3B9D" w:rsidRDefault="005635B6">
            <w:pPr>
              <w:pStyle w:val="SCCLsocVersus"/>
            </w:pPr>
            <w:r>
              <w:t>- and -</w:t>
            </w:r>
            <w:r>
              <w:br/>
            </w:r>
          </w:p>
          <w:p w:rsidR="006C3B9D" w:rsidRDefault="005635B6">
            <w:pPr>
              <w:pStyle w:val="SCCLsocParty"/>
            </w:pPr>
            <w:r>
              <w:t>Henri Bourgoin, Régie des marchés agricoles et alimentaires du Québec</w:t>
            </w:r>
            <w:r w:rsidR="008C0902">
              <w:t xml:space="preserve"> and</w:t>
            </w:r>
            <w:r>
              <w:t xml:space="preserve"> Attorney General of </w:t>
            </w:r>
            <w:proofErr w:type="spellStart"/>
            <w:r>
              <w:t>Quebec</w:t>
            </w:r>
            <w:proofErr w:type="spellEnd"/>
            <w:r>
              <w:br/>
            </w:r>
          </w:p>
          <w:p w:rsidR="006C3B9D" w:rsidRDefault="005635B6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7F6C8E">
        <w:tc>
          <w:tcPr>
            <w:tcW w:w="2212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72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416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727ECC" w:rsidTr="007F6C8E">
        <w:tc>
          <w:tcPr>
            <w:tcW w:w="2212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8C0902" w:rsidP="008C0902">
            <w:pPr>
              <w:jc w:val="both"/>
            </w:pPr>
            <w:r>
              <w:t xml:space="preserve">La requête visant à accélérer la procédure de la demande d’autorisation d’appel est accordée sans dépens. La requête pour permission d’intervenir de l’Union des producteurs agricoles est rejetée sans dépens. </w:t>
            </w:r>
            <w:r w:rsidR="0027081E" w:rsidRPr="00824412">
              <w:t>L</w:t>
            </w:r>
            <w:r w:rsidR="0027081E">
              <w:t>a demande d’autorisation d’appel de l’arrêt de la</w:t>
            </w:r>
            <w:r w:rsidR="0027081E" w:rsidRPr="00824412">
              <w:t xml:space="preserve"> </w:t>
            </w:r>
            <w:r w:rsidR="0027081E">
              <w:t>Cour d’appel du Québec (Québec)</w:t>
            </w:r>
            <w:r w:rsidR="0027081E" w:rsidRPr="00824412">
              <w:t xml:space="preserve">, numéro </w:t>
            </w:r>
            <w:r w:rsidR="0027081E">
              <w:t>200-09-006527-086, 2010 QCCA 1593</w:t>
            </w:r>
            <w:r w:rsidR="0027081E" w:rsidRPr="00824412">
              <w:t xml:space="preserve">, </w:t>
            </w:r>
            <w:r w:rsidR="0027081E">
              <w:t>daté du</w:t>
            </w:r>
            <w:r w:rsidR="0027081E" w:rsidRPr="00824412">
              <w:t xml:space="preserve"> </w:t>
            </w:r>
            <w:r w:rsidR="0027081E">
              <w:t>12 octobre 2010</w:t>
            </w:r>
            <w:r w:rsidR="0027081E" w:rsidRPr="00824412">
              <w:t xml:space="preserve">, est </w:t>
            </w:r>
            <w:r>
              <w:t xml:space="preserve">rejetée avec dépens en faveur de l’intimé </w:t>
            </w:r>
            <w:r w:rsidR="007F6C8E">
              <w:t xml:space="preserve">Henri </w:t>
            </w:r>
            <w:r>
              <w:t>Bourgoin</w:t>
            </w:r>
            <w:r w:rsidR="0027081E" w:rsidRPr="00824412">
              <w:t>.</w:t>
            </w:r>
          </w:p>
        </w:tc>
        <w:tc>
          <w:tcPr>
            <w:tcW w:w="372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8C0902" w:rsidP="00727E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motion to expedite the application for leave to appeal is granted without costs. The motion for leave to intervene of Union des </w:t>
            </w:r>
            <w:proofErr w:type="spellStart"/>
            <w:r>
              <w:rPr>
                <w:lang w:val="en-US"/>
              </w:rPr>
              <w:t>producteurs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agricoles</w:t>
            </w:r>
            <w:proofErr w:type="spellEnd"/>
            <w:r>
              <w:rPr>
                <w:lang w:val="en-US"/>
              </w:rPr>
              <w:t xml:space="preserve"> is dismissed without costs. </w:t>
            </w:r>
            <w:r w:rsidR="0027081E"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="0027081E" w:rsidRPr="003D7CE6">
              <w:rPr>
                <w:lang w:val="en-US"/>
              </w:rPr>
              <w:t xml:space="preserve"> </w:t>
            </w:r>
            <w:r w:rsidR="0027081E" w:rsidRPr="005635B6">
              <w:rPr>
                <w:lang w:val="en-US"/>
              </w:rPr>
              <w:t>Court of Appeal of Quebec (Québec)</w:t>
            </w:r>
            <w:r w:rsidR="0027081E" w:rsidRPr="003D7CE6">
              <w:rPr>
                <w:lang w:val="en-US"/>
              </w:rPr>
              <w:t xml:space="preserve">, Number </w:t>
            </w:r>
            <w:r w:rsidR="0027081E" w:rsidRPr="005635B6">
              <w:rPr>
                <w:lang w:val="en-US"/>
              </w:rPr>
              <w:t>200-09-006527-086, 2010 QCCA 1593</w:t>
            </w:r>
            <w:r w:rsidR="0027081E" w:rsidRPr="003D7CE6">
              <w:rPr>
                <w:lang w:val="en-US"/>
              </w:rPr>
              <w:t xml:space="preserve">, dated </w:t>
            </w:r>
            <w:r w:rsidR="0027081E" w:rsidRPr="005635B6">
              <w:rPr>
                <w:lang w:val="en-US"/>
              </w:rPr>
              <w:t>October 12, 2010</w:t>
            </w:r>
            <w:r w:rsidR="007F6C8E">
              <w:rPr>
                <w:lang w:val="en-US"/>
              </w:rPr>
              <w:t>,</w:t>
            </w:r>
            <w:r w:rsidR="0027081E" w:rsidRPr="003D7CE6">
              <w:rPr>
                <w:lang w:val="en-US"/>
              </w:rPr>
              <w:t xml:space="preserve"> is </w:t>
            </w:r>
            <w:r>
              <w:rPr>
                <w:lang w:val="en-US"/>
              </w:rPr>
              <w:t xml:space="preserve">dismissed with costs to the respondent </w:t>
            </w:r>
            <w:r w:rsidR="007F6C8E">
              <w:rPr>
                <w:lang w:val="en-US"/>
              </w:rPr>
              <w:t>Henri </w:t>
            </w:r>
            <w:proofErr w:type="spellStart"/>
            <w:r>
              <w:rPr>
                <w:lang w:val="en-US"/>
              </w:rPr>
              <w:t>Bourgoin</w:t>
            </w:r>
            <w:proofErr w:type="spellEnd"/>
            <w:r w:rsidR="0027081E"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8C0902" w:rsidRDefault="008C0902" w:rsidP="00417FB7">
      <w:pPr>
        <w:jc w:val="center"/>
        <w:rPr>
          <w:lang w:val="en-US"/>
        </w:rPr>
      </w:pPr>
    </w:p>
    <w:p w:rsidR="008C0902" w:rsidRPr="0027081E" w:rsidRDefault="008C0902" w:rsidP="00417FB7">
      <w:pPr>
        <w:jc w:val="center"/>
        <w:rPr>
          <w:lang w:val="en-US"/>
        </w:rPr>
      </w:pPr>
    </w:p>
    <w:p w:rsidR="00655333" w:rsidRPr="008C0902" w:rsidRDefault="00655333" w:rsidP="00655333">
      <w:pPr>
        <w:jc w:val="center"/>
        <w:rPr>
          <w:lang w:val="en-US"/>
        </w:rPr>
      </w:pPr>
    </w:p>
    <w:p w:rsidR="00655333" w:rsidRPr="00343142" w:rsidRDefault="00655333" w:rsidP="00655333">
      <w:pPr>
        <w:jc w:val="center"/>
        <w:rPr>
          <w:lang w:val="en-US"/>
        </w:rPr>
      </w:pPr>
      <w:proofErr w:type="gramStart"/>
      <w:r w:rsidRPr="00343142">
        <w:rPr>
          <w:lang w:val="en-US"/>
        </w:rPr>
        <w:lastRenderedPageBreak/>
        <w:t>J.</w:t>
      </w:r>
      <w:r>
        <w:rPr>
          <w:lang w:val="en-US"/>
        </w:rPr>
        <w:t>C.S</w:t>
      </w:r>
      <w:r w:rsidRPr="00343142">
        <w:rPr>
          <w:lang w:val="en-US"/>
        </w:rPr>
        <w:t>.C.</w:t>
      </w:r>
      <w:proofErr w:type="gramEnd"/>
    </w:p>
    <w:p w:rsidR="009F436C" w:rsidRPr="00504B7F" w:rsidRDefault="00655333" w:rsidP="00655333">
      <w:pPr>
        <w:jc w:val="center"/>
      </w:pPr>
      <w:proofErr w:type="gramStart"/>
      <w:r w:rsidRPr="00D5666D">
        <w:rPr>
          <w:lang w:val="en-US"/>
        </w:rPr>
        <w:t>J.</w:t>
      </w:r>
      <w:r>
        <w:rPr>
          <w:lang w:val="en-US"/>
        </w:rPr>
        <w:t>S</w:t>
      </w:r>
      <w:r w:rsidRPr="00D5666D">
        <w:rPr>
          <w:lang w:val="en-US"/>
        </w:rPr>
        <w:t>.</w:t>
      </w:r>
      <w:r>
        <w:rPr>
          <w:lang w:val="en-US"/>
        </w:rPr>
        <w:t>C</w:t>
      </w:r>
      <w:r w:rsidRPr="00D5666D">
        <w:rPr>
          <w:lang w:val="en-US"/>
        </w:rPr>
        <w:t>.C.</w:t>
      </w:r>
      <w:proofErr w:type="gramEnd"/>
    </w:p>
    <w:sectPr w:rsidR="009F436C" w:rsidRPr="00504B7F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25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2502" w:rsidRPr="00417FB7">
      <w:rPr>
        <w:szCs w:val="24"/>
      </w:rPr>
      <w:fldChar w:fldCharType="separate"/>
    </w:r>
    <w:r w:rsidR="00293120">
      <w:rPr>
        <w:noProof/>
        <w:szCs w:val="24"/>
      </w:rPr>
      <w:t>2</w:t>
    </w:r>
    <w:r w:rsidR="002F25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33903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2030E6"/>
    <w:rsid w:val="00203642"/>
    <w:rsid w:val="00215653"/>
    <w:rsid w:val="0027081E"/>
    <w:rsid w:val="00293120"/>
    <w:rsid w:val="002B5FA6"/>
    <w:rsid w:val="002F2502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5B6"/>
    <w:rsid w:val="00563E2C"/>
    <w:rsid w:val="005873F3"/>
    <w:rsid w:val="00587869"/>
    <w:rsid w:val="005918AD"/>
    <w:rsid w:val="00614908"/>
    <w:rsid w:val="0064672C"/>
    <w:rsid w:val="00650109"/>
    <w:rsid w:val="00655333"/>
    <w:rsid w:val="006935F7"/>
    <w:rsid w:val="006C1359"/>
    <w:rsid w:val="006C3B9D"/>
    <w:rsid w:val="00701109"/>
    <w:rsid w:val="00727ECC"/>
    <w:rsid w:val="007372EA"/>
    <w:rsid w:val="007814E3"/>
    <w:rsid w:val="0079129C"/>
    <w:rsid w:val="007A54CC"/>
    <w:rsid w:val="007F41D5"/>
    <w:rsid w:val="007F6C8E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C0902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D652D6"/>
    <w:rsid w:val="00DF2F9A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36D4-9F4F-4E2A-85D7-430158B9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2010-12-01T17:35:00Z</cp:lastPrinted>
  <dcterms:created xsi:type="dcterms:W3CDTF">2010-11-25T17:29:00Z</dcterms:created>
  <dcterms:modified xsi:type="dcterms:W3CDTF">2010-12-24T15:58:00Z</dcterms:modified>
</cp:coreProperties>
</file>