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ACF7" w14:textId="77777777" w:rsidR="009F436C" w:rsidRDefault="009F436C" w:rsidP="00382FEC"/>
    <w:p w14:paraId="1894ACF8" w14:textId="77777777" w:rsidR="002D2D44" w:rsidRPr="006E7BAE" w:rsidRDefault="002D2D44" w:rsidP="00382FEC"/>
    <w:p w14:paraId="1894ACF9" w14:textId="77777777" w:rsidR="009F436C" w:rsidRPr="006E7BAE" w:rsidRDefault="009F436C" w:rsidP="00382FEC"/>
    <w:p w14:paraId="1894ACFA" w14:textId="77777777" w:rsidR="0016666F" w:rsidRPr="006E7BAE" w:rsidRDefault="0016666F" w:rsidP="00382FEC"/>
    <w:p w14:paraId="1894ACFB" w14:textId="77777777" w:rsidR="0016666F" w:rsidRDefault="0016666F" w:rsidP="00382FEC"/>
    <w:p w14:paraId="1894ACFC" w14:textId="77777777" w:rsidR="00D83B8C" w:rsidRDefault="00D83B8C" w:rsidP="00382FEC"/>
    <w:p w14:paraId="1894ACFD" w14:textId="77777777" w:rsidR="008763A3" w:rsidRDefault="008763A3" w:rsidP="00382FEC"/>
    <w:p w14:paraId="1894ACFE" w14:textId="77777777" w:rsidR="00D83B8C" w:rsidRDefault="00D83B8C" w:rsidP="00382FEC"/>
    <w:p w14:paraId="1894ACFF" w14:textId="77777777" w:rsidR="00D83B8C" w:rsidRDefault="00D83B8C" w:rsidP="00382FEC"/>
    <w:p w14:paraId="1894AD00" w14:textId="77777777" w:rsidR="00D83B8C" w:rsidRDefault="00D83B8C" w:rsidP="00382FEC"/>
    <w:p w14:paraId="1894AD01" w14:textId="77777777" w:rsidR="00D83B8C" w:rsidRPr="006E7BAE" w:rsidRDefault="00D83B8C" w:rsidP="00382FEC"/>
    <w:p w14:paraId="1894AD02" w14:textId="77777777" w:rsidR="009F436C" w:rsidRPr="006E7BAE" w:rsidRDefault="009F436C" w:rsidP="00382FEC"/>
    <w:p w14:paraId="1894AD0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37626</w:t>
      </w:r>
      <w:r w:rsidR="0016666F" w:rsidRPr="006E7BAE">
        <w:t>     </w:t>
      </w:r>
    </w:p>
    <w:p w14:paraId="1894AD04" w14:textId="77777777" w:rsidR="009F436C" w:rsidRPr="006E7BAE" w:rsidRDefault="009F436C" w:rsidP="00382FEC"/>
    <w:p w14:paraId="1894AD05" w14:textId="77777777" w:rsidR="002568D3" w:rsidRPr="006E7BAE" w:rsidRDefault="002568D3" w:rsidP="00382FEC"/>
    <w:tbl>
      <w:tblPr>
        <w:tblW w:w="5048" w:type="pct"/>
        <w:tblInd w:w="-9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550"/>
        <w:gridCol w:w="4400"/>
      </w:tblGrid>
      <w:tr w:rsidR="00417FB7" w:rsidRPr="006E7BAE" w14:paraId="1894AD09" w14:textId="77777777" w:rsidTr="00601BD6">
        <w:tc>
          <w:tcPr>
            <w:tcW w:w="2381" w:type="pct"/>
          </w:tcPr>
          <w:p w14:paraId="1894AD06" w14:textId="77777777" w:rsidR="00417FB7" w:rsidRPr="006E7BAE" w:rsidRDefault="00601BD6" w:rsidP="008262A3">
            <w:r>
              <w:t>December 14</w:t>
            </w:r>
            <w:r w:rsidR="00B328CD">
              <w:t>, 2017</w:t>
            </w:r>
          </w:p>
        </w:tc>
        <w:tc>
          <w:tcPr>
            <w:tcW w:w="291" w:type="pct"/>
          </w:tcPr>
          <w:p w14:paraId="1894AD07" w14:textId="77777777" w:rsidR="00417FB7" w:rsidRPr="006E7BAE" w:rsidRDefault="00417FB7" w:rsidP="00382FEC"/>
        </w:tc>
        <w:tc>
          <w:tcPr>
            <w:tcW w:w="2328" w:type="pct"/>
          </w:tcPr>
          <w:p w14:paraId="1894AD08" w14:textId="77777777" w:rsidR="00417FB7" w:rsidRPr="00D83B8C" w:rsidRDefault="00B328CD" w:rsidP="00601BD6">
            <w:pPr>
              <w:rPr>
                <w:lang w:val="en-US"/>
              </w:rPr>
            </w:pPr>
            <w:r>
              <w:t xml:space="preserve">Le </w:t>
            </w:r>
            <w:r w:rsidR="00601BD6">
              <w:t xml:space="preserve">14 décembre </w:t>
            </w:r>
            <w:r>
              <w:t>2017</w:t>
            </w:r>
          </w:p>
        </w:tc>
      </w:tr>
      <w:tr w:rsidR="00E12A51" w:rsidRPr="006E7BAE" w14:paraId="1894AD0D" w14:textId="77777777" w:rsidTr="00601BD6">
        <w:tc>
          <w:tcPr>
            <w:tcW w:w="2381" w:type="pct"/>
            <w:tcMar>
              <w:top w:w="0" w:type="dxa"/>
              <w:bottom w:w="0" w:type="dxa"/>
            </w:tcMar>
          </w:tcPr>
          <w:p w14:paraId="1894AD0A" w14:textId="77777777" w:rsidR="00C2612E" w:rsidRPr="006E7BAE" w:rsidRDefault="00C2612E" w:rsidP="008262A3"/>
        </w:tc>
        <w:tc>
          <w:tcPr>
            <w:tcW w:w="291" w:type="pct"/>
            <w:tcMar>
              <w:top w:w="0" w:type="dxa"/>
              <w:bottom w:w="0" w:type="dxa"/>
            </w:tcMar>
          </w:tcPr>
          <w:p w14:paraId="1894AD0B" w14:textId="77777777" w:rsidR="00E12A51" w:rsidRPr="006E7BAE" w:rsidRDefault="00E12A51" w:rsidP="00382FEC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1894AD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F4A8C" w14:paraId="1894AD11" w14:textId="77777777" w:rsidTr="00601BD6">
        <w:tc>
          <w:tcPr>
            <w:tcW w:w="2381" w:type="pct"/>
          </w:tcPr>
          <w:p w14:paraId="1894AD0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291" w:type="pct"/>
          </w:tcPr>
          <w:p w14:paraId="1894AD0F" w14:textId="77777777" w:rsidR="00417FB7" w:rsidRPr="006E7BAE" w:rsidRDefault="00417FB7" w:rsidP="00382FEC"/>
        </w:tc>
        <w:tc>
          <w:tcPr>
            <w:tcW w:w="2328" w:type="pct"/>
          </w:tcPr>
          <w:p w14:paraId="1894AD1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1BD6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CF4A8C" w14:paraId="1894AD15" w14:textId="77777777" w:rsidTr="00601BD6">
        <w:tc>
          <w:tcPr>
            <w:tcW w:w="2381" w:type="pct"/>
            <w:tcMar>
              <w:top w:w="0" w:type="dxa"/>
              <w:bottom w:w="0" w:type="dxa"/>
            </w:tcMar>
          </w:tcPr>
          <w:p w14:paraId="1894AD12" w14:textId="77777777" w:rsidR="00C2612E" w:rsidRPr="00601BD6" w:rsidRDefault="00C2612E" w:rsidP="008262A3">
            <w:pPr>
              <w:rPr>
                <w:lang w:val="fr-FR"/>
              </w:rPr>
            </w:pPr>
          </w:p>
        </w:tc>
        <w:tc>
          <w:tcPr>
            <w:tcW w:w="291" w:type="pct"/>
            <w:tcMar>
              <w:top w:w="0" w:type="dxa"/>
              <w:bottom w:w="0" w:type="dxa"/>
            </w:tcMar>
          </w:tcPr>
          <w:p w14:paraId="1894AD13" w14:textId="77777777" w:rsidR="00C2612E" w:rsidRPr="00601BD6" w:rsidRDefault="00C2612E" w:rsidP="00382FEC">
            <w:pPr>
              <w:rPr>
                <w:lang w:val="fr-FR"/>
              </w:rPr>
            </w:pPr>
          </w:p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1894AD1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894AD31" w14:textId="77777777" w:rsidTr="00601BD6">
        <w:tc>
          <w:tcPr>
            <w:tcW w:w="2381" w:type="pct"/>
          </w:tcPr>
          <w:p w14:paraId="1894AD16" w14:textId="77777777" w:rsidR="0070028B" w:rsidRDefault="00601BD6">
            <w:pPr>
              <w:pStyle w:val="SCCLsocPrefix"/>
            </w:pPr>
            <w:r>
              <w:t>BETWEEN:</w:t>
            </w:r>
            <w:r>
              <w:br/>
            </w:r>
          </w:p>
          <w:p w14:paraId="1894AD17" w14:textId="77777777" w:rsidR="0070028B" w:rsidRDefault="00601BD6">
            <w:pPr>
              <w:pStyle w:val="SCCLsocParty"/>
            </w:pPr>
            <w:r>
              <w:t>V. Lorne Humphreys and Brodlor Foods Inc.</w:t>
            </w:r>
            <w:r>
              <w:br/>
            </w:r>
          </w:p>
          <w:p w14:paraId="1894AD18" w14:textId="77777777" w:rsidR="0070028B" w:rsidRDefault="00601BD6">
            <w:pPr>
              <w:pStyle w:val="SCCLsocPartyRole"/>
            </w:pPr>
            <w:r>
              <w:t>Applicants</w:t>
            </w:r>
            <w:r>
              <w:br/>
            </w:r>
          </w:p>
          <w:p w14:paraId="1894AD19" w14:textId="77777777" w:rsidR="0070028B" w:rsidRDefault="00601BD6">
            <w:pPr>
              <w:pStyle w:val="SCCLsocVersus"/>
            </w:pPr>
            <w:r>
              <w:t>- and -</w:t>
            </w:r>
            <w:r>
              <w:br/>
            </w:r>
          </w:p>
          <w:p w14:paraId="1894AD1A" w14:textId="13C21D63" w:rsidR="0070028B" w:rsidRDefault="00601BD6" w:rsidP="00645CD6">
            <w:pPr>
              <w:pStyle w:val="SCCLsocParty"/>
            </w:pPr>
            <w:r>
              <w:t>Barry Trebilcock</w:t>
            </w:r>
            <w:r w:rsidR="00645CD6">
              <w:t>, Sebastian Hanne, Juergen Hanne, Calgary Ventures Inc., Contura Consulting Ltd., Bauland Inc., Lux Real Investments Ltd. and Troyvest Estates Ltd.</w:t>
            </w:r>
            <w:r w:rsidR="00645CD6">
              <w:br/>
            </w:r>
          </w:p>
          <w:p w14:paraId="1894AD22" w14:textId="71B58A97" w:rsidR="0070028B" w:rsidRDefault="00601BD6" w:rsidP="00CF4A8C">
            <w:pPr>
              <w:pStyle w:val="SCCLsocPartyRole"/>
            </w:pPr>
            <w:r>
              <w:t>Respondent</w:t>
            </w:r>
            <w:r w:rsidR="00645CD6">
              <w:t>s</w:t>
            </w:r>
          </w:p>
        </w:tc>
        <w:tc>
          <w:tcPr>
            <w:tcW w:w="291" w:type="pct"/>
          </w:tcPr>
          <w:p w14:paraId="1894AD23" w14:textId="77777777" w:rsidR="00824412" w:rsidRPr="006E7BAE" w:rsidRDefault="00824412" w:rsidP="00375294"/>
        </w:tc>
        <w:tc>
          <w:tcPr>
            <w:tcW w:w="2328" w:type="pct"/>
          </w:tcPr>
          <w:p w14:paraId="1894AD24" w14:textId="77777777" w:rsidR="0070028B" w:rsidRPr="00645CD6" w:rsidRDefault="00601BD6">
            <w:pPr>
              <w:pStyle w:val="SCCLsocPrefix"/>
              <w:rPr>
                <w:lang w:val="fr-CA"/>
              </w:rPr>
            </w:pPr>
            <w:r w:rsidRPr="00645CD6">
              <w:rPr>
                <w:lang w:val="fr-CA"/>
              </w:rPr>
              <w:t>ENTRE :</w:t>
            </w:r>
            <w:r w:rsidRPr="00645CD6">
              <w:rPr>
                <w:lang w:val="fr-CA"/>
              </w:rPr>
              <w:br/>
            </w:r>
          </w:p>
          <w:p w14:paraId="1894AD25" w14:textId="77777777" w:rsidR="0070028B" w:rsidRPr="00601BD6" w:rsidRDefault="00601BD6">
            <w:pPr>
              <w:pStyle w:val="SCCLsocParty"/>
              <w:rPr>
                <w:lang w:val="fr-FR"/>
              </w:rPr>
            </w:pPr>
            <w:r w:rsidRPr="00601BD6">
              <w:rPr>
                <w:lang w:val="fr-FR"/>
              </w:rPr>
              <w:t>V. Lorne Humphreys et Brodlor Foods Inc.</w:t>
            </w:r>
            <w:r w:rsidRPr="00601BD6">
              <w:rPr>
                <w:lang w:val="fr-FR"/>
              </w:rPr>
              <w:br/>
            </w:r>
          </w:p>
          <w:p w14:paraId="1894AD26" w14:textId="77777777" w:rsidR="0070028B" w:rsidRPr="00601BD6" w:rsidRDefault="00601BD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01BD6">
              <w:rPr>
                <w:lang w:val="fr-FR"/>
              </w:rPr>
              <w:t>s</w:t>
            </w:r>
            <w:r w:rsidRPr="00601BD6">
              <w:rPr>
                <w:lang w:val="fr-FR"/>
              </w:rPr>
              <w:br/>
            </w:r>
          </w:p>
          <w:p w14:paraId="1894AD27" w14:textId="77777777" w:rsidR="0070028B" w:rsidRPr="00601BD6" w:rsidRDefault="00601BD6">
            <w:pPr>
              <w:pStyle w:val="SCCLsocVersus"/>
              <w:rPr>
                <w:lang w:val="fr-FR"/>
              </w:rPr>
            </w:pPr>
            <w:r w:rsidRPr="00601BD6">
              <w:rPr>
                <w:lang w:val="fr-FR"/>
              </w:rPr>
              <w:t>- et -</w:t>
            </w:r>
            <w:r w:rsidRPr="00601BD6">
              <w:rPr>
                <w:lang w:val="fr-FR"/>
              </w:rPr>
              <w:br/>
            </w:r>
          </w:p>
          <w:p w14:paraId="1894AD28" w14:textId="18EE13A4" w:rsidR="0070028B" w:rsidRPr="00CF4A8C" w:rsidRDefault="00601BD6" w:rsidP="00645CD6">
            <w:pPr>
              <w:pStyle w:val="SCCLsocParty"/>
              <w:rPr>
                <w:lang w:val="fr-CA"/>
              </w:rPr>
            </w:pPr>
            <w:r w:rsidRPr="00601BD6">
              <w:rPr>
                <w:lang w:val="fr-FR"/>
              </w:rPr>
              <w:t>Barry Trebilcock</w:t>
            </w:r>
            <w:r w:rsidR="00645CD6">
              <w:rPr>
                <w:lang w:val="fr-FR"/>
              </w:rPr>
              <w:t xml:space="preserve">, </w:t>
            </w:r>
            <w:r w:rsidR="00645CD6" w:rsidRPr="00645CD6">
              <w:rPr>
                <w:lang w:val="fr-CA"/>
              </w:rPr>
              <w:t>Sebastian Hanne, Juergen Hanne, Calgary Ventures Inc., Contura Consulting Ltd., Bauland Inc., Lux Real Investments Ltd. et Troyvest Estates Ltd.</w:t>
            </w:r>
            <w:r w:rsidR="00645CD6" w:rsidRPr="00645CD6">
              <w:rPr>
                <w:lang w:val="fr-CA"/>
              </w:rPr>
              <w:br/>
            </w:r>
          </w:p>
          <w:p w14:paraId="1894AD29" w14:textId="081412DA" w:rsidR="0070028B" w:rsidRPr="00601BD6" w:rsidRDefault="00601BD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645CD6">
              <w:rPr>
                <w:lang w:val="fr-FR"/>
              </w:rPr>
              <w:t>s</w:t>
            </w:r>
            <w:r w:rsidRPr="00601BD6">
              <w:rPr>
                <w:lang w:val="fr-FR"/>
              </w:rPr>
              <w:br/>
            </w:r>
          </w:p>
          <w:p w14:paraId="1894AD30" w14:textId="1265749D" w:rsidR="0070028B" w:rsidRDefault="0070028B">
            <w:pPr>
              <w:pStyle w:val="SCCLsocPartyRole"/>
            </w:pPr>
          </w:p>
        </w:tc>
      </w:tr>
      <w:tr w:rsidR="00824412" w:rsidRPr="006E7BAE" w14:paraId="1894AD35" w14:textId="77777777" w:rsidTr="00601BD6">
        <w:tc>
          <w:tcPr>
            <w:tcW w:w="2381" w:type="pct"/>
            <w:tcMar>
              <w:top w:w="0" w:type="dxa"/>
              <w:bottom w:w="0" w:type="dxa"/>
            </w:tcMar>
          </w:tcPr>
          <w:p w14:paraId="1894AD32" w14:textId="77777777" w:rsidR="00824412" w:rsidRPr="006E7BAE" w:rsidRDefault="00824412" w:rsidP="00375294"/>
        </w:tc>
        <w:tc>
          <w:tcPr>
            <w:tcW w:w="291" w:type="pct"/>
            <w:tcMar>
              <w:top w:w="0" w:type="dxa"/>
              <w:bottom w:w="0" w:type="dxa"/>
            </w:tcMar>
          </w:tcPr>
          <w:p w14:paraId="1894AD33" w14:textId="77777777" w:rsidR="00824412" w:rsidRPr="006E7BAE" w:rsidRDefault="00824412" w:rsidP="00375294"/>
        </w:tc>
        <w:tc>
          <w:tcPr>
            <w:tcW w:w="2328" w:type="pct"/>
            <w:tcMar>
              <w:top w:w="0" w:type="dxa"/>
              <w:bottom w:w="0" w:type="dxa"/>
            </w:tcMar>
          </w:tcPr>
          <w:p w14:paraId="1894AD3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F4A8C" w14:paraId="1894AD3E" w14:textId="77777777" w:rsidTr="00CF4A8C">
        <w:tc>
          <w:tcPr>
            <w:tcW w:w="2381" w:type="pct"/>
          </w:tcPr>
          <w:p w14:paraId="1894AD36" w14:textId="77777777" w:rsidR="00824412" w:rsidRPr="001913FA" w:rsidRDefault="00824412" w:rsidP="00C2612E">
            <w:pPr>
              <w:jc w:val="center"/>
            </w:pPr>
            <w:r w:rsidRPr="001913FA">
              <w:t>JUDGMENT</w:t>
            </w:r>
          </w:p>
          <w:p w14:paraId="1894AD37" w14:textId="77777777" w:rsidR="00824412" w:rsidRPr="001913FA" w:rsidRDefault="00824412" w:rsidP="00417FB7">
            <w:pPr>
              <w:jc w:val="center"/>
            </w:pPr>
          </w:p>
          <w:p w14:paraId="1894AD38" w14:textId="454EDFE8" w:rsidR="00824412" w:rsidRPr="001913FA" w:rsidRDefault="00601BD6" w:rsidP="000D4DC2">
            <w:pPr>
              <w:jc w:val="both"/>
            </w:pPr>
            <w:r w:rsidRPr="001913FA">
              <w:t>The motion to join two orders</w:t>
            </w:r>
            <w:r w:rsidR="000D4DC2">
              <w:t xml:space="preserve"> so </w:t>
            </w:r>
            <w:r w:rsidR="00CF4A8C">
              <w:t xml:space="preserve">that </w:t>
            </w:r>
            <w:r w:rsidR="000D4DC2">
              <w:t>a single application for leave to a</w:t>
            </w:r>
            <w:r w:rsidR="00CF4A8C">
              <w:t>ppeal may be filed is granted</w:t>
            </w:r>
            <w:r w:rsidRPr="001913FA">
              <w:t xml:space="preserve">. </w:t>
            </w:r>
            <w:r w:rsidR="00CF4A8C">
              <w:t xml:space="preserve"> </w:t>
            </w:r>
            <w:r w:rsidR="00824412" w:rsidRPr="001913FA">
              <w:t>The app</w:t>
            </w:r>
            <w:r w:rsidR="00011960" w:rsidRPr="001913FA">
              <w:t>lication</w:t>
            </w:r>
            <w:bookmarkStart w:id="0" w:name="_GoBack"/>
            <w:bookmarkEnd w:id="0"/>
            <w:r w:rsidR="00011960" w:rsidRPr="001913FA">
              <w:t xml:space="preserve"> for leave to appeal from the judgment of the</w:t>
            </w:r>
            <w:bookmarkStart w:id="1" w:name="BM_1_"/>
            <w:bookmarkEnd w:id="1"/>
            <w:r w:rsidR="00824412" w:rsidRPr="001913FA">
              <w:t xml:space="preserve"> Court of Appeal of Alberta (Edmonton), Number</w:t>
            </w:r>
            <w:r w:rsidRPr="001913FA">
              <w:t>s</w:t>
            </w:r>
            <w:r w:rsidR="00824412" w:rsidRPr="001913FA">
              <w:t xml:space="preserve"> 1603-0275-</w:t>
            </w:r>
            <w:r w:rsidR="00824412" w:rsidRPr="001913FA">
              <w:lastRenderedPageBreak/>
              <w:t>AC</w:t>
            </w:r>
            <w:r w:rsidRPr="001913FA">
              <w:t xml:space="preserve"> and</w:t>
            </w:r>
            <w:r w:rsidR="00824412" w:rsidRPr="001913FA">
              <w:t xml:space="preserve"> 1603-0276-AC, 2017 ABCA 116, dated April 19, 2017</w:t>
            </w:r>
            <w:r w:rsidRPr="001913FA">
              <w:t>,</w:t>
            </w:r>
            <w:r w:rsidR="00824412" w:rsidRPr="001913FA">
              <w:t xml:space="preserve"> is </w:t>
            </w:r>
            <w:r w:rsidRPr="001913FA">
              <w:t xml:space="preserve">dismissed with costs in accordance with the Tariff of fees and disbursements set out in Schedule B of the </w:t>
            </w:r>
            <w:r w:rsidRPr="001913FA">
              <w:rPr>
                <w:i/>
              </w:rPr>
              <w:t>Rules of the Supreme Court of Canada</w:t>
            </w:r>
            <w:r w:rsidR="00824412" w:rsidRPr="001913FA">
              <w:t>.</w:t>
            </w:r>
          </w:p>
        </w:tc>
        <w:tc>
          <w:tcPr>
            <w:tcW w:w="291" w:type="pct"/>
          </w:tcPr>
          <w:p w14:paraId="1894AD39" w14:textId="77777777" w:rsidR="00824412" w:rsidRPr="001913FA" w:rsidRDefault="00824412" w:rsidP="00417FB7">
            <w:pPr>
              <w:jc w:val="center"/>
            </w:pPr>
          </w:p>
        </w:tc>
        <w:tc>
          <w:tcPr>
            <w:tcW w:w="2328" w:type="pct"/>
            <w:shd w:val="clear" w:color="auto" w:fill="auto"/>
          </w:tcPr>
          <w:p w14:paraId="1894AD3A" w14:textId="77777777" w:rsidR="00824412" w:rsidRPr="001913FA" w:rsidRDefault="00824412" w:rsidP="00C2612E">
            <w:pPr>
              <w:jc w:val="center"/>
              <w:rPr>
                <w:lang w:val="fr-CA"/>
              </w:rPr>
            </w:pPr>
            <w:r w:rsidRPr="001913FA">
              <w:rPr>
                <w:lang w:val="fr-CA"/>
              </w:rPr>
              <w:t>JUGEMENT</w:t>
            </w:r>
          </w:p>
          <w:p w14:paraId="1894AD3B" w14:textId="77777777" w:rsidR="00824412" w:rsidRPr="001913FA" w:rsidRDefault="00824412" w:rsidP="00417FB7">
            <w:pPr>
              <w:jc w:val="center"/>
              <w:rPr>
                <w:lang w:val="fr-CA"/>
              </w:rPr>
            </w:pPr>
          </w:p>
          <w:p w14:paraId="1894AD3C" w14:textId="77C76622" w:rsidR="00601BD6" w:rsidRPr="001913FA" w:rsidRDefault="00CF4A8C" w:rsidP="00CF4A8C">
            <w:pPr>
              <w:jc w:val="both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fr-FR" w:eastAsia="en-CA"/>
              </w:rPr>
            </w:pPr>
            <w:r>
              <w:rPr>
                <w:rFonts w:cs="Times New Roman"/>
                <w:lang w:val="fr-FR"/>
              </w:rPr>
              <w:t>La requête pour</w:t>
            </w:r>
            <w:r w:rsidR="00601BD6" w:rsidRPr="001913FA">
              <w:rPr>
                <w:rFonts w:cs="Times New Roman"/>
                <w:lang w:val="fr-FR"/>
              </w:rPr>
              <w:t xml:space="preserve"> joindre deux ordonnances</w:t>
            </w:r>
            <w:r w:rsidR="00D678B7">
              <w:rPr>
                <w:rFonts w:cs="Times New Roman"/>
                <w:lang w:val="fr-FR"/>
              </w:rPr>
              <w:t xml:space="preserve"> pour</w:t>
            </w:r>
            <w:r>
              <w:rPr>
                <w:rFonts w:cs="Times New Roman"/>
                <w:lang w:val="fr-FR"/>
              </w:rPr>
              <w:t xml:space="preserve"> qu’une seule demande d’autorisation d’appel puisse être déposée est ac</w:t>
            </w:r>
            <w:r w:rsidR="00D678B7">
              <w:rPr>
                <w:rFonts w:cs="Times New Roman"/>
                <w:lang w:val="fr-FR"/>
              </w:rPr>
              <w:t>cueillie</w:t>
            </w:r>
            <w:r>
              <w:rPr>
                <w:rFonts w:cs="Times New Roman"/>
                <w:lang w:val="fr-FR"/>
              </w:rPr>
              <w:t xml:space="preserve">. </w:t>
            </w:r>
            <w:r w:rsidR="00601BD6" w:rsidRPr="00CF4A8C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824412" w:rsidRPr="00CF4A8C">
              <w:rPr>
                <w:lang w:val="fr-CA"/>
              </w:rPr>
              <w:t>L</w:t>
            </w:r>
            <w:r w:rsidR="00011960" w:rsidRPr="00CF4A8C">
              <w:rPr>
                <w:lang w:val="fr-CA"/>
              </w:rPr>
              <w:t>a demande d’autorisation d’appel de l’arrêt de la</w:t>
            </w:r>
            <w:r w:rsidR="00824412" w:rsidRPr="00CF4A8C">
              <w:rPr>
                <w:lang w:val="fr-CA"/>
              </w:rPr>
              <w:t xml:space="preserve"> </w:t>
            </w:r>
            <w:r w:rsidR="00824412" w:rsidRPr="00CF4A8C">
              <w:rPr>
                <w:lang w:val="fr-FR"/>
              </w:rPr>
              <w:t>Cour d</w:t>
            </w:r>
            <w:r w:rsidR="001913FA" w:rsidRPr="00CF4A8C">
              <w:rPr>
                <w:lang w:val="fr-CA"/>
              </w:rPr>
              <w:t>’</w:t>
            </w:r>
            <w:r w:rsidR="00824412" w:rsidRPr="00CF4A8C">
              <w:rPr>
                <w:lang w:val="fr-FR"/>
              </w:rPr>
              <w:t>appel de l’Alberta (Edmonton)</w:t>
            </w:r>
            <w:r w:rsidR="00824412" w:rsidRPr="00CF4A8C">
              <w:rPr>
                <w:lang w:val="fr-CA"/>
              </w:rPr>
              <w:t xml:space="preserve">, </w:t>
            </w:r>
            <w:r w:rsidR="00824412" w:rsidRPr="00CF4A8C">
              <w:rPr>
                <w:lang w:val="fr-CA"/>
              </w:rPr>
              <w:lastRenderedPageBreak/>
              <w:t>numéro</w:t>
            </w:r>
            <w:r w:rsidR="00601BD6" w:rsidRPr="00CF4A8C">
              <w:rPr>
                <w:lang w:val="fr-CA"/>
              </w:rPr>
              <w:t>s</w:t>
            </w:r>
            <w:r w:rsidR="00824412" w:rsidRPr="00CF4A8C">
              <w:rPr>
                <w:lang w:val="fr-CA"/>
              </w:rPr>
              <w:t xml:space="preserve"> </w:t>
            </w:r>
            <w:r w:rsidR="00601BD6" w:rsidRPr="00CF4A8C">
              <w:rPr>
                <w:lang w:val="fr-FR"/>
              </w:rPr>
              <w:t>1603-0275-AC et</w:t>
            </w:r>
            <w:r w:rsidR="00824412" w:rsidRPr="00CF4A8C">
              <w:rPr>
                <w:lang w:val="fr-FR"/>
              </w:rPr>
              <w:t xml:space="preserve"> 1603-0276-AC, 2017 ABCA 116</w:t>
            </w:r>
            <w:r w:rsidR="00824412" w:rsidRPr="00CF4A8C">
              <w:rPr>
                <w:lang w:val="fr-CA"/>
              </w:rPr>
              <w:t xml:space="preserve">, </w:t>
            </w:r>
            <w:r w:rsidR="00011960" w:rsidRPr="00CF4A8C">
              <w:rPr>
                <w:lang w:val="fr-CA"/>
              </w:rPr>
              <w:t>daté du</w:t>
            </w:r>
            <w:r w:rsidR="00824412" w:rsidRPr="00CF4A8C">
              <w:rPr>
                <w:lang w:val="fr-CA"/>
              </w:rPr>
              <w:t xml:space="preserve"> </w:t>
            </w:r>
            <w:r w:rsidR="00824412" w:rsidRPr="00CF4A8C">
              <w:rPr>
                <w:lang w:val="fr-FR"/>
              </w:rPr>
              <w:t>19 avril 2017</w:t>
            </w:r>
            <w:r w:rsidR="00824412" w:rsidRPr="00CF4A8C">
              <w:rPr>
                <w:lang w:val="fr-CA"/>
              </w:rPr>
              <w:t xml:space="preserve">, est </w:t>
            </w:r>
            <w:r w:rsidR="00601BD6" w:rsidRPr="00CF4A8C">
              <w:rPr>
                <w:lang w:val="fr-CA"/>
              </w:rPr>
              <w:t xml:space="preserve">rejetée avec dépens </w:t>
            </w:r>
            <w:r w:rsidR="00601BD6" w:rsidRPr="00CF4A8C">
              <w:rPr>
                <w:rFonts w:eastAsia="Times New Roman" w:cs="Times New Roman"/>
                <w:szCs w:val="24"/>
                <w:lang w:val="fr-FR" w:eastAsia="en-CA"/>
              </w:rPr>
              <w:t xml:space="preserve">conformément au </w:t>
            </w:r>
            <w:r w:rsidR="001913FA" w:rsidRPr="00CF4A8C">
              <w:rPr>
                <w:rFonts w:eastAsia="Times New Roman" w:cs="Times New Roman"/>
                <w:szCs w:val="24"/>
                <w:lang w:val="fr-FR" w:eastAsia="en-CA"/>
              </w:rPr>
              <w:t>t</w:t>
            </w:r>
            <w:r w:rsidR="00601BD6" w:rsidRPr="00CF4A8C">
              <w:rPr>
                <w:rFonts w:eastAsia="Times New Roman" w:cs="Times New Roman"/>
                <w:szCs w:val="24"/>
                <w:lang w:val="fr-FR" w:eastAsia="en-CA"/>
              </w:rPr>
              <w:t xml:space="preserve">arif des honoraires et débours </w:t>
            </w:r>
            <w:r w:rsidR="001913FA" w:rsidRPr="00CF4A8C">
              <w:rPr>
                <w:rFonts w:eastAsia="Times New Roman" w:cs="Times New Roman"/>
                <w:szCs w:val="24"/>
                <w:lang w:val="fr-FR" w:eastAsia="en-CA"/>
              </w:rPr>
              <w:t>établi</w:t>
            </w:r>
            <w:r w:rsidR="00601BD6" w:rsidRPr="00CF4A8C">
              <w:rPr>
                <w:rFonts w:eastAsia="Times New Roman" w:cs="Times New Roman"/>
                <w:szCs w:val="24"/>
                <w:lang w:val="fr-FR" w:eastAsia="en-CA"/>
              </w:rPr>
              <w:t xml:space="preserve"> à l</w:t>
            </w:r>
            <w:r w:rsidR="001913FA" w:rsidRPr="00CF4A8C">
              <w:rPr>
                <w:rFonts w:eastAsia="Times New Roman" w:cs="Times New Roman"/>
                <w:szCs w:val="24"/>
                <w:lang w:val="fr-FR" w:eastAsia="en-CA"/>
              </w:rPr>
              <w:t>’A</w:t>
            </w:r>
            <w:r w:rsidR="00601BD6" w:rsidRPr="00CF4A8C">
              <w:rPr>
                <w:rFonts w:eastAsia="Times New Roman" w:cs="Times New Roman"/>
                <w:szCs w:val="24"/>
                <w:lang w:val="fr-FR" w:eastAsia="en-CA"/>
              </w:rPr>
              <w:t xml:space="preserve">nnexe B des </w:t>
            </w:r>
            <w:r w:rsidR="00601BD6" w:rsidRPr="00CF4A8C">
              <w:rPr>
                <w:rFonts w:eastAsia="Times New Roman" w:cs="Times New Roman"/>
                <w:i/>
                <w:szCs w:val="24"/>
                <w:lang w:val="fr-FR" w:eastAsia="en-CA"/>
              </w:rPr>
              <w:t>Règles</w:t>
            </w:r>
            <w:r w:rsidR="00601BD6" w:rsidRPr="001913FA">
              <w:rPr>
                <w:rFonts w:eastAsia="Times New Roman" w:cs="Times New Roman"/>
                <w:i/>
                <w:szCs w:val="24"/>
                <w:lang w:val="fr-FR" w:eastAsia="en-CA"/>
              </w:rPr>
              <w:t xml:space="preserve"> de la Cour suprême du Canada</w:t>
            </w:r>
            <w:r w:rsidR="00601BD6" w:rsidRPr="001913FA">
              <w:rPr>
                <w:rFonts w:eastAsia="Times New Roman" w:cs="Times New Roman"/>
                <w:szCs w:val="24"/>
                <w:lang w:val="fr-FR" w:eastAsia="en-CA"/>
              </w:rPr>
              <w:t>.</w:t>
            </w:r>
          </w:p>
          <w:p w14:paraId="1894AD3D" w14:textId="77777777" w:rsidR="00824412" w:rsidRPr="001913FA" w:rsidRDefault="00824412" w:rsidP="00601BD6">
            <w:pPr>
              <w:jc w:val="both"/>
              <w:rPr>
                <w:rFonts w:cs="Times New Roman"/>
                <w:lang w:val="fr-FR"/>
              </w:rPr>
            </w:pPr>
          </w:p>
        </w:tc>
      </w:tr>
    </w:tbl>
    <w:p w14:paraId="1894AD3F" w14:textId="77777777" w:rsidR="009F436C" w:rsidRPr="00D83B8C" w:rsidRDefault="009F436C" w:rsidP="00382FEC">
      <w:pPr>
        <w:rPr>
          <w:lang w:val="fr-CA"/>
        </w:rPr>
      </w:pPr>
    </w:p>
    <w:p w14:paraId="1894AD40" w14:textId="77777777" w:rsidR="009F436C" w:rsidRPr="00D83B8C" w:rsidRDefault="009F436C" w:rsidP="00417FB7">
      <w:pPr>
        <w:jc w:val="center"/>
        <w:rPr>
          <w:lang w:val="fr-CA"/>
        </w:rPr>
      </w:pPr>
    </w:p>
    <w:p w14:paraId="1894AD41" w14:textId="77777777" w:rsidR="009F436C" w:rsidRPr="00D83B8C" w:rsidRDefault="009F436C" w:rsidP="00417FB7">
      <w:pPr>
        <w:jc w:val="center"/>
        <w:rPr>
          <w:lang w:val="fr-CA"/>
        </w:rPr>
      </w:pPr>
    </w:p>
    <w:p w14:paraId="1894AD4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94AD4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894AD4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4AD47" w14:textId="77777777" w:rsidR="00B328CD" w:rsidRDefault="00B328CD">
      <w:r>
        <w:separator/>
      </w:r>
    </w:p>
  </w:endnote>
  <w:endnote w:type="continuationSeparator" w:id="0">
    <w:p w14:paraId="1894AD4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AD45" w14:textId="77777777" w:rsidR="00B328CD" w:rsidRDefault="00B328CD">
      <w:r>
        <w:separator/>
      </w:r>
    </w:p>
  </w:footnote>
  <w:footnote w:type="continuationSeparator" w:id="0">
    <w:p w14:paraId="1894AD4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AD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712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94AD4A" w14:textId="77777777" w:rsidR="008F53F3" w:rsidRDefault="008F53F3" w:rsidP="008F53F3">
    <w:pPr>
      <w:rPr>
        <w:szCs w:val="24"/>
      </w:rPr>
    </w:pPr>
  </w:p>
  <w:p w14:paraId="1894AD4B" w14:textId="77777777" w:rsidR="008F53F3" w:rsidRDefault="008F53F3" w:rsidP="008F53F3">
    <w:pPr>
      <w:rPr>
        <w:szCs w:val="24"/>
      </w:rPr>
    </w:pPr>
  </w:p>
  <w:p w14:paraId="1894AD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37626</w:t>
    </w:r>
    <w:r>
      <w:rPr>
        <w:szCs w:val="24"/>
      </w:rPr>
      <w:t>     </w:t>
    </w:r>
  </w:p>
  <w:p w14:paraId="1894AD4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DC2"/>
    <w:rsid w:val="000D7521"/>
    <w:rsid w:val="000E4CCE"/>
    <w:rsid w:val="00110EB3"/>
    <w:rsid w:val="0016666F"/>
    <w:rsid w:val="00167C15"/>
    <w:rsid w:val="001712BD"/>
    <w:rsid w:val="001913F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1BD6"/>
    <w:rsid w:val="00612913"/>
    <w:rsid w:val="00614908"/>
    <w:rsid w:val="00645CD6"/>
    <w:rsid w:val="00650109"/>
    <w:rsid w:val="006E7BAE"/>
    <w:rsid w:val="0070028B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4A8C"/>
    <w:rsid w:val="00D42339"/>
    <w:rsid w:val="00D61AC2"/>
    <w:rsid w:val="00D678B7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94A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1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5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5B66A-4ABC-43D1-9B6D-D68C15571B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6A2B0E7-75A7-4839-8569-6E2AEC83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9D82B1-FA6C-4CBB-B911-C9A3BB99C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2017-12-13T15:27:00Z</dcterms:created>
  <dcterms:modified xsi:type="dcterms:W3CDTF">2017-12-13T15:27:00Z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