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A2BDE" w14:textId="77777777" w:rsidR="009F436C" w:rsidRDefault="009F436C" w:rsidP="00382FEC"/>
    <w:p w14:paraId="450A2BDF" w14:textId="77777777" w:rsidR="002D2D44" w:rsidRPr="006E7BAE" w:rsidRDefault="002D2D44" w:rsidP="00382FEC"/>
    <w:p w14:paraId="450A2BE0" w14:textId="77777777" w:rsidR="009F436C" w:rsidRPr="006E7BAE" w:rsidRDefault="009F436C" w:rsidP="00382FEC"/>
    <w:p w14:paraId="450A2BE1" w14:textId="77777777" w:rsidR="0016666F" w:rsidRPr="006E7BAE" w:rsidRDefault="0016666F" w:rsidP="00382FEC"/>
    <w:p w14:paraId="450A2BE2" w14:textId="77777777" w:rsidR="0016666F" w:rsidRDefault="0016666F" w:rsidP="00382FEC"/>
    <w:p w14:paraId="450A2BE3" w14:textId="77777777" w:rsidR="00D83B8C" w:rsidRDefault="00D83B8C" w:rsidP="00382FEC"/>
    <w:p w14:paraId="450A2BE4" w14:textId="77777777" w:rsidR="008763A3" w:rsidRDefault="008763A3" w:rsidP="00382FEC"/>
    <w:p w14:paraId="450A2BE5" w14:textId="77777777" w:rsidR="00D83B8C" w:rsidRDefault="00D83B8C" w:rsidP="00382FEC"/>
    <w:p w14:paraId="450A2BE6" w14:textId="77777777" w:rsidR="00D83B8C" w:rsidRDefault="00D83B8C" w:rsidP="00382FEC"/>
    <w:p w14:paraId="450A2BE7" w14:textId="77777777" w:rsidR="00D83B8C" w:rsidRDefault="00D83B8C" w:rsidP="00382FEC"/>
    <w:p w14:paraId="450A2BE8" w14:textId="77777777" w:rsidR="00D83B8C" w:rsidRPr="006E7BAE" w:rsidRDefault="00D83B8C" w:rsidP="00382FEC"/>
    <w:p w14:paraId="450A2BE9" w14:textId="77777777" w:rsidR="009F436C" w:rsidRDefault="009F436C" w:rsidP="00382FEC"/>
    <w:p w14:paraId="1AA39D03" w14:textId="77777777" w:rsidR="00236721" w:rsidRPr="006E7BAE" w:rsidRDefault="00236721" w:rsidP="00382FEC"/>
    <w:p w14:paraId="450A2BE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37709</w:t>
      </w:r>
      <w:r w:rsidR="0016666F" w:rsidRPr="006E7BAE">
        <w:t>     </w:t>
      </w:r>
    </w:p>
    <w:p w14:paraId="450A2BEB" w14:textId="77777777" w:rsidR="009F436C" w:rsidRPr="006E7BAE" w:rsidRDefault="009F436C" w:rsidP="00382FEC"/>
    <w:p w14:paraId="450A2BE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50A2BF0" w14:textId="77777777" w:rsidTr="00C173B0">
        <w:tc>
          <w:tcPr>
            <w:tcW w:w="2269" w:type="pct"/>
          </w:tcPr>
          <w:p w14:paraId="450A2BED" w14:textId="77777777" w:rsidR="00417FB7" w:rsidRPr="006E7BAE" w:rsidRDefault="00DE6565" w:rsidP="00DE6565">
            <w:r>
              <w:t>February</w:t>
            </w:r>
            <w:r w:rsidR="00B328CD">
              <w:t xml:space="preserve"> </w:t>
            </w:r>
            <w:r>
              <w:t>8</w:t>
            </w:r>
            <w:r w:rsidR="00B328CD">
              <w:t>, 2018</w:t>
            </w:r>
          </w:p>
        </w:tc>
        <w:tc>
          <w:tcPr>
            <w:tcW w:w="381" w:type="pct"/>
          </w:tcPr>
          <w:p w14:paraId="450A2BEE" w14:textId="77777777" w:rsidR="00417FB7" w:rsidRPr="006E7BAE" w:rsidRDefault="00417FB7" w:rsidP="00382FEC"/>
        </w:tc>
        <w:tc>
          <w:tcPr>
            <w:tcW w:w="2350" w:type="pct"/>
          </w:tcPr>
          <w:p w14:paraId="450A2BEF" w14:textId="5EB873AD" w:rsidR="00417FB7" w:rsidRPr="00D83B8C" w:rsidRDefault="00B328CD" w:rsidP="001B3EA2">
            <w:pPr>
              <w:rPr>
                <w:lang w:val="en-US"/>
              </w:rPr>
            </w:pPr>
            <w:r>
              <w:t xml:space="preserve">Le </w:t>
            </w:r>
            <w:r w:rsidR="00DE6565">
              <w:t>8</w:t>
            </w:r>
            <w:r>
              <w:t xml:space="preserve"> </w:t>
            </w:r>
            <w:r w:rsidR="00DE6565">
              <w:t>f</w:t>
            </w:r>
            <w:r w:rsidR="001B3EA2">
              <w:t>é</w:t>
            </w:r>
            <w:r w:rsidR="00DE6565">
              <w:t>vrier</w:t>
            </w:r>
            <w:r>
              <w:t xml:space="preserve"> 2018</w:t>
            </w:r>
          </w:p>
        </w:tc>
      </w:tr>
      <w:tr w:rsidR="00E12A51" w:rsidRPr="006E7BAE" w14:paraId="450A2BF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0A2BF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0A2BF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0A2BF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B3EA2" w14:paraId="450A2BF8" w14:textId="77777777" w:rsidTr="00C173B0">
        <w:tc>
          <w:tcPr>
            <w:tcW w:w="2269" w:type="pct"/>
          </w:tcPr>
          <w:p w14:paraId="450A2BF5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Brown, Rowe and Martin JJ.</w:t>
            </w:r>
          </w:p>
        </w:tc>
        <w:tc>
          <w:tcPr>
            <w:tcW w:w="381" w:type="pct"/>
          </w:tcPr>
          <w:p w14:paraId="450A2BF6" w14:textId="77777777" w:rsidR="00417FB7" w:rsidRPr="006E7BAE" w:rsidRDefault="00417FB7" w:rsidP="00382FEC"/>
        </w:tc>
        <w:tc>
          <w:tcPr>
            <w:tcW w:w="2350" w:type="pct"/>
          </w:tcPr>
          <w:p w14:paraId="450A2BF7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B5C95">
              <w:rPr>
                <w:lang w:val="fr-FR"/>
              </w:rPr>
              <w:t>Le juge en chef Wagner et les juges Abella, Moldaver, Karakatsanis, Gascon, Brown, Rowe et Martin</w:t>
            </w:r>
          </w:p>
        </w:tc>
      </w:tr>
      <w:tr w:rsidR="00C2612E" w:rsidRPr="001B3EA2" w14:paraId="450A2BF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0A2BF9" w14:textId="77777777" w:rsidR="00C2612E" w:rsidRPr="009B5C95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0A2BFA" w14:textId="77777777" w:rsidR="00C2612E" w:rsidRPr="009B5C9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0A2BFB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50A2C0A" w14:textId="77777777" w:rsidTr="00C173B0">
        <w:tc>
          <w:tcPr>
            <w:tcW w:w="2269" w:type="pct"/>
          </w:tcPr>
          <w:p w14:paraId="450A2BFD" w14:textId="77777777" w:rsidR="00BF6F19" w:rsidRDefault="00EE2530">
            <w:pPr>
              <w:pStyle w:val="SCCLsocPrefix"/>
            </w:pPr>
            <w:r>
              <w:t>BETWEEN:</w:t>
            </w:r>
            <w:r>
              <w:br/>
            </w:r>
          </w:p>
          <w:p w14:paraId="450A2BFE" w14:textId="55198D77" w:rsidR="00BF6F19" w:rsidRDefault="00EE2530">
            <w:pPr>
              <w:pStyle w:val="SCCLsocParty"/>
            </w:pPr>
            <w:r>
              <w:t>Coburn and Watson</w:t>
            </w:r>
            <w:r w:rsidR="001B3EA2">
              <w:t>’</w:t>
            </w:r>
            <w:r>
              <w:t>s Metropolitan Home dba Metropolitan Home</w:t>
            </w:r>
            <w:r>
              <w:br/>
            </w:r>
          </w:p>
          <w:p w14:paraId="488E2B1E" w14:textId="77777777" w:rsidR="001B3EA2" w:rsidRPr="001B3EA2" w:rsidRDefault="001B3EA2" w:rsidP="001B3EA2"/>
          <w:p w14:paraId="450A2BFF" w14:textId="77777777" w:rsidR="00BF6F19" w:rsidRDefault="00EE2530">
            <w:pPr>
              <w:pStyle w:val="SCCLsocPartyRole"/>
            </w:pPr>
            <w:r>
              <w:t>Applicant</w:t>
            </w:r>
            <w:r>
              <w:br/>
            </w:r>
          </w:p>
          <w:p w14:paraId="450A2C00" w14:textId="77777777" w:rsidR="00BF6F19" w:rsidRDefault="00EE2530">
            <w:pPr>
              <w:pStyle w:val="SCCLsocVersus"/>
            </w:pPr>
            <w:r>
              <w:t>- and -</w:t>
            </w:r>
            <w:r>
              <w:br/>
            </w:r>
          </w:p>
          <w:p w14:paraId="450A2C01" w14:textId="63CB1AD6" w:rsidR="00BF6F19" w:rsidRDefault="00EE2530">
            <w:pPr>
              <w:pStyle w:val="SCCLsocParty"/>
            </w:pPr>
            <w:r>
              <w:t>BMO Financial Group, Bank of Nova Scotia, Canadian Imperial Bank of Commerce, Royal Bank of Canada, Toronto-Dominion Bank, MasterC</w:t>
            </w:r>
            <w:r w:rsidR="00AB05D7">
              <w:t xml:space="preserve">ard International Incorporated and </w:t>
            </w:r>
            <w:r>
              <w:t>VISA Canada Corpor</w:t>
            </w:r>
            <w:bookmarkStart w:id="0" w:name="_GoBack"/>
            <w:bookmarkEnd w:id="0"/>
            <w:r>
              <w:t>ation</w:t>
            </w:r>
            <w:r>
              <w:br/>
            </w:r>
          </w:p>
          <w:p w14:paraId="450A2C02" w14:textId="77777777" w:rsidR="00BF6F19" w:rsidRDefault="00EE253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50A2C03" w14:textId="77777777" w:rsidR="00824412" w:rsidRPr="006E7BAE" w:rsidRDefault="00824412" w:rsidP="00375294"/>
        </w:tc>
        <w:tc>
          <w:tcPr>
            <w:tcW w:w="2350" w:type="pct"/>
          </w:tcPr>
          <w:p w14:paraId="450A2C04" w14:textId="77777777" w:rsidR="00BF6F19" w:rsidRDefault="00EE2530">
            <w:pPr>
              <w:pStyle w:val="SCCLsocPrefix"/>
            </w:pPr>
            <w:r>
              <w:t>ENTRE :</w:t>
            </w:r>
            <w:r>
              <w:br/>
            </w:r>
          </w:p>
          <w:p w14:paraId="450A2C05" w14:textId="5AC9F74E" w:rsidR="00BF6F19" w:rsidRPr="001B3EA2" w:rsidRDefault="001B3EA2">
            <w:pPr>
              <w:pStyle w:val="SCCLsocParty"/>
              <w:rPr>
                <w:lang w:val="fr-CA"/>
              </w:rPr>
            </w:pPr>
            <w:r w:rsidRPr="001B3EA2">
              <w:t>Coburn and Watson’s Metropolitan Home, faisant affaire sous la dénomination Metropolitan Home</w:t>
            </w:r>
            <w:r w:rsidR="00EE2530" w:rsidRPr="001B3EA2">
              <w:rPr>
                <w:lang w:val="fr-CA"/>
              </w:rPr>
              <w:br/>
            </w:r>
          </w:p>
          <w:p w14:paraId="450A2C06" w14:textId="0B6C1718" w:rsidR="00BF6F19" w:rsidRPr="009B5C95" w:rsidRDefault="00EE2530">
            <w:pPr>
              <w:pStyle w:val="SCCLsocPartyRole"/>
              <w:rPr>
                <w:lang w:val="fr-FR"/>
              </w:rPr>
            </w:pPr>
            <w:r w:rsidRPr="009B5C95">
              <w:rPr>
                <w:lang w:val="fr-FR"/>
              </w:rPr>
              <w:t>Demande</w:t>
            </w:r>
            <w:r w:rsidR="00AB05D7">
              <w:rPr>
                <w:lang w:val="fr-FR"/>
              </w:rPr>
              <w:t>resse</w:t>
            </w:r>
            <w:r w:rsidRPr="009B5C95">
              <w:rPr>
                <w:lang w:val="fr-FR"/>
              </w:rPr>
              <w:br/>
            </w:r>
          </w:p>
          <w:p w14:paraId="450A2C07" w14:textId="77777777" w:rsidR="00BF6F19" w:rsidRPr="009B5C95" w:rsidRDefault="00EE2530">
            <w:pPr>
              <w:pStyle w:val="SCCLsocVersus"/>
              <w:rPr>
                <w:lang w:val="fr-FR"/>
              </w:rPr>
            </w:pPr>
            <w:r w:rsidRPr="009B5C95">
              <w:rPr>
                <w:lang w:val="fr-FR"/>
              </w:rPr>
              <w:t>- et -</w:t>
            </w:r>
            <w:r w:rsidRPr="009B5C95">
              <w:rPr>
                <w:lang w:val="fr-FR"/>
              </w:rPr>
              <w:br/>
            </w:r>
          </w:p>
          <w:p w14:paraId="450A2C08" w14:textId="5AEB4D2D" w:rsidR="00BF6F19" w:rsidRPr="009B5C95" w:rsidRDefault="00EE2530">
            <w:pPr>
              <w:pStyle w:val="SCCLsocParty"/>
              <w:rPr>
                <w:lang w:val="fr-FR"/>
              </w:rPr>
            </w:pPr>
            <w:r w:rsidRPr="009B5C95">
              <w:rPr>
                <w:lang w:val="fr-FR"/>
              </w:rPr>
              <w:t>Banque de Montréal, Banque de Nouvelle-Écosse, Banque Canadienne Impériale de Commerce, Banque Royale du Canada, Banque Toronto-Dominion, Master</w:t>
            </w:r>
            <w:r w:rsidR="00AB05D7">
              <w:rPr>
                <w:lang w:val="fr-FR"/>
              </w:rPr>
              <w:t>Card International Incorporated et</w:t>
            </w:r>
            <w:r w:rsidRPr="009B5C95">
              <w:rPr>
                <w:lang w:val="fr-FR"/>
              </w:rPr>
              <w:t xml:space="preserve"> Corporation VISA Canada</w:t>
            </w:r>
            <w:r w:rsidRPr="009B5C95">
              <w:rPr>
                <w:lang w:val="fr-FR"/>
              </w:rPr>
              <w:br/>
            </w:r>
          </w:p>
          <w:p w14:paraId="450A2C09" w14:textId="77777777" w:rsidR="00BF6F19" w:rsidRDefault="00EE2530" w:rsidP="00DE6565">
            <w:pPr>
              <w:pStyle w:val="SCCLsocPartyRole"/>
            </w:pPr>
            <w:r>
              <w:t>Intimé</w:t>
            </w:r>
            <w:r w:rsidR="00DE6565">
              <w:t>es</w:t>
            </w:r>
          </w:p>
        </w:tc>
      </w:tr>
      <w:tr w:rsidR="00824412" w:rsidRPr="006E7BAE" w14:paraId="450A2C0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0A2C0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0A2C0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0A2C0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B3EA2" w14:paraId="450A2C16" w14:textId="77777777" w:rsidTr="00C173B0">
        <w:tc>
          <w:tcPr>
            <w:tcW w:w="2269" w:type="pct"/>
          </w:tcPr>
          <w:p w14:paraId="450A2C0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50A2C10" w14:textId="77777777" w:rsidR="00824412" w:rsidRPr="006E7BAE" w:rsidRDefault="00824412" w:rsidP="00417FB7">
            <w:pPr>
              <w:jc w:val="center"/>
            </w:pPr>
          </w:p>
          <w:p w14:paraId="450A2C11" w14:textId="0DB7B871" w:rsidR="00824412" w:rsidRPr="006E7BAE" w:rsidRDefault="00824412" w:rsidP="00AB05D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 xml:space="preserve">Court of Appeal for British </w:t>
            </w:r>
            <w:r>
              <w:lastRenderedPageBreak/>
              <w:t>Columbia (Vancouver)</w:t>
            </w:r>
            <w:r w:rsidRPr="006E7BAE">
              <w:t xml:space="preserve">, Number </w:t>
            </w:r>
            <w:r>
              <w:t>CA44033, 2017 BCCA 202</w:t>
            </w:r>
            <w:r w:rsidRPr="006E7BAE">
              <w:t xml:space="preserve">, dated </w:t>
            </w:r>
            <w:r>
              <w:t>May 25, 2017</w:t>
            </w:r>
            <w:r w:rsidR="00EE2530">
              <w:t>,</w:t>
            </w:r>
            <w:r w:rsidRPr="006E7BAE">
              <w:t xml:space="preserve"> is </w:t>
            </w:r>
            <w:r w:rsidR="00EE2530">
              <w:t xml:space="preserve">dismissed with costs </w:t>
            </w:r>
            <w:r w:rsidR="00AB05D7">
              <w:t>in favour of the</w:t>
            </w:r>
            <w:r w:rsidR="00EE2530">
              <w:t xml:space="preserve"> </w:t>
            </w:r>
            <w:r w:rsidR="00AB05D7">
              <w:t xml:space="preserve">respondents, the </w:t>
            </w:r>
            <w:r w:rsidR="00EE2530">
              <w:t xml:space="preserve">BMO Financial Group, </w:t>
            </w:r>
            <w:r w:rsidR="00AB05D7">
              <w:t xml:space="preserve">the </w:t>
            </w:r>
            <w:r w:rsidR="00EE2530">
              <w:t xml:space="preserve">Bank of Nova Scotia, </w:t>
            </w:r>
            <w:r w:rsidR="00AB05D7">
              <w:t xml:space="preserve">the </w:t>
            </w:r>
            <w:r w:rsidR="00EE2530">
              <w:t xml:space="preserve">Canadian Imperial Bank of Commerce, </w:t>
            </w:r>
            <w:r w:rsidR="00AB05D7">
              <w:t xml:space="preserve">the </w:t>
            </w:r>
            <w:r w:rsidR="00EE2530">
              <w:t xml:space="preserve">Royal Bank of Canada and </w:t>
            </w:r>
            <w:r w:rsidR="00AB05D7">
              <w:t xml:space="preserve">the </w:t>
            </w:r>
            <w:r w:rsidR="00EE2530">
              <w:t>Toronto</w:t>
            </w:r>
            <w:r w:rsidR="00AB05D7">
              <w:t>-</w:t>
            </w:r>
            <w:r w:rsidR="00EE2530">
              <w:t xml:space="preserve"> Dominion</w:t>
            </w:r>
            <w:r w:rsidR="00327858">
              <w:t xml:space="preserve"> </w:t>
            </w:r>
            <w:r w:rsidR="00AB05D7">
              <w:t>Bank</w:t>
            </w:r>
            <w:r w:rsidR="00327858">
              <w:t>.</w:t>
            </w:r>
          </w:p>
        </w:tc>
        <w:tc>
          <w:tcPr>
            <w:tcW w:w="381" w:type="pct"/>
          </w:tcPr>
          <w:p w14:paraId="450A2C1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50A2C1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50A2C1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50A2C15" w14:textId="46694CC6" w:rsidR="00824412" w:rsidRPr="00EE2530" w:rsidRDefault="00824412" w:rsidP="00236721">
            <w:pPr>
              <w:jc w:val="both"/>
              <w:rPr>
                <w:lang w:val="fr-FR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B5C95">
              <w:rPr>
                <w:lang w:val="fr-FR"/>
              </w:rPr>
              <w:t>Cour d’appel de la Colombie-</w:t>
            </w:r>
            <w:r w:rsidRPr="009B5C95">
              <w:rPr>
                <w:lang w:val="fr-FR"/>
              </w:rPr>
              <w:lastRenderedPageBreak/>
              <w:t>Britannique (Vancouver)</w:t>
            </w:r>
            <w:r w:rsidRPr="006E7BAE">
              <w:rPr>
                <w:lang w:val="fr-CA"/>
              </w:rPr>
              <w:t xml:space="preserve">, numéro </w:t>
            </w:r>
            <w:r w:rsidRPr="009B5C95">
              <w:rPr>
                <w:lang w:val="fr-FR"/>
              </w:rPr>
              <w:t>CA44033, 2017 BCCA 202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B5C95">
              <w:rPr>
                <w:lang w:val="fr-FR"/>
              </w:rPr>
              <w:t>25 mai 2017</w:t>
            </w:r>
            <w:r w:rsidRPr="006E7BAE">
              <w:rPr>
                <w:lang w:val="fr-CA"/>
              </w:rPr>
              <w:t xml:space="preserve">, est </w:t>
            </w:r>
            <w:r w:rsidR="00EE2530">
              <w:rPr>
                <w:lang w:val="fr-CA"/>
              </w:rPr>
              <w:t>rej</w:t>
            </w:r>
            <w:r w:rsidR="00236721">
              <w:rPr>
                <w:lang w:val="fr-CA"/>
              </w:rPr>
              <w:t xml:space="preserve">etée avec dépens en faveur des </w:t>
            </w:r>
            <w:r w:rsidR="00EE2530">
              <w:rPr>
                <w:lang w:val="fr-CA"/>
              </w:rPr>
              <w:t>intimée</w:t>
            </w:r>
            <w:r w:rsidR="00236721">
              <w:rPr>
                <w:lang w:val="fr-CA"/>
              </w:rPr>
              <w:t xml:space="preserve">s, la </w:t>
            </w:r>
            <w:r w:rsidR="00236721" w:rsidRPr="009B5C95">
              <w:rPr>
                <w:lang w:val="fr-FR"/>
              </w:rPr>
              <w:t xml:space="preserve">Banque de Montréal, </w:t>
            </w:r>
            <w:r w:rsidR="00236721">
              <w:rPr>
                <w:lang w:val="fr-FR"/>
              </w:rPr>
              <w:t xml:space="preserve">la </w:t>
            </w:r>
            <w:r w:rsidR="00236721" w:rsidRPr="009B5C95">
              <w:rPr>
                <w:lang w:val="fr-FR"/>
              </w:rPr>
              <w:t xml:space="preserve">Banque de Nouvelle-Écosse, </w:t>
            </w:r>
            <w:r w:rsidR="00236721">
              <w:rPr>
                <w:lang w:val="fr-FR"/>
              </w:rPr>
              <w:t xml:space="preserve">la </w:t>
            </w:r>
            <w:r w:rsidR="00236721" w:rsidRPr="009B5C95">
              <w:rPr>
                <w:lang w:val="fr-FR"/>
              </w:rPr>
              <w:t xml:space="preserve">Banque Canadienne Impériale de Commerce, </w:t>
            </w:r>
            <w:r w:rsidR="00236721">
              <w:rPr>
                <w:lang w:val="fr-FR"/>
              </w:rPr>
              <w:t>la Banque Royale du Canada et la</w:t>
            </w:r>
            <w:r w:rsidR="00236721" w:rsidRPr="009B5C95">
              <w:rPr>
                <w:lang w:val="fr-FR"/>
              </w:rPr>
              <w:t xml:space="preserve"> Banque Toronto-Dominion</w:t>
            </w:r>
            <w:r w:rsidR="00EE2530" w:rsidRPr="00EE2530">
              <w:rPr>
                <w:lang w:val="fr-FR"/>
              </w:rPr>
              <w:t>.</w:t>
            </w:r>
          </w:p>
        </w:tc>
      </w:tr>
    </w:tbl>
    <w:p w14:paraId="450A2C17" w14:textId="77777777" w:rsidR="009F436C" w:rsidRPr="00D83B8C" w:rsidRDefault="009F436C" w:rsidP="00382FEC">
      <w:pPr>
        <w:rPr>
          <w:lang w:val="fr-CA"/>
        </w:rPr>
      </w:pPr>
    </w:p>
    <w:p w14:paraId="450A2C18" w14:textId="77777777" w:rsidR="009F436C" w:rsidRPr="00D83B8C" w:rsidRDefault="009F436C" w:rsidP="00417FB7">
      <w:pPr>
        <w:jc w:val="center"/>
        <w:rPr>
          <w:lang w:val="fr-CA"/>
        </w:rPr>
      </w:pPr>
    </w:p>
    <w:p w14:paraId="450A2C19" w14:textId="77777777" w:rsidR="009F436C" w:rsidRPr="00D83B8C" w:rsidRDefault="009F436C" w:rsidP="00417FB7">
      <w:pPr>
        <w:jc w:val="center"/>
        <w:rPr>
          <w:lang w:val="fr-CA"/>
        </w:rPr>
      </w:pPr>
    </w:p>
    <w:p w14:paraId="450A2C1A" w14:textId="77777777" w:rsidR="009F436C" w:rsidRPr="00D83B8C" w:rsidRDefault="009F436C" w:rsidP="00417FB7">
      <w:pPr>
        <w:jc w:val="center"/>
        <w:rPr>
          <w:lang w:val="fr-CA"/>
        </w:rPr>
      </w:pPr>
    </w:p>
    <w:p w14:paraId="450A2C1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50A2C1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50A2C1D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A2C20" w14:textId="77777777" w:rsidR="00B328CD" w:rsidRDefault="00B328CD">
      <w:r>
        <w:separator/>
      </w:r>
    </w:p>
  </w:endnote>
  <w:endnote w:type="continuationSeparator" w:id="0">
    <w:p w14:paraId="450A2C21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A2C1E" w14:textId="77777777" w:rsidR="00B328CD" w:rsidRDefault="00B328CD">
      <w:r>
        <w:separator/>
      </w:r>
    </w:p>
  </w:footnote>
  <w:footnote w:type="continuationSeparator" w:id="0">
    <w:p w14:paraId="450A2C1F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A2C2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F612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50A2C23" w14:textId="77777777" w:rsidR="008F53F3" w:rsidRDefault="008F53F3" w:rsidP="008F53F3">
    <w:pPr>
      <w:rPr>
        <w:szCs w:val="24"/>
      </w:rPr>
    </w:pPr>
  </w:p>
  <w:p w14:paraId="450A2C24" w14:textId="77777777" w:rsidR="008F53F3" w:rsidRDefault="008F53F3" w:rsidP="008F53F3">
    <w:pPr>
      <w:rPr>
        <w:szCs w:val="24"/>
      </w:rPr>
    </w:pPr>
  </w:p>
  <w:p w14:paraId="450A2C2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37709</w:t>
    </w:r>
    <w:r>
      <w:rPr>
        <w:szCs w:val="24"/>
      </w:rPr>
      <w:t>     </w:t>
    </w:r>
  </w:p>
  <w:p w14:paraId="450A2C26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A2"/>
    <w:rsid w:val="001B3EC0"/>
    <w:rsid w:val="001D0116"/>
    <w:rsid w:val="001D4323"/>
    <w:rsid w:val="001E1079"/>
    <w:rsid w:val="00203642"/>
    <w:rsid w:val="00212BA0"/>
    <w:rsid w:val="00236721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27858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7F6129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B5C95"/>
    <w:rsid w:val="009D45DF"/>
    <w:rsid w:val="009E0F71"/>
    <w:rsid w:val="009E7A46"/>
    <w:rsid w:val="009F26C4"/>
    <w:rsid w:val="009F436C"/>
    <w:rsid w:val="00A03153"/>
    <w:rsid w:val="00A103E3"/>
    <w:rsid w:val="00A252FA"/>
    <w:rsid w:val="00AB05D7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6F19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E6565"/>
    <w:rsid w:val="00E12A51"/>
    <w:rsid w:val="00E736B9"/>
    <w:rsid w:val="00E777AD"/>
    <w:rsid w:val="00EA4B61"/>
    <w:rsid w:val="00EE2530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50A2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12103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2018-02-08T05:00:00+00:00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Bro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421C49-862F-42F2-AFE7-63AA576D05C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D4753D5-B38B-409A-9ECA-9E22B34C1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8ABCF5-BC2F-462C-B631-E6D4044340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2018-02-07T14:50:00Z</dcterms:created>
  <dcterms:modified xsi:type="dcterms:W3CDTF">2018-02-07T14:50:00Z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